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overflowPunct w:val="0"/>
        <w:adjustRightInd w:val="0"/>
        <w:snapToGrid w:val="0"/>
        <w:jc w:val="center"/>
        <w:rPr>
          <w:rFonts w:ascii="仿宋" w:hAnsi="仿宋" w:eastAsia="仿宋"/>
          <w:szCs w:val="32"/>
        </w:rPr>
      </w:pPr>
    </w:p>
    <w:p>
      <w:pPr>
        <w:overflowPunct w:val="0"/>
        <w:adjustRightInd w:val="0"/>
        <w:snapToGrid w:val="0"/>
        <w:rPr>
          <w:rFonts w:ascii="仿宋" w:hAnsi="仿宋" w:eastAsia="仿宋"/>
          <w:szCs w:val="32"/>
        </w:rPr>
      </w:pPr>
      <w:r>
        <w:rPr>
          <w:rFonts w:hint="eastAsia" w:ascii="仿宋" w:hAnsi="仿宋" w:eastAsia="仿宋"/>
          <w:szCs w:val="32"/>
        </w:rPr>
        <w:drawing>
          <wp:inline distT="0" distB="0" distL="114300" distR="114300">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4"/>
                    <a:stretch>
                      <a:fillRect/>
                    </a:stretch>
                  </pic:blipFill>
                  <pic:spPr>
                    <a:xfrm>
                      <a:off x="0" y="0"/>
                      <a:ext cx="1760220" cy="1760220"/>
                    </a:xfrm>
                    <a:prstGeom prst="rect">
                      <a:avLst/>
                    </a:prstGeom>
                  </pic:spPr>
                </pic:pic>
              </a:graphicData>
            </a:graphic>
          </wp:inline>
        </w:drawing>
      </w:r>
    </w:p>
    <w:p>
      <w:pPr>
        <w:overflowPunct w:val="0"/>
        <w:adjustRightInd w:val="0"/>
        <w:snapToGrid w:val="0"/>
        <w:jc w:val="center"/>
        <w:rPr>
          <w:rFonts w:ascii="仿宋" w:hAnsi="仿宋" w:eastAsia="仿宋"/>
          <w:szCs w:val="32"/>
        </w:rPr>
      </w:pPr>
    </w:p>
    <w:p>
      <w:pPr>
        <w:overflowPunct w:val="0"/>
        <w:adjustRightInd w:val="0"/>
        <w:snapToGrid w:val="0"/>
        <w:rPr>
          <w:rFonts w:ascii="华文新魏" w:hAnsi="仿宋" w:eastAsia="华文新魏"/>
          <w:b/>
          <w:sz w:val="100"/>
          <w:szCs w:val="100"/>
        </w:rPr>
      </w:pPr>
      <w:r>
        <w:rPr>
          <w:rFonts w:hint="eastAsia" w:ascii="华文新魏" w:hAnsi="仿宋" w:eastAsia="华文新魏"/>
          <w:b/>
          <w:sz w:val="100"/>
          <w:szCs w:val="100"/>
        </w:rPr>
        <w:t>广西工程职业学院</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华文中宋" w:hAnsi="华文中宋" w:eastAsia="华文中宋"/>
          <w:sz w:val="56"/>
          <w:szCs w:val="52"/>
        </w:rPr>
      </w:pPr>
      <w:r>
        <w:rPr>
          <w:rFonts w:hint="eastAsia" w:ascii="华文中宋" w:hAnsi="华文中宋" w:eastAsia="华文中宋"/>
          <w:sz w:val="56"/>
          <w:szCs w:val="52"/>
        </w:rPr>
        <w:t>2021级汽车技术服务与营销</w:t>
      </w:r>
    </w:p>
    <w:p>
      <w:pPr>
        <w:overflowPunct w:val="0"/>
        <w:adjustRightInd w:val="0"/>
        <w:snapToGrid w:val="0"/>
        <w:jc w:val="center"/>
        <w:rPr>
          <w:rFonts w:ascii="华文中宋" w:hAnsi="华文中宋" w:eastAsia="华文中宋"/>
          <w:sz w:val="56"/>
          <w:szCs w:val="52"/>
        </w:rPr>
      </w:pPr>
      <w:r>
        <w:rPr>
          <w:rFonts w:hint="eastAsia" w:ascii="华文中宋" w:hAnsi="华文中宋" w:eastAsia="华文中宋"/>
          <w:sz w:val="56"/>
          <w:szCs w:val="52"/>
        </w:rPr>
        <w:t>专业人才培养方案</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rPr>
          <w:rFonts w:ascii="华光小标宋_CNKI" w:hAnsi="华光小标宋_CNKI" w:eastAsia="华光小标宋_CNKI"/>
          <w:color w:val="FF0000"/>
          <w:sz w:val="21"/>
          <w:szCs w:val="21"/>
        </w:rPr>
      </w:pPr>
      <w:r>
        <w:rPr>
          <w:rFonts w:hint="eastAsia" w:ascii="黑体" w:hAnsi="黑体" w:eastAsia="黑体"/>
          <w:b/>
          <w:color w:val="000000" w:themeColor="text1"/>
          <w:sz w:val="44"/>
          <w:szCs w:val="44"/>
          <w14:textFill>
            <w14:solidFill>
              <w14:schemeClr w14:val="tx1"/>
            </w14:solidFill>
          </w14:textFill>
        </w:rPr>
        <w:t>汽车技术服务与营销</w:t>
      </w:r>
      <w:r>
        <w:rPr>
          <w:rFonts w:ascii="黑体" w:hAnsi="黑体" w:eastAsia="黑体"/>
          <w:b/>
          <w:sz w:val="44"/>
          <w:szCs w:val="44"/>
        </w:rPr>
        <w:t>专业人才培养方案</w:t>
      </w:r>
    </w:p>
    <w:p>
      <w:pPr>
        <w:overflowPunct w:val="0"/>
        <w:adjustRightInd w:val="0"/>
        <w:snapToGrid w:val="0"/>
        <w:jc w:val="center"/>
        <w:rPr>
          <w:rFonts w:ascii="仿宋" w:hAnsi="仿宋" w:eastAsia="仿宋"/>
          <w:szCs w:val="32"/>
        </w:rPr>
      </w:pPr>
    </w:p>
    <w:p>
      <w:pPr>
        <w:pStyle w:val="2"/>
        <w:spacing w:line="240" w:lineRule="auto"/>
        <w:ind w:firstLine="723" w:firstLineChars="200"/>
        <w:rPr>
          <w:rFonts w:ascii="华光小标宋_CNKI" w:hAnsi="华光小标宋_CNKI" w:eastAsia="华光小标宋_CNKI"/>
          <w:color w:val="FF0000"/>
          <w:sz w:val="21"/>
          <w:szCs w:val="21"/>
        </w:rPr>
      </w:pPr>
      <w:bookmarkStart w:id="0" w:name="_Toc90855087"/>
      <w:r>
        <w:rPr>
          <w:rFonts w:ascii="黑体" w:hAnsi="黑体" w:eastAsia="黑体"/>
          <w:szCs w:val="36"/>
        </w:rPr>
        <w:t>一、专业名称及代码</w:t>
      </w:r>
      <w:bookmarkEnd w:id="0"/>
    </w:p>
    <w:p>
      <w:pPr>
        <w:overflowPunct w:val="0"/>
        <w:adjustRightInd w:val="0"/>
        <w:snapToGrid w:val="0"/>
        <w:ind w:firstLine="640" w:firstLineChars="200"/>
        <w:rPr>
          <w:rFonts w:ascii="仿宋" w:hAnsi="仿宋" w:eastAsia="仿宋"/>
          <w:szCs w:val="32"/>
        </w:rPr>
      </w:pPr>
      <w:r>
        <w:rPr>
          <w:rFonts w:hint="eastAsia" w:ascii="仿宋" w:hAnsi="仿宋" w:eastAsia="仿宋"/>
          <w:szCs w:val="32"/>
        </w:rPr>
        <w:t>专业名称：汽车技术服务与营销</w:t>
      </w:r>
    </w:p>
    <w:p>
      <w:pPr>
        <w:overflowPunct w:val="0"/>
        <w:adjustRightInd w:val="0"/>
        <w:snapToGrid w:val="0"/>
        <w:ind w:firstLine="640" w:firstLineChars="200"/>
        <w:rPr>
          <w:rFonts w:ascii="仿宋" w:hAnsi="仿宋" w:eastAsia="仿宋"/>
          <w:szCs w:val="32"/>
        </w:rPr>
      </w:pPr>
      <w:r>
        <w:rPr>
          <w:rFonts w:hint="eastAsia" w:ascii="仿宋" w:hAnsi="仿宋" w:eastAsia="仿宋"/>
          <w:szCs w:val="32"/>
        </w:rPr>
        <w:t>专业代码：500210</w:t>
      </w:r>
    </w:p>
    <w:p>
      <w:pPr>
        <w:overflowPunct w:val="0"/>
        <w:adjustRightInd w:val="0"/>
        <w:ind w:firstLine="720" w:firstLineChars="200"/>
        <w:outlineLvl w:val="0"/>
        <w:rPr>
          <w:rFonts w:ascii="黑体" w:hAnsi="黑体" w:eastAsia="黑体"/>
          <w:sz w:val="36"/>
          <w:szCs w:val="36"/>
        </w:rPr>
      </w:pPr>
      <w:bookmarkStart w:id="1" w:name="_Toc6928"/>
      <w:bookmarkStart w:id="2" w:name="_Toc90855090"/>
      <w:r>
        <w:rPr>
          <w:rFonts w:ascii="黑体" w:hAnsi="黑体" w:eastAsia="黑体"/>
          <w:sz w:val="36"/>
          <w:szCs w:val="36"/>
        </w:rPr>
        <w:t>二、入学要求</w:t>
      </w:r>
      <w:bookmarkEnd w:id="1"/>
    </w:p>
    <w:p>
      <w:pPr>
        <w:overflowPunct w:val="0"/>
        <w:adjustRightInd w:val="0"/>
        <w:ind w:firstLine="640" w:firstLineChars="200"/>
        <w:rPr>
          <w:rFonts w:hint="eastAsia" w:ascii="仿宋" w:hAnsi="仿宋" w:eastAsia="仿宋"/>
          <w:szCs w:val="32"/>
        </w:rPr>
      </w:pPr>
      <w:r>
        <w:rPr>
          <w:rFonts w:hint="eastAsia" w:ascii="仿宋" w:hAnsi="仿宋" w:eastAsia="仿宋"/>
          <w:szCs w:val="32"/>
        </w:rPr>
        <w:t>普通高级中学毕业、中等职业学校毕业或具备同等学力。</w:t>
      </w:r>
    </w:p>
    <w:p>
      <w:pPr>
        <w:overflowPunct w:val="0"/>
        <w:adjustRightInd w:val="0"/>
        <w:ind w:firstLine="720" w:firstLineChars="200"/>
        <w:outlineLvl w:val="0"/>
        <w:rPr>
          <w:rFonts w:ascii="黑体" w:hAnsi="黑体" w:eastAsia="黑体"/>
          <w:sz w:val="36"/>
          <w:szCs w:val="36"/>
        </w:rPr>
      </w:pPr>
      <w:bookmarkStart w:id="3" w:name="_Toc17180"/>
      <w:r>
        <w:rPr>
          <w:rFonts w:ascii="黑体" w:hAnsi="黑体" w:eastAsia="黑体"/>
          <w:sz w:val="36"/>
          <w:szCs w:val="36"/>
        </w:rPr>
        <w:t>三、修业年限</w:t>
      </w:r>
      <w:bookmarkEnd w:id="3"/>
    </w:p>
    <w:p>
      <w:pPr>
        <w:overflowPunct w:val="0"/>
        <w:adjustRightInd w:val="0"/>
        <w:ind w:firstLine="640" w:firstLineChars="200"/>
        <w:rPr>
          <w:rFonts w:ascii="仿宋" w:hAnsi="仿宋" w:eastAsia="仿宋"/>
          <w:szCs w:val="32"/>
        </w:rPr>
      </w:pPr>
      <w:r>
        <w:rPr>
          <w:rFonts w:hint="eastAsia" w:ascii="仿宋" w:hAnsi="仿宋" w:eastAsia="仿宋"/>
          <w:szCs w:val="32"/>
        </w:rPr>
        <w:t>标准修业年限为</w:t>
      </w:r>
      <w:r>
        <w:rPr>
          <w:rFonts w:ascii="仿宋" w:hAnsi="仿宋" w:eastAsia="仿宋"/>
          <w:szCs w:val="32"/>
        </w:rPr>
        <w:t>3年，</w:t>
      </w:r>
      <w:r>
        <w:rPr>
          <w:rFonts w:hint="eastAsia" w:ascii="仿宋" w:hAnsi="仿宋" w:eastAsia="仿宋"/>
          <w:szCs w:val="32"/>
        </w:rPr>
        <w:t>弹性有效修业年限为3-5年</w:t>
      </w:r>
      <w:r>
        <w:rPr>
          <w:rFonts w:ascii="仿宋" w:hAnsi="仿宋" w:eastAsia="仿宋"/>
          <w:szCs w:val="32"/>
        </w:rPr>
        <w:t>。</w:t>
      </w:r>
    </w:p>
    <w:p>
      <w:pPr>
        <w:pStyle w:val="2"/>
        <w:spacing w:line="240" w:lineRule="auto"/>
        <w:ind w:firstLine="723" w:firstLineChars="200"/>
        <w:rPr>
          <w:rFonts w:ascii="黑体" w:hAnsi="黑体" w:eastAsia="黑体"/>
          <w:szCs w:val="36"/>
        </w:rPr>
      </w:pPr>
      <w:r>
        <w:rPr>
          <w:rFonts w:ascii="黑体" w:hAnsi="黑体" w:eastAsia="黑体"/>
          <w:szCs w:val="36"/>
        </w:rPr>
        <w:t>四、职业面向</w:t>
      </w:r>
      <w:bookmarkEnd w:id="2"/>
    </w:p>
    <w:p>
      <w:pPr>
        <w:overflowPunct w:val="0"/>
        <w:adjustRightInd w:val="0"/>
        <w:ind w:firstLine="640" w:firstLineChars="200"/>
        <w:rPr>
          <w:rFonts w:ascii="仿宋" w:hAnsi="仿宋" w:eastAsia="仿宋"/>
          <w:sz w:val="24"/>
          <w:szCs w:val="24"/>
        </w:rPr>
      </w:pPr>
      <w:r>
        <w:rPr>
          <w:rFonts w:hint="eastAsia" w:ascii="仿宋" w:hAnsi="仿宋" w:eastAsia="仿宋"/>
          <w:szCs w:val="32"/>
        </w:rPr>
        <w:t xml:space="preserve">      </w:t>
      </w:r>
      <w:r>
        <w:rPr>
          <w:rFonts w:hint="eastAsia" w:ascii="仿宋" w:hAnsi="仿宋" w:eastAsia="仿宋"/>
          <w:sz w:val="24"/>
          <w:szCs w:val="24"/>
        </w:rPr>
        <w:t>表1 汽车技术服务与营销专业职业岗位分析表</w:t>
      </w:r>
    </w:p>
    <w:p>
      <w:pPr>
        <w:overflowPunct w:val="0"/>
        <w:adjustRightInd w:val="0"/>
        <w:ind w:firstLine="640" w:firstLineChars="200"/>
        <w:rPr>
          <w:rFonts w:ascii="仿宋" w:hAnsi="仿宋" w:eastAsia="仿宋"/>
          <w:sz w:val="24"/>
          <w:szCs w:val="24"/>
        </w:rPr>
      </w:pPr>
      <w:r>
        <w:rPr>
          <w:rFonts w:hint="eastAsia" w:ascii="仿宋" w:hAnsi="仿宋" w:eastAsia="仿宋"/>
          <w:szCs w:val="32"/>
        </w:rPr>
        <w:t xml:space="preserve">      </w:t>
      </w:r>
    </w:p>
    <w:tbl>
      <w:tblPr>
        <w:tblStyle w:val="12"/>
        <w:tblW w:w="8626" w:type="dxa"/>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3"/>
        <w:gridCol w:w="1299"/>
        <w:gridCol w:w="1365"/>
        <w:gridCol w:w="1463"/>
        <w:gridCol w:w="1676"/>
        <w:gridCol w:w="1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3" w:type="dxa"/>
          </w:tcPr>
          <w:p>
            <w:pPr>
              <w:overflowPunct w:val="0"/>
              <w:adjustRightInd w:val="0"/>
              <w:rPr>
                <w:rFonts w:ascii="仿宋" w:hAnsi="仿宋" w:eastAsia="仿宋"/>
                <w:sz w:val="24"/>
                <w:szCs w:val="24"/>
              </w:rPr>
            </w:pPr>
            <w:r>
              <w:rPr>
                <w:rFonts w:hint="eastAsia" w:ascii="仿宋" w:hAnsi="仿宋" w:eastAsia="仿宋"/>
                <w:sz w:val="24"/>
                <w:szCs w:val="24"/>
              </w:rPr>
              <w:t>所属专业大类（代码）</w:t>
            </w:r>
          </w:p>
        </w:tc>
        <w:tc>
          <w:tcPr>
            <w:tcW w:w="1299" w:type="dxa"/>
          </w:tcPr>
          <w:p>
            <w:pPr>
              <w:overflowPunct w:val="0"/>
              <w:adjustRightInd w:val="0"/>
              <w:rPr>
                <w:rFonts w:ascii="仿宋" w:hAnsi="仿宋" w:eastAsia="仿宋"/>
                <w:sz w:val="24"/>
                <w:szCs w:val="24"/>
              </w:rPr>
            </w:pPr>
            <w:r>
              <w:rPr>
                <w:rFonts w:hint="eastAsia" w:ascii="仿宋" w:hAnsi="仿宋" w:eastAsia="仿宋"/>
                <w:sz w:val="24"/>
                <w:szCs w:val="24"/>
              </w:rPr>
              <w:t>所属专业类（代码）</w:t>
            </w:r>
          </w:p>
        </w:tc>
        <w:tc>
          <w:tcPr>
            <w:tcW w:w="1365" w:type="dxa"/>
          </w:tcPr>
          <w:p>
            <w:pPr>
              <w:overflowPunct w:val="0"/>
              <w:adjustRightInd w:val="0"/>
              <w:rPr>
                <w:rFonts w:ascii="仿宋" w:hAnsi="仿宋" w:eastAsia="仿宋"/>
                <w:sz w:val="24"/>
                <w:szCs w:val="24"/>
              </w:rPr>
            </w:pPr>
            <w:r>
              <w:rPr>
                <w:rFonts w:hint="eastAsia" w:ascii="仿宋" w:hAnsi="仿宋" w:eastAsia="仿宋"/>
                <w:sz w:val="24"/>
                <w:szCs w:val="24"/>
              </w:rPr>
              <w:t>对应行业（代码）</w:t>
            </w:r>
          </w:p>
        </w:tc>
        <w:tc>
          <w:tcPr>
            <w:tcW w:w="1463" w:type="dxa"/>
          </w:tcPr>
          <w:p>
            <w:pPr>
              <w:overflowPunct w:val="0"/>
              <w:adjustRightInd w:val="0"/>
              <w:rPr>
                <w:rFonts w:ascii="仿宋" w:hAnsi="仿宋" w:eastAsia="仿宋"/>
                <w:sz w:val="24"/>
                <w:szCs w:val="24"/>
              </w:rPr>
            </w:pPr>
            <w:r>
              <w:rPr>
                <w:rFonts w:hint="eastAsia" w:ascii="仿宋" w:hAnsi="仿宋" w:eastAsia="仿宋"/>
                <w:sz w:val="24"/>
                <w:szCs w:val="24"/>
              </w:rPr>
              <w:t>主要职业类别（代码）</w:t>
            </w:r>
          </w:p>
        </w:tc>
        <w:tc>
          <w:tcPr>
            <w:tcW w:w="1676" w:type="dxa"/>
          </w:tcPr>
          <w:p>
            <w:pPr>
              <w:overflowPunct w:val="0"/>
              <w:adjustRightInd w:val="0"/>
              <w:rPr>
                <w:rFonts w:ascii="仿宋" w:hAnsi="仿宋" w:eastAsia="仿宋"/>
                <w:sz w:val="24"/>
                <w:szCs w:val="24"/>
              </w:rPr>
            </w:pPr>
            <w:r>
              <w:rPr>
                <w:rFonts w:hint="eastAsia" w:ascii="仿宋" w:hAnsi="仿宋" w:eastAsia="仿宋"/>
                <w:sz w:val="24"/>
                <w:szCs w:val="24"/>
              </w:rPr>
              <w:t>主要岗位类别（或技术领域）</w:t>
            </w:r>
          </w:p>
        </w:tc>
        <w:tc>
          <w:tcPr>
            <w:tcW w:w="1340" w:type="dxa"/>
          </w:tcPr>
          <w:p>
            <w:pPr>
              <w:overflowPunct w:val="0"/>
              <w:adjustRightInd w:val="0"/>
              <w:rPr>
                <w:rFonts w:ascii="仿宋" w:hAnsi="仿宋" w:eastAsia="仿宋"/>
                <w:sz w:val="24"/>
                <w:szCs w:val="24"/>
              </w:rPr>
            </w:pPr>
            <w:r>
              <w:rPr>
                <w:rFonts w:hint="eastAsia" w:ascii="仿宋" w:hAnsi="仿宋" w:eastAsia="仿宋"/>
                <w:sz w:val="24"/>
                <w:szCs w:val="24"/>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3" w:type="dxa"/>
          </w:tcPr>
          <w:p>
            <w:pPr>
              <w:overflowPunct w:val="0"/>
              <w:adjustRightInd w:val="0"/>
              <w:rPr>
                <w:rFonts w:ascii="仿宋" w:hAnsi="仿宋" w:eastAsia="仿宋"/>
                <w:sz w:val="24"/>
                <w:szCs w:val="24"/>
              </w:rPr>
            </w:pPr>
            <w:r>
              <w:rPr>
                <w:rFonts w:hint="eastAsia" w:ascii="仿宋" w:hAnsi="仿宋" w:eastAsia="仿宋"/>
                <w:sz w:val="24"/>
                <w:szCs w:val="24"/>
              </w:rPr>
              <w:t>交通运输大类（50）</w:t>
            </w:r>
          </w:p>
          <w:p>
            <w:pPr>
              <w:overflowPunct w:val="0"/>
              <w:adjustRightInd w:val="0"/>
              <w:rPr>
                <w:rFonts w:ascii="仿宋" w:hAnsi="仿宋" w:eastAsia="仿宋"/>
                <w:sz w:val="24"/>
                <w:szCs w:val="24"/>
              </w:rPr>
            </w:pPr>
          </w:p>
        </w:tc>
        <w:tc>
          <w:tcPr>
            <w:tcW w:w="1299" w:type="dxa"/>
          </w:tcPr>
          <w:p>
            <w:pPr>
              <w:overflowPunct w:val="0"/>
              <w:adjustRightInd w:val="0"/>
              <w:rPr>
                <w:rFonts w:ascii="仿宋" w:hAnsi="仿宋" w:eastAsia="仿宋"/>
                <w:sz w:val="24"/>
                <w:szCs w:val="24"/>
              </w:rPr>
            </w:pPr>
            <w:r>
              <w:rPr>
                <w:rFonts w:hint="eastAsia" w:ascii="仿宋" w:hAnsi="仿宋" w:eastAsia="仿宋"/>
                <w:sz w:val="24"/>
                <w:szCs w:val="24"/>
              </w:rPr>
              <w:t>道路运输类（5002）</w:t>
            </w:r>
          </w:p>
        </w:tc>
        <w:tc>
          <w:tcPr>
            <w:tcW w:w="1365" w:type="dxa"/>
          </w:tcPr>
          <w:p>
            <w:pPr>
              <w:overflowPunct w:val="0"/>
              <w:adjustRightInd w:val="0"/>
              <w:jc w:val="left"/>
              <w:rPr>
                <w:rFonts w:ascii="仿宋" w:hAnsi="仿宋" w:eastAsia="仿宋"/>
                <w:sz w:val="24"/>
                <w:szCs w:val="24"/>
              </w:rPr>
            </w:pPr>
            <w:r>
              <w:rPr>
                <w:rFonts w:hint="eastAsia" w:ascii="仿宋" w:hAnsi="仿宋" w:eastAsia="仿宋"/>
                <w:sz w:val="24"/>
                <w:szCs w:val="24"/>
              </w:rPr>
              <w:t>零售业（52）;保险业（68）</w:t>
            </w:r>
          </w:p>
          <w:p>
            <w:pPr>
              <w:overflowPunct w:val="0"/>
              <w:adjustRightInd w:val="0"/>
              <w:rPr>
                <w:rFonts w:ascii="仿宋" w:hAnsi="仿宋" w:eastAsia="仿宋"/>
                <w:sz w:val="24"/>
                <w:szCs w:val="24"/>
              </w:rPr>
            </w:pPr>
          </w:p>
        </w:tc>
        <w:tc>
          <w:tcPr>
            <w:tcW w:w="1463" w:type="dxa"/>
          </w:tcPr>
          <w:p>
            <w:pPr>
              <w:overflowPunct w:val="0"/>
              <w:adjustRightInd w:val="0"/>
              <w:rPr>
                <w:rFonts w:ascii="仿宋" w:hAnsi="仿宋" w:eastAsia="仿宋"/>
                <w:sz w:val="24"/>
                <w:szCs w:val="24"/>
              </w:rPr>
            </w:pPr>
            <w:r>
              <w:rPr>
                <w:rFonts w:hint="eastAsia" w:ascii="仿宋" w:hAnsi="仿宋" w:eastAsia="仿宋"/>
                <w:sz w:val="24"/>
                <w:szCs w:val="24"/>
              </w:rPr>
              <w:t>销售人员（4-01-02）;保险服务人员（4-05 -04）</w:t>
            </w:r>
          </w:p>
          <w:p>
            <w:pPr>
              <w:overflowPunct w:val="0"/>
              <w:adjustRightInd w:val="0"/>
              <w:rPr>
                <w:rFonts w:ascii="仿宋" w:hAnsi="仿宋" w:eastAsia="仿宋"/>
                <w:sz w:val="24"/>
                <w:szCs w:val="24"/>
              </w:rPr>
            </w:pPr>
          </w:p>
        </w:tc>
        <w:tc>
          <w:tcPr>
            <w:tcW w:w="1676" w:type="dxa"/>
          </w:tcPr>
          <w:p>
            <w:pPr>
              <w:overflowPunct w:val="0"/>
              <w:adjustRightInd w:val="0"/>
              <w:rPr>
                <w:rFonts w:ascii="仿宋" w:hAnsi="仿宋" w:eastAsia="仿宋"/>
                <w:sz w:val="24"/>
                <w:szCs w:val="24"/>
              </w:rPr>
            </w:pPr>
            <w:r>
              <w:rPr>
                <w:rFonts w:hint="eastAsia" w:ascii="仿宋" w:hAnsi="仿宋" w:eastAsia="仿宋"/>
                <w:sz w:val="24"/>
                <w:szCs w:val="24"/>
              </w:rPr>
              <w:t>汽车销售顾问;</w:t>
            </w:r>
          </w:p>
          <w:p>
            <w:pPr>
              <w:overflowPunct w:val="0"/>
              <w:adjustRightInd w:val="0"/>
              <w:rPr>
                <w:rFonts w:ascii="仿宋" w:hAnsi="仿宋" w:eastAsia="仿宋"/>
                <w:sz w:val="24"/>
                <w:szCs w:val="24"/>
              </w:rPr>
            </w:pPr>
            <w:r>
              <w:rPr>
                <w:rFonts w:hint="eastAsia" w:ascii="仿宋" w:hAnsi="仿宋" w:eastAsia="仿宋"/>
                <w:sz w:val="24"/>
                <w:szCs w:val="24"/>
              </w:rPr>
              <w:t>配件销售与管理员;</w:t>
            </w:r>
          </w:p>
          <w:p>
            <w:pPr>
              <w:overflowPunct w:val="0"/>
              <w:adjustRightInd w:val="0"/>
              <w:rPr>
                <w:rFonts w:ascii="仿宋" w:hAnsi="仿宋" w:eastAsia="仿宋"/>
                <w:sz w:val="24"/>
                <w:szCs w:val="24"/>
              </w:rPr>
            </w:pPr>
            <w:r>
              <w:rPr>
                <w:rFonts w:hint="eastAsia" w:ascii="仿宋" w:hAnsi="仿宋" w:eastAsia="仿宋"/>
                <w:sz w:val="24"/>
                <w:szCs w:val="24"/>
              </w:rPr>
              <w:t>汽车保险产品销售;</w:t>
            </w:r>
          </w:p>
          <w:p>
            <w:pPr>
              <w:overflowPunct w:val="0"/>
              <w:adjustRightInd w:val="0"/>
              <w:rPr>
                <w:rFonts w:ascii="仿宋" w:hAnsi="仿宋" w:eastAsia="仿宋"/>
                <w:sz w:val="24"/>
                <w:szCs w:val="24"/>
              </w:rPr>
            </w:pPr>
            <w:r>
              <w:rPr>
                <w:rFonts w:hint="eastAsia" w:ascii="仿宋" w:hAnsi="仿宋" w:eastAsia="仿宋"/>
                <w:sz w:val="24"/>
                <w:szCs w:val="24"/>
              </w:rPr>
              <w:t>查勘定损员;</w:t>
            </w:r>
          </w:p>
          <w:p>
            <w:pPr>
              <w:overflowPunct w:val="0"/>
              <w:adjustRightInd w:val="0"/>
              <w:rPr>
                <w:rFonts w:ascii="仿宋" w:hAnsi="仿宋" w:eastAsia="仿宋"/>
                <w:sz w:val="24"/>
                <w:szCs w:val="24"/>
              </w:rPr>
            </w:pPr>
            <w:r>
              <w:rPr>
                <w:rFonts w:hint="eastAsia" w:ascii="仿宋" w:hAnsi="仿宋" w:eastAsia="仿宋"/>
                <w:sz w:val="24"/>
                <w:szCs w:val="24"/>
              </w:rPr>
              <w:t>二手车鉴定评估</w:t>
            </w:r>
          </w:p>
          <w:p>
            <w:pPr>
              <w:overflowPunct w:val="0"/>
              <w:adjustRightInd w:val="0"/>
              <w:rPr>
                <w:rFonts w:ascii="仿宋" w:hAnsi="仿宋" w:eastAsia="仿宋"/>
                <w:sz w:val="24"/>
                <w:szCs w:val="24"/>
              </w:rPr>
            </w:pPr>
          </w:p>
        </w:tc>
        <w:tc>
          <w:tcPr>
            <w:tcW w:w="1340" w:type="dxa"/>
          </w:tcPr>
          <w:p>
            <w:pPr>
              <w:overflowPunct w:val="0"/>
              <w:adjustRightInd w:val="0"/>
              <w:rPr>
                <w:rFonts w:ascii="仿宋" w:hAnsi="仿宋" w:eastAsia="仿宋"/>
                <w:sz w:val="24"/>
                <w:szCs w:val="24"/>
              </w:rPr>
            </w:pPr>
            <w:r>
              <w:rPr>
                <w:rFonts w:ascii="仿宋" w:hAnsi="仿宋" w:eastAsia="仿宋"/>
                <w:sz w:val="24"/>
                <w:szCs w:val="24"/>
              </w:rPr>
              <w:t>汽车评估与信息分析</w:t>
            </w:r>
            <w:r>
              <w:rPr>
                <w:rFonts w:hint="eastAsia" w:ascii="仿宋" w:hAnsi="仿宋" w:eastAsia="仿宋"/>
                <w:sz w:val="24"/>
                <w:szCs w:val="24"/>
              </w:rPr>
              <w:t>师</w:t>
            </w:r>
          </w:p>
        </w:tc>
      </w:tr>
    </w:tbl>
    <w:p>
      <w:pPr>
        <w:overflowPunct w:val="0"/>
        <w:adjustRightInd w:val="0"/>
        <w:ind w:firstLine="720" w:firstLineChars="200"/>
        <w:outlineLvl w:val="0"/>
        <w:rPr>
          <w:rFonts w:ascii="黑体" w:hAnsi="黑体" w:eastAsia="黑体"/>
          <w:sz w:val="36"/>
          <w:szCs w:val="36"/>
        </w:rPr>
      </w:pPr>
      <w:bookmarkStart w:id="4" w:name="_Toc90855091"/>
    </w:p>
    <w:p>
      <w:pPr>
        <w:overflowPunct w:val="0"/>
        <w:adjustRightInd w:val="0"/>
        <w:ind w:firstLine="720" w:firstLineChars="200"/>
        <w:outlineLvl w:val="0"/>
        <w:rPr>
          <w:rFonts w:ascii="黑体" w:hAnsi="黑体" w:eastAsia="黑体"/>
          <w:sz w:val="36"/>
          <w:szCs w:val="36"/>
        </w:rPr>
      </w:pPr>
    </w:p>
    <w:p>
      <w:pPr>
        <w:overflowPunct w:val="0"/>
        <w:adjustRightInd w:val="0"/>
        <w:ind w:firstLine="720" w:firstLineChars="200"/>
        <w:outlineLvl w:val="0"/>
        <w:rPr>
          <w:rFonts w:ascii="黑体" w:hAnsi="黑体" w:eastAsia="黑体"/>
          <w:sz w:val="36"/>
          <w:szCs w:val="36"/>
        </w:rPr>
      </w:pPr>
      <w:r>
        <w:rPr>
          <w:rFonts w:ascii="黑体" w:hAnsi="黑体" w:eastAsia="黑体"/>
          <w:sz w:val="36"/>
          <w:szCs w:val="36"/>
        </w:rPr>
        <w:t>五、培养目标与培养规格</w:t>
      </w:r>
      <w:bookmarkEnd w:id="4"/>
    </w:p>
    <w:p>
      <w:pPr>
        <w:pStyle w:val="3"/>
        <w:spacing w:line="240" w:lineRule="auto"/>
        <w:rPr>
          <w:rFonts w:ascii="华光小标宋_CNKI" w:hAnsi="华光小标宋_CNKI" w:eastAsia="华光小标宋_CNKI"/>
          <w:color w:val="FF0000"/>
          <w:sz w:val="21"/>
          <w:szCs w:val="21"/>
        </w:rPr>
      </w:pPr>
      <w:bookmarkStart w:id="5" w:name="_Toc90855092"/>
      <w:r>
        <w:rPr>
          <w:rFonts w:ascii="仿宋" w:hAnsi="仿宋"/>
        </w:rPr>
        <w:t>（一）培养目标</w:t>
      </w:r>
      <w:bookmarkEnd w:id="5"/>
    </w:p>
    <w:p>
      <w:pPr>
        <w:ind w:firstLine="640" w:firstLineChars="200"/>
        <w:rPr>
          <w:rFonts w:ascii="仿宋" w:hAnsi="仿宋" w:eastAsia="仿宋"/>
          <w:color w:val="FF0000"/>
          <w:szCs w:val="32"/>
        </w:rPr>
      </w:pPr>
      <w:r>
        <w:rPr>
          <w:rFonts w:ascii="仿宋" w:hAnsi="仿宋" w:eastAsia="仿宋"/>
          <w:szCs w:val="32"/>
        </w:rPr>
        <w:t>本专业培养理想信念坚定</w:t>
      </w:r>
      <w:r>
        <w:rPr>
          <w:rFonts w:hint="eastAsia" w:ascii="仿宋" w:hAnsi="仿宋" w:eastAsia="仿宋"/>
          <w:szCs w:val="32"/>
        </w:rPr>
        <w:t>，</w:t>
      </w:r>
      <w:r>
        <w:rPr>
          <w:rFonts w:ascii="仿宋" w:hAnsi="仿宋" w:eastAsia="仿宋"/>
          <w:szCs w:val="32"/>
        </w:rPr>
        <w:t>德</w:t>
      </w:r>
      <w:r>
        <w:rPr>
          <w:rFonts w:hint="eastAsia" w:ascii="仿宋" w:hAnsi="仿宋" w:eastAsia="仿宋"/>
          <w:szCs w:val="32"/>
        </w:rPr>
        <w:t>、</w:t>
      </w:r>
      <w:r>
        <w:rPr>
          <w:rFonts w:ascii="仿宋" w:hAnsi="仿宋" w:eastAsia="仿宋"/>
          <w:szCs w:val="32"/>
        </w:rPr>
        <w:t>智</w:t>
      </w:r>
      <w:r>
        <w:rPr>
          <w:rFonts w:hint="eastAsia" w:ascii="仿宋" w:hAnsi="仿宋" w:eastAsia="仿宋"/>
          <w:szCs w:val="32"/>
        </w:rPr>
        <w:t>、</w:t>
      </w:r>
      <w:r>
        <w:rPr>
          <w:rFonts w:ascii="仿宋" w:hAnsi="仿宋" w:eastAsia="仿宋"/>
          <w:szCs w:val="32"/>
        </w:rPr>
        <w:t>体</w:t>
      </w:r>
      <w:r>
        <w:rPr>
          <w:rFonts w:hint="eastAsia" w:ascii="仿宋" w:hAnsi="仿宋" w:eastAsia="仿宋"/>
          <w:szCs w:val="32"/>
        </w:rPr>
        <w:t>、</w:t>
      </w:r>
      <w:r>
        <w:rPr>
          <w:rFonts w:ascii="仿宋" w:hAnsi="仿宋" w:eastAsia="仿宋"/>
          <w:szCs w:val="32"/>
        </w:rPr>
        <w:t>美</w:t>
      </w:r>
      <w:r>
        <w:rPr>
          <w:rFonts w:hint="eastAsia" w:ascii="仿宋" w:hAnsi="仿宋" w:eastAsia="仿宋"/>
          <w:szCs w:val="32"/>
        </w:rPr>
        <w:t>、</w:t>
      </w:r>
      <w:r>
        <w:rPr>
          <w:rFonts w:ascii="仿宋" w:hAnsi="仿宋" w:eastAsia="仿宋"/>
          <w:szCs w:val="32"/>
        </w:rPr>
        <w:t>劳全面发展</w:t>
      </w:r>
      <w:r>
        <w:rPr>
          <w:rFonts w:hint="eastAsia" w:ascii="仿宋" w:hAnsi="仿宋" w:eastAsia="仿宋"/>
          <w:szCs w:val="32"/>
        </w:rPr>
        <w:t>，</w:t>
      </w:r>
      <w:r>
        <w:rPr>
          <w:rFonts w:ascii="仿宋" w:hAnsi="仿宋" w:eastAsia="仿宋"/>
          <w:szCs w:val="32"/>
        </w:rPr>
        <w:t>具有一定的科学文化水平</w:t>
      </w:r>
      <w:r>
        <w:rPr>
          <w:rFonts w:hint="eastAsia" w:ascii="仿宋" w:hAnsi="仿宋" w:eastAsia="仿宋"/>
          <w:szCs w:val="32"/>
        </w:rPr>
        <w:t>，</w:t>
      </w:r>
      <w:r>
        <w:rPr>
          <w:rFonts w:ascii="仿宋" w:hAnsi="仿宋" w:eastAsia="仿宋"/>
          <w:szCs w:val="32"/>
        </w:rPr>
        <w:t>良好的人文素养</w:t>
      </w:r>
      <w:r>
        <w:rPr>
          <w:rFonts w:hint="eastAsia" w:ascii="仿宋" w:hAnsi="仿宋" w:eastAsia="仿宋"/>
          <w:szCs w:val="32"/>
        </w:rPr>
        <w:t>、职业道德和创新意识，精益求精的工匠精神，较强的就业能力和可持续发展的能力，掌握本专业知识和技术技能，</w:t>
      </w:r>
      <w:r>
        <w:rPr>
          <w:rFonts w:hint="eastAsia" w:ascii="仿宋" w:hAnsi="仿宋" w:eastAsia="仿宋"/>
          <w:color w:val="000000" w:themeColor="text1"/>
          <w:szCs w:val="32"/>
          <w14:textFill>
            <w14:solidFill>
              <w14:schemeClr w14:val="tx1"/>
            </w14:solidFill>
          </w14:textFill>
        </w:rPr>
        <w:t>面向零售业、保险业的销售人员、保险服务人员等职业群，培养能够从事汽车销售顾问、配件销售与管理、汽车保险产品销售、查勘定损、二手车鉴定评估等工作的高素质技术技能人才。</w:t>
      </w:r>
    </w:p>
    <w:p>
      <w:pPr>
        <w:pStyle w:val="3"/>
        <w:spacing w:line="240" w:lineRule="auto"/>
        <w:rPr>
          <w:rFonts w:ascii="仿宋" w:hAnsi="仿宋"/>
          <w:b w:val="0"/>
        </w:rPr>
      </w:pPr>
      <w:bookmarkStart w:id="6" w:name="_Toc90855093"/>
      <w:r>
        <w:rPr>
          <w:rFonts w:ascii="仿宋" w:hAnsi="仿宋"/>
        </w:rPr>
        <w:t>（二）培养规格</w:t>
      </w:r>
      <w:bookmarkEnd w:id="6"/>
    </w:p>
    <w:p>
      <w:pPr>
        <w:ind w:firstLine="640" w:firstLineChars="200"/>
        <w:rPr>
          <w:rFonts w:ascii="仿宋" w:hAnsi="仿宋" w:eastAsia="仿宋"/>
          <w:szCs w:val="32"/>
        </w:rPr>
      </w:pPr>
      <w:r>
        <w:rPr>
          <w:rFonts w:hint="eastAsia" w:ascii="仿宋" w:hAnsi="仿宋" w:eastAsia="仿宋"/>
          <w:szCs w:val="32"/>
        </w:rPr>
        <w:t>本专业毕业生应在素质、知识和能力等方面达到以下要求：</w:t>
      </w:r>
    </w:p>
    <w:p>
      <w:pPr>
        <w:ind w:firstLine="640" w:firstLineChars="200"/>
        <w:rPr>
          <w:rFonts w:ascii="仿宋" w:hAnsi="仿宋" w:eastAsia="仿宋"/>
          <w:szCs w:val="32"/>
        </w:rPr>
      </w:pPr>
      <w:r>
        <w:rPr>
          <w:rFonts w:hint="eastAsia" w:ascii="仿宋" w:hAnsi="仿宋" w:eastAsia="仿宋"/>
          <w:szCs w:val="32"/>
        </w:rPr>
        <w:t>1.素质</w:t>
      </w:r>
    </w:p>
    <w:p>
      <w:pPr>
        <w:ind w:firstLine="640" w:firstLineChars="200"/>
        <w:rPr>
          <w:rFonts w:ascii="仿宋" w:hAnsi="仿宋" w:eastAsia="仿宋"/>
          <w:szCs w:val="32"/>
        </w:rPr>
      </w:pPr>
      <w:r>
        <w:rPr>
          <w:rFonts w:hint="eastAsia" w:ascii="仿宋" w:hAnsi="仿宋" w:eastAsia="仿宋"/>
          <w:szCs w:val="32"/>
        </w:rPr>
        <w:t>（1）坚定拥护中国共产党领导和我国社会主义制度，在习近平新时代中国特色社会主义思想指引下，践行社会主义核心价值观，具有深厚的爱国情感和中华民族自豪感。</w:t>
      </w:r>
    </w:p>
    <w:p>
      <w:pPr>
        <w:ind w:firstLine="640" w:firstLineChars="200"/>
        <w:rPr>
          <w:rFonts w:ascii="仿宋" w:hAnsi="仿宋" w:eastAsia="仿宋"/>
          <w:szCs w:val="32"/>
        </w:rPr>
      </w:pPr>
      <w:r>
        <w:rPr>
          <w:rFonts w:hint="eastAsia" w:ascii="仿宋" w:hAnsi="仿宋" w:eastAsia="仿宋"/>
          <w:szCs w:val="32"/>
        </w:rPr>
        <w:t>（2）崇尚宪法、遵法守纪、崇德向善、诚实守信、尊重生命、热爱劳动，履行道德准则和行为规范，具有社会责任感和社会参与意识。</w:t>
      </w:r>
    </w:p>
    <w:p>
      <w:pPr>
        <w:ind w:firstLine="640" w:firstLineChars="200"/>
        <w:rPr>
          <w:rFonts w:ascii="仿宋" w:hAnsi="仿宋" w:eastAsia="仿宋"/>
          <w:szCs w:val="32"/>
        </w:rPr>
      </w:pPr>
      <w:r>
        <w:rPr>
          <w:rFonts w:hint="eastAsia" w:ascii="仿宋" w:hAnsi="仿宋" w:eastAsia="仿宋"/>
          <w:szCs w:val="32"/>
        </w:rPr>
        <w:t>（3）具有质量意识、环保意识、安全意识、信息素养、工匠精神、创新思维。</w:t>
      </w:r>
    </w:p>
    <w:p>
      <w:pPr>
        <w:ind w:firstLine="640" w:firstLineChars="200"/>
        <w:rPr>
          <w:rFonts w:ascii="仿宋" w:hAnsi="仿宋" w:eastAsia="仿宋"/>
          <w:szCs w:val="32"/>
        </w:rPr>
      </w:pPr>
      <w:r>
        <w:rPr>
          <w:rFonts w:hint="eastAsia" w:ascii="仿宋" w:hAnsi="仿宋" w:eastAsia="仿宋"/>
          <w:szCs w:val="32"/>
        </w:rPr>
        <w:t>（4）勇于奋斗、乐观向上，具有自我管理能力、职业生涯规划的意识，有较强的集体意识和团队合作精神。</w:t>
      </w:r>
    </w:p>
    <w:p>
      <w:pPr>
        <w:ind w:firstLine="640" w:firstLineChars="200"/>
        <w:rPr>
          <w:rFonts w:ascii="仿宋" w:hAnsi="仿宋" w:eastAsia="仿宋"/>
          <w:szCs w:val="32"/>
        </w:rPr>
      </w:pPr>
      <w:r>
        <w:rPr>
          <w:rFonts w:hint="eastAsia" w:ascii="仿宋" w:hAnsi="仿宋" w:eastAsia="仿宋"/>
          <w:szCs w:val="32"/>
        </w:rPr>
        <w:t>（5）具有健康的体魄、心理和健全的人格，掌握基本运动知识和1—2项运动技能，养成良好的健身与卫生习惯，以及良好的行为习惯。</w:t>
      </w:r>
    </w:p>
    <w:p>
      <w:pPr>
        <w:ind w:firstLine="640" w:firstLineChars="200"/>
        <w:rPr>
          <w:rFonts w:ascii="仿宋" w:hAnsi="仿宋" w:eastAsia="仿宋"/>
          <w:szCs w:val="32"/>
        </w:rPr>
      </w:pPr>
      <w:r>
        <w:rPr>
          <w:rFonts w:hint="eastAsia" w:ascii="仿宋" w:hAnsi="仿宋" w:eastAsia="仿宋"/>
          <w:szCs w:val="32"/>
        </w:rPr>
        <w:t>（6）具有一定的审美和人文素养，能够形成1—2项艺术特长或爱好。</w:t>
      </w:r>
    </w:p>
    <w:p>
      <w:pPr>
        <w:ind w:firstLine="640" w:firstLineChars="200"/>
        <w:rPr>
          <w:rFonts w:ascii="仿宋" w:hAnsi="仿宋" w:eastAsia="仿宋"/>
          <w:szCs w:val="32"/>
        </w:rPr>
      </w:pPr>
      <w:r>
        <w:rPr>
          <w:rFonts w:hint="eastAsia" w:ascii="仿宋" w:hAnsi="仿宋" w:eastAsia="仿宋"/>
          <w:szCs w:val="32"/>
        </w:rPr>
        <w:t>2.知识</w:t>
      </w:r>
    </w:p>
    <w:p>
      <w:pPr>
        <w:ind w:firstLine="640" w:firstLineChars="200"/>
        <w:rPr>
          <w:rFonts w:ascii="仿宋" w:hAnsi="仿宋" w:eastAsia="仿宋"/>
          <w:szCs w:val="32"/>
        </w:rPr>
      </w:pPr>
      <w:r>
        <w:rPr>
          <w:rFonts w:hint="eastAsia" w:ascii="仿宋" w:hAnsi="仿宋" w:eastAsia="仿宋"/>
          <w:szCs w:val="32"/>
        </w:rPr>
        <w:t>（1）掌握必备的思想政治理论、科学文化基础知识和中华优秀传统文化知识。</w:t>
      </w:r>
    </w:p>
    <w:p>
      <w:pPr>
        <w:ind w:firstLine="640" w:firstLineChars="200"/>
        <w:rPr>
          <w:rFonts w:ascii="仿宋" w:hAnsi="仿宋" w:eastAsia="仿宋"/>
          <w:szCs w:val="32"/>
        </w:rPr>
      </w:pPr>
      <w:r>
        <w:rPr>
          <w:rFonts w:hint="eastAsia" w:ascii="仿宋" w:hAnsi="仿宋" w:eastAsia="仿宋"/>
          <w:szCs w:val="32"/>
        </w:rPr>
        <w:t>（2）熟悉与本专业相关的法律法规以及环境保护、安全消防、文明生产等知识。</w:t>
      </w:r>
    </w:p>
    <w:p>
      <w:pPr>
        <w:ind w:firstLine="640" w:firstLineChars="200"/>
        <w:rPr>
          <w:rFonts w:ascii="仿宋" w:hAnsi="仿宋" w:eastAsia="仿宋"/>
          <w:szCs w:val="32"/>
        </w:rPr>
      </w:pPr>
      <w:r>
        <w:rPr>
          <w:rFonts w:hint="eastAsia" w:ascii="仿宋" w:hAnsi="仿宋" w:eastAsia="仿宋"/>
          <w:szCs w:val="32"/>
        </w:rPr>
        <w:t>（3）掌握汽车结构及基本原理。</w:t>
      </w:r>
    </w:p>
    <w:p>
      <w:pPr>
        <w:ind w:firstLine="640" w:firstLineChars="200"/>
        <w:rPr>
          <w:rFonts w:ascii="仿宋" w:hAnsi="仿宋" w:eastAsia="仿宋"/>
          <w:szCs w:val="32"/>
        </w:rPr>
      </w:pPr>
      <w:r>
        <w:rPr>
          <w:rFonts w:hint="eastAsia" w:ascii="仿宋" w:hAnsi="仿宋" w:eastAsia="仿宋"/>
          <w:szCs w:val="32"/>
        </w:rPr>
        <w:t>（4）掌握汽车营销及活动策划与组织的基本知识与方法。</w:t>
      </w:r>
    </w:p>
    <w:p>
      <w:pPr>
        <w:ind w:firstLine="640" w:firstLineChars="200"/>
        <w:rPr>
          <w:rFonts w:ascii="仿宋" w:hAnsi="仿宋" w:eastAsia="仿宋"/>
          <w:szCs w:val="32"/>
        </w:rPr>
      </w:pPr>
      <w:r>
        <w:rPr>
          <w:rFonts w:hint="eastAsia" w:ascii="仿宋" w:hAnsi="仿宋" w:eastAsia="仿宋"/>
          <w:szCs w:val="32"/>
        </w:rPr>
        <w:t>（5）掌握商务谈判的基本知识与方法。</w:t>
      </w:r>
    </w:p>
    <w:p>
      <w:pPr>
        <w:ind w:firstLine="640" w:firstLineChars="200"/>
        <w:rPr>
          <w:rFonts w:ascii="仿宋" w:hAnsi="仿宋" w:eastAsia="仿宋"/>
          <w:szCs w:val="32"/>
        </w:rPr>
      </w:pPr>
      <w:r>
        <w:rPr>
          <w:rFonts w:hint="eastAsia" w:ascii="仿宋" w:hAnsi="仿宋" w:eastAsia="仿宋"/>
          <w:szCs w:val="32"/>
        </w:rPr>
        <w:t>（6）掌握汽车性能及商务评价方面的基本知识。</w:t>
      </w:r>
    </w:p>
    <w:p>
      <w:pPr>
        <w:ind w:firstLine="640" w:firstLineChars="200"/>
        <w:rPr>
          <w:rFonts w:ascii="仿宋" w:hAnsi="仿宋" w:eastAsia="仿宋"/>
          <w:szCs w:val="32"/>
        </w:rPr>
      </w:pPr>
      <w:r>
        <w:rPr>
          <w:rFonts w:hint="eastAsia" w:ascii="仿宋" w:hAnsi="仿宋" w:eastAsia="仿宋"/>
          <w:szCs w:val="32"/>
        </w:rPr>
        <w:t>（7）掌握汽车维修接待流程和维修保养的基本常识。</w:t>
      </w:r>
    </w:p>
    <w:p>
      <w:pPr>
        <w:ind w:firstLine="640" w:firstLineChars="200"/>
        <w:rPr>
          <w:rFonts w:ascii="仿宋" w:hAnsi="仿宋" w:eastAsia="仿宋"/>
          <w:szCs w:val="32"/>
        </w:rPr>
      </w:pPr>
      <w:r>
        <w:rPr>
          <w:rFonts w:hint="eastAsia" w:ascii="仿宋" w:hAnsi="仿宋" w:eastAsia="仿宋"/>
          <w:szCs w:val="32"/>
        </w:rPr>
        <w:t>（8）掌握配件营销与管理方面的基本知识。</w:t>
      </w:r>
    </w:p>
    <w:p>
      <w:pPr>
        <w:ind w:firstLine="640" w:firstLineChars="200"/>
        <w:rPr>
          <w:rFonts w:ascii="仿宋" w:hAnsi="仿宋" w:eastAsia="仿宋"/>
          <w:szCs w:val="32"/>
        </w:rPr>
      </w:pPr>
      <w:r>
        <w:rPr>
          <w:rFonts w:hint="eastAsia" w:ascii="仿宋" w:hAnsi="仿宋" w:eastAsia="仿宋"/>
          <w:szCs w:val="32"/>
        </w:rPr>
        <w:t>（9）掌握汽车保险与理赔方面的基本知识。</w:t>
      </w:r>
    </w:p>
    <w:p>
      <w:pPr>
        <w:ind w:firstLine="640" w:firstLineChars="200"/>
        <w:rPr>
          <w:rFonts w:ascii="仿宋" w:hAnsi="仿宋" w:eastAsia="仿宋"/>
          <w:szCs w:val="32"/>
        </w:rPr>
      </w:pPr>
      <w:r>
        <w:rPr>
          <w:rFonts w:hint="eastAsia" w:ascii="仿宋" w:hAnsi="仿宋" w:eastAsia="仿宋"/>
          <w:szCs w:val="32"/>
        </w:rPr>
        <w:t>（10）掌握二手车鉴定评估与交易的基本知识和方法。</w:t>
      </w:r>
    </w:p>
    <w:p>
      <w:pPr>
        <w:ind w:firstLine="640" w:firstLineChars="200"/>
        <w:rPr>
          <w:rFonts w:ascii="仿宋" w:hAnsi="仿宋" w:eastAsia="仿宋"/>
          <w:szCs w:val="32"/>
        </w:rPr>
      </w:pPr>
      <w:r>
        <w:rPr>
          <w:rFonts w:hint="eastAsia" w:ascii="仿宋" w:hAnsi="仿宋" w:eastAsia="仿宋"/>
          <w:szCs w:val="32"/>
        </w:rPr>
        <w:t>（11）掌握汽车电子商务方面的基础知识。</w:t>
      </w:r>
    </w:p>
    <w:p>
      <w:pPr>
        <w:ind w:firstLine="640" w:firstLineChars="200"/>
        <w:rPr>
          <w:rFonts w:ascii="仿宋" w:hAnsi="仿宋" w:eastAsia="仿宋"/>
          <w:szCs w:val="32"/>
        </w:rPr>
      </w:pPr>
      <w:r>
        <w:rPr>
          <w:rFonts w:hint="eastAsia" w:ascii="仿宋" w:hAnsi="仿宋" w:eastAsia="仿宋"/>
          <w:szCs w:val="32"/>
        </w:rPr>
        <w:t>（12）了解汽车最新的技术发展及市场动态。</w:t>
      </w:r>
    </w:p>
    <w:p>
      <w:pPr>
        <w:ind w:firstLine="640" w:firstLineChars="200"/>
        <w:rPr>
          <w:rFonts w:ascii="仿宋" w:hAnsi="仿宋" w:eastAsia="仿宋"/>
          <w:szCs w:val="32"/>
        </w:rPr>
      </w:pPr>
      <w:r>
        <w:rPr>
          <w:rFonts w:hint="eastAsia" w:ascii="仿宋" w:hAnsi="仿宋" w:eastAsia="仿宋"/>
          <w:szCs w:val="32"/>
        </w:rPr>
        <w:t>3.能力</w:t>
      </w:r>
    </w:p>
    <w:p>
      <w:pPr>
        <w:ind w:firstLine="640" w:firstLineChars="200"/>
        <w:rPr>
          <w:rFonts w:ascii="仿宋" w:hAnsi="仿宋" w:eastAsia="仿宋"/>
          <w:szCs w:val="32"/>
        </w:rPr>
      </w:pPr>
      <w:r>
        <w:rPr>
          <w:rFonts w:hint="eastAsia" w:ascii="仿宋" w:hAnsi="仿宋" w:eastAsia="仿宋"/>
          <w:szCs w:val="32"/>
        </w:rPr>
        <w:t>（1）具有探究学习、终身学习、分析问题和解决问题的能力。</w:t>
      </w:r>
    </w:p>
    <w:p>
      <w:pPr>
        <w:ind w:firstLine="640" w:firstLineChars="200"/>
        <w:rPr>
          <w:rFonts w:ascii="仿宋" w:hAnsi="仿宋" w:eastAsia="仿宋"/>
          <w:szCs w:val="32"/>
        </w:rPr>
      </w:pPr>
      <w:r>
        <w:rPr>
          <w:rFonts w:hint="eastAsia" w:ascii="仿宋" w:hAnsi="仿宋" w:eastAsia="仿宋"/>
          <w:szCs w:val="32"/>
        </w:rPr>
        <w:t>（2）具有良好的语言、文字表达能力和沟通能力。</w:t>
      </w:r>
    </w:p>
    <w:p>
      <w:pPr>
        <w:ind w:firstLine="640" w:firstLineChars="200"/>
        <w:rPr>
          <w:rFonts w:ascii="仿宋" w:hAnsi="仿宋" w:eastAsia="仿宋"/>
          <w:szCs w:val="32"/>
        </w:rPr>
      </w:pPr>
      <w:r>
        <w:rPr>
          <w:rFonts w:hint="eastAsia" w:ascii="仿宋" w:hAnsi="仿宋" w:eastAsia="仿宋"/>
          <w:szCs w:val="32"/>
        </w:rPr>
        <w:t>（3）具有本专业必需的信息技术应用和维护能力。</w:t>
      </w:r>
    </w:p>
    <w:p>
      <w:pPr>
        <w:ind w:firstLine="640" w:firstLineChars="200"/>
        <w:rPr>
          <w:rFonts w:ascii="仿宋" w:hAnsi="仿宋" w:eastAsia="仿宋"/>
          <w:szCs w:val="32"/>
        </w:rPr>
      </w:pPr>
      <w:r>
        <w:rPr>
          <w:rFonts w:hint="eastAsia" w:ascii="仿宋" w:hAnsi="仿宋" w:eastAsia="仿宋"/>
          <w:szCs w:val="32"/>
        </w:rPr>
        <w:t>（4） 能够组织实施汽车产品的市场调查与分析。</w:t>
      </w:r>
    </w:p>
    <w:p>
      <w:pPr>
        <w:ind w:firstLine="640" w:firstLineChars="200"/>
        <w:rPr>
          <w:rFonts w:ascii="仿宋" w:hAnsi="仿宋" w:eastAsia="仿宋"/>
          <w:szCs w:val="32"/>
        </w:rPr>
      </w:pPr>
      <w:r>
        <w:rPr>
          <w:rFonts w:hint="eastAsia" w:ascii="仿宋" w:hAnsi="仿宋" w:eastAsia="仿宋"/>
          <w:szCs w:val="32"/>
        </w:rPr>
        <w:t>（5） 能够撰写汽车营销活动策划方案并组织实施。</w:t>
      </w:r>
    </w:p>
    <w:p>
      <w:pPr>
        <w:ind w:firstLine="640" w:firstLineChars="200"/>
        <w:rPr>
          <w:rFonts w:ascii="仿宋" w:hAnsi="仿宋" w:eastAsia="仿宋"/>
          <w:szCs w:val="32"/>
        </w:rPr>
      </w:pPr>
      <w:r>
        <w:rPr>
          <w:rFonts w:hint="eastAsia" w:ascii="仿宋" w:hAnsi="仿宋" w:eastAsia="仿宋"/>
          <w:szCs w:val="32"/>
        </w:rPr>
        <w:t>（6）能够对汽车产品的技术和性能进行合理的评价。</w:t>
      </w:r>
    </w:p>
    <w:p>
      <w:pPr>
        <w:ind w:firstLine="640" w:firstLineChars="200"/>
        <w:rPr>
          <w:rFonts w:ascii="仿宋" w:hAnsi="仿宋" w:eastAsia="仿宋"/>
          <w:szCs w:val="32"/>
        </w:rPr>
      </w:pPr>
      <w:r>
        <w:rPr>
          <w:rFonts w:hint="eastAsia" w:ascii="仿宋" w:hAnsi="仿宋" w:eastAsia="仿宋"/>
          <w:szCs w:val="32"/>
        </w:rPr>
        <w:t>（7）能够对客户关系和销售进行日常管理，完成汽车维修接待。</w:t>
      </w:r>
    </w:p>
    <w:p>
      <w:pPr>
        <w:ind w:firstLine="640" w:firstLineChars="200"/>
        <w:rPr>
          <w:rFonts w:ascii="仿宋" w:hAnsi="仿宋" w:eastAsia="仿宋"/>
          <w:szCs w:val="32"/>
        </w:rPr>
      </w:pPr>
      <w:r>
        <w:rPr>
          <w:rFonts w:hint="eastAsia" w:ascii="仿宋" w:hAnsi="仿宋" w:eastAsia="仿宋"/>
          <w:szCs w:val="32"/>
        </w:rPr>
        <w:t>（8）能够进行汽车保险产品销售以及处理汽车保险理赔业务。</w:t>
      </w:r>
    </w:p>
    <w:p>
      <w:pPr>
        <w:ind w:firstLine="640" w:firstLineChars="200"/>
        <w:rPr>
          <w:rFonts w:ascii="仿宋" w:hAnsi="仿宋" w:eastAsia="仿宋"/>
          <w:szCs w:val="32"/>
        </w:rPr>
      </w:pPr>
      <w:r>
        <w:rPr>
          <w:rFonts w:hint="eastAsia" w:ascii="仿宋" w:hAnsi="仿宋" w:eastAsia="仿宋"/>
          <w:szCs w:val="32"/>
        </w:rPr>
        <w:t>（9）能够对二手车进行合理的鉴定评估。</w:t>
      </w:r>
    </w:p>
    <w:p>
      <w:pPr>
        <w:ind w:firstLine="640" w:firstLineChars="200"/>
        <w:rPr>
          <w:rFonts w:ascii="仿宋" w:hAnsi="仿宋" w:eastAsia="仿宋"/>
          <w:szCs w:val="32"/>
        </w:rPr>
      </w:pPr>
      <w:r>
        <w:rPr>
          <w:rFonts w:hint="eastAsia" w:ascii="仿宋" w:hAnsi="仿宋" w:eastAsia="仿宋"/>
          <w:szCs w:val="32"/>
        </w:rPr>
        <w:t>（10）具有汽车电子商务运营与管理的能力。</w:t>
      </w:r>
    </w:p>
    <w:p>
      <w:pPr>
        <w:ind w:firstLine="640" w:firstLineChars="200"/>
        <w:rPr>
          <w:rFonts w:ascii="仿宋" w:hAnsi="仿宋" w:eastAsia="仿宋"/>
          <w:szCs w:val="32"/>
        </w:rPr>
      </w:pPr>
      <w:r>
        <w:rPr>
          <w:rFonts w:hint="eastAsia" w:ascii="仿宋" w:hAnsi="仿宋" w:eastAsia="仿宋"/>
          <w:szCs w:val="32"/>
        </w:rPr>
        <w:t>（11）具有汽车销售及维修类企业的基本管理能力。</w:t>
      </w:r>
    </w:p>
    <w:p>
      <w:pPr>
        <w:overflowPunct w:val="0"/>
        <w:adjustRightInd w:val="0"/>
        <w:ind w:firstLine="640" w:firstLineChars="200"/>
        <w:outlineLvl w:val="0"/>
        <w:rPr>
          <w:rFonts w:ascii="仿宋" w:hAnsi="仿宋" w:eastAsia="仿宋"/>
          <w:szCs w:val="32"/>
        </w:rPr>
      </w:pPr>
    </w:p>
    <w:p>
      <w:pPr>
        <w:overflowPunct w:val="0"/>
        <w:adjustRightInd w:val="0"/>
        <w:ind w:firstLine="720" w:firstLineChars="200"/>
        <w:outlineLvl w:val="0"/>
        <w:rPr>
          <w:rFonts w:ascii="黑体" w:hAnsi="黑体" w:eastAsia="黑体"/>
          <w:sz w:val="36"/>
          <w:szCs w:val="36"/>
        </w:rPr>
      </w:pPr>
      <w:bookmarkStart w:id="7" w:name="_Toc90855094"/>
      <w:r>
        <w:rPr>
          <w:rFonts w:ascii="黑体" w:hAnsi="黑体" w:eastAsia="黑体"/>
          <w:sz w:val="36"/>
          <w:szCs w:val="36"/>
        </w:rPr>
        <w:t>六、课程设置及要求</w:t>
      </w:r>
      <w:bookmarkEnd w:id="7"/>
    </w:p>
    <w:p>
      <w:pPr>
        <w:adjustRightInd w:val="0"/>
        <w:ind w:firstLine="640" w:firstLineChars="200"/>
        <w:rPr>
          <w:rFonts w:ascii="仿宋" w:hAnsi="仿宋" w:eastAsia="仿宋"/>
          <w:szCs w:val="32"/>
        </w:rPr>
      </w:pPr>
      <w:r>
        <w:rPr>
          <w:rFonts w:ascii="仿宋" w:hAnsi="仿宋" w:eastAsia="仿宋"/>
          <w:szCs w:val="32"/>
        </w:rPr>
        <w:t>主要包括公共基础课程和专业（技能）课程。</w:t>
      </w:r>
    </w:p>
    <w:p>
      <w:pPr>
        <w:pStyle w:val="3"/>
        <w:rPr>
          <w:rFonts w:ascii="仿宋" w:hAnsi="仿宋"/>
          <w:b w:val="0"/>
        </w:rPr>
      </w:pPr>
      <w:bookmarkStart w:id="8" w:name="_Toc90855095"/>
      <w:r>
        <w:rPr>
          <w:rFonts w:ascii="仿宋" w:hAnsi="仿宋"/>
        </w:rPr>
        <w:t>（一）公共基础课程</w:t>
      </w:r>
      <w:bookmarkEnd w:id="8"/>
    </w:p>
    <w:p>
      <w:pPr>
        <w:ind w:firstLine="640" w:firstLineChars="200"/>
        <w:rPr>
          <w:rFonts w:ascii="仿宋" w:hAnsi="仿宋" w:eastAsia="仿宋"/>
          <w:szCs w:val="32"/>
        </w:rPr>
      </w:pPr>
      <w:r>
        <w:rPr>
          <w:rFonts w:hint="eastAsia" w:ascii="仿宋" w:hAnsi="仿宋" w:eastAsia="仿宋"/>
          <w:szCs w:val="32"/>
        </w:rPr>
        <w:t>根据</w:t>
      </w:r>
      <w:r>
        <w:rPr>
          <w:rFonts w:ascii="仿宋" w:hAnsi="仿宋" w:eastAsia="仿宋"/>
          <w:szCs w:val="32"/>
        </w:rPr>
        <w:t>党和国家有关文件规定</w:t>
      </w:r>
      <w:r>
        <w:rPr>
          <w:rFonts w:hint="eastAsia" w:ascii="仿宋" w:hAnsi="仿宋" w:eastAsia="仿宋"/>
          <w:szCs w:val="32"/>
        </w:rPr>
        <w:t>，</w:t>
      </w:r>
      <w:r>
        <w:rPr>
          <w:rFonts w:ascii="仿宋" w:hAnsi="仿宋" w:eastAsia="仿宋"/>
          <w:szCs w:val="32"/>
        </w:rPr>
        <w:t>将思想政治理论</w:t>
      </w:r>
      <w:r>
        <w:rPr>
          <w:rFonts w:hint="eastAsia" w:ascii="仿宋" w:hAnsi="仿宋" w:eastAsia="仿宋"/>
          <w:szCs w:val="32"/>
        </w:rPr>
        <w:t>课、</w:t>
      </w:r>
      <w:r>
        <w:rPr>
          <w:rFonts w:ascii="仿宋" w:hAnsi="仿宋" w:eastAsia="仿宋"/>
          <w:szCs w:val="32"/>
        </w:rPr>
        <w:t>体育</w:t>
      </w:r>
      <w:r>
        <w:rPr>
          <w:rFonts w:hint="eastAsia" w:ascii="仿宋" w:hAnsi="仿宋" w:eastAsia="仿宋"/>
          <w:szCs w:val="32"/>
        </w:rPr>
        <w:t>、</w:t>
      </w:r>
      <w:r>
        <w:rPr>
          <w:rFonts w:ascii="仿宋" w:hAnsi="仿宋" w:eastAsia="仿宋"/>
          <w:szCs w:val="32"/>
        </w:rPr>
        <w:t>军事理论与军训</w:t>
      </w:r>
      <w:r>
        <w:rPr>
          <w:rFonts w:hint="eastAsia" w:ascii="仿宋" w:hAnsi="仿宋" w:eastAsia="仿宋"/>
          <w:szCs w:val="32"/>
        </w:rPr>
        <w:t>、</w:t>
      </w:r>
      <w:r>
        <w:rPr>
          <w:rFonts w:ascii="仿宋" w:hAnsi="仿宋" w:eastAsia="仿宋"/>
          <w:szCs w:val="32"/>
        </w:rPr>
        <w:t>心理健康教育等</w:t>
      </w:r>
      <w:r>
        <w:rPr>
          <w:rFonts w:hint="eastAsia" w:ascii="仿宋" w:hAnsi="仿宋" w:eastAsia="仿宋"/>
          <w:szCs w:val="32"/>
        </w:rPr>
        <w:t>课程</w:t>
      </w:r>
      <w:r>
        <w:rPr>
          <w:rFonts w:ascii="仿宋" w:hAnsi="仿宋" w:eastAsia="仿宋"/>
          <w:szCs w:val="32"/>
        </w:rPr>
        <w:t>列</w:t>
      </w:r>
      <w:r>
        <w:rPr>
          <w:rFonts w:hint="eastAsia" w:ascii="仿宋" w:hAnsi="仿宋" w:eastAsia="仿宋"/>
          <w:szCs w:val="32"/>
        </w:rPr>
        <w:t>为</w:t>
      </w:r>
      <w:r>
        <w:rPr>
          <w:rFonts w:ascii="仿宋" w:hAnsi="仿宋" w:eastAsia="仿宋"/>
          <w:szCs w:val="32"/>
        </w:rPr>
        <w:t>公共基础必修课</w:t>
      </w:r>
      <w:r>
        <w:rPr>
          <w:rFonts w:hint="eastAsia" w:ascii="仿宋" w:hAnsi="仿宋" w:eastAsia="仿宋"/>
          <w:szCs w:val="32"/>
        </w:rPr>
        <w:t>程。并将马克思主义理论类课程、党史国史、</w:t>
      </w:r>
      <w:r>
        <w:rPr>
          <w:rFonts w:ascii="仿宋" w:hAnsi="仿宋" w:eastAsia="仿宋"/>
          <w:szCs w:val="32"/>
        </w:rPr>
        <w:t>中华优秀传统文化</w:t>
      </w:r>
      <w:r>
        <w:rPr>
          <w:rFonts w:hint="eastAsia" w:ascii="仿宋" w:hAnsi="仿宋" w:eastAsia="仿宋"/>
          <w:szCs w:val="32"/>
        </w:rPr>
        <w:t>、</w:t>
      </w:r>
      <w:r>
        <w:rPr>
          <w:rFonts w:ascii="仿宋" w:hAnsi="仿宋" w:eastAsia="仿宋"/>
          <w:szCs w:val="32"/>
        </w:rPr>
        <w:t>职业发展与就业指导</w:t>
      </w:r>
      <w:r>
        <w:rPr>
          <w:rFonts w:hint="eastAsia" w:ascii="仿宋" w:hAnsi="仿宋" w:eastAsia="仿宋"/>
          <w:szCs w:val="32"/>
        </w:rPr>
        <w:t>、</w:t>
      </w:r>
      <w:r>
        <w:rPr>
          <w:rFonts w:ascii="仿宋" w:hAnsi="仿宋" w:eastAsia="仿宋"/>
          <w:szCs w:val="32"/>
        </w:rPr>
        <w:t>创新创业教育</w:t>
      </w:r>
      <w:r>
        <w:rPr>
          <w:rFonts w:hint="eastAsia" w:ascii="仿宋" w:hAnsi="仿宋" w:eastAsia="仿宋"/>
          <w:szCs w:val="32"/>
        </w:rPr>
        <w:t>、信息技术、</w:t>
      </w:r>
      <w:r>
        <w:rPr>
          <w:rFonts w:ascii="仿宋" w:hAnsi="仿宋" w:eastAsia="仿宋"/>
          <w:szCs w:val="32"/>
        </w:rPr>
        <w:t>语文</w:t>
      </w:r>
      <w:r>
        <w:rPr>
          <w:rFonts w:hint="eastAsia" w:ascii="仿宋" w:hAnsi="仿宋" w:eastAsia="仿宋"/>
          <w:szCs w:val="32"/>
        </w:rPr>
        <w:t>、</w:t>
      </w:r>
      <w:r>
        <w:rPr>
          <w:rFonts w:ascii="仿宋" w:hAnsi="仿宋" w:eastAsia="仿宋"/>
          <w:szCs w:val="32"/>
        </w:rPr>
        <w:t>数学</w:t>
      </w:r>
      <w:r>
        <w:rPr>
          <w:rFonts w:hint="eastAsia" w:ascii="仿宋" w:hAnsi="仿宋" w:eastAsia="仿宋"/>
          <w:szCs w:val="32"/>
        </w:rPr>
        <w:t>、</w:t>
      </w:r>
      <w:r>
        <w:rPr>
          <w:rFonts w:ascii="仿宋" w:hAnsi="仿宋" w:eastAsia="仿宋"/>
          <w:szCs w:val="32"/>
        </w:rPr>
        <w:t>外语</w:t>
      </w:r>
      <w:r>
        <w:rPr>
          <w:rFonts w:hint="eastAsia" w:ascii="仿宋" w:hAnsi="仿宋" w:eastAsia="仿宋"/>
          <w:szCs w:val="32"/>
        </w:rPr>
        <w:t>、</w:t>
      </w:r>
      <w:r>
        <w:rPr>
          <w:rFonts w:ascii="仿宋" w:hAnsi="仿宋" w:eastAsia="仿宋"/>
          <w:szCs w:val="32"/>
        </w:rPr>
        <w:t>健康教育</w:t>
      </w:r>
      <w:r>
        <w:rPr>
          <w:rFonts w:hint="eastAsia" w:ascii="仿宋" w:hAnsi="仿宋" w:eastAsia="仿宋"/>
          <w:szCs w:val="32"/>
        </w:rPr>
        <w:t>、</w:t>
      </w:r>
      <w:r>
        <w:rPr>
          <w:rFonts w:ascii="仿宋" w:hAnsi="仿宋" w:eastAsia="仿宋"/>
          <w:szCs w:val="32"/>
        </w:rPr>
        <w:t>美育</w:t>
      </w:r>
      <w:r>
        <w:rPr>
          <w:rFonts w:hint="eastAsia" w:ascii="仿宋" w:hAnsi="仿宋" w:eastAsia="仿宋"/>
          <w:szCs w:val="32"/>
        </w:rPr>
        <w:t>课程、职业素养等列为必修课或限定选修课。</w:t>
      </w:r>
    </w:p>
    <w:p>
      <w:pPr>
        <w:ind w:firstLine="640" w:firstLineChars="200"/>
        <w:rPr>
          <w:rFonts w:ascii="仿宋" w:hAnsi="仿宋" w:eastAsia="仿宋"/>
          <w:szCs w:val="32"/>
        </w:rPr>
      </w:pPr>
      <w:r>
        <w:rPr>
          <w:rFonts w:hint="eastAsia" w:ascii="仿宋" w:hAnsi="仿宋" w:eastAsia="仿宋"/>
          <w:szCs w:val="32"/>
        </w:rPr>
        <w:t>1.思想政治理论课（144学时，9学分）</w:t>
      </w:r>
    </w:p>
    <w:p>
      <w:pPr>
        <w:ind w:firstLine="640" w:firstLineChars="200"/>
        <w:rPr>
          <w:rFonts w:hint="eastAsia" w:ascii="仿宋" w:hAnsi="仿宋" w:eastAsia="仿宋"/>
          <w:szCs w:val="32"/>
        </w:rPr>
      </w:pPr>
      <w:r>
        <w:rPr>
          <w:rFonts w:hint="eastAsia" w:ascii="仿宋" w:hAnsi="仿宋" w:eastAsia="仿宋"/>
          <w:szCs w:val="32"/>
        </w:rPr>
        <w:t>（1）思想道德与法治</w:t>
      </w:r>
    </w:p>
    <w:p>
      <w:pPr>
        <w:ind w:firstLine="640" w:firstLineChars="200"/>
        <w:rPr>
          <w:rFonts w:ascii="仿宋" w:hAnsi="仿宋" w:eastAsia="仿宋"/>
          <w:szCs w:val="32"/>
        </w:rPr>
      </w:pPr>
      <w:r>
        <w:rPr>
          <w:rFonts w:hint="eastAsia" w:ascii="仿宋" w:hAnsi="仿宋" w:eastAsia="仿宋"/>
          <w:szCs w:val="32"/>
        </w:rPr>
        <w:t>帮助学生筑牢理想信念之基，培育和践行社会主义核心价值观，传承中华美德，弘扬中国精神，尊重和维护宪法权威，提升思想道德素质和法律素质。课程为3学分。</w:t>
      </w:r>
    </w:p>
    <w:p>
      <w:pPr>
        <w:ind w:firstLine="640" w:firstLineChars="200"/>
        <w:rPr>
          <w:rFonts w:ascii="仿宋" w:hAnsi="仿宋" w:eastAsia="仿宋"/>
          <w:szCs w:val="32"/>
        </w:rPr>
      </w:pPr>
      <w:r>
        <w:rPr>
          <w:rFonts w:hint="eastAsia" w:ascii="仿宋" w:hAnsi="仿宋" w:eastAsia="仿宋"/>
          <w:szCs w:val="32"/>
        </w:rPr>
        <w:t>（2）毛泽东思想和中国特色社会主义理论体系概论</w:t>
      </w:r>
    </w:p>
    <w:p>
      <w:pPr>
        <w:ind w:firstLine="640" w:firstLineChars="200"/>
        <w:rPr>
          <w:rFonts w:ascii="仿宋" w:hAnsi="仿宋" w:eastAsia="仿宋"/>
          <w:szCs w:val="32"/>
        </w:rPr>
      </w:pPr>
      <w:r>
        <w:rPr>
          <w:rFonts w:hint="eastAsia" w:ascii="仿宋" w:hAnsi="仿宋" w:eastAsia="仿宋"/>
          <w:szCs w:val="32"/>
        </w:rPr>
        <w:t>帮助学生理解毛泽东思想、邓小平理论、“三个代表”重要思想、科学发展观、习近平新时代中国特色社会主义思想是一脉相承又与时俱进的科学体系，引导学生坚定“四个自信”。课程为4学分。</w:t>
      </w:r>
    </w:p>
    <w:p>
      <w:pPr>
        <w:ind w:firstLine="640" w:firstLineChars="200"/>
        <w:rPr>
          <w:rFonts w:ascii="仿宋" w:hAnsi="仿宋" w:eastAsia="仿宋"/>
          <w:szCs w:val="32"/>
        </w:rPr>
      </w:pPr>
      <w:r>
        <w:rPr>
          <w:rFonts w:hint="eastAsia" w:ascii="仿宋" w:hAnsi="仿宋" w:eastAsia="仿宋"/>
          <w:szCs w:val="32"/>
        </w:rPr>
        <w:t>（3）形势与政策</w:t>
      </w:r>
    </w:p>
    <w:p>
      <w:pPr>
        <w:ind w:firstLine="640" w:firstLineChars="200"/>
        <w:rPr>
          <w:rFonts w:ascii="仿宋" w:hAnsi="仿宋" w:eastAsia="仿宋"/>
          <w:szCs w:val="32"/>
        </w:rPr>
      </w:pPr>
      <w:r>
        <w:rPr>
          <w:rFonts w:hint="eastAsia" w:ascii="仿宋" w:hAnsi="仿宋" w:eastAsia="仿宋"/>
          <w:szCs w:val="32"/>
        </w:rPr>
        <w:t>帮助学生准确理解当代马克思主义，党和国家取得的历史性成就、面临的历史性机遇和挑战，引导学生正确认识世界和中国发展大势，认清时代责任和历史使命。课程为2学分。</w:t>
      </w:r>
    </w:p>
    <w:p>
      <w:pPr>
        <w:ind w:firstLine="640" w:firstLineChars="200"/>
        <w:rPr>
          <w:rFonts w:ascii="仿宋" w:hAnsi="仿宋" w:eastAsia="仿宋"/>
          <w:szCs w:val="32"/>
        </w:rPr>
      </w:pPr>
      <w:r>
        <w:rPr>
          <w:rFonts w:hint="eastAsia" w:ascii="仿宋" w:hAnsi="仿宋" w:eastAsia="仿宋"/>
          <w:szCs w:val="32"/>
        </w:rPr>
        <w:t>2.体育1.2.3（108学时，6学分）</w:t>
      </w:r>
    </w:p>
    <w:p>
      <w:pPr>
        <w:ind w:firstLine="640" w:firstLineChars="200"/>
        <w:rPr>
          <w:rFonts w:ascii="仿宋" w:hAnsi="仿宋" w:eastAsia="仿宋"/>
          <w:szCs w:val="32"/>
        </w:rPr>
      </w:pPr>
      <w:r>
        <w:rPr>
          <w:rFonts w:hint="eastAsia" w:ascii="仿宋" w:hAnsi="仿宋" w:eastAsia="仿宋"/>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pPr>
        <w:ind w:firstLine="640" w:firstLineChars="200"/>
        <w:rPr>
          <w:rFonts w:ascii="仿宋" w:hAnsi="仿宋" w:eastAsia="仿宋"/>
          <w:szCs w:val="32"/>
        </w:rPr>
      </w:pPr>
      <w:r>
        <w:rPr>
          <w:rFonts w:hint="eastAsia" w:ascii="仿宋" w:hAnsi="仿宋" w:eastAsia="仿宋"/>
          <w:szCs w:val="32"/>
        </w:rPr>
        <w:t>3.军事理论及军事技能（148学时，4学分）</w:t>
      </w:r>
    </w:p>
    <w:p>
      <w:pPr>
        <w:ind w:firstLine="640" w:firstLineChars="200"/>
        <w:rPr>
          <w:rFonts w:ascii="仿宋" w:hAnsi="仿宋" w:eastAsia="仿宋"/>
          <w:szCs w:val="32"/>
        </w:rPr>
      </w:pPr>
      <w:r>
        <w:rPr>
          <w:rFonts w:hint="eastAsia" w:ascii="仿宋" w:hAnsi="仿宋" w:eastAsia="仿宋"/>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pPr>
        <w:ind w:firstLine="640" w:firstLineChars="200"/>
        <w:rPr>
          <w:rFonts w:ascii="仿宋" w:hAnsi="仿宋" w:eastAsia="仿宋"/>
          <w:szCs w:val="32"/>
        </w:rPr>
      </w:pPr>
      <w:r>
        <w:rPr>
          <w:rFonts w:hint="eastAsia" w:ascii="仿宋" w:hAnsi="仿宋" w:eastAsia="仿宋"/>
          <w:szCs w:val="32"/>
        </w:rPr>
        <w:t>4、大学生心理健康教育（32学时，2学分）</w:t>
      </w:r>
    </w:p>
    <w:p>
      <w:pPr>
        <w:ind w:firstLine="640" w:firstLineChars="200"/>
        <w:rPr>
          <w:rFonts w:ascii="仿宋" w:hAnsi="仿宋" w:eastAsia="仿宋"/>
          <w:szCs w:val="32"/>
        </w:rPr>
      </w:pPr>
      <w:r>
        <w:rPr>
          <w:rFonts w:hint="eastAsia" w:ascii="仿宋" w:hAnsi="仿宋" w:eastAsia="仿宋"/>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pPr>
        <w:ind w:firstLine="640" w:firstLineChars="200"/>
        <w:rPr>
          <w:rFonts w:ascii="仿宋" w:hAnsi="仿宋" w:eastAsia="仿宋"/>
          <w:szCs w:val="32"/>
        </w:rPr>
      </w:pPr>
      <w:r>
        <w:rPr>
          <w:rFonts w:hint="eastAsia" w:ascii="仿宋" w:hAnsi="仿宋" w:eastAsia="仿宋"/>
          <w:szCs w:val="32"/>
        </w:rPr>
        <w:t>5.大学英语（144学时，8学分）</w:t>
      </w:r>
    </w:p>
    <w:p>
      <w:pPr>
        <w:ind w:firstLine="640" w:firstLineChars="200"/>
        <w:rPr>
          <w:rFonts w:ascii="仿宋" w:hAnsi="仿宋" w:eastAsia="仿宋"/>
          <w:szCs w:val="32"/>
        </w:rPr>
      </w:pPr>
      <w:r>
        <w:rPr>
          <w:rFonts w:hint="eastAsia" w:ascii="仿宋" w:hAnsi="仿宋" w:eastAsia="仿宋"/>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pPr>
        <w:ind w:firstLine="640" w:firstLineChars="200"/>
        <w:rPr>
          <w:rFonts w:ascii="仿宋" w:hAnsi="仿宋" w:eastAsia="仿宋"/>
          <w:szCs w:val="32"/>
        </w:rPr>
      </w:pPr>
      <w:r>
        <w:rPr>
          <w:rFonts w:hint="eastAsia" w:ascii="仿宋" w:hAnsi="仿宋" w:eastAsia="仿宋"/>
          <w:szCs w:val="32"/>
        </w:rPr>
        <w:t>6、计算机基础（64学时，4学分）</w:t>
      </w:r>
    </w:p>
    <w:p>
      <w:pPr>
        <w:ind w:firstLine="640" w:firstLineChars="200"/>
        <w:rPr>
          <w:rFonts w:ascii="仿宋" w:hAnsi="仿宋" w:eastAsia="仿宋"/>
          <w:szCs w:val="32"/>
        </w:rPr>
      </w:pPr>
      <w:r>
        <w:rPr>
          <w:rFonts w:hint="eastAsia" w:ascii="仿宋" w:hAnsi="仿宋" w:eastAsia="仿宋"/>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pPr>
        <w:ind w:firstLine="640" w:firstLineChars="200"/>
        <w:rPr>
          <w:rFonts w:ascii="仿宋" w:hAnsi="仿宋" w:eastAsia="仿宋"/>
          <w:szCs w:val="32"/>
        </w:rPr>
      </w:pPr>
      <w:r>
        <w:rPr>
          <w:rFonts w:hint="eastAsia" w:ascii="仿宋" w:hAnsi="仿宋" w:eastAsia="仿宋"/>
          <w:szCs w:val="32"/>
        </w:rPr>
        <w:t>7.职业生涯规划与就业创业指导（18学时，1学分）</w:t>
      </w:r>
    </w:p>
    <w:p>
      <w:pPr>
        <w:ind w:firstLine="640" w:firstLineChars="200"/>
        <w:rPr>
          <w:rFonts w:ascii="仿宋" w:hAnsi="仿宋" w:eastAsia="仿宋"/>
          <w:szCs w:val="32"/>
        </w:rPr>
      </w:pPr>
      <w:r>
        <w:rPr>
          <w:rFonts w:hint="eastAsia" w:ascii="仿宋" w:hAnsi="仿宋" w:eastAsia="仿宋"/>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pPr>
        <w:ind w:firstLine="640" w:firstLineChars="200"/>
        <w:rPr>
          <w:rFonts w:ascii="仿宋" w:hAnsi="仿宋" w:eastAsia="仿宋"/>
          <w:szCs w:val="32"/>
        </w:rPr>
      </w:pPr>
      <w:r>
        <w:rPr>
          <w:rFonts w:hint="eastAsia" w:ascii="仿宋" w:hAnsi="仿宋" w:eastAsia="仿宋"/>
          <w:szCs w:val="32"/>
        </w:rPr>
        <w:t>8.大学生安全教育（18学时，1学分）</w:t>
      </w:r>
    </w:p>
    <w:p>
      <w:pPr>
        <w:ind w:firstLine="640" w:firstLineChars="200"/>
        <w:rPr>
          <w:rFonts w:ascii="仿宋" w:hAnsi="仿宋" w:eastAsia="仿宋"/>
          <w:szCs w:val="32"/>
        </w:rPr>
      </w:pPr>
      <w:r>
        <w:rPr>
          <w:rFonts w:hint="eastAsia" w:ascii="仿宋" w:hAnsi="仿宋" w:eastAsia="仿宋"/>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pPr>
        <w:ind w:firstLine="640" w:firstLineChars="200"/>
        <w:rPr>
          <w:rFonts w:ascii="仿宋" w:hAnsi="仿宋" w:eastAsia="仿宋"/>
          <w:szCs w:val="32"/>
        </w:rPr>
      </w:pPr>
      <w:r>
        <w:rPr>
          <w:rFonts w:hint="eastAsia" w:ascii="仿宋" w:hAnsi="仿宋" w:eastAsia="仿宋"/>
          <w:szCs w:val="32"/>
        </w:rPr>
        <w:t>9、大学生文化修养（18学时，1学分）</w:t>
      </w:r>
    </w:p>
    <w:p>
      <w:pPr>
        <w:ind w:firstLine="640" w:firstLineChars="200"/>
        <w:rPr>
          <w:rFonts w:ascii="仿宋" w:hAnsi="仿宋" w:eastAsia="仿宋"/>
          <w:szCs w:val="32"/>
        </w:rPr>
      </w:pPr>
      <w:r>
        <w:rPr>
          <w:rFonts w:hint="eastAsia" w:ascii="仿宋" w:hAnsi="仿宋" w:eastAsia="仿宋"/>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pPr>
        <w:ind w:firstLine="640" w:firstLineChars="200"/>
        <w:rPr>
          <w:rFonts w:ascii="仿宋" w:hAnsi="仿宋" w:eastAsia="仿宋"/>
          <w:szCs w:val="32"/>
        </w:rPr>
      </w:pPr>
      <w:r>
        <w:rPr>
          <w:rFonts w:hint="eastAsia" w:ascii="仿宋" w:hAnsi="仿宋" w:eastAsia="仿宋"/>
          <w:szCs w:val="32"/>
        </w:rPr>
        <w:t>10、应用文写作（18学时，1学分）</w:t>
      </w:r>
    </w:p>
    <w:p>
      <w:pPr>
        <w:ind w:firstLine="640" w:firstLineChars="200"/>
        <w:rPr>
          <w:rFonts w:ascii="仿宋" w:hAnsi="仿宋" w:eastAsia="仿宋"/>
          <w:szCs w:val="32"/>
        </w:rPr>
      </w:pPr>
      <w:r>
        <w:rPr>
          <w:rFonts w:hint="eastAsia" w:ascii="仿宋" w:hAnsi="仿宋" w:eastAsia="仿宋"/>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pPr>
        <w:ind w:firstLine="640" w:firstLineChars="200"/>
        <w:rPr>
          <w:rFonts w:ascii="仿宋" w:hAnsi="仿宋" w:eastAsia="仿宋"/>
          <w:szCs w:val="32"/>
        </w:rPr>
      </w:pPr>
      <w:r>
        <w:rPr>
          <w:rFonts w:hint="eastAsia" w:ascii="仿宋" w:hAnsi="仿宋" w:eastAsia="仿宋"/>
          <w:szCs w:val="32"/>
        </w:rPr>
        <w:t>11.职业素质养成（18学时，1学分）</w:t>
      </w:r>
    </w:p>
    <w:p>
      <w:pPr>
        <w:ind w:firstLine="640" w:firstLineChars="200"/>
        <w:rPr>
          <w:rFonts w:ascii="仿宋" w:hAnsi="仿宋" w:eastAsia="仿宋"/>
          <w:szCs w:val="32"/>
        </w:rPr>
      </w:pPr>
      <w:r>
        <w:rPr>
          <w:rFonts w:hint="eastAsia" w:ascii="仿宋" w:hAnsi="仿宋" w:eastAsia="仿宋"/>
          <w:szCs w:val="32"/>
        </w:rPr>
        <w:t xml:space="preserve"> 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pPr>
        <w:ind w:firstLine="640" w:firstLineChars="200"/>
        <w:rPr>
          <w:rFonts w:ascii="仿宋" w:hAnsi="仿宋" w:eastAsia="仿宋"/>
          <w:szCs w:val="32"/>
        </w:rPr>
      </w:pPr>
      <w:r>
        <w:rPr>
          <w:rFonts w:hint="eastAsia" w:ascii="仿宋" w:hAnsi="仿宋" w:eastAsia="仿宋"/>
          <w:szCs w:val="32"/>
        </w:rPr>
        <w:t>12.演讲与口才（18学时，1学分）</w:t>
      </w:r>
    </w:p>
    <w:p>
      <w:pPr>
        <w:ind w:firstLine="640" w:firstLineChars="200"/>
        <w:rPr>
          <w:rFonts w:ascii="仿宋" w:hAnsi="仿宋" w:eastAsia="仿宋"/>
          <w:szCs w:val="32"/>
        </w:rPr>
      </w:pPr>
      <w:r>
        <w:rPr>
          <w:rFonts w:hint="eastAsia" w:ascii="仿宋" w:hAnsi="仿宋" w:eastAsia="仿宋"/>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pPr>
        <w:ind w:firstLine="640" w:firstLineChars="200"/>
        <w:rPr>
          <w:rFonts w:ascii="仿宋" w:hAnsi="仿宋" w:eastAsia="仿宋"/>
          <w:szCs w:val="32"/>
        </w:rPr>
      </w:pPr>
      <w:r>
        <w:rPr>
          <w:rFonts w:hint="eastAsia" w:ascii="仿宋" w:hAnsi="仿宋" w:eastAsia="仿宋"/>
          <w:szCs w:val="32"/>
        </w:rPr>
        <w:t>13、中国共产党党史（16学时，1学分）</w:t>
      </w:r>
    </w:p>
    <w:p>
      <w:pPr>
        <w:ind w:firstLine="640" w:firstLineChars="200"/>
        <w:rPr>
          <w:rFonts w:ascii="仿宋" w:hAnsi="仿宋" w:eastAsia="仿宋"/>
          <w:szCs w:val="32"/>
        </w:rPr>
      </w:pPr>
      <w:r>
        <w:rPr>
          <w:rFonts w:hint="eastAsia" w:ascii="仿宋" w:hAnsi="仿宋" w:eastAsia="仿宋"/>
          <w:szCs w:val="32"/>
        </w:rPr>
        <w:t xml:space="preserve">帮助大学生认识近现代中国社会发展和革命发展的历史进城及其内在的规律性，了解国史、国情，深刻领会历史和人民怎样选择了中国共产党。怎样选择了社会主义道路。  </w:t>
      </w:r>
    </w:p>
    <w:p>
      <w:pPr>
        <w:ind w:firstLine="640" w:firstLineChars="200"/>
        <w:rPr>
          <w:rFonts w:ascii="仿宋" w:hAnsi="仿宋" w:eastAsia="仿宋"/>
          <w:szCs w:val="32"/>
        </w:rPr>
      </w:pPr>
      <w:r>
        <w:rPr>
          <w:rFonts w:hint="eastAsia" w:ascii="仿宋" w:hAnsi="仿宋" w:eastAsia="仿宋"/>
          <w:szCs w:val="32"/>
        </w:rPr>
        <w:t>14、就业创业指导课（40学时  2.5学分）</w:t>
      </w:r>
    </w:p>
    <w:p>
      <w:pPr>
        <w:ind w:firstLine="640" w:firstLineChars="200"/>
        <w:rPr>
          <w:rFonts w:ascii="仿宋" w:hAnsi="仿宋" w:eastAsia="仿宋"/>
          <w:szCs w:val="32"/>
        </w:rPr>
      </w:pPr>
      <w:r>
        <w:rPr>
          <w:rFonts w:hint="eastAsia" w:ascii="仿宋" w:hAnsi="仿宋" w:eastAsia="仿宋"/>
          <w:szCs w:val="32"/>
        </w:rPr>
        <w:t>该门课程是一门体现高职教育就业导向的综合性课程，强调理论性和实践性的有机统一，内容包括创业基础理论、创业意识，就业相关基本知识。</w:t>
      </w:r>
    </w:p>
    <w:p>
      <w:pPr>
        <w:pStyle w:val="3"/>
        <w:rPr>
          <w:rFonts w:ascii="仿宋" w:hAnsi="仿宋"/>
          <w:b w:val="0"/>
        </w:rPr>
      </w:pPr>
      <w:bookmarkStart w:id="9" w:name="_Toc90855096"/>
      <w:r>
        <w:rPr>
          <w:rFonts w:ascii="仿宋" w:hAnsi="仿宋"/>
        </w:rPr>
        <w:t>（二）专业（技能）课程</w:t>
      </w:r>
      <w:bookmarkEnd w:id="9"/>
    </w:p>
    <w:p>
      <w:pPr>
        <w:ind w:firstLine="640" w:firstLineChars="200"/>
        <w:rPr>
          <w:rFonts w:ascii="仿宋" w:hAnsi="仿宋" w:eastAsia="仿宋"/>
          <w:szCs w:val="32"/>
        </w:rPr>
      </w:pPr>
      <w:r>
        <w:rPr>
          <w:rFonts w:ascii="仿宋" w:hAnsi="仿宋" w:eastAsia="仿宋"/>
          <w:szCs w:val="32"/>
        </w:rPr>
        <w:t>专业</w:t>
      </w:r>
      <w:r>
        <w:rPr>
          <w:rFonts w:hint="eastAsia" w:ascii="仿宋" w:hAnsi="仿宋" w:eastAsia="仿宋"/>
          <w:szCs w:val="32"/>
        </w:rPr>
        <w:t>（技能）课程一般包括专业基础课程、专业核心课程、专业限选课程，并涵盖有关实践性教学环节。</w:t>
      </w:r>
    </w:p>
    <w:p>
      <w:pPr>
        <w:ind w:firstLine="640" w:firstLineChars="200"/>
        <w:rPr>
          <w:rFonts w:ascii="仿宋" w:hAnsi="仿宋" w:eastAsia="仿宋"/>
          <w:szCs w:val="32"/>
        </w:rPr>
      </w:pPr>
      <w:r>
        <w:rPr>
          <w:rFonts w:hint="eastAsia" w:ascii="仿宋" w:hAnsi="仿宋" w:eastAsia="仿宋"/>
          <w:szCs w:val="32"/>
        </w:rPr>
        <w:t>（1）主要专业基础课程：沟通技巧、汽车机械识图、礼仪基础、汽车运用基础、汽车电器与电子控制系统、汽车底盘构造与维修、汽车发动机构造与维修、二手车鉴定与评估、汽车新能源概论、汽车文化、消费心理学。</w:t>
      </w:r>
    </w:p>
    <w:p>
      <w:pPr>
        <w:ind w:firstLine="640" w:firstLineChars="200"/>
        <w:rPr>
          <w:rFonts w:ascii="仿宋" w:hAnsi="仿宋" w:eastAsia="仿宋"/>
          <w:szCs w:val="32"/>
        </w:rPr>
      </w:pPr>
      <w:r>
        <w:rPr>
          <w:rFonts w:hint="eastAsia" w:ascii="仿宋" w:hAnsi="仿宋" w:eastAsia="仿宋"/>
          <w:szCs w:val="32"/>
        </w:rPr>
        <w:t>（2）主要专业核心课程：汽车营销基础、客户关系管理、汽车维修服务接待、汽车推销技巧、汽车保险与理赔、汽车车险查勘定损。</w:t>
      </w:r>
    </w:p>
    <w:p>
      <w:pPr>
        <w:ind w:firstLine="560" w:firstLineChars="200"/>
        <w:rPr>
          <w:rFonts w:ascii="仿宋" w:hAnsi="仿宋" w:eastAsia="仿宋"/>
          <w:szCs w:val="32"/>
        </w:rPr>
      </w:pPr>
      <w:r>
        <w:rPr>
          <w:rFonts w:hint="eastAsia" w:ascii="仿宋" w:hAnsi="仿宋" w:eastAsia="仿宋"/>
          <w:sz w:val="28"/>
          <w:szCs w:val="28"/>
        </w:rPr>
        <w:t>表2 主要专业核心课程描述表</w:t>
      </w:r>
    </w:p>
    <w:tbl>
      <w:tblPr>
        <w:tblStyle w:val="11"/>
        <w:tblW w:w="83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307"/>
        <w:gridCol w:w="3544"/>
        <w:gridCol w:w="2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序号</w:t>
            </w:r>
          </w:p>
        </w:tc>
        <w:tc>
          <w:tcPr>
            <w:tcW w:w="1307"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课程名称</w:t>
            </w:r>
          </w:p>
        </w:tc>
        <w:tc>
          <w:tcPr>
            <w:tcW w:w="3544"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课程目标</w:t>
            </w:r>
          </w:p>
        </w:tc>
        <w:tc>
          <w:tcPr>
            <w:tcW w:w="2777"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课程内容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678"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1</w:t>
            </w:r>
          </w:p>
        </w:tc>
        <w:tc>
          <w:tcPr>
            <w:tcW w:w="1307"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汽车营销基础</w:t>
            </w:r>
          </w:p>
        </w:tc>
        <w:tc>
          <w:tcPr>
            <w:tcW w:w="3544" w:type="dxa"/>
          </w:tcPr>
          <w:p>
            <w:pPr>
              <w:jc w:val="left"/>
              <w:rPr>
                <w:rFonts w:ascii="仿宋" w:hAnsi="仿宋" w:eastAsia="仿宋" w:cs="仿宋"/>
                <w:color w:val="000000"/>
                <w:sz w:val="24"/>
                <w:szCs w:val="24"/>
              </w:rPr>
            </w:pPr>
            <w:r>
              <w:rPr>
                <w:rFonts w:hint="eastAsia" w:ascii="仿宋" w:hAnsi="仿宋" w:eastAsia="仿宋" w:cs="仿宋"/>
                <w:sz w:val="24"/>
                <w:szCs w:val="24"/>
              </w:rPr>
              <w:t>通过任务驱动型的项目教学活动，在老师指导和自主学习下，使学生掌握以下专业能力、社会能力和方法能力。</w:t>
            </w:r>
          </w:p>
        </w:tc>
        <w:tc>
          <w:tcPr>
            <w:tcW w:w="2777"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汽车营销市场分析、用户的分析、汽车营销管理、汽车营销实务、汽车营销相关法律法规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678" w:type="dxa"/>
          </w:tcPr>
          <w:p>
            <w:pPr>
              <w:rPr>
                <w:rFonts w:ascii="仿宋" w:hAnsi="仿宋" w:eastAsia="仿宋" w:cs="仿宋"/>
                <w:color w:val="000000"/>
                <w:sz w:val="24"/>
                <w:szCs w:val="24"/>
              </w:rPr>
            </w:pPr>
            <w:r>
              <w:rPr>
                <w:rFonts w:hint="eastAsia" w:ascii="仿宋" w:hAnsi="仿宋" w:eastAsia="仿宋" w:cs="仿宋"/>
                <w:color w:val="000000"/>
                <w:sz w:val="24"/>
                <w:szCs w:val="24"/>
              </w:rPr>
              <w:t>2</w:t>
            </w:r>
          </w:p>
        </w:tc>
        <w:tc>
          <w:tcPr>
            <w:tcW w:w="1307"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汽车车险查勘定损</w:t>
            </w:r>
          </w:p>
          <w:p>
            <w:pPr>
              <w:jc w:val="center"/>
              <w:rPr>
                <w:rFonts w:ascii="仿宋" w:hAnsi="仿宋" w:eastAsia="仿宋" w:cs="仿宋"/>
                <w:color w:val="000000"/>
                <w:sz w:val="24"/>
                <w:szCs w:val="24"/>
              </w:rPr>
            </w:pPr>
          </w:p>
        </w:tc>
        <w:tc>
          <w:tcPr>
            <w:tcW w:w="3544"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培养学生对于汽车定损知识的兴趣，提升学生对汽车保险相关知识的理解，让学生认识风险，树立风险意识。</w:t>
            </w:r>
          </w:p>
        </w:tc>
        <w:tc>
          <w:tcPr>
            <w:tcW w:w="2777" w:type="dxa"/>
          </w:tcPr>
          <w:p>
            <w:pPr>
              <w:rPr>
                <w:rFonts w:ascii="仿宋" w:hAnsi="仿宋" w:eastAsia="仿宋" w:cs="仿宋"/>
                <w:color w:val="000000"/>
                <w:sz w:val="24"/>
                <w:szCs w:val="24"/>
              </w:rPr>
            </w:pPr>
            <w:r>
              <w:rPr>
                <w:rFonts w:hint="eastAsia" w:ascii="仿宋" w:hAnsi="仿宋" w:eastAsia="仿宋" w:cs="仿宋"/>
                <w:color w:val="000000"/>
                <w:sz w:val="24"/>
                <w:szCs w:val="24"/>
              </w:rPr>
              <w:t>保险的理赔认知及原则、车辆损伤评估、车险事故现场查勘、事故现场痕迹物证鉴别、事故现场照片拍摄、车险事故定损核损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678" w:type="dxa"/>
          </w:tcPr>
          <w:p>
            <w:pPr>
              <w:rPr>
                <w:rFonts w:ascii="仿宋" w:hAnsi="仿宋" w:eastAsia="仿宋" w:cs="仿宋"/>
                <w:color w:val="000000"/>
                <w:sz w:val="24"/>
                <w:szCs w:val="24"/>
              </w:rPr>
            </w:pPr>
            <w:r>
              <w:rPr>
                <w:rFonts w:hint="eastAsia" w:ascii="仿宋" w:hAnsi="仿宋" w:eastAsia="仿宋" w:cs="仿宋"/>
                <w:color w:val="000000"/>
                <w:sz w:val="24"/>
                <w:szCs w:val="24"/>
              </w:rPr>
              <w:t>3</w:t>
            </w:r>
          </w:p>
        </w:tc>
        <w:tc>
          <w:tcPr>
            <w:tcW w:w="1307" w:type="dxa"/>
          </w:tcPr>
          <w:p>
            <w:pPr>
              <w:rPr>
                <w:rFonts w:ascii="仿宋" w:hAnsi="仿宋" w:eastAsia="仿宋" w:cs="仿宋"/>
                <w:color w:val="000000"/>
                <w:sz w:val="24"/>
                <w:szCs w:val="24"/>
              </w:rPr>
            </w:pPr>
            <w:r>
              <w:rPr>
                <w:rFonts w:hint="eastAsia" w:ascii="仿宋" w:hAnsi="仿宋" w:eastAsia="仿宋" w:cs="仿宋"/>
                <w:color w:val="000000"/>
                <w:kern w:val="0"/>
                <w:sz w:val="24"/>
                <w:szCs w:val="24"/>
              </w:rPr>
              <w:t>客户关系管理</w:t>
            </w:r>
          </w:p>
        </w:tc>
        <w:tc>
          <w:tcPr>
            <w:tcW w:w="3544" w:type="dxa"/>
          </w:tcPr>
          <w:p>
            <w:pPr>
              <w:rPr>
                <w:rFonts w:ascii="仿宋" w:hAnsi="仿宋" w:eastAsia="仿宋" w:cs="仿宋"/>
                <w:color w:val="000000"/>
                <w:sz w:val="24"/>
                <w:szCs w:val="24"/>
              </w:rPr>
            </w:pPr>
            <w:r>
              <w:rPr>
                <w:rFonts w:hint="eastAsia" w:ascii="仿宋" w:hAnsi="仿宋" w:eastAsia="仿宋" w:cs="仿宋"/>
                <w:sz w:val="24"/>
                <w:szCs w:val="24"/>
              </w:rPr>
              <w:t>通过本课程教学，培养学生良好的职业态度、职业意识、职业思维和职业精神，熟练掌握客户服务部对客户服务技能，逐步形成管理能力和创新能力，为在行业中的发展奠定坚实的基础。通过本课程教学，培养学生良好的职业态度、职业意识、职业思维和职业精神，熟练掌握客户服务部对客户服务技能，逐步形成管理能力和创新能力，为在行业中的发展奠定坚实的基础。</w:t>
            </w:r>
          </w:p>
        </w:tc>
        <w:tc>
          <w:tcPr>
            <w:tcW w:w="2777" w:type="dxa"/>
          </w:tcPr>
          <w:p>
            <w:pPr>
              <w:rPr>
                <w:rFonts w:ascii="仿宋" w:hAnsi="仿宋" w:eastAsia="仿宋" w:cs="仿宋"/>
                <w:color w:val="000000"/>
                <w:sz w:val="24"/>
                <w:szCs w:val="24"/>
              </w:rPr>
            </w:pPr>
            <w:r>
              <w:rPr>
                <w:rFonts w:hint="eastAsia" w:ascii="仿宋" w:hAnsi="仿宋" w:eastAsia="仿宋" w:cs="仿宋"/>
                <w:color w:val="000000"/>
                <w:sz w:val="24"/>
                <w:szCs w:val="24"/>
              </w:rPr>
              <w:t>客户关系管理与客户经营认知、调查客户信息、电话联系、上门拜访、产品演示、公关活动、售后服务、新客户开发、优质客户拓展、客户维护实施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4</w:t>
            </w:r>
          </w:p>
        </w:tc>
        <w:tc>
          <w:tcPr>
            <w:tcW w:w="1307"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汽车维修服务接待</w:t>
            </w:r>
          </w:p>
        </w:tc>
        <w:tc>
          <w:tcPr>
            <w:tcW w:w="3544"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通过学习汽车服务接待，使学生能描述汽车服务接待的工作流程，服务接待沟通方法、各车型主要维修项目和服务跟踪等知识，能够按照服务接待流程完成客户接待工作，并建立顾客档案进行跟踪服务。</w:t>
            </w:r>
          </w:p>
        </w:tc>
        <w:tc>
          <w:tcPr>
            <w:tcW w:w="2777"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汽车售后服务、服务理念、服务礼仪、客户关系管理、汽车维修管理、车辆识别与汽车配件管理、汽车维修合同、汽车维修服务流程、跟踪回访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5</w:t>
            </w:r>
          </w:p>
        </w:tc>
        <w:tc>
          <w:tcPr>
            <w:tcW w:w="1307"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汽车推销技巧</w:t>
            </w:r>
          </w:p>
        </w:tc>
        <w:tc>
          <w:tcPr>
            <w:tcW w:w="3544" w:type="dxa"/>
          </w:tcPr>
          <w:p>
            <w:pPr>
              <w:jc w:val="left"/>
              <w:rPr>
                <w:rFonts w:ascii="仿宋" w:hAnsi="仿宋" w:eastAsia="仿宋" w:cs="仿宋"/>
                <w:color w:val="000000"/>
                <w:sz w:val="24"/>
                <w:szCs w:val="24"/>
              </w:rPr>
            </w:pPr>
            <w:r>
              <w:rPr>
                <w:rFonts w:hint="eastAsia" w:ascii="仿宋" w:hAnsi="仿宋" w:eastAsia="仿宋" w:cs="仿宋"/>
                <w:sz w:val="24"/>
                <w:szCs w:val="24"/>
              </w:rPr>
              <w:t>掌握现场销售的基本技巧运用有效的方法实现汽车销售的目标。</w:t>
            </w:r>
          </w:p>
        </w:tc>
        <w:tc>
          <w:tcPr>
            <w:tcW w:w="2777"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销售业务过程、寻找潜在的顾客、售前准备、接待技巧、需求分析、车辆介绍、试乘试驾、异议处理、把握成交、交车、客户关系管理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6</w:t>
            </w:r>
          </w:p>
        </w:tc>
        <w:tc>
          <w:tcPr>
            <w:tcW w:w="1307" w:type="dxa"/>
          </w:tcPr>
          <w:p>
            <w:pPr>
              <w:jc w:val="left"/>
              <w:rPr>
                <w:rFonts w:ascii="仿宋" w:hAnsi="仿宋" w:eastAsia="仿宋" w:cs="仿宋"/>
                <w:color w:val="000000"/>
                <w:sz w:val="24"/>
                <w:szCs w:val="24"/>
              </w:rPr>
            </w:pPr>
            <w:r>
              <w:rPr>
                <w:rFonts w:hint="eastAsia" w:ascii="仿宋" w:hAnsi="仿宋" w:eastAsia="仿宋" w:cs="仿宋"/>
                <w:color w:val="000000"/>
                <w:kern w:val="0"/>
                <w:sz w:val="24"/>
                <w:szCs w:val="24"/>
              </w:rPr>
              <w:t>汽车保险与理赔</w:t>
            </w:r>
          </w:p>
        </w:tc>
        <w:tc>
          <w:tcPr>
            <w:tcW w:w="3544" w:type="dxa"/>
          </w:tcPr>
          <w:p>
            <w:pPr>
              <w:jc w:val="left"/>
              <w:rPr>
                <w:rFonts w:ascii="仿宋" w:hAnsi="仿宋" w:eastAsia="仿宋" w:cs="仿宋"/>
                <w:color w:val="000000"/>
                <w:sz w:val="24"/>
                <w:szCs w:val="24"/>
              </w:rPr>
            </w:pPr>
            <w:r>
              <w:rPr>
                <w:rFonts w:hint="eastAsia" w:ascii="仿宋" w:hAnsi="仿宋" w:eastAsia="仿宋" w:cs="仿宋"/>
                <w:sz w:val="24"/>
                <w:szCs w:val="24"/>
              </w:rPr>
              <w:t>培养学生汽车保险与理赔的意识和法律技能。</w:t>
            </w:r>
          </w:p>
        </w:tc>
        <w:tc>
          <w:tcPr>
            <w:tcW w:w="2777"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汽车保险基础知识、汽车保险合同、汽车保险基本险、汽车保险附加险、汽车保险投保实务、汽车保险理赔实务</w:t>
            </w:r>
          </w:p>
        </w:tc>
      </w:tr>
    </w:tbl>
    <w:p>
      <w:pPr>
        <w:overflowPunct w:val="0"/>
        <w:adjustRightInd w:val="0"/>
        <w:ind w:firstLine="640" w:firstLineChars="200"/>
        <w:outlineLvl w:val="0"/>
        <w:rPr>
          <w:rFonts w:ascii="仿宋" w:hAnsi="仿宋" w:eastAsia="仿宋"/>
          <w:szCs w:val="32"/>
          <w:highlight w:val="yellow"/>
        </w:rPr>
      </w:pPr>
    </w:p>
    <w:p>
      <w:pPr>
        <w:ind w:firstLine="640" w:firstLineChars="200"/>
        <w:rPr>
          <w:rFonts w:ascii="仿宋" w:hAnsi="仿宋" w:eastAsia="仿宋"/>
          <w:szCs w:val="32"/>
        </w:rPr>
      </w:pPr>
      <w:r>
        <w:rPr>
          <w:rFonts w:hint="eastAsia" w:ascii="仿宋" w:hAnsi="仿宋" w:eastAsia="仿宋"/>
          <w:szCs w:val="32"/>
        </w:rPr>
        <w:t>（3）主要实践性课程：专业基础技能实训、专业拓展技能实训、专业综合技能实训、毕业设计、毕业实习。</w:t>
      </w:r>
    </w:p>
    <w:p>
      <w:pPr>
        <w:ind w:firstLine="560" w:firstLineChars="200"/>
        <w:rPr>
          <w:rFonts w:ascii="仿宋" w:hAnsi="仿宋" w:eastAsia="仿宋"/>
          <w:szCs w:val="32"/>
        </w:rPr>
      </w:pPr>
      <w:r>
        <w:rPr>
          <w:rFonts w:hint="eastAsia" w:ascii="仿宋" w:hAnsi="仿宋" w:eastAsia="仿宋"/>
          <w:sz w:val="28"/>
          <w:szCs w:val="28"/>
        </w:rPr>
        <w:t>表3 主要实践课程描述表</w:t>
      </w:r>
    </w:p>
    <w:tbl>
      <w:tblPr>
        <w:tblStyle w:val="11"/>
        <w:tblW w:w="7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559"/>
        <w:gridCol w:w="2871"/>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序号</w:t>
            </w:r>
          </w:p>
        </w:tc>
        <w:tc>
          <w:tcPr>
            <w:tcW w:w="1559"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课程名称</w:t>
            </w:r>
          </w:p>
        </w:tc>
        <w:tc>
          <w:tcPr>
            <w:tcW w:w="2871"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课程目标</w:t>
            </w:r>
          </w:p>
        </w:tc>
        <w:tc>
          <w:tcPr>
            <w:tcW w:w="2799"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课程内容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1</w:t>
            </w:r>
          </w:p>
        </w:tc>
        <w:tc>
          <w:tcPr>
            <w:tcW w:w="1559" w:type="dxa"/>
          </w:tcPr>
          <w:p>
            <w:pPr>
              <w:jc w:val="center"/>
              <w:rPr>
                <w:rFonts w:ascii="仿宋" w:hAnsi="仿宋" w:eastAsia="仿宋" w:cs="仿宋"/>
                <w:color w:val="000000"/>
                <w:sz w:val="24"/>
                <w:szCs w:val="24"/>
              </w:rPr>
            </w:pPr>
            <w:r>
              <w:rPr>
                <w:rFonts w:hint="eastAsia" w:ascii="仿宋" w:hAnsi="仿宋" w:eastAsia="仿宋" w:cs="仿宋"/>
                <w:color w:val="000000"/>
                <w:kern w:val="0"/>
                <w:sz w:val="24"/>
                <w:szCs w:val="24"/>
              </w:rPr>
              <w:t>汽车销售综合实训</w:t>
            </w:r>
          </w:p>
        </w:tc>
        <w:tc>
          <w:tcPr>
            <w:tcW w:w="2871"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培养学生营销能力</w:t>
            </w:r>
          </w:p>
        </w:tc>
        <w:tc>
          <w:tcPr>
            <w:tcW w:w="2799" w:type="dxa"/>
          </w:tcPr>
          <w:p>
            <w:pPr>
              <w:jc w:val="left"/>
              <w:rPr>
                <w:rFonts w:ascii="仿宋" w:hAnsi="仿宋" w:eastAsia="仿宋" w:cs="仿宋"/>
                <w:color w:val="000000"/>
                <w:sz w:val="24"/>
                <w:szCs w:val="24"/>
              </w:rPr>
            </w:pPr>
            <w:r>
              <w:rPr>
                <w:rFonts w:hint="eastAsia" w:ascii="仿宋" w:hAnsi="仿宋" w:eastAsia="仿宋" w:cs="仿宋"/>
                <w:color w:val="000000"/>
                <w:kern w:val="0"/>
                <w:sz w:val="24"/>
                <w:szCs w:val="24"/>
              </w:rPr>
              <w:t>展厅接待、需求分析、产品介绍、试乘试驾、签约成交、交车流程、售后跟踪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2</w:t>
            </w:r>
          </w:p>
        </w:tc>
        <w:tc>
          <w:tcPr>
            <w:tcW w:w="1559" w:type="dxa"/>
          </w:tcPr>
          <w:p>
            <w:pPr>
              <w:jc w:val="center"/>
              <w:rPr>
                <w:rFonts w:ascii="仿宋" w:hAnsi="仿宋" w:eastAsia="仿宋" w:cs="仿宋"/>
                <w:color w:val="000000"/>
                <w:sz w:val="24"/>
                <w:szCs w:val="24"/>
              </w:rPr>
            </w:pPr>
            <w:r>
              <w:rPr>
                <w:rFonts w:hint="eastAsia" w:ascii="仿宋" w:hAnsi="仿宋" w:eastAsia="仿宋" w:cs="仿宋"/>
                <w:color w:val="000000"/>
                <w:kern w:val="0"/>
                <w:sz w:val="24"/>
                <w:szCs w:val="24"/>
              </w:rPr>
              <w:t>故障车维修接待实训</w:t>
            </w:r>
          </w:p>
        </w:tc>
        <w:tc>
          <w:tcPr>
            <w:tcW w:w="2871"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培养学生维修接待的能力</w:t>
            </w:r>
          </w:p>
        </w:tc>
        <w:tc>
          <w:tcPr>
            <w:tcW w:w="2799" w:type="dxa"/>
          </w:tcPr>
          <w:p>
            <w:pPr>
              <w:jc w:val="left"/>
              <w:rPr>
                <w:rFonts w:ascii="仿宋" w:hAnsi="仿宋" w:eastAsia="仿宋" w:cs="仿宋"/>
                <w:color w:val="000000"/>
                <w:sz w:val="24"/>
                <w:szCs w:val="24"/>
              </w:rPr>
            </w:pPr>
            <w:r>
              <w:rPr>
                <w:rFonts w:hint="eastAsia" w:ascii="仿宋" w:hAnsi="仿宋" w:eastAsia="仿宋" w:cs="仿宋"/>
                <w:color w:val="000000"/>
                <w:kern w:val="0"/>
                <w:sz w:val="24"/>
                <w:szCs w:val="24"/>
              </w:rPr>
              <w:t>故障车辆的接待、事故车辆的接待、返修车辆的接待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3</w:t>
            </w:r>
          </w:p>
        </w:tc>
        <w:tc>
          <w:tcPr>
            <w:tcW w:w="1559" w:type="dxa"/>
          </w:tcPr>
          <w:p>
            <w:pPr>
              <w:jc w:val="center"/>
              <w:rPr>
                <w:rFonts w:ascii="仿宋" w:hAnsi="仿宋" w:eastAsia="仿宋" w:cs="仿宋"/>
                <w:color w:val="000000"/>
                <w:sz w:val="24"/>
                <w:szCs w:val="24"/>
              </w:rPr>
            </w:pPr>
            <w:r>
              <w:rPr>
                <w:rFonts w:hint="eastAsia" w:ascii="仿宋" w:hAnsi="仿宋" w:eastAsia="仿宋" w:cs="仿宋"/>
                <w:color w:val="000000"/>
                <w:kern w:val="0"/>
                <w:sz w:val="24"/>
                <w:szCs w:val="24"/>
              </w:rPr>
              <w:t>汽车市场调查与营销实训</w:t>
            </w:r>
          </w:p>
        </w:tc>
        <w:tc>
          <w:tcPr>
            <w:tcW w:w="2871"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培养学生市场调查与营销策划的能力</w:t>
            </w:r>
          </w:p>
        </w:tc>
        <w:tc>
          <w:tcPr>
            <w:tcW w:w="2799" w:type="dxa"/>
          </w:tcPr>
          <w:p>
            <w:pPr>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集中，分组，指导老师讲解实训要求和实训安排；</w:t>
            </w:r>
          </w:p>
          <w:p>
            <w:pPr>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分组集中，指导老师检查调查进展，调查问卷的设计情况；</w:t>
            </w:r>
          </w:p>
          <w:p>
            <w:pPr>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学生进行调查，收集一手资料，指导老师应随时进行电话或利用其他方式进行跟踪；</w:t>
            </w:r>
          </w:p>
          <w:p>
            <w:pPr>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指导老师召集学生检查资料收集情况，各组进行调查实训的汇报；</w:t>
            </w:r>
          </w:p>
          <w:p>
            <w:pPr>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指导老师对学生上交策划方案或调查报告提出修改建议；</w:t>
            </w:r>
          </w:p>
          <w:p>
            <w:pPr>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学生修改调查报告。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4</w:t>
            </w:r>
          </w:p>
        </w:tc>
        <w:tc>
          <w:tcPr>
            <w:tcW w:w="1559" w:type="dxa"/>
          </w:tcPr>
          <w:p>
            <w:pPr>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毕业设计</w:t>
            </w:r>
          </w:p>
        </w:tc>
        <w:tc>
          <w:tcPr>
            <w:tcW w:w="2871"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 xml:space="preserve">   学生可以单独运用所学知识，独立完成论文写作</w:t>
            </w:r>
          </w:p>
        </w:tc>
        <w:tc>
          <w:tcPr>
            <w:tcW w:w="2799"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围绕课题，写论文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5</w:t>
            </w:r>
          </w:p>
        </w:tc>
        <w:tc>
          <w:tcPr>
            <w:tcW w:w="1559" w:type="dxa"/>
          </w:tcPr>
          <w:p>
            <w:pPr>
              <w:jc w:val="center"/>
              <w:rPr>
                <w:rFonts w:ascii="仿宋" w:hAnsi="仿宋" w:eastAsia="仿宋" w:cs="仿宋"/>
                <w:color w:val="000000"/>
                <w:sz w:val="24"/>
                <w:szCs w:val="24"/>
              </w:rPr>
            </w:pPr>
            <w:r>
              <w:rPr>
                <w:rFonts w:hint="eastAsia" w:ascii="仿宋" w:hAnsi="仿宋" w:eastAsia="仿宋" w:cs="仿宋"/>
                <w:color w:val="000000"/>
                <w:sz w:val="24"/>
                <w:szCs w:val="24"/>
              </w:rPr>
              <w:t>毕业实习</w:t>
            </w:r>
          </w:p>
        </w:tc>
        <w:tc>
          <w:tcPr>
            <w:tcW w:w="2871"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通过进入企业顶岗实习，熟悉企业文化，了解企业各种规范与制度，了解汽车企业的管理流程，熟悉接待流程，培养岗位工作能力，将学校的理论知识与实践现场结合起来，为学生顺利就业做好充分准备。</w:t>
            </w:r>
          </w:p>
        </w:tc>
        <w:tc>
          <w:tcPr>
            <w:tcW w:w="2799"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学生根据自己的职业规划和具体情况，可以选择汽车销售、维修、售后接待、保险销售等岗位，参与企业的相关岗位的具体工作，查缺补漏，强化和完善自己的知识体系。</w:t>
            </w:r>
          </w:p>
        </w:tc>
      </w:tr>
    </w:tbl>
    <w:p>
      <w:pPr>
        <w:overflowPunct w:val="0"/>
        <w:adjustRightInd w:val="0"/>
        <w:ind w:firstLine="640" w:firstLineChars="200"/>
        <w:outlineLvl w:val="0"/>
        <w:rPr>
          <w:rFonts w:ascii="仿宋" w:hAnsi="仿宋" w:eastAsia="仿宋"/>
          <w:szCs w:val="32"/>
          <w:highlight w:val="yellow"/>
        </w:rPr>
      </w:pPr>
    </w:p>
    <w:p>
      <w:pPr>
        <w:ind w:firstLine="640" w:firstLineChars="200"/>
        <w:rPr>
          <w:rFonts w:ascii="仿宋" w:hAnsi="仿宋" w:eastAsia="仿宋"/>
          <w:szCs w:val="32"/>
        </w:rPr>
      </w:pPr>
      <w:r>
        <w:rPr>
          <w:rFonts w:hint="eastAsia" w:ascii="仿宋" w:hAnsi="仿宋" w:eastAsia="仿宋"/>
          <w:szCs w:val="32"/>
        </w:rPr>
        <w:t>（4）主要专业限选课程：汽车备件经营与管理、汽车商务英语、汽车美容与装饰、职业健康、家用轿车选购与维修</w:t>
      </w:r>
    </w:p>
    <w:p>
      <w:pPr>
        <w:overflowPunct w:val="0"/>
        <w:adjustRightInd w:val="0"/>
        <w:outlineLvl w:val="0"/>
        <w:rPr>
          <w:rFonts w:hint="eastAsia" w:ascii="仿宋" w:hAnsi="仿宋" w:eastAsia="仿宋"/>
          <w:szCs w:val="32"/>
          <w:highlight w:val="yellow"/>
        </w:rPr>
      </w:pPr>
    </w:p>
    <w:p>
      <w:pPr>
        <w:overflowPunct w:val="0"/>
        <w:adjustRightInd w:val="0"/>
        <w:outlineLvl w:val="0"/>
        <w:rPr>
          <w:rFonts w:ascii="黑体" w:hAnsi="黑体" w:eastAsia="黑体"/>
          <w:sz w:val="36"/>
          <w:szCs w:val="36"/>
        </w:rPr>
      </w:pPr>
      <w:bookmarkStart w:id="10" w:name="_Toc90855097"/>
      <w:r>
        <w:rPr>
          <w:rFonts w:ascii="黑体" w:hAnsi="黑体" w:eastAsia="黑体"/>
          <w:sz w:val="36"/>
          <w:szCs w:val="36"/>
        </w:rPr>
        <w:t>七、教学进程总体安排</w:t>
      </w:r>
      <w:bookmarkEnd w:id="10"/>
    </w:p>
    <w:p>
      <w:pPr>
        <w:spacing w:line="320" w:lineRule="exact"/>
        <w:ind w:firstLine="480" w:firstLineChars="200"/>
        <w:rPr>
          <w:rFonts w:eastAsia="黑体"/>
          <w:bCs/>
          <w:sz w:val="28"/>
          <w:szCs w:val="28"/>
        </w:rPr>
      </w:pPr>
      <w:r>
        <w:rPr>
          <w:rFonts w:hint="eastAsia" w:ascii="黑体" w:hAnsi="黑体" w:eastAsia="黑体"/>
          <w:sz w:val="24"/>
          <w:szCs w:val="24"/>
        </w:rPr>
        <w:t>（一）</w:t>
      </w:r>
      <w:r>
        <w:rPr>
          <w:rFonts w:hint="eastAsia" w:eastAsia="黑体"/>
          <w:bCs/>
          <w:sz w:val="28"/>
          <w:szCs w:val="28"/>
        </w:rPr>
        <w:t>课程结构与学分（时）分布</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1"/>
        <w:gridCol w:w="610"/>
        <w:gridCol w:w="624"/>
        <w:gridCol w:w="743"/>
        <w:gridCol w:w="597"/>
        <w:gridCol w:w="745"/>
        <w:gridCol w:w="598"/>
        <w:gridCol w:w="743"/>
        <w:gridCol w:w="664"/>
        <w:gridCol w:w="642"/>
        <w:gridCol w:w="598"/>
        <w:gridCol w:w="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8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课程类别</w:t>
            </w:r>
          </w:p>
        </w:tc>
        <w:tc>
          <w:tcPr>
            <w:tcW w:w="610" w:type="dxa"/>
            <w:vMerge w:val="restar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w:t>
            </w:r>
          </w:p>
          <w:p>
            <w:pPr>
              <w:spacing w:line="320" w:lineRule="exact"/>
              <w:jc w:val="center"/>
              <w:rPr>
                <w:rFonts w:ascii="宋体" w:hAnsi="宋体"/>
                <w:color w:val="000000"/>
                <w:sz w:val="18"/>
                <w:szCs w:val="18"/>
              </w:rPr>
            </w:pPr>
            <w:r>
              <w:rPr>
                <w:rFonts w:hint="eastAsia" w:ascii="宋体" w:hAnsi="宋体"/>
                <w:color w:val="000000"/>
                <w:sz w:val="18"/>
                <w:szCs w:val="18"/>
              </w:rPr>
              <w:t>性质</w:t>
            </w:r>
          </w:p>
        </w:tc>
        <w:tc>
          <w:tcPr>
            <w:tcW w:w="2709" w:type="dxa"/>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理论</w:t>
            </w:r>
          </w:p>
        </w:tc>
        <w:tc>
          <w:tcPr>
            <w:tcW w:w="2647" w:type="dxa"/>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实践</w:t>
            </w:r>
          </w:p>
        </w:tc>
        <w:tc>
          <w:tcPr>
            <w:tcW w:w="1275" w:type="dxa"/>
            <w:gridSpan w:val="2"/>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61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18"/>
                <w:szCs w:val="18"/>
              </w:rPr>
            </w:pPr>
          </w:p>
        </w:tc>
        <w:tc>
          <w:tcPr>
            <w:tcW w:w="624"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743"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597"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学时数</w:t>
            </w:r>
          </w:p>
        </w:tc>
        <w:tc>
          <w:tcPr>
            <w:tcW w:w="745"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598"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743"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664"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数</w:t>
            </w:r>
          </w:p>
        </w:tc>
        <w:tc>
          <w:tcPr>
            <w:tcW w:w="6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598"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677"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8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公共基础课程</w:t>
            </w:r>
          </w:p>
        </w:tc>
        <w:tc>
          <w:tcPr>
            <w:tcW w:w="6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10.8%</w:t>
            </w:r>
          </w:p>
        </w:tc>
        <w:tc>
          <w:tcPr>
            <w:tcW w:w="59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302</w:t>
            </w:r>
          </w:p>
        </w:tc>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w:t>
            </w:r>
          </w:p>
        </w:tc>
        <w:tc>
          <w:tcPr>
            <w:tcW w:w="59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18</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12.2%</w:t>
            </w:r>
          </w:p>
        </w:tc>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356</w:t>
            </w:r>
          </w:p>
        </w:tc>
        <w:tc>
          <w:tcPr>
            <w:tcW w:w="64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w:t>
            </w:r>
          </w:p>
        </w:tc>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52.5</w:t>
            </w:r>
          </w:p>
        </w:tc>
        <w:tc>
          <w:tcPr>
            <w:tcW w:w="6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6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11.5</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7.8%</w:t>
            </w:r>
          </w:p>
        </w:tc>
        <w:tc>
          <w:tcPr>
            <w:tcW w:w="59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192</w:t>
            </w:r>
          </w:p>
        </w:tc>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w:t>
            </w:r>
          </w:p>
        </w:tc>
        <w:tc>
          <w:tcPr>
            <w:tcW w:w="59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4.7%</w:t>
            </w:r>
          </w:p>
        </w:tc>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114</w:t>
            </w:r>
          </w:p>
        </w:tc>
        <w:tc>
          <w:tcPr>
            <w:tcW w:w="64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w:t>
            </w:r>
          </w:p>
        </w:tc>
        <w:tc>
          <w:tcPr>
            <w:tcW w:w="59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c>
          <w:tcPr>
            <w:tcW w:w="6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8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专业课程</w:t>
            </w:r>
          </w:p>
        </w:tc>
        <w:tc>
          <w:tcPr>
            <w:tcW w:w="6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w:t>
            </w:r>
            <w:r>
              <w:rPr>
                <w:rFonts w:hint="eastAsia"/>
                <w:color w:val="000000"/>
                <w:sz w:val="18"/>
                <w:szCs w:val="18"/>
              </w:rPr>
              <w:t>5</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23.5%</w:t>
            </w:r>
          </w:p>
        </w:tc>
        <w:tc>
          <w:tcPr>
            <w:tcW w:w="59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736</w:t>
            </w:r>
          </w:p>
        </w:tc>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25%</w:t>
            </w:r>
          </w:p>
        </w:tc>
        <w:tc>
          <w:tcPr>
            <w:tcW w:w="59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50</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33.8%</w:t>
            </w:r>
          </w:p>
        </w:tc>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1058</w:t>
            </w:r>
          </w:p>
        </w:tc>
        <w:tc>
          <w:tcPr>
            <w:tcW w:w="64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35%</w:t>
            </w:r>
          </w:p>
        </w:tc>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95.5</w:t>
            </w:r>
          </w:p>
        </w:tc>
        <w:tc>
          <w:tcPr>
            <w:tcW w:w="6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6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5.7%</w:t>
            </w:r>
          </w:p>
        </w:tc>
        <w:tc>
          <w:tcPr>
            <w:tcW w:w="59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180</w:t>
            </w:r>
          </w:p>
        </w:tc>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w:t>
            </w:r>
          </w:p>
        </w:tc>
        <w:tc>
          <w:tcPr>
            <w:tcW w:w="59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w:t>
            </w:r>
            <w:r>
              <w:rPr>
                <w:rFonts w:hint="eastAsia"/>
                <w:color w:val="000000"/>
                <w:sz w:val="18"/>
                <w:szCs w:val="18"/>
              </w:rPr>
              <w:t>.5</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1.5%</w:t>
            </w:r>
          </w:p>
        </w:tc>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48</w:t>
            </w:r>
          </w:p>
        </w:tc>
        <w:tc>
          <w:tcPr>
            <w:tcW w:w="64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w:t>
            </w:r>
          </w:p>
        </w:tc>
        <w:tc>
          <w:tcPr>
            <w:tcW w:w="59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c>
          <w:tcPr>
            <w:tcW w:w="6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8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合计</w:t>
            </w:r>
          </w:p>
        </w:tc>
        <w:tc>
          <w:tcPr>
            <w:tcW w:w="6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w:t>
            </w:r>
            <w:r>
              <w:rPr>
                <w:rFonts w:hint="eastAsia"/>
                <w:color w:val="000000"/>
                <w:sz w:val="18"/>
                <w:szCs w:val="18"/>
              </w:rPr>
              <w:t>1</w:t>
            </w:r>
            <w:r>
              <w:rPr>
                <w:color w:val="000000"/>
                <w:sz w:val="18"/>
                <w:szCs w:val="18"/>
              </w:rPr>
              <w:t xml:space="preserve"> </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34.3%</w:t>
            </w:r>
          </w:p>
        </w:tc>
        <w:tc>
          <w:tcPr>
            <w:tcW w:w="59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1038</w:t>
            </w:r>
          </w:p>
        </w:tc>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35%</w:t>
            </w:r>
          </w:p>
        </w:tc>
        <w:tc>
          <w:tcPr>
            <w:tcW w:w="59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 xml:space="preserve">68 </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45.9%</w:t>
            </w:r>
          </w:p>
        </w:tc>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1414</w:t>
            </w:r>
          </w:p>
        </w:tc>
        <w:tc>
          <w:tcPr>
            <w:tcW w:w="64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47%</w:t>
            </w:r>
          </w:p>
        </w:tc>
        <w:tc>
          <w:tcPr>
            <w:tcW w:w="59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148</w:t>
            </w:r>
          </w:p>
        </w:tc>
        <w:tc>
          <w:tcPr>
            <w:tcW w:w="6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610"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62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20</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13.5%</w:t>
            </w:r>
          </w:p>
        </w:tc>
        <w:tc>
          <w:tcPr>
            <w:tcW w:w="59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372</w:t>
            </w:r>
          </w:p>
        </w:tc>
        <w:tc>
          <w:tcPr>
            <w:tcW w:w="7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w:t>
            </w:r>
          </w:p>
        </w:tc>
        <w:tc>
          <w:tcPr>
            <w:tcW w:w="59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 xml:space="preserve">9 </w:t>
            </w:r>
          </w:p>
        </w:tc>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6.3%</w:t>
            </w:r>
          </w:p>
        </w:tc>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162</w:t>
            </w:r>
          </w:p>
        </w:tc>
        <w:tc>
          <w:tcPr>
            <w:tcW w:w="64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w:t>
            </w:r>
          </w:p>
        </w:tc>
        <w:tc>
          <w:tcPr>
            <w:tcW w:w="5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sz w:val="18"/>
                <w:szCs w:val="18"/>
              </w:rPr>
            </w:pPr>
          </w:p>
        </w:tc>
        <w:tc>
          <w:tcPr>
            <w:tcW w:w="677" w:type="dxa"/>
            <w:vMerge w:val="continue"/>
            <w:tcBorders>
              <w:top w:val="single" w:color="auto" w:sz="4" w:space="0"/>
              <w:left w:val="nil"/>
              <w:bottom w:val="single" w:color="auto" w:sz="4" w:space="0"/>
              <w:right w:val="single" w:color="auto" w:sz="4" w:space="0"/>
            </w:tcBorders>
            <w:vAlign w:val="center"/>
          </w:tcPr>
          <w:p>
            <w:pPr>
              <w:widowControl/>
              <w:jc w:val="left"/>
              <w:rPr>
                <w:color w:val="000000"/>
                <w:sz w:val="18"/>
                <w:szCs w:val="18"/>
              </w:rPr>
            </w:pPr>
          </w:p>
        </w:tc>
      </w:tr>
    </w:tbl>
    <w:p>
      <w:pPr>
        <w:spacing w:line="320" w:lineRule="exact"/>
        <w:rPr>
          <w:rFonts w:eastAsia="黑体"/>
          <w:bCs/>
          <w:sz w:val="28"/>
          <w:szCs w:val="28"/>
        </w:rPr>
      </w:pPr>
    </w:p>
    <w:p>
      <w:pPr>
        <w:overflowPunct w:val="0"/>
        <w:adjustRightInd w:val="0"/>
        <w:ind w:firstLine="480" w:firstLineChars="200"/>
        <w:outlineLvl w:val="0"/>
        <w:rPr>
          <w:rFonts w:ascii="黑体" w:hAnsi="黑体" w:eastAsia="黑体"/>
          <w:sz w:val="24"/>
          <w:szCs w:val="24"/>
        </w:rPr>
        <w:sectPr>
          <w:pgSz w:w="11906" w:h="16838"/>
          <w:pgMar w:top="1440" w:right="1800" w:bottom="1440" w:left="1800" w:header="851" w:footer="992" w:gutter="0"/>
          <w:cols w:space="425" w:num="1"/>
          <w:docGrid w:type="lines" w:linePitch="312" w:charSpace="0"/>
        </w:sectPr>
      </w:pPr>
    </w:p>
    <w:p>
      <w:pPr>
        <w:spacing w:line="320" w:lineRule="exact"/>
        <w:ind w:firstLine="560" w:firstLineChars="200"/>
        <w:rPr>
          <w:rFonts w:eastAsia="黑体"/>
          <w:bCs/>
          <w:sz w:val="28"/>
          <w:szCs w:val="28"/>
        </w:rPr>
      </w:pPr>
      <w:r>
        <w:rPr>
          <w:rFonts w:hint="eastAsia" w:eastAsia="黑体"/>
          <w:bCs/>
          <w:sz w:val="28"/>
          <w:szCs w:val="28"/>
        </w:rPr>
        <w:t>（二）教学计划进程</w:t>
      </w:r>
    </w:p>
    <w:p>
      <w:pPr>
        <w:overflowPunct w:val="0"/>
        <w:adjustRightInd w:val="0"/>
        <w:outlineLvl w:val="0"/>
        <w:rPr>
          <w:rFonts w:ascii="黑体" w:hAnsi="黑体" w:eastAsia="黑体"/>
          <w:sz w:val="24"/>
          <w:szCs w:val="24"/>
        </w:rPr>
      </w:pPr>
    </w:p>
    <w:tbl>
      <w:tblPr>
        <w:tblStyle w:val="11"/>
        <w:tblW w:w="5000" w:type="pct"/>
        <w:jc w:val="center"/>
        <w:tblLayout w:type="autofit"/>
        <w:tblCellMar>
          <w:top w:w="0" w:type="dxa"/>
          <w:left w:w="108" w:type="dxa"/>
          <w:bottom w:w="0" w:type="dxa"/>
          <w:right w:w="108" w:type="dxa"/>
        </w:tblCellMar>
      </w:tblPr>
      <w:tblGrid>
        <w:gridCol w:w="381"/>
        <w:gridCol w:w="381"/>
        <w:gridCol w:w="389"/>
        <w:gridCol w:w="960"/>
        <w:gridCol w:w="712"/>
        <w:gridCol w:w="644"/>
        <w:gridCol w:w="644"/>
        <w:gridCol w:w="563"/>
        <w:gridCol w:w="563"/>
        <w:gridCol w:w="381"/>
        <w:gridCol w:w="381"/>
        <w:gridCol w:w="381"/>
        <w:gridCol w:w="381"/>
        <w:gridCol w:w="381"/>
        <w:gridCol w:w="381"/>
        <w:gridCol w:w="389"/>
        <w:gridCol w:w="382"/>
        <w:gridCol w:w="222"/>
      </w:tblGrid>
      <w:tr>
        <w:tblPrEx>
          <w:tblCellMar>
            <w:top w:w="0" w:type="dxa"/>
            <w:left w:w="108" w:type="dxa"/>
            <w:bottom w:w="0" w:type="dxa"/>
            <w:right w:w="108" w:type="dxa"/>
          </w:tblCellMar>
        </w:tblPrEx>
        <w:trPr>
          <w:gridAfter w:val="1"/>
          <w:wAfter w:w="101" w:type="pct"/>
          <w:trHeight w:val="624" w:hRule="atLeast"/>
          <w:jc w:val="center"/>
        </w:trPr>
        <w:tc>
          <w:tcPr>
            <w:tcW w:w="547"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课程类型</w:t>
            </w:r>
          </w:p>
        </w:tc>
        <w:tc>
          <w:tcPr>
            <w:tcW w:w="20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序号</w:t>
            </w:r>
          </w:p>
        </w:tc>
        <w:tc>
          <w:tcPr>
            <w:tcW w:w="52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课程代码</w:t>
            </w:r>
          </w:p>
        </w:tc>
        <w:tc>
          <w:tcPr>
            <w:tcW w:w="69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课程名称</w:t>
            </w:r>
          </w:p>
        </w:tc>
        <w:tc>
          <w:tcPr>
            <w:tcW w:w="31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学分</w:t>
            </w:r>
          </w:p>
        </w:tc>
        <w:tc>
          <w:tcPr>
            <w:tcW w:w="908"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教学学时数</w:t>
            </w:r>
          </w:p>
        </w:tc>
        <w:tc>
          <w:tcPr>
            <w:tcW w:w="1163" w:type="pct"/>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开课学期和周学时</w:t>
            </w:r>
          </w:p>
        </w:tc>
        <w:tc>
          <w:tcPr>
            <w:tcW w:w="34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考核类型</w:t>
            </w:r>
          </w:p>
        </w:tc>
        <w:tc>
          <w:tcPr>
            <w:tcW w:w="19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备注</w:t>
            </w:r>
          </w:p>
        </w:tc>
      </w:tr>
      <w:tr>
        <w:tblPrEx>
          <w:tblCellMar>
            <w:top w:w="0" w:type="dxa"/>
            <w:left w:w="108" w:type="dxa"/>
            <w:bottom w:w="0" w:type="dxa"/>
            <w:right w:w="108" w:type="dxa"/>
          </w:tblCellMar>
        </w:tblPrEx>
        <w:trPr>
          <w:trHeight w:val="300" w:hRule="atLeast"/>
          <w:jc w:val="center"/>
        </w:trPr>
        <w:tc>
          <w:tcPr>
            <w:tcW w:w="54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52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6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908"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63" w:type="pct"/>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4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tcBorders>
              <w:top w:val="nil"/>
              <w:left w:val="nil"/>
              <w:bottom w:val="nil"/>
              <w:right w:val="nil"/>
            </w:tcBorders>
            <w:shd w:val="clear" w:color="auto" w:fill="auto"/>
            <w:noWrap/>
            <w:vAlign w:val="center"/>
          </w:tcPr>
          <w:p>
            <w:pPr>
              <w:widowControl/>
              <w:jc w:val="left"/>
              <w:rPr>
                <w:rFonts w:ascii="等线" w:hAnsi="等线" w:eastAsia="等线" w:cs="宋体"/>
                <w:b/>
                <w:bCs/>
                <w:color w:val="000000"/>
                <w:kern w:val="0"/>
                <w:sz w:val="21"/>
                <w:szCs w:val="21"/>
              </w:rPr>
            </w:pPr>
          </w:p>
        </w:tc>
      </w:tr>
      <w:tr>
        <w:tblPrEx>
          <w:tblCellMar>
            <w:top w:w="0" w:type="dxa"/>
            <w:left w:w="108" w:type="dxa"/>
            <w:bottom w:w="0" w:type="dxa"/>
            <w:right w:w="108" w:type="dxa"/>
          </w:tblCellMar>
        </w:tblPrEx>
        <w:trPr>
          <w:trHeight w:val="840" w:hRule="atLeast"/>
          <w:jc w:val="center"/>
        </w:trPr>
        <w:tc>
          <w:tcPr>
            <w:tcW w:w="547"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52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69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合计</w:t>
            </w:r>
          </w:p>
        </w:tc>
        <w:tc>
          <w:tcPr>
            <w:tcW w:w="2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理论学时</w:t>
            </w:r>
          </w:p>
        </w:tc>
        <w:tc>
          <w:tcPr>
            <w:tcW w:w="299"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实践学时</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二</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三</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四</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五</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六</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840" w:hRule="atLeast"/>
          <w:jc w:val="center"/>
        </w:trPr>
        <w:tc>
          <w:tcPr>
            <w:tcW w:w="354"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公共基础课</w:t>
            </w:r>
          </w:p>
        </w:tc>
        <w:tc>
          <w:tcPr>
            <w:tcW w:w="194"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必修课</w:t>
            </w: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10B110621</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毛泽东思想和中国特色社会主义理论体系概论</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510"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10B110821</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形势与政策</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24</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163"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1到4学期开课，每学期8学时。</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10B110521</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思想道德与法治</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30</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450"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10B111321</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大学体育</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108</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10B111221</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军事理论</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300"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10B111222</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军事技能</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1163"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第1学期，实际训练时间不少于2周。</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480"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10B119820</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大学生心理健康教育</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8</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10B110121</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大学英语</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144</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88</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56</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9</w:t>
            </w:r>
          </w:p>
        </w:tc>
        <w:tc>
          <w:tcPr>
            <w:tcW w:w="528"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10B111721</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计算机基础</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450"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10</w:t>
            </w:r>
          </w:p>
        </w:tc>
        <w:tc>
          <w:tcPr>
            <w:tcW w:w="528"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10B111221</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职业发展与就业指导</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300"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限定选修课</w:t>
            </w: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10B111223</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大学生安全教育</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10B111230</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大学生文化修养</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10B111225</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应用文写作</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10B111226</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职业素质养成</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10B111227</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演讲与口才</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10B111228</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中国共产党党史</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642"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10B111229</w:t>
            </w:r>
          </w:p>
        </w:tc>
        <w:tc>
          <w:tcPr>
            <w:tcW w:w="6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就业创业指导课（SIYB创业指导）</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2.5</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40</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restart"/>
            <w:tcBorders>
              <w:top w:val="nil"/>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任选课</w:t>
            </w:r>
          </w:p>
        </w:tc>
        <w:tc>
          <w:tcPr>
            <w:tcW w:w="1430"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 鼓励各二级学院、各部门根据教学和师资情况，开设其他新的公共选修课；</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2. 从教务处公布的全校性公共选修课目录中选修。</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3.这里写总学分学时。</w:t>
            </w:r>
          </w:p>
        </w:tc>
        <w:tc>
          <w:tcPr>
            <w:tcW w:w="31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299"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299"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1163" w:type="pct"/>
            <w:gridSpan w:val="6"/>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一般安排在第二至四学期开设；</w:t>
            </w:r>
          </w:p>
        </w:tc>
        <w:tc>
          <w:tcPr>
            <w:tcW w:w="34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1410"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430"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99"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99"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63" w:type="pct"/>
            <w:gridSpan w:val="6"/>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仿宋_GB2312" w:hAnsi="仿宋_GB2312" w:cs="仿宋_GB2312"/>
                <w:kern w:val="0"/>
                <w:sz w:val="21"/>
                <w:szCs w:val="21"/>
              </w:rPr>
            </w:pPr>
          </w:p>
        </w:tc>
        <w:tc>
          <w:tcPr>
            <w:tcW w:w="34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tcBorders>
              <w:top w:val="nil"/>
              <w:left w:val="nil"/>
              <w:bottom w:val="nil"/>
              <w:right w:val="nil"/>
            </w:tcBorders>
            <w:shd w:val="clear" w:color="auto" w:fill="auto"/>
            <w:noWrap/>
            <w:vAlign w:val="center"/>
          </w:tcPr>
          <w:p>
            <w:pPr>
              <w:widowControl/>
              <w:jc w:val="center"/>
              <w:rPr>
                <w:rFonts w:ascii="等线" w:hAnsi="等线" w:eastAsia="等线" w:cs="宋体"/>
                <w:color w:val="000000"/>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color w:val="FF0000"/>
                <w:kern w:val="0"/>
                <w:sz w:val="21"/>
                <w:szCs w:val="21"/>
              </w:rPr>
            </w:pPr>
          </w:p>
        </w:tc>
        <w:tc>
          <w:tcPr>
            <w:tcW w:w="1430"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第二课堂</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64</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0</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64</w:t>
            </w:r>
          </w:p>
        </w:tc>
        <w:tc>
          <w:tcPr>
            <w:tcW w:w="1163" w:type="pct"/>
            <w:gridSpan w:val="6"/>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此学分为毕业资格学分，不计入收费学分。</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2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公共必修课程学分、学时小计</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34</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658</w:t>
            </w:r>
          </w:p>
        </w:tc>
        <w:tc>
          <w:tcPr>
            <w:tcW w:w="299"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302</w:t>
            </w:r>
          </w:p>
        </w:tc>
        <w:tc>
          <w:tcPr>
            <w:tcW w:w="299"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356</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2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公共必修课程学分、学时占比</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r>
              <w:rPr>
                <w:rFonts w:hint="eastAsia" w:eastAsia="等线"/>
                <w:color w:val="000000"/>
                <w:sz w:val="21"/>
                <w:szCs w:val="21"/>
              </w:rPr>
              <w:t>23%</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r>
              <w:rPr>
                <w:rFonts w:hint="eastAsia" w:eastAsia="等线"/>
                <w:color w:val="000000"/>
                <w:sz w:val="21"/>
                <w:szCs w:val="21"/>
              </w:rPr>
              <w:t>22%</w:t>
            </w:r>
          </w:p>
        </w:tc>
        <w:tc>
          <w:tcPr>
            <w:tcW w:w="299"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299"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2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公共选修课程学分、学时小计</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18.5</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306</w:t>
            </w:r>
          </w:p>
        </w:tc>
        <w:tc>
          <w:tcPr>
            <w:tcW w:w="299"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192</w:t>
            </w:r>
          </w:p>
        </w:tc>
        <w:tc>
          <w:tcPr>
            <w:tcW w:w="299"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114</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2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公共选修课程学分、学时占比</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12.5%　</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10.2%　</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99"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专业课</w:t>
            </w:r>
          </w:p>
        </w:tc>
        <w:tc>
          <w:tcPr>
            <w:tcW w:w="194"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xml:space="preserve">  专业基础课</w:t>
            </w: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02110B2224</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沟通技巧</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24</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12</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480"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02100B2255</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汽车机械识图</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72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48</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02110B2225</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礼仪基础</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24</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12</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02110B2222</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汽车运用基础</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0</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02100B2261</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汽车电器与电子控制系统</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72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48</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02100B2357</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汽车底盘构造与维修</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72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48</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24</w:t>
            </w:r>
          </w:p>
        </w:tc>
        <w:tc>
          <w:tcPr>
            <w:tcW w:w="194"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nil"/>
              <w:right w:val="nil"/>
            </w:tcBorders>
            <w:shd w:val="clear" w:color="auto" w:fill="auto"/>
            <w:noWrap/>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nil"/>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7</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02100B2354</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汽车发动机构造与维修</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72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48</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8</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02110B2227</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二手车鉴定与评估</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30</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6</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9</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02106B2238</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汽车新能源概论</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72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72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0</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　</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10</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02100B2260</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汽车文化</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30</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6</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　</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480"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11</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02110B2223</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消费心理学</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72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52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20</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专业核心课</w:t>
            </w: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02110B2228</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汽车营销基础</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72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48</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480"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02110B2329</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客户关系管理</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0</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480"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02110B2330</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汽车维修服务接待</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72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52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20</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480"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02110B2331</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汽车推销技巧</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72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02110B2332</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汽车保险与理赔</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72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48</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480"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02110B233</w:t>
            </w:r>
            <w:r>
              <w:rPr>
                <w:rFonts w:hint="eastAsia"/>
                <w:color w:val="000000"/>
                <w:sz w:val="22"/>
              </w:rPr>
              <w:t>3</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汽车车险查勘定损</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72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专业实践教学环节</w:t>
            </w: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02100C2265</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专业认知学习</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30</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0</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30</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194" w:type="pct"/>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02110C2334</w:t>
            </w:r>
          </w:p>
        </w:tc>
        <w:tc>
          <w:tcPr>
            <w:tcW w:w="6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汽车市场调查及营销实训</w:t>
            </w:r>
          </w:p>
        </w:tc>
        <w:tc>
          <w:tcPr>
            <w:tcW w:w="31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24</w:t>
            </w:r>
          </w:p>
        </w:tc>
        <w:tc>
          <w:tcPr>
            <w:tcW w:w="29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0</w:t>
            </w:r>
          </w:p>
        </w:tc>
        <w:tc>
          <w:tcPr>
            <w:tcW w:w="29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24</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19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02110C2335</w:t>
            </w:r>
          </w:p>
        </w:tc>
        <w:tc>
          <w:tcPr>
            <w:tcW w:w="6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社会调查</w:t>
            </w:r>
          </w:p>
        </w:tc>
        <w:tc>
          <w:tcPr>
            <w:tcW w:w="31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2.5</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40</w:t>
            </w:r>
          </w:p>
        </w:tc>
        <w:tc>
          <w:tcPr>
            <w:tcW w:w="29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0</w:t>
            </w:r>
          </w:p>
        </w:tc>
        <w:tc>
          <w:tcPr>
            <w:tcW w:w="29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40</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02110C2336</w:t>
            </w:r>
          </w:p>
        </w:tc>
        <w:tc>
          <w:tcPr>
            <w:tcW w:w="6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故障车维修接待实训</w:t>
            </w:r>
          </w:p>
        </w:tc>
        <w:tc>
          <w:tcPr>
            <w:tcW w:w="31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0</w:t>
            </w:r>
          </w:p>
        </w:tc>
        <w:tc>
          <w:tcPr>
            <w:tcW w:w="29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5</w:t>
            </w: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02110C2337</w:t>
            </w:r>
          </w:p>
        </w:tc>
        <w:tc>
          <w:tcPr>
            <w:tcW w:w="6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汽车销售综合实训</w:t>
            </w:r>
          </w:p>
        </w:tc>
        <w:tc>
          <w:tcPr>
            <w:tcW w:w="31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0</w:t>
            </w:r>
          </w:p>
        </w:tc>
        <w:tc>
          <w:tcPr>
            <w:tcW w:w="29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10B110021</w:t>
            </w:r>
          </w:p>
        </w:tc>
        <w:tc>
          <w:tcPr>
            <w:tcW w:w="69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毕业设计</w:t>
            </w:r>
          </w:p>
        </w:tc>
        <w:tc>
          <w:tcPr>
            <w:tcW w:w="31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5</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80</w:t>
            </w:r>
          </w:p>
        </w:tc>
        <w:tc>
          <w:tcPr>
            <w:tcW w:w="29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29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60</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8</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4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7</w:t>
            </w: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10C112121</w:t>
            </w:r>
          </w:p>
        </w:tc>
        <w:tc>
          <w:tcPr>
            <w:tcW w:w="69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顶岗实习</w:t>
            </w:r>
          </w:p>
        </w:tc>
        <w:tc>
          <w:tcPr>
            <w:tcW w:w="31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10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29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299"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4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19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510"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专业选修课</w:t>
            </w: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02110B2226</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汽车备件经营与管理</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48</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34</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14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02110B2338</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汽车商务英语</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24</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12</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02110B2339</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汽车美容与装饰</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72</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50</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22</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02110B2340</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职业健康</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0</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765" w:hRule="atLeast"/>
          <w:jc w:val="center"/>
        </w:trPr>
        <w:tc>
          <w:tcPr>
            <w:tcW w:w="35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94"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52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02110B2341</w:t>
            </w:r>
          </w:p>
        </w:tc>
        <w:tc>
          <w:tcPr>
            <w:tcW w:w="6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家用轿车选购与维修</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36</w:t>
            </w:r>
          </w:p>
        </w:tc>
        <w:tc>
          <w:tcPr>
            <w:tcW w:w="299"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0</w:t>
            </w:r>
          </w:p>
        </w:tc>
        <w:tc>
          <w:tcPr>
            <w:tcW w:w="19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19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347"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2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专业必修课程学分、学时小计</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81.5</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1794</w:t>
            </w:r>
          </w:p>
        </w:tc>
        <w:tc>
          <w:tcPr>
            <w:tcW w:w="299"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736</w:t>
            </w:r>
          </w:p>
        </w:tc>
        <w:tc>
          <w:tcPr>
            <w:tcW w:w="299"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1058</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2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专业必修课程学分、学时占比</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55.1%</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60.1%</w:t>
            </w:r>
          </w:p>
        </w:tc>
        <w:tc>
          <w:tcPr>
            <w:tcW w:w="299"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99"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2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专业选修课程学分、学时小计</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14</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228</w:t>
            </w:r>
          </w:p>
        </w:tc>
        <w:tc>
          <w:tcPr>
            <w:tcW w:w="299"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180</w:t>
            </w:r>
          </w:p>
        </w:tc>
        <w:tc>
          <w:tcPr>
            <w:tcW w:w="299"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48</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2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专业选修课程学分、学时占比</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9.5%</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7.6%</w:t>
            </w:r>
          </w:p>
        </w:tc>
        <w:tc>
          <w:tcPr>
            <w:tcW w:w="299"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99"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trHeight w:val="285" w:hRule="atLeast"/>
          <w:jc w:val="center"/>
        </w:trPr>
        <w:tc>
          <w:tcPr>
            <w:tcW w:w="354"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24"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总学分、学时合计</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148</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2986</w:t>
            </w:r>
          </w:p>
        </w:tc>
        <w:tc>
          <w:tcPr>
            <w:tcW w:w="299"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1410</w:t>
            </w:r>
          </w:p>
        </w:tc>
        <w:tc>
          <w:tcPr>
            <w:tcW w:w="299"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1576</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47"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94"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01" w:type="pct"/>
            <w:vAlign w:val="center"/>
          </w:tcPr>
          <w:p>
            <w:pPr>
              <w:widowControl/>
              <w:jc w:val="left"/>
              <w:rPr>
                <w:rFonts w:eastAsia="Times New Roman"/>
                <w:kern w:val="0"/>
                <w:sz w:val="21"/>
                <w:szCs w:val="21"/>
              </w:rPr>
            </w:pPr>
          </w:p>
        </w:tc>
      </w:tr>
    </w:tbl>
    <w:p>
      <w:pPr>
        <w:overflowPunct w:val="0"/>
        <w:adjustRightInd w:val="0"/>
        <w:outlineLvl w:val="0"/>
        <w:rPr>
          <w:rFonts w:ascii="黑体" w:hAnsi="黑体" w:eastAsia="黑体"/>
          <w:sz w:val="36"/>
          <w:szCs w:val="36"/>
        </w:rPr>
      </w:pPr>
      <w:bookmarkStart w:id="11" w:name="_Toc90855098"/>
      <w:r>
        <w:rPr>
          <w:rFonts w:ascii="黑体" w:hAnsi="黑体" w:eastAsia="黑体"/>
          <w:sz w:val="36"/>
          <w:szCs w:val="36"/>
        </w:rPr>
        <w:t>八、实施保障</w:t>
      </w:r>
      <w:bookmarkEnd w:id="11"/>
    </w:p>
    <w:p>
      <w:pPr>
        <w:overflowPunct w:val="0"/>
        <w:adjustRightInd w:val="0"/>
        <w:ind w:firstLine="640" w:firstLineChars="200"/>
        <w:outlineLvl w:val="0"/>
        <w:rPr>
          <w:rFonts w:ascii="黑体" w:hAnsi="黑体" w:eastAsia="黑体" w:cs="黑体"/>
          <w:szCs w:val="32"/>
        </w:rPr>
      </w:pPr>
      <w:bookmarkStart w:id="12" w:name="_Toc90855099"/>
      <w:r>
        <w:rPr>
          <w:rFonts w:hint="eastAsia" w:ascii="黑体" w:hAnsi="黑体" w:eastAsia="黑体" w:cs="黑体"/>
          <w:szCs w:val="32"/>
        </w:rPr>
        <w:t>（一）教学基本条件</w:t>
      </w:r>
      <w:bookmarkEnd w:id="12"/>
    </w:p>
    <w:p>
      <w:pPr>
        <w:ind w:firstLine="643" w:firstLineChars="200"/>
        <w:rPr>
          <w:rFonts w:ascii="仿宋" w:hAnsi="仿宋" w:eastAsia="仿宋"/>
          <w:b/>
          <w:bCs/>
          <w:szCs w:val="32"/>
        </w:rPr>
      </w:pPr>
      <w:r>
        <w:rPr>
          <w:rFonts w:hint="eastAsia" w:ascii="仿宋" w:hAnsi="仿宋" w:eastAsia="仿宋"/>
          <w:b/>
          <w:bCs/>
          <w:szCs w:val="32"/>
        </w:rPr>
        <w:t>1、师资队伍</w:t>
      </w:r>
    </w:p>
    <w:p>
      <w:pPr>
        <w:ind w:firstLine="640" w:firstLineChars="200"/>
        <w:rPr>
          <w:rFonts w:ascii="仿宋" w:hAnsi="仿宋" w:eastAsia="仿宋"/>
          <w:szCs w:val="32"/>
        </w:rPr>
      </w:pPr>
      <w:r>
        <w:rPr>
          <w:rFonts w:hint="eastAsia" w:ascii="仿宋" w:hAnsi="仿宋" w:eastAsia="仿宋"/>
          <w:szCs w:val="32"/>
        </w:rPr>
        <w:t>汽车技术服务与营销专业现有专任教师6人。专任教师中有硕士及以上学历1人，教授1人，副高职称2人，近5年参加各类竞赛或指导学生参赛累计获奖30多人次。</w:t>
      </w:r>
    </w:p>
    <w:p>
      <w:pPr>
        <w:ind w:firstLine="643" w:firstLineChars="200"/>
        <w:rPr>
          <w:rFonts w:ascii="仿宋" w:hAnsi="仿宋" w:eastAsia="仿宋"/>
          <w:b/>
          <w:bCs/>
          <w:szCs w:val="32"/>
        </w:rPr>
      </w:pPr>
      <w:r>
        <w:rPr>
          <w:rFonts w:hint="eastAsia" w:ascii="仿宋" w:hAnsi="仿宋" w:eastAsia="仿宋"/>
          <w:b/>
          <w:bCs/>
          <w:szCs w:val="32"/>
        </w:rPr>
        <w:t>2、教学设施</w:t>
      </w:r>
    </w:p>
    <w:p>
      <w:pPr>
        <w:ind w:firstLine="640" w:firstLineChars="200"/>
        <w:rPr>
          <w:rFonts w:ascii="仿宋" w:hAnsi="仿宋" w:eastAsia="仿宋"/>
          <w:szCs w:val="32"/>
        </w:rPr>
      </w:pPr>
      <w:r>
        <w:rPr>
          <w:rFonts w:hint="eastAsia" w:ascii="仿宋" w:hAnsi="仿宋" w:eastAsia="仿宋"/>
          <w:szCs w:val="32"/>
        </w:rPr>
        <w:t>专业教室情况、校内实训室情况、校外实训基地情况等</w:t>
      </w:r>
    </w:p>
    <w:p>
      <w:pPr>
        <w:ind w:firstLine="640" w:firstLineChars="200"/>
        <w:rPr>
          <w:rFonts w:ascii="仿宋" w:hAnsi="仿宋" w:eastAsia="仿宋"/>
          <w:szCs w:val="32"/>
        </w:rPr>
      </w:pPr>
      <w:r>
        <w:rPr>
          <w:rFonts w:hint="eastAsia" w:ascii="仿宋" w:hAnsi="仿宋" w:eastAsia="仿宋"/>
          <w:szCs w:val="32"/>
        </w:rPr>
        <w:t>汽车4S模拟实训室、汽车实训车间、汽车美容车间等；校外实习实训基地2个。</w:t>
      </w:r>
    </w:p>
    <w:p>
      <w:pPr>
        <w:ind w:firstLine="640" w:firstLineChars="200"/>
        <w:rPr>
          <w:rFonts w:ascii="仿宋" w:hAnsi="仿宋" w:eastAsia="仿宋"/>
          <w:szCs w:val="32"/>
        </w:rPr>
      </w:pPr>
      <w:r>
        <w:rPr>
          <w:rFonts w:hint="eastAsia" w:ascii="仿宋" w:hAnsi="仿宋" w:eastAsia="仿宋"/>
          <w:szCs w:val="32"/>
        </w:rPr>
        <w:t>校内实训室如图所示：</w:t>
      </w:r>
    </w:p>
    <w:p>
      <w:pPr>
        <w:ind w:firstLine="3132" w:firstLineChars="1300"/>
        <w:rPr>
          <w:rFonts w:ascii="仿宋" w:hAnsi="仿宋" w:eastAsia="仿宋" w:cs="仿宋"/>
          <w:b/>
          <w:color w:val="000000"/>
          <w:kern w:val="0"/>
          <w:sz w:val="24"/>
          <w:szCs w:val="24"/>
        </w:rPr>
      </w:pPr>
      <w:r>
        <w:rPr>
          <w:rFonts w:hint="eastAsia" w:ascii="仿宋" w:hAnsi="仿宋" w:eastAsia="仿宋" w:cs="仿宋"/>
          <w:b/>
          <w:color w:val="000000"/>
          <w:kern w:val="0"/>
          <w:sz w:val="24"/>
          <w:szCs w:val="24"/>
        </w:rPr>
        <w:t>校内实训室一览表表</w:t>
      </w:r>
    </w:p>
    <w:tbl>
      <w:tblPr>
        <w:tblStyle w:val="11"/>
        <w:tblpPr w:leftFromText="1" w:topFromText="1" w:vertAnchor="text" w:tblpX="85" w:tblpY="68"/>
        <w:tblW w:w="8522"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92"/>
        <w:gridCol w:w="3797"/>
        <w:gridCol w:w="393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792" w:type="dxa"/>
            <w:tcBorders>
              <w:top w:val="single" w:color="000000" w:sz="4" w:space="0"/>
              <w:left w:val="single" w:color="000000" w:sz="4" w:space="0"/>
              <w:bottom w:val="single" w:color="000000" w:sz="4" w:space="0"/>
              <w:right w:val="single" w:color="000000" w:sz="4" w:space="0"/>
            </w:tcBorders>
            <w:shd w:val="clear" w:color="auto" w:fill="B8CCE4" w:themeFill="accent1" w:themeFillTint="66"/>
            <w:vAlign w:val="center"/>
          </w:tcPr>
          <w:p>
            <w:pPr>
              <w:rPr>
                <w:rFonts w:ascii="仿宋" w:hAnsi="仿宋" w:eastAsia="仿宋" w:cs="仿宋"/>
                <w:b/>
                <w:color w:val="000000"/>
                <w:kern w:val="0"/>
                <w:sz w:val="24"/>
                <w:szCs w:val="24"/>
              </w:rPr>
            </w:pPr>
            <w:r>
              <w:rPr>
                <w:rFonts w:hint="eastAsia" w:ascii="仿宋" w:hAnsi="仿宋" w:eastAsia="仿宋" w:cs="仿宋"/>
                <w:b/>
                <w:color w:val="000000"/>
                <w:kern w:val="0"/>
                <w:sz w:val="24"/>
                <w:szCs w:val="24"/>
              </w:rPr>
              <w:t>序号</w:t>
            </w:r>
          </w:p>
        </w:tc>
        <w:tc>
          <w:tcPr>
            <w:tcW w:w="3797" w:type="dxa"/>
            <w:tcBorders>
              <w:top w:val="single" w:color="000000" w:sz="4" w:space="0"/>
              <w:left w:val="single" w:color="000000" w:sz="4" w:space="0"/>
              <w:bottom w:val="single" w:color="000000" w:sz="4" w:space="0"/>
              <w:right w:val="single" w:color="000000" w:sz="4" w:space="0"/>
            </w:tcBorders>
            <w:shd w:val="clear" w:color="auto" w:fill="B8CCE4" w:themeFill="accent1" w:themeFillTint="66"/>
            <w:vAlign w:val="center"/>
          </w:tcPr>
          <w:p>
            <w:pPr>
              <w:rPr>
                <w:rFonts w:ascii="仿宋" w:hAnsi="仿宋" w:eastAsia="仿宋" w:cs="仿宋"/>
                <w:b/>
                <w:color w:val="000000"/>
                <w:kern w:val="0"/>
                <w:sz w:val="24"/>
                <w:szCs w:val="24"/>
              </w:rPr>
            </w:pPr>
            <w:r>
              <w:rPr>
                <w:rFonts w:hint="eastAsia" w:ascii="仿宋" w:hAnsi="仿宋" w:eastAsia="仿宋" w:cs="仿宋"/>
                <w:b/>
                <w:color w:val="000000"/>
                <w:kern w:val="0"/>
                <w:sz w:val="24"/>
                <w:szCs w:val="24"/>
              </w:rPr>
              <w:t>实训室名称</w:t>
            </w:r>
          </w:p>
        </w:tc>
        <w:tc>
          <w:tcPr>
            <w:tcW w:w="3933" w:type="dxa"/>
            <w:tcBorders>
              <w:top w:val="single" w:color="000000" w:sz="4" w:space="0"/>
              <w:left w:val="single" w:color="000000" w:sz="4" w:space="0"/>
              <w:bottom w:val="single" w:color="000000" w:sz="4" w:space="0"/>
              <w:right w:val="single" w:color="000000" w:sz="4" w:space="0"/>
            </w:tcBorders>
            <w:shd w:val="clear" w:color="auto" w:fill="B8CCE4" w:themeFill="accent1" w:themeFillTint="66"/>
            <w:vAlign w:val="center"/>
          </w:tcPr>
          <w:p>
            <w:pPr>
              <w:rPr>
                <w:rFonts w:ascii="仿宋" w:hAnsi="仿宋" w:eastAsia="仿宋" w:cs="仿宋"/>
                <w:b/>
                <w:color w:val="000000"/>
                <w:kern w:val="0"/>
                <w:sz w:val="24"/>
                <w:szCs w:val="24"/>
              </w:rPr>
            </w:pPr>
            <w:r>
              <w:rPr>
                <w:rFonts w:hint="eastAsia" w:ascii="仿宋" w:hAnsi="仿宋" w:eastAsia="仿宋" w:cs="仿宋"/>
                <w:b/>
                <w:color w:val="000000"/>
                <w:kern w:val="0"/>
                <w:sz w:val="24"/>
                <w:szCs w:val="24"/>
              </w:rPr>
              <w:t>用途</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1</w:t>
            </w:r>
          </w:p>
        </w:tc>
        <w:tc>
          <w:tcPr>
            <w:tcW w:w="3797"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Cs/>
                <w:color w:val="000000"/>
                <w:kern w:val="0"/>
                <w:sz w:val="24"/>
                <w:szCs w:val="24"/>
              </w:rPr>
            </w:pPr>
            <w:r>
              <w:rPr>
                <w:rFonts w:hint="eastAsia" w:ascii="仿宋" w:hAnsi="仿宋" w:eastAsia="仿宋" w:cs="仿宋"/>
                <w:bCs/>
                <w:sz w:val="24"/>
                <w:szCs w:val="24"/>
              </w:rPr>
              <w:t>汽车4S模拟实训室</w:t>
            </w:r>
          </w:p>
        </w:tc>
        <w:tc>
          <w:tcPr>
            <w:tcW w:w="3933"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汽车销售实训、售后接待实训</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2</w:t>
            </w:r>
          </w:p>
        </w:tc>
        <w:tc>
          <w:tcPr>
            <w:tcW w:w="3797"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Cs/>
                <w:color w:val="000000"/>
                <w:kern w:val="0"/>
                <w:sz w:val="24"/>
                <w:szCs w:val="24"/>
              </w:rPr>
            </w:pPr>
            <w:r>
              <w:rPr>
                <w:rFonts w:hint="eastAsia" w:ascii="仿宋" w:hAnsi="仿宋" w:eastAsia="仿宋" w:cs="仿宋"/>
                <w:bCs/>
                <w:sz w:val="24"/>
                <w:szCs w:val="24"/>
              </w:rPr>
              <w:t>汽车实训车间</w:t>
            </w:r>
          </w:p>
        </w:tc>
        <w:tc>
          <w:tcPr>
            <w:tcW w:w="3933"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汽车维修实训</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3</w:t>
            </w:r>
          </w:p>
        </w:tc>
        <w:tc>
          <w:tcPr>
            <w:tcW w:w="3797"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Cs/>
                <w:color w:val="000000"/>
                <w:kern w:val="0"/>
                <w:sz w:val="24"/>
                <w:szCs w:val="24"/>
              </w:rPr>
            </w:pPr>
            <w:r>
              <w:rPr>
                <w:rFonts w:hint="eastAsia" w:ascii="仿宋" w:hAnsi="仿宋" w:eastAsia="仿宋" w:cs="仿宋"/>
                <w:bCs/>
                <w:sz w:val="24"/>
                <w:szCs w:val="24"/>
              </w:rPr>
              <w:t>汽车美容车间</w:t>
            </w:r>
          </w:p>
        </w:tc>
        <w:tc>
          <w:tcPr>
            <w:tcW w:w="3933"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汽车美容实训</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Cs/>
                <w:color w:val="000000"/>
                <w:kern w:val="0"/>
                <w:sz w:val="24"/>
                <w:szCs w:val="24"/>
              </w:rPr>
            </w:pPr>
            <w:r>
              <w:rPr>
                <w:rFonts w:hint="eastAsia" w:ascii="仿宋" w:hAnsi="仿宋" w:eastAsia="仿宋" w:cs="仿宋"/>
                <w:bCs/>
                <w:color w:val="000000"/>
                <w:kern w:val="0"/>
                <w:sz w:val="24"/>
                <w:szCs w:val="24"/>
              </w:rPr>
              <w:t>4</w:t>
            </w:r>
          </w:p>
        </w:tc>
        <w:tc>
          <w:tcPr>
            <w:tcW w:w="3797"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Cs/>
                <w:color w:val="000000"/>
                <w:kern w:val="0"/>
                <w:sz w:val="24"/>
                <w:szCs w:val="24"/>
              </w:rPr>
            </w:pPr>
          </w:p>
        </w:tc>
        <w:tc>
          <w:tcPr>
            <w:tcW w:w="3933" w:type="dxa"/>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cs="仿宋"/>
                <w:bCs/>
                <w:color w:val="000000"/>
                <w:kern w:val="0"/>
                <w:sz w:val="24"/>
                <w:szCs w:val="24"/>
              </w:rPr>
            </w:pPr>
          </w:p>
        </w:tc>
      </w:tr>
    </w:tbl>
    <w:p>
      <w:pPr>
        <w:ind w:firstLine="643" w:firstLineChars="200"/>
        <w:rPr>
          <w:rFonts w:hint="eastAsia" w:ascii="仿宋" w:hAnsi="仿宋" w:eastAsia="仿宋"/>
          <w:b/>
          <w:bCs/>
          <w:szCs w:val="32"/>
        </w:rPr>
      </w:pPr>
      <w:r>
        <w:rPr>
          <w:rFonts w:hint="eastAsia" w:ascii="仿宋" w:hAnsi="仿宋" w:eastAsia="仿宋"/>
          <w:b/>
          <w:bCs/>
          <w:szCs w:val="32"/>
        </w:rPr>
        <w:t>3、教学资源</w:t>
      </w:r>
      <w:bookmarkStart w:id="13" w:name="_Toc39849479"/>
      <w:bookmarkStart w:id="14" w:name="_Toc39423573"/>
    </w:p>
    <w:p>
      <w:pPr>
        <w:ind w:firstLine="640" w:firstLineChars="200"/>
        <w:rPr>
          <w:rFonts w:ascii="仿宋" w:hAnsi="仿宋" w:eastAsia="仿宋"/>
          <w:szCs w:val="32"/>
        </w:rPr>
      </w:pPr>
      <w:r>
        <w:rPr>
          <w:rFonts w:hint="eastAsia" w:ascii="仿宋" w:hAnsi="仿宋" w:eastAsia="仿宋"/>
          <w:szCs w:val="32"/>
        </w:rPr>
        <w:t>教学资源丰富，所有课程的教材采用各出版社“十三五”规划教材，主要由本专业教师主编和参编，出版社主要有武汉大学出版社、上海交通大学出版社等。学校图书馆和汽车与机电学院图书室配套采购与本专业相关的教材、图集、规范、标准，满足师生借阅需求。</w:t>
      </w:r>
    </w:p>
    <w:bookmarkEnd w:id="13"/>
    <w:bookmarkEnd w:id="14"/>
    <w:p>
      <w:pPr>
        <w:pStyle w:val="3"/>
        <w:numPr>
          <w:ilvl w:val="0"/>
          <w:numId w:val="1"/>
        </w:numPr>
        <w:ind w:firstLine="643" w:firstLineChars="200"/>
        <w:rPr>
          <w:rFonts w:hint="eastAsia" w:ascii="黑体" w:hAnsi="黑体" w:eastAsia="黑体" w:cs="黑体"/>
        </w:rPr>
      </w:pPr>
      <w:bookmarkStart w:id="15" w:name="_bookmark110"/>
      <w:bookmarkEnd w:id="15"/>
      <w:bookmarkStart w:id="16" w:name="_Toc90855100"/>
      <w:r>
        <w:rPr>
          <w:rFonts w:hint="eastAsia" w:ascii="黑体" w:hAnsi="黑体" w:eastAsia="黑体" w:cs="黑体"/>
        </w:rPr>
        <w:t>质量保障</w:t>
      </w:r>
      <w:bookmarkEnd w:id="16"/>
    </w:p>
    <w:p>
      <w:pPr>
        <w:ind w:firstLine="640" w:firstLineChars="200"/>
      </w:pPr>
      <w:r>
        <w:rPr>
          <w:rFonts w:hint="eastAsia" w:ascii="黑体" w:hAnsi="黑体" w:eastAsia="黑体" w:cs="黑体"/>
          <w:lang w:val="en-US" w:eastAsia="zh-CN"/>
        </w:rPr>
        <w:t xml:space="preserve">  </w:t>
      </w:r>
      <w:r>
        <w:rPr>
          <w:rFonts w:hint="eastAsia"/>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ind w:firstLine="640" w:firstLineChars="200"/>
      </w:pPr>
      <w:r>
        <w:rPr>
          <w:rFonts w:hint="eastAsia"/>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ind w:firstLine="640" w:firstLineChars="200"/>
      </w:pPr>
      <w:r>
        <w:rPr>
          <w:rFonts w:hint="eastAsia"/>
        </w:rPr>
        <w:t>3.学校应建立毕业生跟踪反馈机制及社会评价机制，并对生源情况、在校生学业水平、毕业生就业情况等进行分析，定期评价人才培养质量和培养目标达成情况。</w:t>
      </w:r>
    </w:p>
    <w:p>
      <w:pPr>
        <w:ind w:firstLine="640" w:firstLineChars="200"/>
        <w:rPr>
          <w:rFonts w:ascii="黑体" w:hAnsi="黑体" w:eastAsia="黑体"/>
          <w:sz w:val="36"/>
          <w:szCs w:val="36"/>
        </w:rPr>
      </w:pPr>
      <w:bookmarkStart w:id="22" w:name="_GoBack"/>
      <w:bookmarkEnd w:id="22"/>
      <w:r>
        <w:rPr>
          <w:rFonts w:hint="eastAsia" w:ascii="仿宋" w:hAnsi="仿宋" w:eastAsia="仿宋" w:cs="仿宋"/>
          <w:szCs w:val="32"/>
        </w:rPr>
        <w:t>4.专业教研组织应充分利用评价分析结果有效改进专业教学，持续提高人才培养质量。</w:t>
      </w:r>
      <w:r>
        <w:rPr>
          <w:rFonts w:hint="eastAsia" w:ascii="仿宋" w:hAnsi="仿宋" w:eastAsia="仿宋" w:cs="仿宋"/>
          <w:szCs w:val="32"/>
        </w:rPr>
        <w:br w:type="textWrapping"/>
      </w:r>
      <w:bookmarkStart w:id="17" w:name="_Toc90855101"/>
      <w:r>
        <w:rPr>
          <w:rFonts w:ascii="黑体" w:hAnsi="黑体" w:eastAsia="黑体"/>
          <w:sz w:val="36"/>
          <w:szCs w:val="36"/>
        </w:rPr>
        <w:t>九、毕业要求</w:t>
      </w:r>
      <w:bookmarkEnd w:id="17"/>
    </w:p>
    <w:p>
      <w:pPr>
        <w:overflowPunct w:val="0"/>
        <w:adjustRightInd w:val="0"/>
        <w:ind w:firstLine="640" w:firstLineChars="200"/>
        <w:rPr>
          <w:rFonts w:ascii="仿宋" w:hAnsi="仿宋" w:eastAsia="仿宋"/>
          <w:szCs w:val="32"/>
        </w:rPr>
      </w:pPr>
      <w:r>
        <w:rPr>
          <w:rFonts w:hint="eastAsia" w:ascii="仿宋" w:hAnsi="仿宋" w:eastAsia="仿宋"/>
          <w:szCs w:val="32"/>
        </w:rPr>
        <w:t>学生在规定年限内修足规定学分,且思想品德考核合格方准予毕业。毕业学分包括课程学习学分与毕业资格学分两部分,三年制总学分为1</w:t>
      </w:r>
      <w:r>
        <w:rPr>
          <w:rFonts w:hint="eastAsia" w:ascii="仿宋" w:hAnsi="仿宋" w:eastAsia="仿宋"/>
          <w:szCs w:val="32"/>
          <w:lang w:val="en-US" w:eastAsia="zh-CN"/>
        </w:rPr>
        <w:t>48</w:t>
      </w:r>
      <w:r>
        <w:rPr>
          <w:rFonts w:hint="eastAsia" w:ascii="仿宋" w:hAnsi="仿宋" w:eastAsia="仿宋"/>
          <w:szCs w:val="32"/>
        </w:rPr>
        <w:t>学分,其中课程学习学分14</w:t>
      </w:r>
      <w:r>
        <w:rPr>
          <w:rFonts w:hint="eastAsia" w:ascii="仿宋" w:hAnsi="仿宋" w:eastAsia="仿宋"/>
          <w:szCs w:val="32"/>
          <w:lang w:val="en-US" w:eastAsia="zh-CN"/>
        </w:rPr>
        <w:t>4</w:t>
      </w:r>
      <w:r>
        <w:rPr>
          <w:rFonts w:hint="eastAsia" w:ascii="仿宋" w:hAnsi="仿宋" w:eastAsia="仿宋"/>
          <w:szCs w:val="32"/>
        </w:rPr>
        <w:t>学分,毕业资格学分为4学分,包括创新研发与应用项目、劳动素养课程、职业资格证书专业技能竞赛、创新创业实践、劳动素养、阅读素养等“第二课堂成绩单”。</w:t>
      </w:r>
    </w:p>
    <w:p>
      <w:pPr>
        <w:overflowPunct w:val="0"/>
        <w:adjustRightInd w:val="0"/>
        <w:outlineLvl w:val="0"/>
        <w:rPr>
          <w:rFonts w:ascii="仿宋" w:hAnsi="仿宋" w:eastAsia="仿宋"/>
          <w:szCs w:val="32"/>
        </w:rPr>
      </w:pPr>
    </w:p>
    <w:p>
      <w:pPr>
        <w:ind w:firstLine="640" w:firstLineChars="200"/>
        <w:rPr>
          <w:rFonts w:ascii="仿宋" w:hAnsi="仿宋" w:eastAsia="仿宋"/>
          <w:szCs w:val="32"/>
        </w:rPr>
      </w:pPr>
      <w:r>
        <w:rPr>
          <w:rFonts w:hint="eastAsia" w:ascii="仿宋" w:hAnsi="仿宋" w:eastAsia="仿宋"/>
          <w:szCs w:val="32"/>
        </w:rPr>
        <w:t xml:space="preserve"> </w:t>
      </w:r>
    </w:p>
    <w:p>
      <w:pPr>
        <w:overflowPunct w:val="0"/>
        <w:adjustRightInd w:val="0"/>
        <w:outlineLvl w:val="0"/>
        <w:rPr>
          <w:rFonts w:ascii="黑体" w:hAnsi="黑体" w:eastAsia="黑体"/>
          <w:sz w:val="36"/>
          <w:szCs w:val="36"/>
        </w:rPr>
      </w:pPr>
      <w:bookmarkStart w:id="18" w:name="_Toc90855104"/>
      <w:r>
        <w:rPr>
          <w:rFonts w:ascii="黑体" w:hAnsi="黑体" w:eastAsia="黑体"/>
          <w:sz w:val="36"/>
          <w:szCs w:val="36"/>
        </w:rPr>
        <w:t>十、附录</w:t>
      </w:r>
      <w:bookmarkEnd w:id="18"/>
    </w:p>
    <w:p>
      <w:pPr>
        <w:jc w:val="center"/>
        <w:outlineLvl w:val="0"/>
        <w:rPr>
          <w:rFonts w:ascii="宋体" w:hAnsi="宋体"/>
          <w:b/>
          <w:bCs/>
          <w:sz w:val="36"/>
        </w:rPr>
      </w:pPr>
      <w:bookmarkStart w:id="19" w:name="_Toc6305"/>
      <w:r>
        <w:rPr>
          <w:rFonts w:hint="eastAsia" w:ascii="宋体" w:hAnsi="宋体"/>
          <w:b/>
          <w:bCs/>
          <w:sz w:val="36"/>
        </w:rPr>
        <w:t>广西工程职业学院人才培养方案</w:t>
      </w:r>
      <w:bookmarkEnd w:id="19"/>
    </w:p>
    <w:p>
      <w:pPr>
        <w:jc w:val="center"/>
        <w:outlineLvl w:val="0"/>
        <w:rPr>
          <w:rFonts w:ascii="宋体" w:hAnsi="宋体"/>
          <w:b/>
          <w:bCs/>
          <w:sz w:val="36"/>
        </w:rPr>
      </w:pPr>
      <w:bookmarkStart w:id="20" w:name="_Toc20080"/>
      <w:bookmarkStart w:id="21" w:name="_Toc25753"/>
      <w:r>
        <w:rPr>
          <w:rFonts w:hint="eastAsia" w:ascii="宋体" w:hAnsi="宋体"/>
          <w:b/>
          <w:bCs/>
          <w:sz w:val="36"/>
        </w:rPr>
        <w:t>调整申请表</w:t>
      </w:r>
      <w:bookmarkEnd w:id="20"/>
      <w:bookmarkEnd w:id="21"/>
    </w:p>
    <w:tbl>
      <w:tblPr>
        <w:tblStyle w:val="11"/>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840"/>
        <w:gridCol w:w="2010"/>
        <w:gridCol w:w="820"/>
        <w:gridCol w:w="612"/>
        <w:gridCol w:w="778"/>
        <w:gridCol w:w="778"/>
        <w:gridCol w:w="778"/>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49"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申请学院</w:t>
            </w:r>
          </w:p>
        </w:tc>
        <w:tc>
          <w:tcPr>
            <w:tcW w:w="7531" w:type="dxa"/>
            <w:gridSpan w:val="7"/>
            <w:tcBorders>
              <w:top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34" w:hRule="exact"/>
          <w:jc w:val="center"/>
        </w:trPr>
        <w:tc>
          <w:tcPr>
            <w:tcW w:w="1654"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专业名称</w:t>
            </w:r>
          </w:p>
        </w:tc>
        <w:tc>
          <w:tcPr>
            <w:tcW w:w="4220" w:type="dxa"/>
            <w:gridSpan w:val="4"/>
            <w:vAlign w:val="center"/>
          </w:tcPr>
          <w:p>
            <w:pPr>
              <w:jc w:val="center"/>
              <w:rPr>
                <w:rFonts w:ascii="仿宋" w:hAnsi="仿宋" w:eastAsia="仿宋" w:cs="仿宋"/>
                <w:sz w:val="28"/>
                <w:szCs w:val="28"/>
              </w:rPr>
            </w:pPr>
          </w:p>
        </w:tc>
        <w:tc>
          <w:tcPr>
            <w:tcW w:w="1556"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适用年级</w:t>
            </w:r>
          </w:p>
        </w:tc>
        <w:tc>
          <w:tcPr>
            <w:tcW w:w="1755" w:type="dxa"/>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80"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调整类型</w:t>
            </w:r>
          </w:p>
        </w:tc>
        <w:tc>
          <w:tcPr>
            <w:tcW w:w="2010"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课程名称</w:t>
            </w:r>
          </w:p>
        </w:tc>
        <w:tc>
          <w:tcPr>
            <w:tcW w:w="1432"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课程代码</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学分</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学时</w:t>
            </w:r>
          </w:p>
        </w:tc>
        <w:tc>
          <w:tcPr>
            <w:tcW w:w="778" w:type="dxa"/>
            <w:tcBorders>
              <w:top w:val="single" w:color="auto" w:sz="4" w:space="0"/>
            </w:tcBorders>
            <w:vAlign w:val="center"/>
          </w:tcPr>
          <w:p>
            <w:pPr>
              <w:spacing w:line="0" w:lineRule="atLeast"/>
              <w:jc w:val="center"/>
              <w:rPr>
                <w:rFonts w:ascii="仿宋" w:hAnsi="仿宋" w:eastAsia="仿宋" w:cs="仿宋"/>
                <w:sz w:val="28"/>
                <w:szCs w:val="28"/>
              </w:rPr>
            </w:pPr>
            <w:r>
              <w:rPr>
                <w:rFonts w:hint="eastAsia" w:ascii="仿宋" w:hAnsi="仿宋" w:eastAsia="仿宋" w:cs="仿宋"/>
                <w:sz w:val="28"/>
                <w:szCs w:val="28"/>
              </w:rPr>
              <w:t>开课</w:t>
            </w:r>
          </w:p>
          <w:p>
            <w:pPr>
              <w:spacing w:line="0" w:lineRule="atLeast"/>
              <w:jc w:val="center"/>
              <w:rPr>
                <w:rFonts w:ascii="仿宋" w:hAnsi="仿宋" w:eastAsia="仿宋" w:cs="仿宋"/>
                <w:sz w:val="28"/>
                <w:szCs w:val="28"/>
              </w:rPr>
            </w:pPr>
            <w:r>
              <w:rPr>
                <w:rFonts w:hint="eastAsia" w:ascii="仿宋" w:hAnsi="仿宋" w:eastAsia="仿宋" w:cs="仿宋"/>
                <w:sz w:val="28"/>
                <w:szCs w:val="28"/>
              </w:rPr>
              <w:t>学期</w:t>
            </w:r>
          </w:p>
        </w:tc>
        <w:tc>
          <w:tcPr>
            <w:tcW w:w="1755"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授课单位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新增课程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取消课程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修改课程</w:t>
            </w:r>
          </w:p>
        </w:tc>
        <w:tc>
          <w:tcPr>
            <w:tcW w:w="840"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原课程情况</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restart"/>
            <w:tcBorders>
              <w:top w:val="single" w:color="auto" w:sz="4" w:space="0"/>
            </w:tcBorders>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调整后课程情况</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其它调整</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总学分、</w:t>
            </w:r>
          </w:p>
          <w:p>
            <w:pPr>
              <w:jc w:val="center"/>
              <w:rPr>
                <w:rFonts w:ascii="仿宋" w:hAnsi="仿宋" w:eastAsia="仿宋" w:cs="仿宋"/>
                <w:sz w:val="28"/>
                <w:szCs w:val="28"/>
              </w:rPr>
            </w:pPr>
            <w:r>
              <w:rPr>
                <w:rFonts w:hint="eastAsia" w:ascii="仿宋" w:hAnsi="仿宋" w:eastAsia="仿宋" w:cs="仿宋"/>
                <w:sz w:val="28"/>
                <w:szCs w:val="28"/>
              </w:rPr>
              <w:t>总学时</w:t>
            </w: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调整前总学分</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调整后总学分</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调整前总学时</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调整后总学时</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1654" w:type="dxa"/>
            <w:gridSpan w:val="2"/>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w:t>
            </w:r>
          </w:p>
          <w:p>
            <w:pPr>
              <w:jc w:val="center"/>
              <w:rPr>
                <w:rFonts w:ascii="仿宋" w:hAnsi="仿宋" w:eastAsia="仿宋" w:cs="仿宋"/>
                <w:sz w:val="28"/>
                <w:szCs w:val="28"/>
              </w:rPr>
            </w:pPr>
            <w:r>
              <w:rPr>
                <w:rFonts w:hint="eastAsia" w:ascii="仿宋" w:hAnsi="仿宋" w:eastAsia="仿宋" w:cs="仿宋"/>
                <w:sz w:val="28"/>
                <w:szCs w:val="28"/>
              </w:rPr>
              <w:t>原因</w:t>
            </w:r>
          </w:p>
        </w:tc>
        <w:tc>
          <w:tcPr>
            <w:tcW w:w="7531" w:type="dxa"/>
            <w:gridSpan w:val="7"/>
            <w:tcBorders>
              <w:bottom w:val="single" w:color="auto" w:sz="4" w:space="0"/>
            </w:tcBorders>
            <w:vAlign w:val="center"/>
          </w:tcPr>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4484" w:type="dxa"/>
            <w:gridSpan w:val="4"/>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申请学院意见：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c>
          <w:tcPr>
            <w:tcW w:w="4701" w:type="dxa"/>
            <w:gridSpan w:val="5"/>
            <w:tcBorders>
              <w:bottom w:val="single" w:color="auto" w:sz="4" w:space="0"/>
            </w:tcBorders>
          </w:tcPr>
          <w:p>
            <w:pPr>
              <w:rPr>
                <w:rFonts w:ascii="仿宋" w:hAnsi="仿宋" w:eastAsia="仿宋" w:cs="仿宋"/>
                <w:b/>
                <w:bCs/>
                <w:sz w:val="28"/>
                <w:szCs w:val="28"/>
              </w:rPr>
            </w:pPr>
            <w:r>
              <w:rPr>
                <w:rFonts w:hint="eastAsia" w:ascii="仿宋" w:hAnsi="仿宋" w:eastAsia="仿宋" w:cs="仿宋"/>
                <w:b/>
                <w:bCs/>
                <w:sz w:val="28"/>
                <w:szCs w:val="28"/>
              </w:rPr>
              <w:t>授课单位意见：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教务处意见：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主管校长审批意见：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主管校长签字：</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bl>
    <w:p>
      <w:pPr>
        <w:ind w:right="360"/>
      </w:pPr>
      <w:r>
        <w:rPr>
          <w:rFonts w:hint="eastAsia" w:ascii="宋体" w:hAnsi="宋体" w:eastAsia="宋体" w:cs="宋体"/>
          <w:sz w:val="24"/>
          <w:szCs w:val="24"/>
        </w:rPr>
        <w:t>注：此表正反面打印，一式一份。</w:t>
      </w:r>
    </w:p>
    <w:p>
      <w:pPr>
        <w:overflowPunct w:val="0"/>
        <w:adjustRightInd w:val="0"/>
        <w:rPr>
          <w:rFonts w:ascii="仿宋" w:hAnsi="仿宋" w:eastAsia="仿宋"/>
          <w:szCs w:val="32"/>
        </w:rPr>
      </w:pP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华光小标宋_CNKI">
    <w:altName w:val="微软雅黑"/>
    <w:panose1 w:val="00000000000000000000"/>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974E29"/>
    <w:multiLevelType w:val="singleLevel"/>
    <w:tmpl w:val="F9974E2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9D5"/>
    <w:rsid w:val="00007F9C"/>
    <w:rsid w:val="000123E5"/>
    <w:rsid w:val="00050AB7"/>
    <w:rsid w:val="00074991"/>
    <w:rsid w:val="000B0CCC"/>
    <w:rsid w:val="00116397"/>
    <w:rsid w:val="00150F26"/>
    <w:rsid w:val="00163598"/>
    <w:rsid w:val="00172A27"/>
    <w:rsid w:val="0018212C"/>
    <w:rsid w:val="001A2541"/>
    <w:rsid w:val="00205BAF"/>
    <w:rsid w:val="002756C2"/>
    <w:rsid w:val="002B0936"/>
    <w:rsid w:val="002B7E88"/>
    <w:rsid w:val="002D78B0"/>
    <w:rsid w:val="0033076E"/>
    <w:rsid w:val="0039010C"/>
    <w:rsid w:val="003B2D17"/>
    <w:rsid w:val="003C0FEB"/>
    <w:rsid w:val="003C6D78"/>
    <w:rsid w:val="003D3CE1"/>
    <w:rsid w:val="00402BE6"/>
    <w:rsid w:val="004334FE"/>
    <w:rsid w:val="004528AF"/>
    <w:rsid w:val="004D17F3"/>
    <w:rsid w:val="004E4724"/>
    <w:rsid w:val="00506BD1"/>
    <w:rsid w:val="00506EE5"/>
    <w:rsid w:val="005320E1"/>
    <w:rsid w:val="00534C14"/>
    <w:rsid w:val="00534D01"/>
    <w:rsid w:val="00557D55"/>
    <w:rsid w:val="005918AD"/>
    <w:rsid w:val="005C5555"/>
    <w:rsid w:val="00612EAC"/>
    <w:rsid w:val="00616D7B"/>
    <w:rsid w:val="00635648"/>
    <w:rsid w:val="006C7881"/>
    <w:rsid w:val="007010A5"/>
    <w:rsid w:val="00724A4F"/>
    <w:rsid w:val="00730328"/>
    <w:rsid w:val="00732FF3"/>
    <w:rsid w:val="00735740"/>
    <w:rsid w:val="00780583"/>
    <w:rsid w:val="00857F1B"/>
    <w:rsid w:val="008A232F"/>
    <w:rsid w:val="008C0DA9"/>
    <w:rsid w:val="008E20A1"/>
    <w:rsid w:val="00923B7C"/>
    <w:rsid w:val="00962B5F"/>
    <w:rsid w:val="00967877"/>
    <w:rsid w:val="009A3053"/>
    <w:rsid w:val="009D69ED"/>
    <w:rsid w:val="00A274D0"/>
    <w:rsid w:val="00A27E12"/>
    <w:rsid w:val="00A45C42"/>
    <w:rsid w:val="00A57F3D"/>
    <w:rsid w:val="00AA0658"/>
    <w:rsid w:val="00B244ED"/>
    <w:rsid w:val="00B41674"/>
    <w:rsid w:val="00B81D99"/>
    <w:rsid w:val="00BA1C50"/>
    <w:rsid w:val="00BB0FD7"/>
    <w:rsid w:val="00BB670F"/>
    <w:rsid w:val="00BC049A"/>
    <w:rsid w:val="00BE545B"/>
    <w:rsid w:val="00C04F09"/>
    <w:rsid w:val="00C1597C"/>
    <w:rsid w:val="00C41172"/>
    <w:rsid w:val="00C4375A"/>
    <w:rsid w:val="00CA216D"/>
    <w:rsid w:val="00CC4470"/>
    <w:rsid w:val="00CD6A69"/>
    <w:rsid w:val="00D2068A"/>
    <w:rsid w:val="00D505C8"/>
    <w:rsid w:val="00D54F88"/>
    <w:rsid w:val="00DA6C79"/>
    <w:rsid w:val="00DE423F"/>
    <w:rsid w:val="00E20A3A"/>
    <w:rsid w:val="00E24386"/>
    <w:rsid w:val="00E548B2"/>
    <w:rsid w:val="00EA5734"/>
    <w:rsid w:val="00EB0CC1"/>
    <w:rsid w:val="00F23FBF"/>
    <w:rsid w:val="00F249AE"/>
    <w:rsid w:val="00F66733"/>
    <w:rsid w:val="00F76F67"/>
    <w:rsid w:val="00FB5295"/>
    <w:rsid w:val="00FC4010"/>
    <w:rsid w:val="00FE1103"/>
    <w:rsid w:val="025F7F88"/>
    <w:rsid w:val="044E4C2C"/>
    <w:rsid w:val="05D80A6F"/>
    <w:rsid w:val="07707937"/>
    <w:rsid w:val="092263E9"/>
    <w:rsid w:val="0FCC266E"/>
    <w:rsid w:val="1579426E"/>
    <w:rsid w:val="165F2D89"/>
    <w:rsid w:val="17002C41"/>
    <w:rsid w:val="1721795E"/>
    <w:rsid w:val="1A285F86"/>
    <w:rsid w:val="1C4F7900"/>
    <w:rsid w:val="1C5179B0"/>
    <w:rsid w:val="1C55074D"/>
    <w:rsid w:val="1E9B2A8A"/>
    <w:rsid w:val="1EE047D0"/>
    <w:rsid w:val="2103528A"/>
    <w:rsid w:val="225A5D16"/>
    <w:rsid w:val="24A11214"/>
    <w:rsid w:val="261C5848"/>
    <w:rsid w:val="28D70535"/>
    <w:rsid w:val="29565901"/>
    <w:rsid w:val="2B7F7BC0"/>
    <w:rsid w:val="2E1E518C"/>
    <w:rsid w:val="2FE03E5F"/>
    <w:rsid w:val="355A3347"/>
    <w:rsid w:val="381D706D"/>
    <w:rsid w:val="3A091F13"/>
    <w:rsid w:val="3ABD2F6A"/>
    <w:rsid w:val="3AF30EEA"/>
    <w:rsid w:val="3B4A774F"/>
    <w:rsid w:val="3C230E98"/>
    <w:rsid w:val="43B103FC"/>
    <w:rsid w:val="451A74E4"/>
    <w:rsid w:val="48FC1975"/>
    <w:rsid w:val="49A97B61"/>
    <w:rsid w:val="4F381D14"/>
    <w:rsid w:val="4FFB2D39"/>
    <w:rsid w:val="51AB042C"/>
    <w:rsid w:val="53494500"/>
    <w:rsid w:val="59A468D6"/>
    <w:rsid w:val="5D344FBD"/>
    <w:rsid w:val="5E6B3030"/>
    <w:rsid w:val="6174739F"/>
    <w:rsid w:val="629119A5"/>
    <w:rsid w:val="631B560D"/>
    <w:rsid w:val="695F6272"/>
    <w:rsid w:val="698C5F4C"/>
    <w:rsid w:val="6AC32A98"/>
    <w:rsid w:val="6CF860C6"/>
    <w:rsid w:val="6E8543EE"/>
    <w:rsid w:val="70281692"/>
    <w:rsid w:val="71994036"/>
    <w:rsid w:val="733C264A"/>
    <w:rsid w:val="77001660"/>
    <w:rsid w:val="777212EE"/>
    <w:rsid w:val="77761A3A"/>
    <w:rsid w:val="7CB01390"/>
    <w:rsid w:val="7D287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eastAsia="仿宋"/>
      <w:b/>
      <w:bCs/>
      <w:kern w:val="44"/>
      <w:sz w:val="36"/>
      <w:szCs w:val="44"/>
    </w:rPr>
  </w:style>
  <w:style w:type="paragraph" w:styleId="3">
    <w:name w:val="heading 2"/>
    <w:basedOn w:val="1"/>
    <w:next w:val="1"/>
    <w:link w:val="19"/>
    <w:unhideWhenUsed/>
    <w:qFormat/>
    <w:uiPriority w:val="9"/>
    <w:pPr>
      <w:keepNext/>
      <w:keepLines/>
      <w:spacing w:before="260" w:after="260" w:line="416" w:lineRule="auto"/>
      <w:outlineLvl w:val="1"/>
    </w:pPr>
    <w:rPr>
      <w:rFonts w:eastAsia="仿宋" w:asciiTheme="majorHAnsi" w:hAnsiTheme="majorHAnsi" w:cstheme="majorBidi"/>
      <w:b/>
      <w:bCs/>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Balloon Text"/>
    <w:basedOn w:val="1"/>
    <w:link w:val="20"/>
    <w:unhideWhenUsed/>
    <w:qFormat/>
    <w:uiPriority w:val="99"/>
    <w:rPr>
      <w:sz w:val="18"/>
      <w:szCs w:val="18"/>
    </w:rPr>
  </w:style>
  <w:style w:type="paragraph" w:styleId="6">
    <w:name w:val="footer"/>
    <w:basedOn w:val="1"/>
    <w:link w:val="17"/>
    <w:unhideWhenUsed/>
    <w:qFormat/>
    <w:uiPriority w:val="0"/>
    <w:pPr>
      <w:tabs>
        <w:tab w:val="center" w:pos="4153"/>
        <w:tab w:val="right" w:pos="8306"/>
      </w:tabs>
      <w:snapToGrid w:val="0"/>
      <w:jc w:val="left"/>
    </w:pPr>
    <w:rPr>
      <w:sz w:val="18"/>
      <w:szCs w:val="18"/>
    </w:rPr>
  </w:style>
  <w:style w:type="paragraph" w:styleId="7">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8296"/>
      </w:tabs>
      <w:jc w:val="center"/>
    </w:pPr>
    <w:rPr>
      <w:b/>
      <w:sz w:val="40"/>
    </w:rPr>
  </w:style>
  <w:style w:type="paragraph" w:styleId="9">
    <w:name w:val="toc 2"/>
    <w:basedOn w:val="1"/>
    <w:next w:val="1"/>
    <w:unhideWhenUsed/>
    <w:qFormat/>
    <w:uiPriority w:val="39"/>
    <w:pPr>
      <w:ind w:left="420" w:leftChars="200"/>
    </w:pPr>
  </w:style>
  <w:style w:type="paragraph" w:styleId="10">
    <w:name w:val="Normal (Web)"/>
    <w:basedOn w:val="1"/>
    <w:qFormat/>
    <w:uiPriority w:val="0"/>
    <w:pPr>
      <w:spacing w:before="100" w:beforeAutospacing="1" w:after="100" w:afterAutospacing="1"/>
      <w:jc w:val="left"/>
    </w:pPr>
    <w:rPr>
      <w:kern w:val="0"/>
      <w:sz w:val="24"/>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paragraph" w:customStyle="1" w:styleId="15">
    <w:name w:val="中等深浅网格 1 - 着色 21"/>
    <w:basedOn w:val="1"/>
    <w:qFormat/>
    <w:uiPriority w:val="0"/>
    <w:pPr>
      <w:spacing w:line="360" w:lineRule="auto"/>
      <w:ind w:firstLine="420" w:firstLineChars="200"/>
    </w:pPr>
    <w:rPr>
      <w:rFonts w:ascii="Calibri" w:hAnsi="Calibri" w:eastAsia="宋体"/>
      <w:sz w:val="21"/>
    </w:rPr>
  </w:style>
  <w:style w:type="character" w:customStyle="1" w:styleId="16">
    <w:name w:val="页眉 字符"/>
    <w:basedOn w:val="13"/>
    <w:link w:val="7"/>
    <w:qFormat/>
    <w:uiPriority w:val="0"/>
    <w:rPr>
      <w:rFonts w:ascii="Times New Roman" w:hAnsi="Times New Roman" w:eastAsia="仿宋_GB2312" w:cs="Times New Roman"/>
      <w:sz w:val="18"/>
      <w:szCs w:val="18"/>
    </w:rPr>
  </w:style>
  <w:style w:type="character" w:customStyle="1" w:styleId="17">
    <w:name w:val="页脚 字符"/>
    <w:basedOn w:val="13"/>
    <w:link w:val="6"/>
    <w:qFormat/>
    <w:uiPriority w:val="0"/>
    <w:rPr>
      <w:rFonts w:ascii="Times New Roman" w:hAnsi="Times New Roman" w:eastAsia="仿宋_GB2312" w:cs="Times New Roman"/>
      <w:sz w:val="18"/>
      <w:szCs w:val="18"/>
    </w:rPr>
  </w:style>
  <w:style w:type="character" w:customStyle="1" w:styleId="18">
    <w:name w:val="标题 1 字符"/>
    <w:basedOn w:val="13"/>
    <w:link w:val="2"/>
    <w:qFormat/>
    <w:uiPriority w:val="9"/>
    <w:rPr>
      <w:rFonts w:ascii="Times New Roman" w:hAnsi="Times New Roman" w:eastAsia="仿宋" w:cs="Times New Roman"/>
      <w:b/>
      <w:bCs/>
      <w:kern w:val="44"/>
      <w:sz w:val="36"/>
      <w:szCs w:val="44"/>
    </w:rPr>
  </w:style>
  <w:style w:type="character" w:customStyle="1" w:styleId="19">
    <w:name w:val="标题 2 字符"/>
    <w:basedOn w:val="13"/>
    <w:link w:val="3"/>
    <w:semiHidden/>
    <w:qFormat/>
    <w:uiPriority w:val="9"/>
    <w:rPr>
      <w:rFonts w:eastAsia="仿宋" w:asciiTheme="majorHAnsi" w:hAnsiTheme="majorHAnsi" w:cstheme="majorBidi"/>
      <w:b/>
      <w:bCs/>
      <w:sz w:val="32"/>
      <w:szCs w:val="32"/>
    </w:rPr>
  </w:style>
  <w:style w:type="character" w:customStyle="1" w:styleId="20">
    <w:name w:val="批注框文本 字符"/>
    <w:basedOn w:val="13"/>
    <w:link w:val="5"/>
    <w:semiHidden/>
    <w:qFormat/>
    <w:uiPriority w:val="99"/>
    <w:rPr>
      <w:rFonts w:ascii="Times New Roman" w:hAnsi="Times New Roman" w:eastAsia="仿宋_GB2312" w:cs="Times New Roman"/>
      <w:sz w:val="18"/>
      <w:szCs w:val="18"/>
    </w:rPr>
  </w:style>
  <w:style w:type="character" w:customStyle="1" w:styleId="21">
    <w:name w:val="font61"/>
    <w:basedOn w:val="13"/>
    <w:qFormat/>
    <w:uiPriority w:val="0"/>
    <w:rPr>
      <w:rFonts w:hint="default" w:ascii="Times New Roman" w:hAnsi="Times New Roman" w:cs="Times New Roman"/>
      <w:color w:val="FF0000"/>
      <w:sz w:val="18"/>
      <w:szCs w:val="18"/>
      <w:u w:val="none"/>
    </w:rPr>
  </w:style>
  <w:style w:type="character" w:customStyle="1" w:styleId="22">
    <w:name w:val="font71"/>
    <w:basedOn w:val="13"/>
    <w:qFormat/>
    <w:uiPriority w:val="0"/>
    <w:rPr>
      <w:rFonts w:hint="eastAsia" w:ascii="宋体" w:hAnsi="宋体" w:eastAsia="宋体" w:cs="宋体"/>
      <w:color w:val="FF0000"/>
      <w:sz w:val="18"/>
      <w:szCs w:val="18"/>
      <w:u w:val="none"/>
    </w:rPr>
  </w:style>
  <w:style w:type="character" w:customStyle="1" w:styleId="23">
    <w:name w:val="font51"/>
    <w:basedOn w:val="13"/>
    <w:qFormat/>
    <w:uiPriority w:val="0"/>
    <w:rPr>
      <w:rFonts w:hint="eastAsia" w:ascii="宋体" w:hAnsi="宋体" w:eastAsia="宋体" w:cs="宋体"/>
      <w:color w:val="FF0000"/>
      <w:sz w:val="18"/>
      <w:szCs w:val="18"/>
      <w:u w:val="none"/>
    </w:rPr>
  </w:style>
  <w:style w:type="character" w:customStyle="1" w:styleId="24">
    <w:name w:val="font81"/>
    <w:basedOn w:val="13"/>
    <w:qFormat/>
    <w:uiPriority w:val="0"/>
    <w:rPr>
      <w:rFonts w:hint="default" w:ascii="Times New Roman" w:hAnsi="Times New Roman" w:cs="Times New Roman"/>
      <w:color w:val="000000"/>
      <w:sz w:val="18"/>
      <w:szCs w:val="18"/>
      <w:u w:val="none"/>
    </w:rPr>
  </w:style>
  <w:style w:type="character" w:customStyle="1" w:styleId="25">
    <w:name w:val="font91"/>
    <w:basedOn w:val="13"/>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0B879B-A4A2-4792-9609-110A2E8FDBA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1767</Words>
  <Characters>10073</Characters>
  <Lines>83</Lines>
  <Paragraphs>23</Paragraphs>
  <TotalTime>3</TotalTime>
  <ScaleCrop>false</ScaleCrop>
  <LinksUpToDate>false</LinksUpToDate>
  <CharactersWithSpaces>11817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2019-08-24T04:56:00Z</dcterms:created>
  <dc:creator>USER</dc:creator>
  <cp:lastModifiedBy>Administrator</cp:lastModifiedBy>
  <dcterms:modified xsi:type="dcterms:W3CDTF">2022-01-28T13:44:19Z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2F6AF61EE75142019737DBE042DC9F30</vt:lpwstr>
  </property>
</Properties>
</file>