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4"/>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2021级数控技术专业</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黑体" w:hAnsi="黑体" w:eastAsia="黑体"/>
          <w:color w:val="000000" w:themeColor="text1"/>
          <w:sz w:val="44"/>
          <w:szCs w:val="44"/>
          <w14:textFill>
            <w14:solidFill>
              <w14:schemeClr w14:val="tx1"/>
            </w14:solidFill>
          </w14:textFill>
        </w:rPr>
      </w:pPr>
    </w:p>
    <w:p>
      <w:pPr>
        <w:overflowPunct w:val="0"/>
        <w:adjustRightInd w:val="0"/>
        <w:snapToGrid w:val="0"/>
        <w:ind w:firstLine="883" w:firstLineChars="200"/>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14:textFill>
            <w14:solidFill>
              <w14:schemeClr w14:val="tx1"/>
            </w14:solidFill>
          </w14:textFill>
        </w:rPr>
        <w:t>数控技术</w:t>
      </w:r>
      <w:r>
        <w:rPr>
          <w:rFonts w:ascii="黑体" w:hAnsi="黑体" w:eastAsia="黑体"/>
          <w:b/>
          <w:sz w:val="44"/>
          <w:szCs w:val="44"/>
        </w:rPr>
        <w:t>专业人才培养方案</w:t>
      </w:r>
    </w:p>
    <w:p>
      <w:pPr>
        <w:pStyle w:val="2"/>
        <w:spacing w:line="240" w:lineRule="auto"/>
        <w:ind w:firstLine="723" w:firstLineChars="200"/>
        <w:rPr>
          <w:rFonts w:ascii="华光小标宋_CNKI" w:hAnsi="华光小标宋_CNKI" w:eastAsia="华光小标宋_CNKI"/>
          <w:color w:val="FF0000"/>
          <w:sz w:val="21"/>
          <w:szCs w:val="21"/>
        </w:rPr>
      </w:pPr>
      <w:bookmarkStart w:id="0" w:name="_Toc90856301"/>
      <w:r>
        <w:rPr>
          <w:rFonts w:ascii="黑体" w:hAnsi="黑体" w:eastAsia="黑体"/>
          <w:szCs w:val="36"/>
        </w:rPr>
        <w:t>一、专业名称及代码</w:t>
      </w:r>
      <w:bookmarkEnd w:id="0"/>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专业名称：数控技术</w:t>
      </w:r>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专业代码：460103</w:t>
      </w:r>
    </w:p>
    <w:p>
      <w:pPr>
        <w:overflowPunct w:val="0"/>
        <w:adjustRightInd w:val="0"/>
        <w:ind w:firstLine="720" w:firstLineChars="200"/>
        <w:outlineLvl w:val="0"/>
        <w:rPr>
          <w:rFonts w:ascii="黑体" w:hAnsi="黑体" w:eastAsia="黑体"/>
          <w:sz w:val="36"/>
          <w:szCs w:val="36"/>
        </w:rPr>
      </w:pPr>
      <w:bookmarkStart w:id="1" w:name="_Toc6928"/>
      <w:bookmarkStart w:id="2" w:name="_Toc90856304"/>
      <w:r>
        <w:rPr>
          <w:rFonts w:ascii="黑体" w:hAnsi="黑体" w:eastAsia="黑体"/>
          <w:sz w:val="36"/>
          <w:szCs w:val="36"/>
        </w:rPr>
        <w:t>二、入学要求</w:t>
      </w:r>
      <w:bookmarkEnd w:id="1"/>
    </w:p>
    <w:p>
      <w:pPr>
        <w:overflowPunct w:val="0"/>
        <w:adjustRightInd w:val="0"/>
        <w:ind w:firstLine="640" w:firstLineChars="200"/>
        <w:rPr>
          <w:rFonts w:hint="eastAsia" w:ascii="仿宋" w:hAnsi="仿宋" w:eastAsia="仿宋"/>
          <w:szCs w:val="32"/>
        </w:rPr>
      </w:pPr>
      <w:r>
        <w:rPr>
          <w:rFonts w:hint="eastAsia" w:ascii="仿宋" w:hAnsi="仿宋" w:eastAsia="仿宋"/>
          <w:szCs w:val="32"/>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3" w:name="_Toc17180"/>
      <w:r>
        <w:rPr>
          <w:rFonts w:ascii="黑体" w:hAnsi="黑体" w:eastAsia="黑体"/>
          <w:sz w:val="36"/>
          <w:szCs w:val="36"/>
        </w:rPr>
        <w:t>三、修业年限</w:t>
      </w:r>
      <w:bookmarkEnd w:id="3"/>
    </w:p>
    <w:p>
      <w:pPr>
        <w:overflowPunct w:val="0"/>
        <w:adjustRightInd w:val="0"/>
        <w:ind w:firstLine="640" w:firstLineChars="200"/>
        <w:outlineLvl w:val="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四、职业面向</w:t>
      </w:r>
      <w:bookmarkEnd w:id="2"/>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数控技术专业职业岗位分析表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装备制造大类（46）</w:t>
            </w:r>
          </w:p>
          <w:p>
            <w:pPr>
              <w:overflowPunct w:val="0"/>
              <w:adjustRightInd w:val="0"/>
              <w:rPr>
                <w:rFonts w:ascii="仿宋" w:hAnsi="仿宋" w:eastAsia="仿宋"/>
                <w:sz w:val="24"/>
                <w:szCs w:val="24"/>
              </w:rPr>
            </w:pP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机械设计制造类（4601）</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通用设备制造业（34）;专用设备制造业（35 ）</w:t>
            </w:r>
          </w:p>
          <w:p>
            <w:pPr>
              <w:overflowPunct w:val="0"/>
              <w:adjustRightInd w:val="0"/>
              <w:rPr>
                <w:rFonts w:ascii="仿宋" w:hAnsi="仿宋" w:eastAsia="仿宋"/>
                <w:sz w:val="24"/>
                <w:szCs w:val="24"/>
              </w:rPr>
            </w:pP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机械工程技术人员（2 -02-07）:机械冷加工人员（6-18- 01）</w:t>
            </w:r>
          </w:p>
          <w:p>
            <w:pPr>
              <w:overflowPunct w:val="0"/>
              <w:adjustRightInd w:val="0"/>
              <w:rPr>
                <w:rFonts w:ascii="仿宋" w:hAnsi="仿宋" w:eastAsia="仿宋"/>
                <w:sz w:val="24"/>
                <w:szCs w:val="24"/>
              </w:rPr>
            </w:pP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数控设备操作:</w:t>
            </w:r>
          </w:p>
          <w:p>
            <w:pPr>
              <w:overflowPunct w:val="0"/>
              <w:adjustRightInd w:val="0"/>
              <w:rPr>
                <w:rFonts w:ascii="仿宋" w:hAnsi="仿宋" w:eastAsia="仿宋"/>
                <w:sz w:val="24"/>
                <w:szCs w:val="24"/>
              </w:rPr>
            </w:pPr>
            <w:r>
              <w:rPr>
                <w:rFonts w:hint="eastAsia" w:ascii="仿宋" w:hAnsi="仿宋" w:eastAsia="仿宋"/>
                <w:sz w:val="24"/>
                <w:szCs w:val="24"/>
              </w:rPr>
              <w:t>机械加工工艺编制与实施;</w:t>
            </w:r>
          </w:p>
          <w:p>
            <w:pPr>
              <w:overflowPunct w:val="0"/>
              <w:adjustRightInd w:val="0"/>
              <w:rPr>
                <w:rFonts w:ascii="仿宋" w:hAnsi="仿宋" w:eastAsia="仿宋"/>
                <w:sz w:val="24"/>
                <w:szCs w:val="24"/>
              </w:rPr>
            </w:pPr>
            <w:r>
              <w:rPr>
                <w:rFonts w:hint="eastAsia" w:ascii="仿宋" w:hAnsi="仿宋" w:eastAsia="仿宋"/>
                <w:sz w:val="24"/>
                <w:szCs w:val="24"/>
              </w:rPr>
              <w:t>数控编程、质量检验</w:t>
            </w:r>
          </w:p>
          <w:p>
            <w:pPr>
              <w:overflowPunct w:val="0"/>
              <w:adjustRightInd w:val="0"/>
              <w:rPr>
                <w:rFonts w:ascii="仿宋" w:hAnsi="仿宋" w:eastAsia="仿宋"/>
                <w:sz w:val="24"/>
                <w:szCs w:val="24"/>
              </w:rPr>
            </w:pP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数控编程</w:t>
            </w:r>
          </w:p>
        </w:tc>
      </w:tr>
    </w:tbl>
    <w:p>
      <w:pPr>
        <w:overflowPunct w:val="0"/>
        <w:adjustRightInd w:val="0"/>
        <w:ind w:firstLine="640" w:firstLineChars="20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4" w:name="_Toc90856305"/>
      <w:r>
        <w:rPr>
          <w:rFonts w:ascii="黑体" w:hAnsi="黑体" w:eastAsia="黑体"/>
          <w:sz w:val="36"/>
          <w:szCs w:val="36"/>
        </w:rPr>
        <w:t>五、培养目标与培养规格</w:t>
      </w:r>
      <w:bookmarkEnd w:id="4"/>
    </w:p>
    <w:p>
      <w:pPr>
        <w:overflowPunct w:val="0"/>
        <w:adjustRightInd w:val="0"/>
        <w:ind w:firstLine="643" w:firstLineChars="200"/>
        <w:outlineLvl w:val="0"/>
        <w:rPr>
          <w:rFonts w:ascii="华光小标宋_CNKI" w:hAnsi="华光小标宋_CNKI" w:eastAsia="华光小标宋_CNKI"/>
          <w:color w:val="FF0000"/>
          <w:sz w:val="21"/>
          <w:szCs w:val="21"/>
        </w:rPr>
      </w:pPr>
      <w:bookmarkStart w:id="5" w:name="_Toc90856306"/>
      <w:r>
        <w:rPr>
          <w:rFonts w:ascii="仿宋" w:hAnsi="仿宋" w:eastAsia="仿宋"/>
          <w:b/>
          <w:szCs w:val="32"/>
        </w:rPr>
        <w:t>（一）培养目标</w:t>
      </w:r>
      <w:bookmarkEnd w:id="5"/>
    </w:p>
    <w:p>
      <w:pPr>
        <w:ind w:firstLine="640" w:firstLineChars="200"/>
        <w:rPr>
          <w:rFonts w:ascii="仿宋" w:hAnsi="仿宋" w:eastAsia="仿宋"/>
          <w:b/>
          <w:szCs w:val="32"/>
        </w:rPr>
      </w:pPr>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w:t>
      </w:r>
      <w:r>
        <w:rPr>
          <w:rFonts w:hint="eastAsia" w:ascii="仿宋" w:hAnsi="仿宋" w:eastAsia="仿宋"/>
          <w:color w:val="000000" w:themeColor="text1"/>
          <w:szCs w:val="32"/>
          <w14:textFill>
            <w14:solidFill>
              <w14:schemeClr w14:val="tx1"/>
            </w14:solidFill>
          </w14:textFill>
        </w:rPr>
        <w:t>面向通用设备制造业、专用设备制造业的机械工程技术人员、机械冷加工人员等职业群，能够从事数控设备操作、机械加工工艺编制与实施、数控编程、质量检验等工作的高素质技术技能人才。</w:t>
      </w:r>
    </w:p>
    <w:p>
      <w:pPr>
        <w:overflowPunct w:val="0"/>
        <w:adjustRightInd w:val="0"/>
        <w:ind w:firstLine="643" w:firstLineChars="200"/>
        <w:outlineLvl w:val="0"/>
        <w:rPr>
          <w:rFonts w:ascii="仿宋" w:hAnsi="仿宋" w:eastAsia="仿宋"/>
          <w:b/>
          <w:szCs w:val="32"/>
        </w:rPr>
      </w:pPr>
      <w:bookmarkStart w:id="6" w:name="_Toc90856307"/>
      <w:r>
        <w:rPr>
          <w:rFonts w:ascii="仿宋" w:hAnsi="仿宋" w:eastAsia="仿宋"/>
          <w:b/>
          <w:szCs w:val="32"/>
        </w:rPr>
        <w:t>（二）培养规格</w:t>
      </w:r>
      <w:bookmarkEnd w:id="6"/>
    </w:p>
    <w:p>
      <w:pPr>
        <w:overflowPunct w:val="0"/>
        <w:adjustRightInd w:val="0"/>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p>
    <w:p>
      <w:pPr>
        <w:overflowPunct w:val="0"/>
        <w:adjustRightInd w:val="0"/>
        <w:ind w:firstLine="640" w:firstLineChars="200"/>
        <w:rPr>
          <w:rFonts w:ascii="仿宋" w:hAnsi="仿宋" w:eastAsia="仿宋"/>
          <w:szCs w:val="32"/>
        </w:rPr>
      </w:pPr>
      <w:r>
        <w:rPr>
          <w:rFonts w:hint="eastAsia" w:ascii="仿宋" w:hAnsi="仿宋" w:eastAsia="仿宋"/>
          <w:szCs w:val="32"/>
        </w:rPr>
        <w:t>（3）掌握机械制图知识和公差配合知识。</w:t>
      </w:r>
    </w:p>
    <w:p>
      <w:pPr>
        <w:overflowPunct w:val="0"/>
        <w:adjustRightInd w:val="0"/>
        <w:ind w:firstLine="640" w:firstLineChars="200"/>
        <w:rPr>
          <w:rFonts w:ascii="仿宋" w:hAnsi="仿宋" w:eastAsia="仿宋"/>
          <w:szCs w:val="32"/>
        </w:rPr>
      </w:pPr>
      <w:r>
        <w:rPr>
          <w:rFonts w:hint="eastAsia" w:ascii="仿宋" w:hAnsi="仿宋" w:eastAsia="仿宋"/>
          <w:szCs w:val="32"/>
        </w:rPr>
        <w:t>（4）掌握常用金属材料的性能及应用知识和热加工基础知识。</w:t>
      </w:r>
    </w:p>
    <w:p>
      <w:pPr>
        <w:overflowPunct w:val="0"/>
        <w:adjustRightInd w:val="0"/>
        <w:ind w:firstLine="640" w:firstLineChars="200"/>
        <w:rPr>
          <w:rFonts w:ascii="仿宋" w:hAnsi="仿宋" w:eastAsia="仿宋"/>
          <w:szCs w:val="32"/>
        </w:rPr>
      </w:pPr>
      <w:r>
        <w:rPr>
          <w:rFonts w:hint="eastAsia" w:ascii="仿宋" w:hAnsi="仿宋" w:eastAsia="仿宋"/>
          <w:szCs w:val="32"/>
        </w:rPr>
        <w:t>（5）掌握电工电子技术基础、机械设计基础、液压与气压传动知识。</w:t>
      </w:r>
    </w:p>
    <w:p>
      <w:pPr>
        <w:overflowPunct w:val="0"/>
        <w:adjustRightInd w:val="0"/>
        <w:ind w:firstLine="640" w:firstLineChars="200"/>
        <w:rPr>
          <w:rFonts w:ascii="仿宋" w:hAnsi="仿宋" w:eastAsia="仿宋"/>
          <w:szCs w:val="32"/>
        </w:rPr>
      </w:pPr>
      <w:r>
        <w:rPr>
          <w:rFonts w:hint="eastAsia" w:ascii="仿宋" w:hAnsi="仿宋" w:eastAsia="仿宋"/>
          <w:szCs w:val="32"/>
        </w:rPr>
        <w:t>（6）掌握金属切削刀具、量具和夹具的基本原理。</w:t>
      </w:r>
    </w:p>
    <w:p>
      <w:pPr>
        <w:overflowPunct w:val="0"/>
        <w:adjustRightInd w:val="0"/>
        <w:ind w:firstLine="640" w:firstLineChars="200"/>
        <w:rPr>
          <w:rFonts w:ascii="仿宋" w:hAnsi="仿宋" w:eastAsia="仿宋"/>
          <w:szCs w:val="32"/>
        </w:rPr>
      </w:pPr>
      <w:r>
        <w:rPr>
          <w:rFonts w:hint="eastAsia" w:ascii="仿宋" w:hAnsi="仿宋" w:eastAsia="仿宋"/>
          <w:szCs w:val="32"/>
        </w:rPr>
        <w:t>（7）熟悉常用机械加工设备的工作原理、加工范围及结构等知识。</w:t>
      </w:r>
    </w:p>
    <w:p>
      <w:pPr>
        <w:overflowPunct w:val="0"/>
        <w:adjustRightInd w:val="0"/>
        <w:ind w:firstLine="640" w:firstLineChars="200"/>
        <w:rPr>
          <w:rFonts w:ascii="仿宋" w:hAnsi="仿宋" w:eastAsia="仿宋"/>
          <w:szCs w:val="32"/>
        </w:rPr>
      </w:pPr>
      <w:r>
        <w:rPr>
          <w:rFonts w:hint="eastAsia" w:ascii="仿宋" w:hAnsi="仿宋" w:eastAsia="仿宋"/>
          <w:szCs w:val="32"/>
        </w:rPr>
        <w:t>（8）掌握与机械加工工艺编制与实施相关的基础知识。</w:t>
      </w:r>
    </w:p>
    <w:p>
      <w:pPr>
        <w:overflowPunct w:val="0"/>
        <w:adjustRightInd w:val="0"/>
        <w:ind w:firstLine="640" w:firstLineChars="200"/>
        <w:rPr>
          <w:rFonts w:ascii="仿宋" w:hAnsi="仿宋" w:eastAsia="仿宋"/>
          <w:szCs w:val="32"/>
        </w:rPr>
      </w:pPr>
      <w:r>
        <w:rPr>
          <w:rFonts w:hint="eastAsia" w:ascii="仿宋" w:hAnsi="仿宋" w:eastAsia="仿宋"/>
          <w:szCs w:val="32"/>
        </w:rPr>
        <w:t>（9）掌握数控加工手工编程和CAD/CAM自动编程的基本知识。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（10） 了解数控机床电气控制原理。</w:t>
      </w:r>
    </w:p>
    <w:p>
      <w:pPr>
        <w:overflowPunct w:val="0"/>
        <w:adjustRightInd w:val="0"/>
        <w:ind w:firstLine="640" w:firstLineChars="200"/>
        <w:rPr>
          <w:rFonts w:ascii="仿宋" w:hAnsi="仿宋" w:eastAsia="仿宋"/>
          <w:szCs w:val="32"/>
        </w:rPr>
      </w:pPr>
      <w:r>
        <w:rPr>
          <w:rFonts w:hint="eastAsia" w:ascii="仿宋" w:hAnsi="仿宋" w:eastAsia="仿宋"/>
          <w:szCs w:val="32"/>
        </w:rPr>
        <w:t>（11）熟悉数控设备维护保养、故障诊断与维修的基本知识。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（12）熟悉机械产品质量检测与控制知识。</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（2）具有良好的语言、文字表达能力和沟通能力。</w:t>
      </w:r>
    </w:p>
    <w:p>
      <w:pPr>
        <w:ind w:firstLine="640" w:firstLineChars="200"/>
        <w:rPr>
          <w:rFonts w:ascii="仿宋" w:hAnsi="仿宋" w:eastAsia="仿宋"/>
          <w:szCs w:val="32"/>
        </w:rPr>
      </w:pPr>
      <w:r>
        <w:rPr>
          <w:rFonts w:hint="eastAsia" w:ascii="仿宋" w:hAnsi="仿宋" w:eastAsia="仿宋"/>
          <w:szCs w:val="32"/>
        </w:rPr>
        <w:t>（3）具有本专业必需的信息技术应用和维护能力。</w:t>
      </w:r>
    </w:p>
    <w:p>
      <w:pPr>
        <w:ind w:firstLine="640" w:firstLineChars="200"/>
        <w:rPr>
          <w:rFonts w:ascii="仿宋" w:hAnsi="仿宋" w:eastAsia="仿宋"/>
          <w:szCs w:val="32"/>
        </w:rPr>
      </w:pPr>
      <w:r>
        <w:rPr>
          <w:rFonts w:hint="eastAsia" w:ascii="仿宋" w:hAnsi="仿宋" w:eastAsia="仿宋"/>
          <w:szCs w:val="32"/>
        </w:rPr>
        <w:t>（4）能够识读各类机械零件图和装配图。</w:t>
      </w:r>
    </w:p>
    <w:p>
      <w:pPr>
        <w:ind w:firstLine="640" w:firstLineChars="200"/>
        <w:rPr>
          <w:rFonts w:ascii="仿宋" w:hAnsi="仿宋" w:eastAsia="仿宋"/>
          <w:szCs w:val="32"/>
        </w:rPr>
      </w:pPr>
      <w:r>
        <w:rPr>
          <w:rFonts w:hint="eastAsia" w:ascii="仿宋" w:hAnsi="仿宋" w:eastAsia="仿宋"/>
          <w:szCs w:val="32"/>
        </w:rPr>
        <w:t>（5）能够进行常用金属材料选用，成型方法和热处理方式选择。.</w:t>
      </w:r>
    </w:p>
    <w:p>
      <w:pPr>
        <w:ind w:firstLine="640" w:firstLineChars="200"/>
        <w:rPr>
          <w:rFonts w:ascii="仿宋" w:hAnsi="仿宋" w:eastAsia="仿宋"/>
          <w:szCs w:val="32"/>
        </w:rPr>
      </w:pPr>
      <w:r>
        <w:rPr>
          <w:rFonts w:hint="eastAsia" w:ascii="仿宋" w:hAnsi="仿宋" w:eastAsia="仿宋"/>
          <w:szCs w:val="32"/>
        </w:rPr>
        <w:t>（6）能够进行普通金属切削机床、刀具、量具和夹具的正确选用和使用。</w:t>
      </w:r>
    </w:p>
    <w:p>
      <w:pPr>
        <w:ind w:firstLine="640" w:firstLineChars="200"/>
        <w:rPr>
          <w:rFonts w:ascii="仿宋" w:hAnsi="仿宋" w:eastAsia="仿宋"/>
          <w:szCs w:val="32"/>
        </w:rPr>
      </w:pPr>
      <w:r>
        <w:rPr>
          <w:rFonts w:hint="eastAsia" w:ascii="仿宋" w:hAnsi="仿宋" w:eastAsia="仿宋"/>
          <w:szCs w:val="32"/>
        </w:rPr>
        <w:t>（7）能够熟练操作数控机床。</w:t>
      </w:r>
    </w:p>
    <w:p>
      <w:pPr>
        <w:ind w:firstLine="640" w:firstLineChars="200"/>
        <w:rPr>
          <w:rFonts w:ascii="仿宋" w:hAnsi="仿宋" w:eastAsia="仿宋"/>
          <w:szCs w:val="32"/>
        </w:rPr>
      </w:pPr>
      <w:r>
        <w:rPr>
          <w:rFonts w:hint="eastAsia" w:ascii="仿宋" w:hAnsi="仿宋" w:eastAsia="仿宋"/>
          <w:szCs w:val="32"/>
        </w:rPr>
        <w:t>（8）能够进行典型零件的机械加工工艺编制与实施。</w:t>
      </w:r>
    </w:p>
    <w:p>
      <w:pPr>
        <w:overflowPunct w:val="0"/>
        <w:adjustRightInd w:val="0"/>
        <w:ind w:firstLine="720" w:firstLineChars="200"/>
        <w:outlineLvl w:val="0"/>
        <w:rPr>
          <w:rFonts w:ascii="黑体" w:hAnsi="黑体" w:eastAsia="黑体"/>
          <w:sz w:val="36"/>
          <w:szCs w:val="36"/>
        </w:rPr>
      </w:pPr>
      <w:bookmarkStart w:id="7" w:name="_Toc90856308"/>
      <w:r>
        <w:rPr>
          <w:rFonts w:ascii="黑体" w:hAnsi="黑体" w:eastAsia="黑体"/>
          <w:sz w:val="36"/>
          <w:szCs w:val="36"/>
        </w:rPr>
        <w:t>六、课程设置及要求</w:t>
      </w:r>
      <w:bookmarkEnd w:id="7"/>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overflowPunct w:val="0"/>
        <w:adjustRightInd w:val="0"/>
        <w:ind w:firstLine="643" w:firstLineChars="200"/>
        <w:outlineLvl w:val="0"/>
        <w:rPr>
          <w:rFonts w:ascii="仿宋" w:hAnsi="仿宋" w:eastAsia="仿宋"/>
          <w:b/>
          <w:szCs w:val="32"/>
        </w:rPr>
      </w:pPr>
      <w:bookmarkStart w:id="8" w:name="_Toc90856309"/>
      <w:r>
        <w:rPr>
          <w:rFonts w:ascii="仿宋" w:hAnsi="仿宋" w:eastAsia="仿宋"/>
          <w:b/>
          <w:szCs w:val="32"/>
        </w:rPr>
        <w:t>（一）公共基础课程</w:t>
      </w:r>
      <w:bookmarkEnd w:id="8"/>
    </w:p>
    <w:p>
      <w:pPr>
        <w:overflowPunct w:val="0"/>
        <w:adjustRightInd w:val="0"/>
        <w:ind w:firstLine="640" w:firstLineChars="200"/>
        <w:rPr>
          <w:rFonts w:ascii="仿宋" w:hAnsi="仿宋" w:eastAsia="仿宋"/>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p>
    <w:p>
      <w:pPr>
        <w:overflowPunct w:val="0"/>
        <w:adjustRightInd w:val="0"/>
        <w:ind w:firstLine="640" w:firstLineChars="200"/>
        <w:rPr>
          <w:rFonts w:ascii="仿宋" w:hAnsi="仿宋" w:eastAsia="仿宋"/>
          <w:szCs w:val="32"/>
        </w:rPr>
      </w:pPr>
      <w:r>
        <w:rPr>
          <w:rFonts w:hint="eastAsia" w:ascii="仿宋" w:hAnsi="仿宋" w:eastAsia="仿宋"/>
          <w:szCs w:val="32"/>
        </w:rPr>
        <w:t>1.思想政治理论课（144学时，9学分）</w:t>
      </w:r>
    </w:p>
    <w:p>
      <w:pPr>
        <w:overflowPunct w:val="0"/>
        <w:adjustRightInd w:val="0"/>
        <w:ind w:firstLine="640" w:firstLineChars="200"/>
        <w:rPr>
          <w:rFonts w:hint="eastAsia" w:ascii="仿宋" w:hAnsi="仿宋" w:eastAsia="仿宋"/>
          <w:szCs w:val="32"/>
        </w:rPr>
      </w:pPr>
      <w:r>
        <w:rPr>
          <w:rFonts w:hint="eastAsia" w:ascii="仿宋" w:hAnsi="仿宋" w:eastAsia="仿宋"/>
          <w:szCs w:val="32"/>
        </w:rPr>
        <w:t>（1）思想道德与法治</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rPr>
          <w:rFonts w:ascii="仿宋" w:hAnsi="仿宋" w:eastAsia="仿宋"/>
          <w:szCs w:val="32"/>
        </w:rPr>
      </w:pPr>
      <w:r>
        <w:rPr>
          <w:rFonts w:hint="eastAsia" w:ascii="仿宋" w:hAnsi="仿宋" w:eastAsia="仿宋"/>
          <w:szCs w:val="32"/>
        </w:rPr>
        <w:t>2.体育1.2.3（108学时，6学分）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ascii="仿宋" w:hAnsi="仿宋" w:eastAsia="仿宋"/>
          <w:szCs w:val="32"/>
        </w:rPr>
      </w:pPr>
      <w:r>
        <w:rPr>
          <w:rFonts w:hint="eastAsia" w:ascii="仿宋" w:hAnsi="仿宋" w:eastAsia="仿宋"/>
          <w:szCs w:val="32"/>
        </w:rPr>
        <w:t>3.军事理论及军事技能（148学时，4学分）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ascii="仿宋" w:hAnsi="仿宋" w:eastAsia="仿宋"/>
          <w:szCs w:val="32"/>
        </w:rPr>
      </w:pPr>
      <w:r>
        <w:rPr>
          <w:rFonts w:hint="eastAsia" w:ascii="仿宋" w:hAnsi="仿宋" w:eastAsia="仿宋"/>
          <w:szCs w:val="32"/>
        </w:rPr>
        <w:t>4、大学生心理健康教育（32学时，2学分）</w:t>
      </w:r>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ascii="仿宋" w:hAnsi="仿宋" w:eastAsia="仿宋"/>
          <w:szCs w:val="32"/>
        </w:rPr>
      </w:pPr>
      <w:r>
        <w:rPr>
          <w:rFonts w:hint="eastAsia" w:ascii="仿宋" w:hAnsi="仿宋" w:eastAsia="仿宋"/>
          <w:szCs w:val="32"/>
        </w:rPr>
        <w:t>5.大学英语（144学时，8学分）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ascii="仿宋" w:hAnsi="仿宋" w:eastAsia="仿宋"/>
          <w:szCs w:val="32"/>
        </w:rPr>
      </w:pPr>
      <w:r>
        <w:rPr>
          <w:rFonts w:hint="eastAsia" w:ascii="仿宋" w:hAnsi="仿宋" w:eastAsia="仿宋"/>
          <w:szCs w:val="32"/>
        </w:rPr>
        <w:t>6、计算机基础（64学时，4学分）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ascii="仿宋" w:hAnsi="仿宋" w:eastAsia="仿宋"/>
          <w:szCs w:val="32"/>
        </w:rPr>
      </w:pPr>
      <w:r>
        <w:rPr>
          <w:rFonts w:hint="eastAsia" w:ascii="仿宋" w:hAnsi="仿宋" w:eastAsia="仿宋"/>
          <w:szCs w:val="32"/>
        </w:rPr>
        <w:t>8.大学生安全教育（18学时，1学分）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ascii="仿宋" w:hAnsi="仿宋" w:eastAsia="仿宋"/>
          <w:szCs w:val="32"/>
        </w:rPr>
      </w:pPr>
      <w:r>
        <w:rPr>
          <w:rFonts w:hint="eastAsia" w:ascii="仿宋" w:hAnsi="仿宋" w:eastAsia="仿宋"/>
          <w:szCs w:val="32"/>
        </w:rPr>
        <w:t>9、大学生文化修养（18学时，1学分）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ascii="仿宋" w:hAnsi="仿宋" w:eastAsia="仿宋"/>
          <w:szCs w:val="32"/>
        </w:rPr>
      </w:pPr>
      <w:r>
        <w:rPr>
          <w:rFonts w:hint="eastAsia" w:ascii="仿宋" w:hAnsi="仿宋" w:eastAsia="仿宋"/>
          <w:szCs w:val="32"/>
        </w:rPr>
        <w:t>10、应用文写作（18学时，1学分）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ascii="仿宋" w:hAnsi="仿宋" w:eastAsia="仿宋"/>
          <w:szCs w:val="32"/>
        </w:rPr>
      </w:pPr>
      <w:r>
        <w:rPr>
          <w:rFonts w:hint="eastAsia" w:ascii="仿宋" w:hAnsi="仿宋" w:eastAsia="仿宋"/>
          <w:szCs w:val="32"/>
        </w:rPr>
        <w:t>11.职业素质养成（18学时，1学分）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ascii="仿宋" w:hAnsi="仿宋" w:eastAsia="仿宋"/>
          <w:szCs w:val="32"/>
        </w:rPr>
      </w:pPr>
      <w:r>
        <w:rPr>
          <w:rFonts w:hint="eastAsia" w:ascii="仿宋" w:hAnsi="仿宋" w:eastAsia="仿宋"/>
          <w:szCs w:val="32"/>
        </w:rPr>
        <w:t>12.演讲与口才（18学时，1学分）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ascii="仿宋" w:hAnsi="仿宋" w:eastAsia="仿宋"/>
          <w:szCs w:val="32"/>
        </w:rPr>
      </w:pPr>
      <w:r>
        <w:rPr>
          <w:rFonts w:hint="eastAsia" w:ascii="仿宋" w:hAnsi="仿宋" w:eastAsia="仿宋"/>
          <w:szCs w:val="32"/>
        </w:rPr>
        <w:t>13、中国共产党党史（16学时，1学分）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ascii="仿宋" w:hAnsi="仿宋" w:eastAsia="仿宋"/>
          <w:szCs w:val="32"/>
        </w:rPr>
      </w:pPr>
      <w:r>
        <w:rPr>
          <w:rFonts w:hint="eastAsia" w:ascii="仿宋" w:hAnsi="仿宋" w:eastAsia="仿宋"/>
          <w:szCs w:val="32"/>
        </w:rPr>
        <w:t>14.就业创业指导课（40学时  2.5学分）</w:t>
      </w:r>
    </w:p>
    <w:p>
      <w:pPr>
        <w:overflowPunct w:val="0"/>
        <w:adjustRightInd w:val="0"/>
        <w:ind w:firstLine="640" w:firstLineChars="200"/>
        <w:rPr>
          <w:rFonts w:ascii="仿宋" w:hAnsi="仿宋" w:eastAsia="仿宋"/>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overflowPunct w:val="0"/>
        <w:adjustRightInd w:val="0"/>
        <w:ind w:firstLine="321" w:firstLineChars="100"/>
        <w:outlineLvl w:val="0"/>
        <w:rPr>
          <w:rFonts w:ascii="仿宋" w:hAnsi="仿宋" w:eastAsia="仿宋"/>
          <w:b/>
          <w:szCs w:val="32"/>
        </w:rPr>
      </w:pPr>
    </w:p>
    <w:p>
      <w:pPr>
        <w:overflowPunct w:val="0"/>
        <w:adjustRightInd w:val="0"/>
        <w:ind w:firstLine="643" w:firstLineChars="200"/>
        <w:outlineLvl w:val="0"/>
        <w:rPr>
          <w:rFonts w:ascii="仿宋" w:hAnsi="仿宋" w:eastAsia="仿宋"/>
          <w:b/>
          <w:szCs w:val="32"/>
        </w:rPr>
      </w:pPr>
      <w:bookmarkStart w:id="9" w:name="_Toc90856310"/>
      <w:r>
        <w:rPr>
          <w:rFonts w:ascii="仿宋" w:hAnsi="仿宋" w:eastAsia="仿宋"/>
          <w:b/>
          <w:szCs w:val="32"/>
        </w:rPr>
        <w:t>（二）专业（技能）课程</w:t>
      </w:r>
      <w:bookmarkEnd w:id="9"/>
    </w:p>
    <w:p>
      <w:pPr>
        <w:ind w:firstLine="640" w:firstLineChars="200"/>
        <w:rPr>
          <w:rFonts w:ascii="仿宋" w:hAnsi="仿宋" w:eastAsia="仿宋"/>
          <w:szCs w:val="32"/>
        </w:rPr>
      </w:pPr>
      <w:r>
        <w:rPr>
          <w:rFonts w:ascii="仿宋" w:hAnsi="仿宋" w:eastAsia="仿宋"/>
          <w:szCs w:val="32"/>
        </w:rPr>
        <w:t>专业</w:t>
      </w:r>
      <w:r>
        <w:rPr>
          <w:rFonts w:hint="eastAsia" w:ascii="仿宋" w:hAnsi="仿宋" w:eastAsia="仿宋"/>
          <w:szCs w:val="32"/>
        </w:rPr>
        <w:t>（技能）课程一般包括专业基础课程、专业核心课程、专业限选课程，并涵盖有关实践性教学环节。</w:t>
      </w:r>
    </w:p>
    <w:p>
      <w:pPr>
        <w:ind w:firstLine="640" w:firstLineChars="200"/>
        <w:rPr>
          <w:rFonts w:ascii="仿宋" w:hAnsi="仿宋" w:eastAsia="仿宋"/>
          <w:szCs w:val="32"/>
        </w:rPr>
      </w:pPr>
      <w:r>
        <w:rPr>
          <w:rFonts w:hint="eastAsia" w:ascii="仿宋" w:hAnsi="仿宋" w:eastAsia="仿宋"/>
          <w:szCs w:val="32"/>
        </w:rPr>
        <w:t>主要专业基础课程：</w:t>
      </w:r>
      <w:r>
        <w:rPr>
          <w:rFonts w:ascii="仿宋" w:hAnsi="仿宋" w:eastAsia="仿宋"/>
          <w:szCs w:val="32"/>
        </w:rPr>
        <w:t>机械制图、金属材料与热处理、机械制造技术基础、机械设计基础、公差配合与技术测量、电工电子技术、机床电气控制、液压与气压传动等</w:t>
      </w:r>
      <w:r>
        <w:rPr>
          <w:rFonts w:hint="eastAsia" w:ascii="仿宋" w:hAnsi="仿宋" w:eastAsia="仿宋"/>
          <w:szCs w:val="32"/>
        </w:rPr>
        <w:t>。</w:t>
      </w:r>
    </w:p>
    <w:p>
      <w:pPr>
        <w:ind w:firstLine="640" w:firstLineChars="200"/>
        <w:rPr>
          <w:rFonts w:ascii="仿宋" w:hAnsi="仿宋" w:eastAsia="仿宋"/>
          <w:szCs w:val="32"/>
        </w:rPr>
      </w:pPr>
      <w:r>
        <w:rPr>
          <w:rFonts w:hint="eastAsia" w:ascii="仿宋" w:hAnsi="仿宋" w:eastAsia="仿宋"/>
          <w:szCs w:val="32"/>
        </w:rPr>
        <w:t>主要专业核心课程：数控车削编程与加工、数控机床构造与原理、数控机床电气控制、数控铣削编程与加工、UGNX7.5数控编程、UG基础。</w:t>
      </w:r>
    </w:p>
    <w:p>
      <w:pPr>
        <w:rPr>
          <w:rFonts w:ascii="仿宋" w:hAnsi="仿宋" w:eastAsia="仿宋"/>
          <w:szCs w:val="32"/>
        </w:rPr>
      </w:pPr>
      <w:r>
        <w:rPr>
          <w:rFonts w:hint="eastAsia" w:ascii="仿宋" w:hAnsi="仿宋" w:eastAsia="仿宋"/>
          <w:szCs w:val="32"/>
        </w:rPr>
        <w:t xml:space="preserve">   </w:t>
      </w:r>
      <w:r>
        <w:rPr>
          <w:rFonts w:hint="eastAsia" w:ascii="仿宋" w:hAnsi="仿宋" w:eastAsia="仿宋"/>
          <w:sz w:val="28"/>
          <w:szCs w:val="32"/>
        </w:rPr>
        <w:t xml:space="preserve"> 表2 </w:t>
      </w:r>
      <w:r>
        <w:rPr>
          <w:rFonts w:hint="eastAsia" w:ascii="仿宋" w:hAnsi="仿宋" w:eastAsia="仿宋"/>
          <w:szCs w:val="32"/>
        </w:rPr>
        <w:t>主要专业核心课程描述表</w:t>
      </w:r>
    </w:p>
    <w:tbl>
      <w:tblPr>
        <w:tblStyle w:val="10"/>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75"/>
        <w:gridCol w:w="2755"/>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18"/>
                <w:szCs w:val="18"/>
              </w:rPr>
            </w:pPr>
            <w:r>
              <w:rPr>
                <w:rFonts w:hint="eastAsia" w:ascii="仿宋" w:hAnsi="仿宋" w:eastAsia="仿宋"/>
                <w:sz w:val="18"/>
                <w:szCs w:val="18"/>
              </w:rPr>
              <w:t>序号</w:t>
            </w:r>
          </w:p>
        </w:tc>
        <w:tc>
          <w:tcPr>
            <w:tcW w:w="1675" w:type="dxa"/>
          </w:tcPr>
          <w:p>
            <w:pPr>
              <w:rPr>
                <w:rFonts w:ascii="仿宋" w:hAnsi="仿宋" w:eastAsia="仿宋"/>
                <w:sz w:val="18"/>
                <w:szCs w:val="18"/>
              </w:rPr>
            </w:pPr>
            <w:r>
              <w:rPr>
                <w:rFonts w:hint="eastAsia" w:ascii="仿宋" w:hAnsi="仿宋" w:eastAsia="仿宋"/>
                <w:sz w:val="18"/>
                <w:szCs w:val="18"/>
              </w:rPr>
              <w:t>课程名称</w:t>
            </w:r>
          </w:p>
        </w:tc>
        <w:tc>
          <w:tcPr>
            <w:tcW w:w="2755" w:type="dxa"/>
          </w:tcPr>
          <w:p>
            <w:pPr>
              <w:rPr>
                <w:rFonts w:ascii="仿宋" w:hAnsi="仿宋" w:eastAsia="仿宋"/>
                <w:sz w:val="18"/>
                <w:szCs w:val="18"/>
              </w:rPr>
            </w:pPr>
            <w:r>
              <w:rPr>
                <w:rFonts w:hint="eastAsia" w:ascii="仿宋" w:hAnsi="仿宋" w:eastAsia="仿宋"/>
                <w:sz w:val="18"/>
                <w:szCs w:val="18"/>
              </w:rPr>
              <w:t>课程目标</w:t>
            </w:r>
          </w:p>
        </w:tc>
        <w:tc>
          <w:tcPr>
            <w:tcW w:w="2799" w:type="dxa"/>
          </w:tcPr>
          <w:p>
            <w:pPr>
              <w:rPr>
                <w:rFonts w:ascii="仿宋" w:hAnsi="仿宋" w:eastAsia="仿宋"/>
                <w:sz w:val="18"/>
                <w:szCs w:val="18"/>
              </w:rPr>
            </w:pPr>
            <w:r>
              <w:rPr>
                <w:rFonts w:hint="eastAsia" w:ascii="仿宋" w:hAnsi="仿宋" w:eastAsia="仿宋"/>
                <w:sz w:val="18"/>
                <w:szCs w:val="18"/>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18"/>
                <w:szCs w:val="18"/>
                <w:highlight w:val="yellow"/>
              </w:rPr>
            </w:pPr>
            <w:r>
              <w:rPr>
                <w:rFonts w:hint="eastAsia" w:ascii="仿宋" w:hAnsi="仿宋" w:eastAsia="仿宋"/>
                <w:sz w:val="18"/>
                <w:szCs w:val="18"/>
              </w:rPr>
              <w:t>1</w:t>
            </w:r>
          </w:p>
        </w:tc>
        <w:tc>
          <w:tcPr>
            <w:tcW w:w="1675" w:type="dxa"/>
          </w:tcPr>
          <w:p>
            <w:pPr>
              <w:rPr>
                <w:rFonts w:ascii="仿宋" w:hAnsi="仿宋" w:eastAsia="仿宋"/>
                <w:sz w:val="18"/>
                <w:szCs w:val="18"/>
                <w:highlight w:val="yellow"/>
              </w:rPr>
            </w:pPr>
            <w:r>
              <w:rPr>
                <w:rFonts w:hint="eastAsia" w:ascii="宋体" w:hAnsi="宋体" w:cs="宋体"/>
                <w:bCs/>
                <w:color w:val="000000" w:themeColor="text1"/>
                <w:sz w:val="18"/>
                <w:szCs w:val="18"/>
                <w14:textFill>
                  <w14:solidFill>
                    <w14:schemeClr w14:val="tx1"/>
                  </w14:solidFill>
                </w14:textFill>
              </w:rPr>
              <w:t>数控车削编程与加工</w:t>
            </w:r>
          </w:p>
        </w:tc>
        <w:tc>
          <w:tcPr>
            <w:tcW w:w="2755" w:type="dxa"/>
          </w:tcPr>
          <w:p>
            <w:pPr>
              <w:rPr>
                <w:rFonts w:ascii="仿宋" w:hAnsi="仿宋" w:eastAsia="仿宋"/>
                <w:sz w:val="18"/>
                <w:szCs w:val="18"/>
                <w:highlight w:val="yellow"/>
              </w:rPr>
            </w:pPr>
            <w:r>
              <w:rPr>
                <w:rFonts w:hint="eastAsia" w:ascii="宋体" w:hAnsi="宋体" w:cs="仿宋"/>
                <w:color w:val="000000"/>
                <w:sz w:val="18"/>
                <w:szCs w:val="18"/>
              </w:rPr>
              <w:t>了解数控车床的工作原理，掌握数控车床的编程指令及使用方法，并能够使用数控仿真软件验证数控加工程序，掌握零件的车削加工和精度检测的方法，能对数控机床进行日常的维护保养。并进行数控编程的实践应用，解决实际生产中的零件加工问题。培养学生独立解决问题和继续学习的能力，培养学生良好的职业道德和意志品质。课程结束时，学生应达到数控中级车工（国家职业资格四级）的要求。</w:t>
            </w:r>
          </w:p>
        </w:tc>
        <w:tc>
          <w:tcPr>
            <w:tcW w:w="2799" w:type="dxa"/>
          </w:tcPr>
          <w:p>
            <w:pPr>
              <w:rPr>
                <w:rFonts w:ascii="仿宋" w:hAnsi="仿宋" w:eastAsia="仿宋"/>
                <w:sz w:val="18"/>
                <w:szCs w:val="18"/>
                <w:highlight w:val="yellow"/>
              </w:rPr>
            </w:pPr>
            <w:r>
              <w:rPr>
                <w:rFonts w:hint="eastAsia" w:ascii="仿宋" w:hAnsi="仿宋" w:eastAsia="仿宋"/>
                <w:sz w:val="18"/>
                <w:szCs w:val="18"/>
              </w:rPr>
              <w:t>数控车床的基础知识，数控车削工艺，数控车床编程基础，FANUC 0-TD系统的编程与操作，SIEMENS 802S系统的编程与操作，华中世纪星HNC-21T系统的编程与操作，数控车削电力零件的加工。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78" w:type="dxa"/>
          </w:tcPr>
          <w:p>
            <w:pPr>
              <w:rPr>
                <w:rFonts w:ascii="仿宋" w:hAnsi="仿宋" w:eastAsia="仿宋"/>
                <w:sz w:val="18"/>
                <w:szCs w:val="18"/>
                <w:highlight w:val="yellow"/>
              </w:rPr>
            </w:pPr>
            <w:r>
              <w:rPr>
                <w:rFonts w:hint="eastAsia" w:ascii="仿宋" w:hAnsi="仿宋" w:eastAsia="仿宋"/>
                <w:sz w:val="18"/>
                <w:szCs w:val="18"/>
              </w:rPr>
              <w:t>2</w:t>
            </w:r>
          </w:p>
        </w:tc>
        <w:tc>
          <w:tcPr>
            <w:tcW w:w="1675" w:type="dxa"/>
          </w:tcPr>
          <w:p>
            <w:pPr>
              <w:rPr>
                <w:rFonts w:ascii="仿宋" w:hAnsi="仿宋" w:eastAsia="仿宋"/>
                <w:sz w:val="18"/>
                <w:szCs w:val="18"/>
                <w:highlight w:val="yellow"/>
              </w:rPr>
            </w:pPr>
            <w:r>
              <w:rPr>
                <w:rFonts w:hint="eastAsia" w:ascii="宋体" w:hAnsi="宋体" w:cs="仿宋"/>
                <w:color w:val="000000"/>
                <w:sz w:val="18"/>
                <w:szCs w:val="18"/>
              </w:rPr>
              <w:t>数控机床构造与原理</w:t>
            </w:r>
          </w:p>
        </w:tc>
        <w:tc>
          <w:tcPr>
            <w:tcW w:w="2755" w:type="dxa"/>
          </w:tcPr>
          <w:p>
            <w:pPr>
              <w:rPr>
                <w:rFonts w:ascii="宋体" w:hAnsi="宋体" w:cs="仿宋"/>
                <w:color w:val="000000"/>
                <w:sz w:val="18"/>
                <w:szCs w:val="18"/>
              </w:rPr>
            </w:pPr>
            <w:r>
              <w:rPr>
                <w:rFonts w:hint="eastAsia" w:ascii="宋体" w:hAnsi="宋体" w:cs="仿宋"/>
                <w:color w:val="000000"/>
                <w:sz w:val="18"/>
                <w:szCs w:val="18"/>
              </w:rPr>
              <w:t>使学生掌握数控机床的基本知识，各种数控机床的结构，以及数控机床中所使用的</w:t>
            </w:r>
          </w:p>
          <w:p>
            <w:pPr>
              <w:rPr>
                <w:rFonts w:ascii="宋体" w:hAnsi="宋体" w:eastAsia="宋体" w:cs="仿宋"/>
                <w:color w:val="000000"/>
                <w:sz w:val="18"/>
                <w:szCs w:val="18"/>
              </w:rPr>
            </w:pPr>
            <w:r>
              <w:rPr>
                <w:rFonts w:hint="eastAsia" w:ascii="宋体" w:hAnsi="宋体" w:cs="仿宋"/>
                <w:color w:val="000000"/>
                <w:sz w:val="18"/>
                <w:szCs w:val="18"/>
              </w:rPr>
              <w:t>检测装置，数控系统。一般数控机床的机械典型结构及常用的维修方法。</w:t>
            </w:r>
          </w:p>
          <w:p>
            <w:pPr>
              <w:rPr>
                <w:rFonts w:ascii="仿宋" w:hAnsi="仿宋" w:eastAsia="仿宋"/>
                <w:sz w:val="18"/>
                <w:szCs w:val="18"/>
                <w:highlight w:val="yellow"/>
              </w:rPr>
            </w:pPr>
          </w:p>
        </w:tc>
        <w:tc>
          <w:tcPr>
            <w:tcW w:w="2799" w:type="dxa"/>
          </w:tcPr>
          <w:p>
            <w:pPr>
              <w:rPr>
                <w:rFonts w:ascii="宋体" w:hAnsi="宋体" w:cs="仿宋"/>
                <w:color w:val="000000"/>
                <w:sz w:val="18"/>
                <w:szCs w:val="18"/>
              </w:rPr>
            </w:pPr>
            <w:r>
              <w:rPr>
                <w:rFonts w:hint="eastAsia" w:ascii="宋体" w:hAnsi="宋体" w:cs="仿宋"/>
                <w:color w:val="000000"/>
                <w:sz w:val="18"/>
                <w:szCs w:val="18"/>
              </w:rPr>
              <w:t>掌握熟练数控机床坐标系的命名规则、正负方向； </w:t>
            </w:r>
          </w:p>
          <w:p>
            <w:pPr>
              <w:rPr>
                <w:rFonts w:ascii="宋体" w:hAnsi="宋体" w:cs="仿宋"/>
                <w:color w:val="000000"/>
                <w:sz w:val="18"/>
                <w:szCs w:val="18"/>
              </w:rPr>
            </w:pPr>
            <w:r>
              <w:rPr>
                <w:rFonts w:hint="eastAsia" w:ascii="宋体" w:hAnsi="宋体" w:cs="仿宋"/>
                <w:color w:val="000000"/>
                <w:sz w:val="18"/>
                <w:szCs w:val="18"/>
              </w:rPr>
              <w:t>   掌握数控程序编制的一般步骤与方法、有关指令代码、程序结构和格式。 </w:t>
            </w:r>
          </w:p>
          <w:p>
            <w:pPr>
              <w:rPr>
                <w:rFonts w:ascii="宋体" w:hAnsi="宋体" w:cs="仿宋"/>
                <w:color w:val="000000"/>
                <w:sz w:val="18"/>
                <w:szCs w:val="18"/>
              </w:rPr>
            </w:pPr>
            <w:r>
              <w:rPr>
                <w:rFonts w:hint="eastAsia" w:ascii="宋体" w:hAnsi="宋体" w:cs="仿宋"/>
                <w:color w:val="000000"/>
                <w:sz w:val="18"/>
                <w:szCs w:val="18"/>
              </w:rPr>
              <w:t>   熟练掌握数控车床的程序编制与操作，初步掌握刀具补偿方法和程序优化方法，会编制形状比较复杂零件的车削加工程序。 </w:t>
            </w:r>
          </w:p>
          <w:p>
            <w:pPr>
              <w:rPr>
                <w:rFonts w:ascii="宋体" w:hAnsi="宋体" w:cs="仿宋"/>
                <w:color w:val="000000"/>
                <w:sz w:val="18"/>
                <w:szCs w:val="18"/>
              </w:rPr>
            </w:pPr>
            <w:r>
              <w:rPr>
                <w:rFonts w:hint="eastAsia" w:ascii="宋体" w:hAnsi="宋体" w:cs="仿宋"/>
                <w:color w:val="000000"/>
                <w:sz w:val="18"/>
                <w:szCs w:val="18"/>
              </w:rPr>
              <w:t>   掌握数控铣床程序编制的一般步骤与方法、有关指令代码、程序结构和格式、常用准备功能指令的编程方法；理解铣刀半径补偿和长度补偿的含义；能够根据走刀路线绘制走刀路线图。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sz w:val="18"/>
                <w:szCs w:val="18"/>
                <w:highlight w:val="yellow"/>
              </w:rPr>
            </w:pPr>
            <w:r>
              <w:rPr>
                <w:rFonts w:hint="eastAsia" w:ascii="仿宋" w:hAnsi="仿宋" w:eastAsia="仿宋"/>
                <w:sz w:val="18"/>
                <w:szCs w:val="18"/>
              </w:rPr>
              <w:t>3</w:t>
            </w:r>
          </w:p>
        </w:tc>
        <w:tc>
          <w:tcPr>
            <w:tcW w:w="1675" w:type="dxa"/>
          </w:tcPr>
          <w:p>
            <w:pPr>
              <w:rPr>
                <w:rFonts w:ascii="仿宋" w:hAnsi="仿宋" w:eastAsia="仿宋"/>
                <w:sz w:val="18"/>
                <w:szCs w:val="18"/>
                <w:highlight w:val="yellow"/>
              </w:rPr>
            </w:pPr>
            <w:r>
              <w:rPr>
                <w:rFonts w:hint="eastAsia" w:ascii="宋体" w:hAnsi="宋体" w:cs="宋体"/>
                <w:bCs/>
                <w:color w:val="000000" w:themeColor="text1"/>
                <w:sz w:val="18"/>
                <w:szCs w:val="18"/>
                <w14:textFill>
                  <w14:solidFill>
                    <w14:schemeClr w14:val="tx1"/>
                  </w14:solidFill>
                </w14:textFill>
              </w:rPr>
              <w:t>数控机床电气控制</w:t>
            </w:r>
          </w:p>
        </w:tc>
        <w:tc>
          <w:tcPr>
            <w:tcW w:w="2755" w:type="dxa"/>
          </w:tcPr>
          <w:p>
            <w:pPr>
              <w:rPr>
                <w:rFonts w:ascii="仿宋" w:hAnsi="仿宋" w:eastAsia="仿宋"/>
                <w:sz w:val="18"/>
                <w:szCs w:val="18"/>
                <w:highlight w:val="yellow"/>
              </w:rPr>
            </w:pPr>
            <w:r>
              <w:rPr>
                <w:rFonts w:hint="eastAsia" w:ascii="宋体" w:hAnsi="宋体" w:cs="仿宋"/>
                <w:color w:val="000000"/>
                <w:sz w:val="18"/>
                <w:szCs w:val="18"/>
              </w:rPr>
              <w:t>初步具备通过PLC控制系统检查数控机床功能状态的能力。掌握数控机床电源，换刀装置、润滑、冷却等控制回路的工作原理。具备电气安装、排版、布线、接线能力。初步掌握应用数控机床电气维修课程知识解决工程实际问题的能力。掌握数控系统、伺服驱动、变频器等控制器的功能和特点。数控机床系统接线能力。机床参数设置与修改调试能力。</w:t>
            </w:r>
          </w:p>
        </w:tc>
        <w:tc>
          <w:tcPr>
            <w:tcW w:w="2799" w:type="dxa"/>
          </w:tcPr>
          <w:p>
            <w:pPr>
              <w:rPr>
                <w:rFonts w:ascii="仿宋" w:hAnsi="仿宋" w:eastAsia="仿宋"/>
                <w:sz w:val="18"/>
                <w:szCs w:val="18"/>
                <w:highlight w:val="yellow"/>
              </w:rPr>
            </w:pPr>
            <w:r>
              <w:rPr>
                <w:rFonts w:hint="eastAsia" w:ascii="宋体" w:hAnsi="宋体" w:cs="宋体"/>
                <w:color w:val="000000"/>
                <w:sz w:val="18"/>
                <w:szCs w:val="18"/>
              </w:rPr>
              <w:t>数控机床的工作原理和结构；数控系统的特点、CNC接口技术、PLC应用技术、电气参数设置和机电联调知识；数控机床的操作、手工编程和数控；机床的机械和电气的调试和维护维修能力。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sz w:val="18"/>
                <w:szCs w:val="18"/>
                <w:highlight w:val="yellow"/>
              </w:rPr>
            </w:pPr>
            <w:r>
              <w:rPr>
                <w:rFonts w:hint="eastAsia" w:ascii="仿宋" w:hAnsi="仿宋" w:eastAsia="仿宋"/>
                <w:sz w:val="18"/>
                <w:szCs w:val="18"/>
              </w:rPr>
              <w:t>4</w:t>
            </w: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tc>
        <w:tc>
          <w:tcPr>
            <w:tcW w:w="1675" w:type="dxa"/>
          </w:tcPr>
          <w:p>
            <w:pPr>
              <w:rPr>
                <w:rFonts w:ascii="宋体" w:hAnsi="宋体" w:cs="宋体"/>
                <w:bCs/>
                <w:color w:val="000000" w:themeColor="text1"/>
                <w:sz w:val="18"/>
                <w:szCs w:val="18"/>
                <w14:textFill>
                  <w14:solidFill>
                    <w14:schemeClr w14:val="tx1"/>
                  </w14:solidFill>
                </w14:textFill>
              </w:rPr>
            </w:pPr>
            <w:r>
              <w:rPr>
                <w:rFonts w:hint="eastAsia" w:ascii="宋体" w:hAnsi="宋体" w:cs="仿宋"/>
                <w:color w:val="000000"/>
                <w:sz w:val="18"/>
                <w:szCs w:val="18"/>
              </w:rPr>
              <w:t>数控铣削编程与加工</w:t>
            </w:r>
          </w:p>
        </w:tc>
        <w:tc>
          <w:tcPr>
            <w:tcW w:w="2755" w:type="dxa"/>
          </w:tcPr>
          <w:p>
            <w:pPr>
              <w:rPr>
                <w:rFonts w:ascii="仿宋" w:hAnsi="仿宋" w:eastAsia="仿宋"/>
                <w:sz w:val="18"/>
                <w:szCs w:val="18"/>
                <w:highlight w:val="yellow"/>
              </w:rPr>
            </w:pPr>
            <w:r>
              <w:rPr>
                <w:rFonts w:ascii="宋体" w:hAnsi="宋体" w:cs="仿宋"/>
                <w:color w:val="000000"/>
                <w:sz w:val="18"/>
                <w:szCs w:val="18"/>
              </w:rPr>
              <w:t>使学生掌握数控加工专业的知识与技能, 掌握零件的读图、识图能力，独立进行编程加工，具有制订较复杂零件的数控加工工艺规程和分析解决生产中一般工艺问题的能力。</w:t>
            </w:r>
          </w:p>
        </w:tc>
        <w:tc>
          <w:tcPr>
            <w:tcW w:w="2799" w:type="dxa"/>
          </w:tcPr>
          <w:p>
            <w:pPr>
              <w:rPr>
                <w:rFonts w:ascii="仿宋" w:hAnsi="仿宋" w:eastAsia="仿宋"/>
                <w:sz w:val="18"/>
                <w:szCs w:val="18"/>
                <w:highlight w:val="yellow"/>
              </w:rPr>
            </w:pPr>
            <w:r>
              <w:rPr>
                <w:rFonts w:ascii="宋体" w:hAnsi="宋体" w:cs="仿宋"/>
                <w:color w:val="000000"/>
                <w:sz w:val="18"/>
                <w:szCs w:val="18"/>
              </w:rPr>
              <w:t>能识读一般机械零件图样和简单装配图样</w:t>
            </w:r>
            <w:r>
              <w:rPr>
                <w:rFonts w:hint="eastAsia" w:ascii="宋体" w:hAnsi="宋体" w:cs="仿宋"/>
                <w:color w:val="000000"/>
                <w:sz w:val="18"/>
                <w:szCs w:val="18"/>
              </w:rPr>
              <w:t>；</w:t>
            </w:r>
            <w:r>
              <w:rPr>
                <w:rFonts w:ascii="宋体" w:hAnsi="宋体" w:cs="仿宋"/>
                <w:color w:val="000000"/>
                <w:sz w:val="18"/>
                <w:szCs w:val="18"/>
              </w:rPr>
              <w:t>了解数控铣床的基本常识，初步掌握CAD/CAM绘图软件的基本操作</w:t>
            </w:r>
            <w:r>
              <w:rPr>
                <w:rFonts w:hint="eastAsia" w:ascii="宋体" w:hAnsi="宋体" w:cs="仿宋"/>
                <w:color w:val="000000"/>
                <w:sz w:val="18"/>
                <w:szCs w:val="18"/>
              </w:rPr>
              <w:t>；</w:t>
            </w:r>
            <w:r>
              <w:rPr>
                <w:rFonts w:ascii="宋体" w:hAnsi="宋体" w:cs="仿宋"/>
                <w:color w:val="000000"/>
                <w:sz w:val="18"/>
                <w:szCs w:val="18"/>
              </w:rPr>
              <w:t>掌握普通铣削的基本工艺知识，达到相应工种初级认知水平</w:t>
            </w:r>
            <w:r>
              <w:rPr>
                <w:rFonts w:hint="eastAsia" w:ascii="宋体" w:hAnsi="宋体" w:cs="仿宋"/>
                <w:color w:val="000000"/>
                <w:sz w:val="18"/>
                <w:szCs w:val="18"/>
              </w:rPr>
              <w:t>；</w:t>
            </w:r>
            <w:r>
              <w:rPr>
                <w:rFonts w:ascii="宋体" w:hAnsi="宋体" w:cs="仿宋"/>
                <w:color w:val="000000"/>
                <w:sz w:val="18"/>
                <w:szCs w:val="18"/>
              </w:rPr>
              <w:t>握数控铣削的基本工艺知识，懂数控铣床维护的流程</w:t>
            </w:r>
            <w:r>
              <w:rPr>
                <w:rFonts w:hint="eastAsia" w:ascii="宋体" w:hAnsi="宋体" w:cs="仿宋"/>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highlight w:val="yellow"/>
              </w:rPr>
            </w:pPr>
          </w:p>
          <w:p>
            <w:pPr>
              <w:rPr>
                <w:rFonts w:ascii="仿宋" w:hAnsi="仿宋" w:eastAsia="仿宋"/>
                <w:sz w:val="18"/>
                <w:szCs w:val="18"/>
              </w:rPr>
            </w:pPr>
            <w:r>
              <w:rPr>
                <w:rFonts w:ascii="仿宋" w:hAnsi="仿宋" w:eastAsia="仿宋"/>
                <w:sz w:val="18"/>
                <w:szCs w:val="18"/>
              </w:rPr>
              <w:t>5</w:t>
            </w:r>
          </w:p>
          <w:p>
            <w:pPr>
              <w:rPr>
                <w:rFonts w:ascii="仿宋" w:hAnsi="仿宋" w:eastAsia="仿宋"/>
                <w:sz w:val="18"/>
                <w:szCs w:val="18"/>
                <w:highlight w:val="yellow"/>
              </w:rPr>
            </w:pPr>
          </w:p>
          <w:p>
            <w:pPr>
              <w:rPr>
                <w:rFonts w:ascii="仿宋" w:hAnsi="仿宋" w:eastAsia="仿宋"/>
                <w:sz w:val="18"/>
                <w:szCs w:val="18"/>
                <w:highlight w:val="yellow"/>
              </w:rPr>
            </w:pPr>
          </w:p>
        </w:tc>
        <w:tc>
          <w:tcPr>
            <w:tcW w:w="1675" w:type="dxa"/>
          </w:tcPr>
          <w:p>
            <w:pPr>
              <w:rPr>
                <w:rFonts w:ascii="宋体" w:hAnsi="宋体" w:cs="宋体"/>
                <w:bCs/>
                <w:color w:val="000000" w:themeColor="text1"/>
                <w:sz w:val="18"/>
                <w:szCs w:val="18"/>
                <w14:textFill>
                  <w14:solidFill>
                    <w14:schemeClr w14:val="tx1"/>
                  </w14:solidFill>
                </w14:textFill>
              </w:rPr>
            </w:pPr>
            <w:r>
              <w:rPr>
                <w:rFonts w:hint="eastAsia" w:ascii="宋体" w:hAnsi="宋体" w:cs="宋体"/>
                <w:bCs/>
                <w:color w:val="000000" w:themeColor="text1"/>
                <w:sz w:val="18"/>
                <w:szCs w:val="18"/>
                <w14:textFill>
                  <w14:solidFill>
                    <w14:schemeClr w14:val="tx1"/>
                  </w14:solidFill>
                </w14:textFill>
              </w:rPr>
              <w:t>UGNX7.5数控编程</w:t>
            </w:r>
          </w:p>
        </w:tc>
        <w:tc>
          <w:tcPr>
            <w:tcW w:w="2755" w:type="dxa"/>
          </w:tcPr>
          <w:p>
            <w:pPr>
              <w:rPr>
                <w:rFonts w:ascii="仿宋" w:hAnsi="仿宋" w:eastAsia="仿宋"/>
                <w:sz w:val="18"/>
                <w:szCs w:val="18"/>
                <w:highlight w:val="yellow"/>
              </w:rPr>
            </w:pPr>
            <w:r>
              <w:rPr>
                <w:rFonts w:hint="eastAsia" w:ascii="宋体" w:hAnsi="宋体" w:cs="仿宋"/>
                <w:color w:val="000000"/>
                <w:sz w:val="18"/>
                <w:szCs w:val="18"/>
              </w:rPr>
              <w:t>以数控铣零件加工为核心，以国家社会与劳动部颁发的高级数控铣工考核要求为依据，并将要求贯穿到各个教学情境中，学生完成本课程学习达到数控加工高级工要求。同时，通过各情境的训练，培养学生相应的方法能力、社会能力、相互沟通和团队协作的能力。同时培养学生能独立制定工作计划并进行实施、自主学习等方法能力。</w:t>
            </w:r>
          </w:p>
        </w:tc>
        <w:tc>
          <w:tcPr>
            <w:tcW w:w="2799" w:type="dxa"/>
          </w:tcPr>
          <w:p>
            <w:pPr>
              <w:rPr>
                <w:rFonts w:ascii="仿宋" w:hAnsi="仿宋" w:eastAsia="仿宋"/>
                <w:sz w:val="18"/>
                <w:szCs w:val="18"/>
                <w:highlight w:val="yellow"/>
              </w:rPr>
            </w:pPr>
            <w:r>
              <w:rPr>
                <w:rFonts w:hint="eastAsia" w:ascii="宋体" w:hAnsi="宋体" w:cs="仿宋"/>
                <w:color w:val="000000"/>
                <w:sz w:val="18"/>
                <w:szCs w:val="18"/>
              </w:rPr>
              <w:t>掌握UG数控加工基本功能、操作、方法和技巧。配合数控加工实训的进行，使学生对UG数控加工更深入的掌握，能操作数控车床、数控铣床、加工中心进行零件加工；能进行零件的精度检验以及数控机床进行日常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shd w:val="clear" w:color="auto" w:fill="auto"/>
          </w:tcPr>
          <w:p>
            <w:pPr>
              <w:rPr>
                <w:rFonts w:ascii="仿宋" w:hAnsi="仿宋" w:eastAsia="仿宋"/>
                <w:sz w:val="18"/>
                <w:szCs w:val="18"/>
                <w:highlight w:val="yellow"/>
              </w:rPr>
            </w:pPr>
            <w:r>
              <w:rPr>
                <w:rFonts w:hint="eastAsia" w:ascii="仿宋" w:hAnsi="仿宋" w:eastAsia="仿宋"/>
                <w:sz w:val="18"/>
                <w:szCs w:val="18"/>
              </w:rPr>
              <w:t>6</w:t>
            </w:r>
          </w:p>
        </w:tc>
        <w:tc>
          <w:tcPr>
            <w:tcW w:w="1675" w:type="dxa"/>
          </w:tcPr>
          <w:p>
            <w:pPr>
              <w:rPr>
                <w:rFonts w:ascii="宋体" w:hAnsi="宋体" w:cs="宋体"/>
                <w:bCs/>
                <w:color w:val="000000" w:themeColor="text1"/>
                <w:sz w:val="18"/>
                <w:szCs w:val="18"/>
                <w14:textFill>
                  <w14:solidFill>
                    <w14:schemeClr w14:val="tx1"/>
                  </w14:solidFill>
                </w14:textFill>
              </w:rPr>
            </w:pPr>
            <w:r>
              <w:rPr>
                <w:rFonts w:hint="eastAsia" w:ascii="宋体" w:hAnsi="宋体" w:cs="仿宋"/>
                <w:color w:val="000000"/>
                <w:sz w:val="18"/>
                <w:szCs w:val="18"/>
              </w:rPr>
              <w:t>UG基础</w:t>
            </w:r>
          </w:p>
        </w:tc>
        <w:tc>
          <w:tcPr>
            <w:tcW w:w="2755" w:type="dxa"/>
          </w:tcPr>
          <w:p>
            <w:pPr>
              <w:rPr>
                <w:rFonts w:ascii="仿宋" w:hAnsi="仿宋" w:eastAsia="仿宋"/>
                <w:sz w:val="18"/>
                <w:szCs w:val="18"/>
                <w:highlight w:val="yellow"/>
              </w:rPr>
            </w:pPr>
            <w:r>
              <w:rPr>
                <w:rFonts w:hint="eastAsia" w:ascii="宋体" w:hAnsi="宋体" w:cs="仿宋"/>
                <w:color w:val="000000"/>
                <w:sz w:val="18"/>
                <w:szCs w:val="18"/>
              </w:rPr>
              <w:t>基本实体建模功能的应用；熟练使用UG草绘；会使用自由曲面的基本功能进行产品造型；掌握在装配中进行建模，会使用几何链接器；教会学生工厂实际的塑料模具设计流程，掌握其与自动分模密不可分的环节，学生要针对产品选择不同的分模方式，并熟练手工分模与自动分模的区别联系及具体流程.</w:t>
            </w:r>
          </w:p>
        </w:tc>
        <w:tc>
          <w:tcPr>
            <w:tcW w:w="2799" w:type="dxa"/>
          </w:tcPr>
          <w:p>
            <w:pPr>
              <w:rPr>
                <w:rFonts w:ascii="仿宋" w:hAnsi="仿宋" w:eastAsia="仿宋"/>
                <w:sz w:val="18"/>
                <w:szCs w:val="18"/>
                <w:highlight w:val="yellow"/>
              </w:rPr>
            </w:pPr>
            <w:r>
              <w:rPr>
                <w:rFonts w:hint="eastAsia" w:ascii="宋体" w:hAnsi="宋体" w:cs="仿宋"/>
                <w:color w:val="000000"/>
                <w:sz w:val="18"/>
                <w:szCs w:val="18"/>
              </w:rPr>
              <w:t>柱体、方体等基本实体构建；拉伸、旋转等建模方法：分割、倒圆角、阵列等特征操作方法；掌握草绘曲线、草绘约束、草绘操作工具条令中的命令；手工分模的基本步骤、手工分模的常用工具；模具部件设计</w:t>
            </w:r>
          </w:p>
        </w:tc>
      </w:tr>
    </w:tbl>
    <w:p>
      <w:pPr>
        <w:overflowPunct w:val="0"/>
        <w:adjustRightInd w:val="0"/>
        <w:ind w:firstLine="640" w:firstLineChars="200"/>
        <w:outlineLvl w:val="0"/>
        <w:rPr>
          <w:rFonts w:ascii="仿宋" w:hAnsi="仿宋" w:eastAsia="仿宋"/>
          <w:szCs w:val="32"/>
          <w:highlight w:val="yellow"/>
        </w:rPr>
      </w:pPr>
    </w:p>
    <w:p>
      <w:pPr>
        <w:pStyle w:val="20"/>
        <w:spacing w:line="240" w:lineRule="auto"/>
        <w:ind w:firstLine="442"/>
        <w:rPr>
          <w:rFonts w:cs="仿宋"/>
          <w:color w:val="000000"/>
          <w:szCs w:val="21"/>
        </w:rPr>
      </w:pPr>
      <w:r>
        <w:rPr>
          <w:rFonts w:hint="eastAsia" w:ascii="仿宋" w:hAnsi="仿宋" w:eastAsia="仿宋" w:cs="Times New Roman"/>
          <w:sz w:val="32"/>
          <w:szCs w:val="32"/>
          <w:lang w:val="en-US" w:eastAsia="zh-CN" w:bidi="ar-SA"/>
        </w:rPr>
        <w:t>（3）主要实践性课程：</w:t>
      </w:r>
      <w:r>
        <w:rPr>
          <w:rFonts w:hint="eastAsia" w:ascii="仿宋" w:hAnsi="仿宋" w:eastAsia="仿宋" w:cs="仿宋"/>
          <w:color w:val="000000"/>
          <w:sz w:val="32"/>
          <w:szCs w:val="21"/>
          <w:lang w:val="en-US" w:eastAsia="zh-CN" w:bidi="ar-SA"/>
        </w:rPr>
        <w:t>实践教学环节主要包括实验、实训、实习、毕业设计、社会实践等实验实训可在校内实验实训室、校外实训基地等开展完成；社会实践、跟岗实习、顶岗实习可由学校组织在数控技术相关企业开展完成实训实习主要应包括金工实习、数控加工实训、跟岗实习、顶岗实习等，应严格执行《职业学校学生实习管理规定》和《高等职业学校数控技术专业顶岗实习标准》。</w:t>
      </w:r>
    </w:p>
    <w:p>
      <w:pPr>
        <w:rPr>
          <w:rFonts w:ascii="仿宋" w:hAnsi="仿宋" w:eastAsia="仿宋"/>
          <w:szCs w:val="32"/>
        </w:rPr>
      </w:pPr>
      <w:r>
        <w:rPr>
          <w:rFonts w:hint="eastAsia" w:ascii="仿宋" w:hAnsi="仿宋" w:eastAsia="仿宋"/>
          <w:szCs w:val="32"/>
        </w:rPr>
        <w:t xml:space="preserve">  </w:t>
      </w:r>
      <w:r>
        <w:rPr>
          <w:rFonts w:ascii="仿宋" w:hAnsi="仿宋" w:eastAsia="仿宋"/>
          <w:szCs w:val="32"/>
        </w:rPr>
        <w:t xml:space="preserve">           </w:t>
      </w:r>
      <w:r>
        <w:rPr>
          <w:rFonts w:hint="eastAsia" w:ascii="仿宋" w:hAnsi="仿宋" w:eastAsia="仿宋"/>
          <w:szCs w:val="32"/>
        </w:rPr>
        <w:t xml:space="preserve"> 主要实践课程描述表</w:t>
      </w:r>
    </w:p>
    <w:tbl>
      <w:tblPr>
        <w:tblStyle w:val="10"/>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559"/>
        <w:gridCol w:w="2871"/>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21"/>
                <w:szCs w:val="21"/>
              </w:rPr>
            </w:pPr>
            <w:r>
              <w:rPr>
                <w:rFonts w:hint="eastAsia" w:ascii="仿宋" w:hAnsi="仿宋" w:eastAsia="仿宋"/>
                <w:sz w:val="21"/>
                <w:szCs w:val="21"/>
              </w:rPr>
              <w:t>序号</w:t>
            </w:r>
          </w:p>
        </w:tc>
        <w:tc>
          <w:tcPr>
            <w:tcW w:w="1559" w:type="dxa"/>
          </w:tcPr>
          <w:p>
            <w:pPr>
              <w:rPr>
                <w:rFonts w:ascii="仿宋" w:hAnsi="仿宋" w:eastAsia="仿宋"/>
                <w:sz w:val="21"/>
                <w:szCs w:val="21"/>
              </w:rPr>
            </w:pPr>
            <w:r>
              <w:rPr>
                <w:rFonts w:hint="eastAsia" w:ascii="仿宋" w:hAnsi="仿宋" w:eastAsia="仿宋"/>
                <w:sz w:val="21"/>
                <w:szCs w:val="21"/>
              </w:rPr>
              <w:t>课程名称</w:t>
            </w:r>
          </w:p>
        </w:tc>
        <w:tc>
          <w:tcPr>
            <w:tcW w:w="2871" w:type="dxa"/>
          </w:tcPr>
          <w:p>
            <w:pPr>
              <w:rPr>
                <w:rFonts w:ascii="仿宋" w:hAnsi="仿宋" w:eastAsia="仿宋"/>
                <w:sz w:val="21"/>
                <w:szCs w:val="21"/>
              </w:rPr>
            </w:pPr>
            <w:r>
              <w:rPr>
                <w:rFonts w:hint="eastAsia" w:ascii="仿宋" w:hAnsi="仿宋" w:eastAsia="仿宋"/>
                <w:sz w:val="21"/>
                <w:szCs w:val="21"/>
              </w:rPr>
              <w:t>课程目标</w:t>
            </w:r>
          </w:p>
        </w:tc>
        <w:tc>
          <w:tcPr>
            <w:tcW w:w="2799" w:type="dxa"/>
          </w:tcPr>
          <w:p>
            <w:pPr>
              <w:rPr>
                <w:rFonts w:ascii="仿宋" w:hAnsi="仿宋" w:eastAsia="仿宋"/>
                <w:sz w:val="21"/>
                <w:szCs w:val="21"/>
              </w:rPr>
            </w:pPr>
            <w:r>
              <w:rPr>
                <w:rFonts w:hint="eastAsia" w:ascii="仿宋" w:hAnsi="仿宋" w:eastAsia="仿宋"/>
                <w:sz w:val="21"/>
                <w:szCs w:val="21"/>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21"/>
                <w:szCs w:val="21"/>
                <w:highlight w:val="yellow"/>
              </w:rPr>
            </w:pPr>
            <w:r>
              <w:rPr>
                <w:rFonts w:ascii="仿宋" w:hAnsi="仿宋" w:eastAsia="仿宋"/>
                <w:sz w:val="21"/>
                <w:szCs w:val="21"/>
              </w:rPr>
              <w:t>1</w:t>
            </w:r>
          </w:p>
        </w:tc>
        <w:tc>
          <w:tcPr>
            <w:tcW w:w="1559" w:type="dxa"/>
          </w:tcPr>
          <w:p>
            <w:pPr>
              <w:rPr>
                <w:rFonts w:ascii="仿宋" w:hAnsi="仿宋" w:eastAsia="仿宋"/>
                <w:sz w:val="21"/>
                <w:szCs w:val="21"/>
                <w:highlight w:val="yellow"/>
              </w:rPr>
            </w:pPr>
            <w:r>
              <w:rPr>
                <w:rFonts w:hint="eastAsia" w:ascii="宋体" w:hAnsi="宋体" w:cs="宋体"/>
                <w:bCs/>
                <w:color w:val="000000" w:themeColor="text1"/>
                <w:sz w:val="21"/>
                <w:szCs w:val="21"/>
                <w14:textFill>
                  <w14:solidFill>
                    <w14:schemeClr w14:val="tx1"/>
                  </w14:solidFill>
                </w14:textFill>
              </w:rPr>
              <w:t>专业基础技能实训</w:t>
            </w:r>
          </w:p>
        </w:tc>
        <w:tc>
          <w:tcPr>
            <w:tcW w:w="2871" w:type="dxa"/>
          </w:tcPr>
          <w:p>
            <w:pPr>
              <w:rPr>
                <w:rFonts w:ascii="仿宋" w:hAnsi="仿宋" w:eastAsia="仿宋"/>
                <w:sz w:val="21"/>
                <w:szCs w:val="21"/>
                <w:highlight w:val="yellow"/>
              </w:rPr>
            </w:pPr>
            <w:r>
              <w:rPr>
                <w:rFonts w:hint="eastAsia" w:ascii="宋体" w:hAnsi="宋体" w:cs="仿宋"/>
                <w:color w:val="000000"/>
                <w:sz w:val="21"/>
                <w:szCs w:val="21"/>
              </w:rPr>
              <w:t>掌握数控机床的基本操作事项，能很好的使用控制面板；能够正确、安全的操作数控机床。</w:t>
            </w:r>
          </w:p>
        </w:tc>
        <w:tc>
          <w:tcPr>
            <w:tcW w:w="2799" w:type="dxa"/>
          </w:tcPr>
          <w:p>
            <w:pPr>
              <w:rPr>
                <w:rFonts w:ascii="仿宋" w:hAnsi="仿宋" w:eastAsia="仿宋"/>
                <w:sz w:val="21"/>
                <w:szCs w:val="21"/>
                <w:highlight w:val="yellow"/>
              </w:rPr>
            </w:pPr>
            <w:r>
              <w:rPr>
                <w:rFonts w:hint="eastAsia" w:ascii="宋体" w:hAnsi="宋体" w:cs="仿宋"/>
                <w:color w:val="000000"/>
                <w:sz w:val="21"/>
                <w:szCs w:val="21"/>
              </w:rPr>
              <w:t>数控机床的启停、急停，以及数控机床的正反转；操作员的位置安全。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21"/>
                <w:szCs w:val="21"/>
                <w:highlight w:val="yellow"/>
              </w:rPr>
            </w:pPr>
            <w:r>
              <w:rPr>
                <w:rFonts w:ascii="仿宋" w:hAnsi="仿宋" w:eastAsia="仿宋"/>
                <w:sz w:val="21"/>
                <w:szCs w:val="21"/>
              </w:rPr>
              <w:t>2</w:t>
            </w:r>
          </w:p>
        </w:tc>
        <w:tc>
          <w:tcPr>
            <w:tcW w:w="1559" w:type="dxa"/>
          </w:tcPr>
          <w:p>
            <w:pPr>
              <w:rPr>
                <w:rFonts w:ascii="仿宋" w:hAnsi="仿宋" w:eastAsia="仿宋"/>
                <w:sz w:val="21"/>
                <w:szCs w:val="21"/>
                <w:highlight w:val="yellow"/>
              </w:rPr>
            </w:pPr>
            <w:r>
              <w:rPr>
                <w:rFonts w:hint="eastAsia" w:ascii="宋体" w:hAnsi="宋体" w:cs="宋体"/>
                <w:bCs/>
                <w:color w:val="000000" w:themeColor="text1"/>
                <w:sz w:val="21"/>
                <w:szCs w:val="21"/>
                <w14:textFill>
                  <w14:solidFill>
                    <w14:schemeClr w14:val="tx1"/>
                  </w14:solidFill>
                </w14:textFill>
              </w:rPr>
              <w:t>专业拓展技能实训</w:t>
            </w:r>
          </w:p>
        </w:tc>
        <w:tc>
          <w:tcPr>
            <w:tcW w:w="2871" w:type="dxa"/>
          </w:tcPr>
          <w:p>
            <w:pPr>
              <w:rPr>
                <w:rFonts w:ascii="仿宋" w:hAnsi="仿宋" w:eastAsia="仿宋"/>
                <w:sz w:val="21"/>
                <w:szCs w:val="21"/>
                <w:highlight w:val="yellow"/>
              </w:rPr>
            </w:pPr>
            <w:r>
              <w:rPr>
                <w:rFonts w:hint="eastAsia" w:ascii="宋体" w:hAnsi="宋体" w:cs="仿宋"/>
                <w:color w:val="000000"/>
                <w:sz w:val="21"/>
                <w:szCs w:val="21"/>
              </w:rPr>
              <w:t>数控机床的程序编写，并写入数控系统，进行简单的车铣加工。</w:t>
            </w:r>
          </w:p>
        </w:tc>
        <w:tc>
          <w:tcPr>
            <w:tcW w:w="2799" w:type="dxa"/>
          </w:tcPr>
          <w:p>
            <w:pPr>
              <w:rPr>
                <w:rFonts w:ascii="仿宋" w:hAnsi="仿宋" w:eastAsia="仿宋"/>
                <w:sz w:val="21"/>
                <w:szCs w:val="21"/>
                <w:highlight w:val="yellow"/>
              </w:rPr>
            </w:pPr>
            <w:r>
              <w:rPr>
                <w:rFonts w:hint="eastAsia" w:ascii="宋体" w:hAnsi="宋体" w:cs="仿宋"/>
                <w:color w:val="000000"/>
                <w:sz w:val="21"/>
                <w:szCs w:val="21"/>
              </w:rPr>
              <w:t>U盘的程序插入到数控系统以及手动编写程序手动插入；加工简单的轮廓。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21"/>
                <w:szCs w:val="21"/>
                <w:highlight w:val="yellow"/>
              </w:rPr>
            </w:pPr>
            <w:r>
              <w:rPr>
                <w:rFonts w:ascii="仿宋" w:hAnsi="仿宋" w:eastAsia="仿宋"/>
                <w:sz w:val="21"/>
                <w:szCs w:val="21"/>
              </w:rPr>
              <w:t>3</w:t>
            </w:r>
          </w:p>
        </w:tc>
        <w:tc>
          <w:tcPr>
            <w:tcW w:w="1559" w:type="dxa"/>
          </w:tcPr>
          <w:p>
            <w:pPr>
              <w:rPr>
                <w:rFonts w:ascii="仿宋" w:hAnsi="仿宋" w:eastAsia="仿宋"/>
                <w:sz w:val="21"/>
                <w:szCs w:val="21"/>
                <w:highlight w:val="yellow"/>
              </w:rPr>
            </w:pPr>
            <w:r>
              <w:rPr>
                <w:rFonts w:hint="eastAsia" w:ascii="宋体" w:hAnsi="宋体" w:cs="宋体"/>
                <w:bCs/>
                <w:color w:val="000000" w:themeColor="text1"/>
                <w:sz w:val="21"/>
                <w:szCs w:val="21"/>
                <w14:textFill>
                  <w14:solidFill>
                    <w14:schemeClr w14:val="tx1"/>
                  </w14:solidFill>
                </w14:textFill>
              </w:rPr>
              <w:t>专业综合技能实训</w:t>
            </w:r>
          </w:p>
        </w:tc>
        <w:tc>
          <w:tcPr>
            <w:tcW w:w="2871" w:type="dxa"/>
          </w:tcPr>
          <w:p>
            <w:pPr>
              <w:rPr>
                <w:rFonts w:ascii="仿宋" w:hAnsi="仿宋" w:eastAsia="仿宋"/>
                <w:sz w:val="21"/>
                <w:szCs w:val="21"/>
                <w:highlight w:val="yellow"/>
              </w:rPr>
            </w:pPr>
            <w:r>
              <w:rPr>
                <w:rFonts w:hint="eastAsia" w:ascii="宋体" w:hAnsi="宋体" w:cs="仿宋"/>
                <w:color w:val="000000"/>
                <w:sz w:val="21"/>
                <w:szCs w:val="21"/>
              </w:rPr>
              <w:t>知道这门学科的研究范围、研究方法、学科进展和未来发展方向；理解数控机床编程的常用系统，这些系统的相互关系和联系以及它们的编程特点；掌握数控机床的基本操作和日常维护保养；学会利用FANUC系统进行数控铣床和数控车床的编程，并利用数控程序在数控加工中心上进行零件的加工。</w:t>
            </w:r>
          </w:p>
        </w:tc>
        <w:tc>
          <w:tcPr>
            <w:tcW w:w="2799" w:type="dxa"/>
          </w:tcPr>
          <w:p>
            <w:pPr>
              <w:rPr>
                <w:rFonts w:ascii="仿宋" w:hAnsi="仿宋" w:eastAsia="仿宋"/>
                <w:sz w:val="21"/>
                <w:szCs w:val="21"/>
                <w:highlight w:val="yellow"/>
              </w:rPr>
            </w:pPr>
            <w:r>
              <w:rPr>
                <w:rFonts w:hint="eastAsia" w:ascii="宋体" w:hAnsi="宋体" w:cs="仿宋"/>
                <w:color w:val="000000"/>
                <w:sz w:val="21"/>
                <w:szCs w:val="21"/>
              </w:rPr>
              <w:t>数控技术是数字化制造和制造自动化的核心技术支撑数控技术发展的几个主要阶段数控技术的发展历程和面临的机遇数控技术的发展方向数控机床的加工特点；数控编程概述；数控机床的坐标系统及其编程指令；尺寸系统的编程方法；刀具功能、进给功能与主轴转速功能；常用的辅助功能；运动路径控制指令的编程方法；刀具补偿指令及其编程；固定循环指令及其编程；数控加工编程实训内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21"/>
                <w:szCs w:val="21"/>
                <w:highlight w:val="yellow"/>
              </w:rPr>
            </w:pPr>
            <w:r>
              <w:rPr>
                <w:rFonts w:hint="eastAsia" w:ascii="仿宋" w:hAnsi="仿宋" w:eastAsia="仿宋"/>
                <w:sz w:val="21"/>
                <w:szCs w:val="21"/>
              </w:rPr>
              <w:t>4</w:t>
            </w:r>
          </w:p>
        </w:tc>
        <w:tc>
          <w:tcPr>
            <w:tcW w:w="1559" w:type="dxa"/>
          </w:tcPr>
          <w:p>
            <w:pPr>
              <w:rPr>
                <w:rFonts w:ascii="宋体" w:hAnsi="宋体" w:cs="宋体"/>
                <w:bCs/>
                <w:color w:val="000000" w:themeColor="text1"/>
                <w:sz w:val="21"/>
                <w:szCs w:val="21"/>
                <w14:textFill>
                  <w14:solidFill>
                    <w14:schemeClr w14:val="tx1"/>
                  </w14:solidFill>
                </w14:textFill>
              </w:rPr>
            </w:pPr>
            <w:r>
              <w:rPr>
                <w:rFonts w:hint="eastAsia" w:ascii="宋体" w:hAnsi="宋体" w:cs="宋体"/>
                <w:bCs/>
                <w:color w:val="000000" w:themeColor="text1"/>
                <w:sz w:val="21"/>
                <w:szCs w:val="21"/>
                <w14:textFill>
                  <w14:solidFill>
                    <w14:schemeClr w14:val="tx1"/>
                  </w14:solidFill>
                </w14:textFill>
              </w:rPr>
              <w:t>毕业设计</w:t>
            </w:r>
          </w:p>
        </w:tc>
        <w:tc>
          <w:tcPr>
            <w:tcW w:w="2871" w:type="dxa"/>
          </w:tcPr>
          <w:p>
            <w:pPr>
              <w:rPr>
                <w:rFonts w:ascii="宋体" w:hAnsi="宋体" w:cs="仿宋"/>
                <w:color w:val="000000"/>
                <w:sz w:val="21"/>
                <w:szCs w:val="21"/>
              </w:rPr>
            </w:pPr>
            <w:r>
              <w:rPr>
                <w:rFonts w:hint="eastAsia" w:ascii="宋体" w:hAnsi="宋体" w:cs="宋体"/>
                <w:color w:val="000000"/>
                <w:sz w:val="21"/>
                <w:szCs w:val="21"/>
              </w:rPr>
              <w:t>培养学生综合运用已学过的专业理论知识和实践知识，独立地分析和拟定一- 零件的合理的工艺路线，并编写其中至少-道数控加工工序的完整技术文件，具备设计一个中等复杂程序零件的数控加工工艺的能力。通过编写3~5道非数控加工工序卡片，使其初步具备编制零件机械加工工艺规程的能力。培养学生熟悉和应用各种手册、图表、设计表格、各种标准等技术资料，特别是对企业的技术资料、工艺文件有一 -定的了解，以便能掌握从事数控加工、普通机械加工和机械加工工艺工作的方法和步骤。加强学生的机械制图、分析计算、编写技术文件、编写数控加工程序等的基本技能。能根据被加工零件的技术要求，运用夹具设计的基本原理与方法，拟定工序的定位夹紧方案，有能力的同学可以选择完成一一个 典型夹具结构设计，提高夹具设计能力。</w:t>
            </w:r>
          </w:p>
        </w:tc>
        <w:tc>
          <w:tcPr>
            <w:tcW w:w="2799" w:type="dxa"/>
          </w:tcPr>
          <w:p>
            <w:pPr>
              <w:rPr>
                <w:rFonts w:ascii="宋体" w:hAnsi="宋体" w:cs="仿宋"/>
                <w:color w:val="000000"/>
                <w:sz w:val="21"/>
                <w:szCs w:val="21"/>
              </w:rPr>
            </w:pPr>
            <w:r>
              <w:rPr>
                <w:rFonts w:hint="eastAsia" w:ascii="宋体" w:hAnsi="宋体" w:cs="仿宋"/>
                <w:color w:val="000000"/>
                <w:sz w:val="21"/>
                <w:szCs w:val="21"/>
              </w:rPr>
              <w:t>确定生产类型，对零件进行工艺分析；选择毛坯种类及制造方法，绘制毛坯图；拟定零件的机械加工工艺过程，选择各工序加工设备和工艺装备(刀具、夹具、量具、辅具)，确定各工序切削用量及工序尺寸；填写工艺文件:工艺过程卡、工序卡；对数控加工工序进行工艺分析确定工步、走刀路线、刃、量具、加工参数；编制数控加工程序；填写数控加工刀具调整卡；撰写设计说明书。</w:t>
            </w:r>
            <w:r>
              <w:rPr>
                <w:rFonts w:hint="eastAsia" w:ascii="宋体" w:hAnsi="宋体" w:cs="仿宋"/>
                <w:color w:val="000000"/>
                <w:sz w:val="21"/>
                <w:szCs w:val="21"/>
              </w:rPr>
              <w:br w:type="textWrapping"/>
            </w:r>
            <w:r>
              <w:rPr>
                <w:rFonts w:hint="eastAsia" w:ascii="宋体" w:hAnsi="宋体" w:cs="仿宋"/>
                <w:color w:val="000000"/>
                <w:sz w:val="21"/>
                <w:szCs w:val="21"/>
              </w:rPr>
              <w:t>确定生产类型，对零件进行工艺分析；选择毛坯种类及制造方法，绘制毛坯图(零件一一毛坯图)；拟定零件的机械加工工艺过程，选择各工序加工设备和工艺装备(刀具、夹具、量具、辅具)，确定各工序切削用量及工序尺寸；填写工艺文件:工艺过程卡、工序卡；设计指定工序的专用夹具，绘制装配总图和主要零件图；撰写设计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sz w:val="21"/>
                <w:szCs w:val="21"/>
                <w:highlight w:val="yellow"/>
              </w:rPr>
            </w:pPr>
            <w:r>
              <w:rPr>
                <w:rFonts w:hint="eastAsia" w:ascii="仿宋" w:hAnsi="仿宋" w:eastAsia="仿宋"/>
                <w:sz w:val="21"/>
                <w:szCs w:val="21"/>
              </w:rPr>
              <w:t>5</w:t>
            </w:r>
          </w:p>
        </w:tc>
        <w:tc>
          <w:tcPr>
            <w:tcW w:w="1559" w:type="dxa"/>
          </w:tcPr>
          <w:p>
            <w:pPr>
              <w:rPr>
                <w:rFonts w:ascii="宋体" w:hAnsi="宋体" w:cs="宋体"/>
                <w:bCs/>
                <w:color w:val="000000" w:themeColor="text1"/>
                <w:sz w:val="21"/>
                <w:szCs w:val="21"/>
                <w14:textFill>
                  <w14:solidFill>
                    <w14:schemeClr w14:val="tx1"/>
                  </w14:solidFill>
                </w14:textFill>
              </w:rPr>
            </w:pPr>
            <w:r>
              <w:rPr>
                <w:rFonts w:hint="eastAsia" w:ascii="宋体" w:hAnsi="宋体" w:cs="仿宋"/>
                <w:color w:val="000000"/>
                <w:sz w:val="21"/>
                <w:szCs w:val="21"/>
              </w:rPr>
              <w:t>毕业实习</w:t>
            </w:r>
          </w:p>
        </w:tc>
        <w:tc>
          <w:tcPr>
            <w:tcW w:w="2871" w:type="dxa"/>
          </w:tcPr>
          <w:p>
            <w:pPr>
              <w:rPr>
                <w:rFonts w:ascii="宋体" w:hAnsi="宋体" w:cs="仿宋"/>
                <w:color w:val="000000"/>
                <w:sz w:val="21"/>
                <w:szCs w:val="21"/>
              </w:rPr>
            </w:pPr>
            <w:r>
              <w:rPr>
                <w:rFonts w:hint="eastAsia" w:ascii="宋体" w:hAnsi="宋体" w:cs="仿宋"/>
                <w:color w:val="000000"/>
                <w:sz w:val="21"/>
                <w:szCs w:val="21"/>
              </w:rPr>
              <w:t>通过进入企业顶岗实习，熟悉企业文化，了解企业各种规范与制度，了解一线生产企业的生产管理流程，熟悉常见生产工艺，培养岗位工作能力，将学校的理论知识与实践现场结合起来，为学生顺利就业做好充分准备。</w:t>
            </w:r>
          </w:p>
        </w:tc>
        <w:tc>
          <w:tcPr>
            <w:tcW w:w="2799" w:type="dxa"/>
          </w:tcPr>
          <w:p>
            <w:pPr>
              <w:rPr>
                <w:rFonts w:ascii="宋体" w:hAnsi="宋体" w:cs="仿宋"/>
                <w:color w:val="000000"/>
                <w:sz w:val="21"/>
                <w:szCs w:val="21"/>
              </w:rPr>
            </w:pPr>
            <w:r>
              <w:rPr>
                <w:rFonts w:hint="eastAsia" w:ascii="宋体" w:hAnsi="宋体" w:cs="仿宋"/>
                <w:color w:val="000000"/>
                <w:sz w:val="21"/>
                <w:szCs w:val="21"/>
              </w:rPr>
              <w:t>学生根据自己的职业规划和具体情况，可以选择生产技术、维修技术、材料供应与检测、产品测试等岗位，参与企业的相关岗位的具体工作，查缺补漏，强化和完善自己的知识体系。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overflowPunct w:val="0"/>
              <w:adjustRightInd w:val="0"/>
              <w:ind w:firstLine="420" w:firstLineChars="200"/>
              <w:outlineLvl w:val="0"/>
              <w:rPr>
                <w:rFonts w:ascii="仿宋" w:hAnsi="仿宋" w:eastAsia="仿宋"/>
                <w:sz w:val="21"/>
                <w:szCs w:val="21"/>
                <w:highlight w:val="yellow"/>
              </w:rPr>
            </w:pPr>
          </w:p>
        </w:tc>
        <w:tc>
          <w:tcPr>
            <w:tcW w:w="1559" w:type="dxa"/>
          </w:tcPr>
          <w:p>
            <w:pPr>
              <w:overflowPunct w:val="0"/>
              <w:adjustRightInd w:val="0"/>
              <w:ind w:firstLine="420" w:firstLineChars="200"/>
              <w:outlineLvl w:val="0"/>
              <w:rPr>
                <w:rFonts w:ascii="宋体" w:hAnsi="宋体" w:cs="宋体"/>
                <w:bCs/>
                <w:color w:val="000000" w:themeColor="text1"/>
                <w:sz w:val="21"/>
                <w:szCs w:val="21"/>
                <w14:textFill>
                  <w14:solidFill>
                    <w14:schemeClr w14:val="tx1"/>
                  </w14:solidFill>
                </w14:textFill>
              </w:rPr>
            </w:pPr>
          </w:p>
        </w:tc>
        <w:tc>
          <w:tcPr>
            <w:tcW w:w="2871" w:type="dxa"/>
          </w:tcPr>
          <w:p>
            <w:pPr>
              <w:overflowPunct w:val="0"/>
              <w:adjustRightInd w:val="0"/>
              <w:ind w:firstLine="420" w:firstLineChars="200"/>
              <w:outlineLvl w:val="0"/>
              <w:rPr>
                <w:rFonts w:ascii="宋体" w:hAnsi="宋体" w:cs="仿宋"/>
                <w:color w:val="000000"/>
                <w:sz w:val="21"/>
                <w:szCs w:val="21"/>
              </w:rPr>
            </w:pPr>
          </w:p>
        </w:tc>
        <w:tc>
          <w:tcPr>
            <w:tcW w:w="2799" w:type="dxa"/>
          </w:tcPr>
          <w:p>
            <w:pPr>
              <w:overflowPunct w:val="0"/>
              <w:adjustRightInd w:val="0"/>
              <w:outlineLvl w:val="0"/>
              <w:rPr>
                <w:rFonts w:ascii="宋体" w:hAnsi="宋体" w:cs="仿宋"/>
                <w:color w:val="000000"/>
                <w:sz w:val="21"/>
                <w:szCs w:val="21"/>
              </w:rPr>
            </w:pPr>
          </w:p>
        </w:tc>
      </w:tr>
    </w:tbl>
    <w:p>
      <w:pPr>
        <w:overflowPunct w:val="0"/>
        <w:adjustRightInd w:val="0"/>
        <w:ind w:firstLine="640" w:firstLineChars="200"/>
        <w:outlineLvl w:val="0"/>
        <w:rPr>
          <w:rFonts w:ascii="仿宋" w:hAnsi="仿宋" w:eastAsia="仿宋"/>
          <w:szCs w:val="32"/>
          <w:highlight w:val="yellow"/>
        </w:rPr>
      </w:pPr>
    </w:p>
    <w:p>
      <w:pPr>
        <w:pStyle w:val="20"/>
        <w:spacing w:line="240" w:lineRule="auto"/>
        <w:ind w:firstLine="442"/>
        <w:rPr>
          <w:sz w:val="32"/>
          <w:szCs w:val="32"/>
        </w:rPr>
      </w:pPr>
      <w:r>
        <w:rPr>
          <w:rFonts w:hint="eastAsia" w:ascii="仿宋" w:hAnsi="仿宋" w:eastAsia="仿宋"/>
          <w:color w:val="000000" w:themeColor="text1"/>
          <w:sz w:val="32"/>
          <w:szCs w:val="32"/>
          <w14:textFill>
            <w14:solidFill>
              <w14:schemeClr w14:val="tx1"/>
            </w14:solidFill>
          </w14:textFill>
        </w:rPr>
        <w:t>（4）主要专业限选课程：</w:t>
      </w:r>
      <w:r>
        <w:rPr>
          <w:sz w:val="32"/>
          <w:szCs w:val="32"/>
        </w:rPr>
        <w:t xml:space="preserve"> </w:t>
      </w:r>
    </w:p>
    <w:p>
      <w:pPr>
        <w:pStyle w:val="20"/>
        <w:spacing w:line="240" w:lineRule="auto"/>
        <w:ind w:firstLine="442"/>
        <w:rPr>
          <w:rFonts w:ascii="仿宋" w:hAnsi="仿宋" w:eastAsia="仿宋" w:cs="仿宋"/>
          <w:sz w:val="28"/>
          <w:szCs w:val="28"/>
          <w:lang w:eastAsia="zh-CN"/>
        </w:rPr>
      </w:pPr>
      <w:r>
        <w:rPr>
          <w:rFonts w:hint="eastAsia" w:ascii="仿宋" w:hAnsi="仿宋" w:eastAsia="仿宋" w:cs="仿宋"/>
          <w:color w:val="000000"/>
          <w:sz w:val="28"/>
          <w:szCs w:val="28"/>
        </w:rPr>
        <w:t>专业拓展课程包括：传感器与检测技术、工业机器人编程、制造信息化技术、智能制造 单元维护与检修、数控机床维护与检修、高速切削技术、精密检测技术、智能制造技术、特种加工实训等#专业拓展课程可以依据区域产业结构进行适当的调整</w:t>
      </w:r>
      <w:r>
        <w:rPr>
          <w:rFonts w:hint="eastAsia" w:ascii="仿宋" w:hAnsi="仿宋" w:eastAsia="仿宋" w:cs="仿宋"/>
          <w:color w:val="000000"/>
          <w:sz w:val="28"/>
          <w:szCs w:val="28"/>
          <w:lang w:eastAsia="zh-CN"/>
        </w:rPr>
        <w:t>。</w:t>
      </w:r>
    </w:p>
    <w:p>
      <w:pPr>
        <w:overflowPunct w:val="0"/>
        <w:adjustRightInd w:val="0"/>
        <w:outlineLvl w:val="0"/>
        <w:rPr>
          <w:rFonts w:ascii="黑体" w:hAnsi="黑体" w:eastAsia="黑体"/>
          <w:sz w:val="36"/>
          <w:szCs w:val="36"/>
        </w:rPr>
      </w:pPr>
      <w:bookmarkStart w:id="10" w:name="_Toc90856311"/>
      <w:r>
        <w:rPr>
          <w:rFonts w:ascii="黑体" w:hAnsi="黑体" w:eastAsia="黑体"/>
          <w:sz w:val="36"/>
          <w:szCs w:val="36"/>
        </w:rPr>
        <w:t>七、教学进程总体安排</w:t>
      </w:r>
      <w:bookmarkEnd w:id="10"/>
    </w:p>
    <w:p>
      <w:pPr>
        <w:spacing w:line="320" w:lineRule="exact"/>
        <w:ind w:firstLine="480" w:firstLineChars="200"/>
        <w:rPr>
          <w:rFonts w:eastAsia="黑体"/>
          <w:bCs/>
          <w:sz w:val="28"/>
          <w:szCs w:val="28"/>
        </w:rPr>
      </w:pPr>
      <w:r>
        <w:rPr>
          <w:rFonts w:hint="eastAsia" w:ascii="黑体" w:hAnsi="黑体" w:eastAsia="黑体"/>
          <w:sz w:val="24"/>
          <w:szCs w:val="24"/>
        </w:rPr>
        <w:t>（一）</w:t>
      </w:r>
      <w:r>
        <w:rPr>
          <w:rFonts w:hint="eastAsia" w:eastAsia="黑体"/>
          <w:bCs/>
          <w:sz w:val="28"/>
          <w:szCs w:val="28"/>
        </w:rPr>
        <w:t>课程结构与学分（时）分布</w:t>
      </w:r>
    </w:p>
    <w:p>
      <w:pPr>
        <w:spacing w:line="320" w:lineRule="exact"/>
        <w:ind w:firstLine="560" w:firstLineChars="200"/>
        <w:rPr>
          <w:rFonts w:eastAsia="黑体"/>
          <w:bCs/>
          <w:sz w:val="28"/>
          <w:szCs w:val="28"/>
        </w:rPr>
      </w:pPr>
    </w:p>
    <w:p>
      <w:pPr>
        <w:spacing w:line="320" w:lineRule="exact"/>
        <w:rPr>
          <w:rFonts w:eastAsia="黑体"/>
          <w:bCs/>
          <w:sz w:val="28"/>
          <w:szCs w:val="28"/>
        </w:rPr>
      </w:pPr>
    </w:p>
    <w:tbl>
      <w:tblPr>
        <w:tblStyle w:val="10"/>
        <w:tblpPr w:leftFromText="180" w:rightFromText="180" w:vertAnchor="text" w:horzAnchor="page" w:tblpX="1613" w:tblpY="286"/>
        <w:tblOverlap w:val="never"/>
        <w:tblW w:w="567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8"/>
        <w:gridCol w:w="689"/>
        <w:gridCol w:w="706"/>
        <w:gridCol w:w="844"/>
        <w:gridCol w:w="677"/>
        <w:gridCol w:w="852"/>
        <w:gridCol w:w="677"/>
        <w:gridCol w:w="844"/>
        <w:gridCol w:w="627"/>
        <w:gridCol w:w="859"/>
        <w:gridCol w:w="678"/>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53"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356" w:type="pct"/>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1591"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1554"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747" w:type="pct"/>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7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365"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5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44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5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2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44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5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397"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53"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10.2%</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32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3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3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11.5</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7.3%</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4.4%</w:t>
            </w:r>
          </w:p>
        </w:tc>
        <w:tc>
          <w:tcPr>
            <w:tcW w:w="32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35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39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53"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32.</w:t>
            </w:r>
            <w:r>
              <w:rPr>
                <w:rFonts w:hint="eastAsia"/>
                <w:color w:val="000000"/>
                <w:sz w:val="18"/>
                <w:szCs w:val="18"/>
              </w:rPr>
              <w:t>5</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20.5%</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622</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21%</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64.</w:t>
            </w:r>
            <w:r>
              <w:rPr>
                <w:rFonts w:hint="eastAsia"/>
                <w:color w:val="000000"/>
                <w:sz w:val="18"/>
                <w:szCs w:val="18"/>
              </w:rPr>
              <w:t>5</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40.9%</w:t>
            </w:r>
          </w:p>
        </w:tc>
        <w:tc>
          <w:tcPr>
            <w:tcW w:w="32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1238</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41%</w:t>
            </w:r>
          </w:p>
        </w:tc>
        <w:tc>
          <w:tcPr>
            <w:tcW w:w="3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105</w:t>
            </w:r>
          </w:p>
        </w:tc>
        <w:tc>
          <w:tcPr>
            <w:tcW w:w="3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3.3%</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w:t>
            </w:r>
          </w:p>
        </w:tc>
        <w:tc>
          <w:tcPr>
            <w:tcW w:w="32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60</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w:t>
            </w:r>
          </w:p>
        </w:tc>
        <w:tc>
          <w:tcPr>
            <w:tcW w:w="35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39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753"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olor w:val="000000"/>
                <w:sz w:val="21"/>
                <w:szCs w:val="21"/>
              </w:rPr>
            </w:pPr>
            <w:r>
              <w:rPr>
                <w:rFonts w:hint="eastAsia" w:ascii="宋体" w:hAnsi="宋体"/>
                <w:color w:val="000000"/>
                <w:sz w:val="21"/>
                <w:szCs w:val="21"/>
              </w:rPr>
              <w:t>合计</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48 </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30.7%</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924</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31%</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82.</w:t>
            </w:r>
            <w:r>
              <w:rPr>
                <w:rFonts w:hint="eastAsia"/>
                <w:color w:val="000000"/>
                <w:sz w:val="18"/>
                <w:szCs w:val="18"/>
              </w:rPr>
              <w:t>5</w:t>
            </w:r>
            <w:r>
              <w:rPr>
                <w:color w:val="000000"/>
                <w:sz w:val="18"/>
                <w:szCs w:val="18"/>
              </w:rPr>
              <w:t xml:space="preserve"> </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52.3%</w:t>
            </w:r>
          </w:p>
        </w:tc>
        <w:tc>
          <w:tcPr>
            <w:tcW w:w="32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1594</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53%</w:t>
            </w:r>
          </w:p>
        </w:tc>
        <w:tc>
          <w:tcPr>
            <w:tcW w:w="35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157.5</w:t>
            </w:r>
          </w:p>
        </w:tc>
        <w:tc>
          <w:tcPr>
            <w:tcW w:w="3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5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w:t>
            </w:r>
            <w:r>
              <w:rPr>
                <w:rFonts w:hint="eastAsia"/>
                <w:color w:val="000000"/>
                <w:sz w:val="18"/>
                <w:szCs w:val="18"/>
              </w:rPr>
              <w:t>7</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10.6%</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292</w:t>
            </w:r>
          </w:p>
        </w:tc>
        <w:tc>
          <w:tcPr>
            <w:tcW w:w="44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35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10 </w:t>
            </w:r>
          </w:p>
        </w:tc>
        <w:tc>
          <w:tcPr>
            <w:tcW w:w="43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6.4%</w:t>
            </w:r>
          </w:p>
        </w:tc>
        <w:tc>
          <w:tcPr>
            <w:tcW w:w="32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174</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p>
        </w:tc>
        <w:tc>
          <w:tcPr>
            <w:tcW w:w="35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397" w:type="pct"/>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spacing w:line="320" w:lineRule="exact"/>
        <w:ind w:firstLine="560" w:firstLineChars="200"/>
        <w:rPr>
          <w:rFonts w:eastAsia="黑体"/>
          <w:bCs/>
          <w:sz w:val="28"/>
          <w:szCs w:val="28"/>
        </w:rPr>
      </w:pPr>
    </w:p>
    <w:p>
      <w:pPr>
        <w:spacing w:line="320" w:lineRule="exact"/>
        <w:ind w:firstLine="560" w:firstLineChars="200"/>
        <w:rPr>
          <w:rFonts w:eastAsia="黑体"/>
          <w:bCs/>
          <w:sz w:val="28"/>
          <w:szCs w:val="28"/>
        </w:rPr>
      </w:pPr>
    </w:p>
    <w:p>
      <w:pPr>
        <w:spacing w:line="320" w:lineRule="exact"/>
        <w:ind w:firstLine="560" w:firstLineChars="200"/>
        <w:rPr>
          <w:rFonts w:hint="eastAsia" w:eastAsia="黑体"/>
          <w:bCs/>
          <w:sz w:val="28"/>
          <w:szCs w:val="28"/>
        </w:rPr>
      </w:pPr>
    </w:p>
    <w:p>
      <w:pPr>
        <w:spacing w:line="320" w:lineRule="exact"/>
        <w:ind w:firstLine="560" w:firstLineChars="200"/>
        <w:rPr>
          <w:rFonts w:hint="eastAsia" w:eastAsia="黑体"/>
          <w:bCs/>
          <w:sz w:val="28"/>
          <w:szCs w:val="28"/>
        </w:rPr>
      </w:pPr>
    </w:p>
    <w:p>
      <w:pPr>
        <w:spacing w:line="320" w:lineRule="exact"/>
        <w:ind w:firstLine="560" w:firstLineChars="200"/>
        <w:rPr>
          <w:rFonts w:hint="eastAsia" w:eastAsia="黑体"/>
          <w:bCs/>
          <w:sz w:val="28"/>
          <w:szCs w:val="28"/>
        </w:rPr>
      </w:pPr>
    </w:p>
    <w:p>
      <w:pPr>
        <w:spacing w:line="320" w:lineRule="exact"/>
        <w:ind w:firstLine="560" w:firstLineChars="200"/>
        <w:rPr>
          <w:rFonts w:eastAsia="黑体"/>
          <w:bCs/>
          <w:sz w:val="28"/>
          <w:szCs w:val="28"/>
        </w:rPr>
      </w:pPr>
      <w:bookmarkStart w:id="23" w:name="_GoBack"/>
      <w:bookmarkEnd w:id="23"/>
      <w:r>
        <w:rPr>
          <w:rFonts w:hint="eastAsia" w:eastAsia="黑体"/>
          <w:bCs/>
          <w:sz w:val="28"/>
          <w:szCs w:val="28"/>
        </w:rPr>
        <w:t>（二）教学计划进程</w:t>
      </w:r>
    </w:p>
    <w:tbl>
      <w:tblPr>
        <w:tblStyle w:val="10"/>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624"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21.6%</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22.1%</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11.7%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10.3%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机械制图1</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02100B2256</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机械制图2</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02100B2223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电工基础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02100B2224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机械设计基础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02100A2225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公差配合与技术测量</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02100B2226</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AutoCAD机械制图基础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nil"/>
              <w:right w:val="nil"/>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02100A2227</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机械工程材料</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02100B2228</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UG7.5基础教程</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02100A2232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液压与气压传动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02101B232</w:t>
            </w:r>
            <w:r>
              <w:rPr>
                <w:rFonts w:hint="eastAsia"/>
                <w:color w:val="000000"/>
                <w:sz w:val="22"/>
              </w:rPr>
              <w:t>6</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数控机床构造与原理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02100A2330</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数控车削编程与加工</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02101B2323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数控机床电气控制</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02100A2331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数控铣削编程与加工</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02100B2229</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数控线切割教程</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02100B2257</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UGNX7.5数控编程</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02100C2233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金工实训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02100C2256</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普通车床实训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02101C2327</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数控机床实训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02100C2255</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数控铣床实训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10B110021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毕业设计</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8</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10C112121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顶岗实习</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传感器与检测技术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02105B2325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工业机器人编程</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02101B2328</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数控机床维护与检修</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02100B2329</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智能制造技术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02101B2330</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高速切削技术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02101B2331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精密检测技术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89</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1860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622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1238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56.5%</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62.3%</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100</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10.2%</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5.4%</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157.5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2984</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1216</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1768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overflowPunct w:val="0"/>
        <w:adjustRightInd w:val="0"/>
        <w:ind w:firstLine="720" w:firstLineChars="200"/>
        <w:outlineLvl w:val="0"/>
        <w:rPr>
          <w:rFonts w:ascii="黑体" w:hAnsi="黑体" w:eastAsia="黑体"/>
          <w:sz w:val="36"/>
          <w:szCs w:val="36"/>
        </w:rPr>
      </w:pPr>
    </w:p>
    <w:p>
      <w:pPr>
        <w:overflowPunct w:val="0"/>
        <w:adjustRightInd w:val="0"/>
        <w:ind w:firstLine="360" w:firstLineChars="100"/>
        <w:outlineLvl w:val="0"/>
        <w:rPr>
          <w:rFonts w:ascii="黑体" w:hAnsi="黑体" w:eastAsia="黑体"/>
          <w:sz w:val="36"/>
          <w:szCs w:val="36"/>
        </w:rPr>
      </w:pPr>
      <w:bookmarkStart w:id="11" w:name="_Toc90856312"/>
      <w:r>
        <w:rPr>
          <w:rFonts w:ascii="黑体" w:hAnsi="黑体" w:eastAsia="黑体"/>
          <w:sz w:val="36"/>
          <w:szCs w:val="36"/>
        </w:rPr>
        <w:t>八、实施保障</w:t>
      </w:r>
      <w:bookmarkEnd w:id="11"/>
    </w:p>
    <w:p>
      <w:pPr>
        <w:overflowPunct w:val="0"/>
        <w:adjustRightInd w:val="0"/>
        <w:ind w:firstLine="562" w:firstLineChars="200"/>
        <w:rPr>
          <w:rFonts w:ascii="黑体" w:hAnsi="黑体" w:eastAsia="黑体"/>
          <w:sz w:val="28"/>
          <w:szCs w:val="28"/>
        </w:rPr>
      </w:pPr>
      <w:r>
        <w:rPr>
          <w:rFonts w:hint="eastAsia" w:ascii="黑体" w:hAnsi="黑体" w:eastAsia="黑体"/>
          <w:b/>
          <w:bCs/>
          <w:sz w:val="28"/>
          <w:szCs w:val="28"/>
        </w:rPr>
        <w:t>（一）教学基本条件</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1、师资队伍</w:t>
      </w:r>
    </w:p>
    <w:p>
      <w:pPr>
        <w:pStyle w:val="20"/>
        <w:tabs>
          <w:tab w:val="left" w:pos="758"/>
        </w:tabs>
        <w:spacing w:line="240" w:lineRule="auto"/>
        <w:ind w:left="420" w:firstLine="0"/>
        <w:rPr>
          <w:rFonts w:ascii="仿宋" w:hAnsi="仿宋" w:eastAsia="仿宋" w:cs="仿宋"/>
          <w:bCs/>
          <w:sz w:val="28"/>
          <w:szCs w:val="28"/>
          <w:lang w:val="en-US" w:eastAsia="zh-CN" w:bidi="ar-SA"/>
        </w:rPr>
      </w:pPr>
      <w:r>
        <w:rPr>
          <w:rFonts w:hint="eastAsia" w:ascii="仿宋" w:hAnsi="仿宋" w:eastAsia="仿宋" w:cs="仿宋"/>
          <w:bCs/>
          <w:sz w:val="28"/>
          <w:szCs w:val="28"/>
          <w:lang w:val="en-US" w:eastAsia="zh-CN" w:bidi="ar-SA"/>
        </w:rPr>
        <w:t>（1）队伍结构</w:t>
      </w:r>
    </w:p>
    <w:p>
      <w:pPr>
        <w:pStyle w:val="20"/>
        <w:spacing w:after="100" w:line="240" w:lineRule="auto"/>
        <w:ind w:firstLine="440"/>
        <w:rPr>
          <w:rFonts w:ascii="仿宋" w:hAnsi="仿宋" w:eastAsia="仿宋" w:cs="仿宋"/>
          <w:bCs/>
          <w:sz w:val="28"/>
          <w:szCs w:val="28"/>
          <w:lang w:val="en-US" w:eastAsia="zh-CN" w:bidi="ar-SA"/>
        </w:rPr>
      </w:pPr>
      <w:r>
        <w:rPr>
          <w:rFonts w:hint="eastAsia" w:ascii="仿宋" w:hAnsi="仿宋" w:eastAsia="仿宋" w:cs="仿宋"/>
          <w:bCs/>
          <w:sz w:val="28"/>
          <w:szCs w:val="28"/>
          <w:lang w:val="en-US" w:eastAsia="zh-CN" w:bidi="ar-SA"/>
        </w:rPr>
        <w:t>本专业配备能满足专业教学需求的专业教师队伍，其中专业带头人1人，骨干教师3人。</w:t>
      </w:r>
    </w:p>
    <w:p>
      <w:pPr>
        <w:pStyle w:val="20"/>
        <w:tabs>
          <w:tab w:val="left" w:pos="779"/>
        </w:tabs>
        <w:spacing w:line="240" w:lineRule="auto"/>
        <w:ind w:left="440" w:firstLine="0"/>
        <w:rPr>
          <w:rFonts w:ascii="仿宋" w:hAnsi="仿宋" w:eastAsia="仿宋" w:cs="仿宋"/>
          <w:bCs/>
          <w:sz w:val="28"/>
          <w:szCs w:val="28"/>
          <w:lang w:val="en-US" w:eastAsia="zh-CN" w:bidi="ar-SA"/>
        </w:rPr>
      </w:pPr>
      <w:bookmarkStart w:id="12" w:name="bookmark73"/>
      <w:bookmarkEnd w:id="12"/>
      <w:r>
        <w:rPr>
          <w:rFonts w:hint="eastAsia" w:ascii="仿宋" w:hAnsi="仿宋" w:eastAsia="仿宋" w:cs="仿宋"/>
          <w:bCs/>
          <w:sz w:val="28"/>
          <w:szCs w:val="28"/>
          <w:lang w:val="en-US" w:eastAsia="zh-CN" w:bidi="ar-SA"/>
        </w:rPr>
        <w:t>（2）专任教师</w:t>
      </w:r>
    </w:p>
    <w:p>
      <w:pPr>
        <w:pStyle w:val="20"/>
        <w:spacing w:after="100" w:line="240" w:lineRule="auto"/>
        <w:ind w:firstLine="440"/>
        <w:rPr>
          <w:rFonts w:ascii="仿宋" w:hAnsi="仿宋" w:eastAsia="仿宋" w:cs="仿宋"/>
          <w:bCs/>
          <w:sz w:val="28"/>
          <w:szCs w:val="28"/>
          <w:lang w:val="en-US" w:eastAsia="zh-CN" w:bidi="ar-SA"/>
        </w:rPr>
      </w:pPr>
      <w:r>
        <w:rPr>
          <w:rFonts w:hint="eastAsia" w:ascii="仿宋" w:hAnsi="仿宋" w:eastAsia="仿宋" w:cs="仿宋"/>
          <w:bCs/>
          <w:sz w:val="28"/>
          <w:szCs w:val="28"/>
          <w:lang w:val="en-US" w:eastAsia="zh-CN" w:bidi="ar-SA"/>
        </w:rPr>
        <w:t>专任教师应具有数控技术相关专业本科及以上学历；具有扎实的本专业相关理论功底和实践能力；具有较强信息化教学能力，能够开展课程教学改革和科学研究；有每5年累计不少于6个月的企业实践经历。</w:t>
      </w:r>
    </w:p>
    <w:p>
      <w:pPr>
        <w:pStyle w:val="20"/>
        <w:tabs>
          <w:tab w:val="left" w:pos="779"/>
        </w:tabs>
        <w:spacing w:line="240" w:lineRule="auto"/>
        <w:ind w:left="440" w:firstLine="0"/>
        <w:rPr>
          <w:rFonts w:ascii="仿宋" w:hAnsi="仿宋" w:eastAsia="仿宋" w:cs="仿宋"/>
          <w:bCs/>
          <w:sz w:val="28"/>
          <w:szCs w:val="28"/>
          <w:lang w:val="en-US" w:eastAsia="zh-CN" w:bidi="ar-SA"/>
        </w:rPr>
      </w:pPr>
      <w:bookmarkStart w:id="13" w:name="bookmark74"/>
      <w:bookmarkEnd w:id="13"/>
      <w:r>
        <w:rPr>
          <w:rFonts w:hint="eastAsia" w:ascii="仿宋" w:hAnsi="仿宋" w:eastAsia="仿宋" w:cs="仿宋"/>
          <w:bCs/>
          <w:sz w:val="28"/>
          <w:szCs w:val="28"/>
          <w:lang w:val="en-US" w:eastAsia="zh-CN" w:bidi="ar-SA"/>
        </w:rPr>
        <w:t>（3）专业带头人</w:t>
      </w:r>
    </w:p>
    <w:p>
      <w:pPr>
        <w:pStyle w:val="20"/>
        <w:spacing w:after="100" w:line="240" w:lineRule="auto"/>
        <w:ind w:firstLine="440"/>
        <w:rPr>
          <w:rFonts w:ascii="仿宋" w:hAnsi="仿宋" w:eastAsia="仿宋" w:cs="仿宋"/>
          <w:bCs/>
          <w:sz w:val="28"/>
          <w:szCs w:val="28"/>
          <w:lang w:val="en-US" w:eastAsia="zh-CN" w:bidi="ar-SA"/>
        </w:rPr>
      </w:pPr>
      <w:r>
        <w:rPr>
          <w:rFonts w:hint="eastAsia" w:ascii="仿宋" w:hAnsi="仿宋" w:eastAsia="仿宋" w:cs="仿宋"/>
          <w:bCs/>
          <w:sz w:val="28"/>
          <w:szCs w:val="28"/>
          <w:lang w:val="en-US" w:eastAsia="zh-CN" w:bidi="ar-SA"/>
        </w:rPr>
        <w:t>专业带头人原则上应具有副高及以上职称，能够较好地把握国内外数控技术行业、专业发展，能广泛联系行业企业，了解行业企业对本专业人才的需求实际，教学设计、专业研究能力强，组织开展教科研工作能力强，在本区域或本领域具有一定的专业影响力。</w:t>
      </w:r>
    </w:p>
    <w:p>
      <w:pPr>
        <w:pStyle w:val="20"/>
        <w:tabs>
          <w:tab w:val="left" w:pos="779"/>
        </w:tabs>
        <w:spacing w:line="240" w:lineRule="auto"/>
        <w:ind w:left="440" w:firstLine="0"/>
        <w:rPr>
          <w:rFonts w:ascii="仿宋" w:hAnsi="仿宋" w:eastAsia="仿宋" w:cs="仿宋"/>
          <w:bCs/>
          <w:sz w:val="28"/>
          <w:szCs w:val="28"/>
          <w:lang w:val="en-US" w:eastAsia="zh-CN" w:bidi="ar-SA"/>
        </w:rPr>
      </w:pPr>
      <w:bookmarkStart w:id="14" w:name="bookmark75"/>
      <w:bookmarkEnd w:id="14"/>
      <w:r>
        <w:rPr>
          <w:rFonts w:hint="eastAsia" w:ascii="仿宋" w:hAnsi="仿宋" w:eastAsia="仿宋" w:cs="仿宋"/>
          <w:bCs/>
          <w:sz w:val="28"/>
          <w:szCs w:val="28"/>
          <w:lang w:val="en-US" w:eastAsia="zh-CN" w:bidi="ar-SA"/>
        </w:rPr>
        <w:t>（4）兼职教师</w:t>
      </w:r>
    </w:p>
    <w:p>
      <w:pPr>
        <w:pStyle w:val="20"/>
        <w:spacing w:after="100" w:line="240" w:lineRule="auto"/>
        <w:ind w:firstLine="440"/>
        <w:rPr>
          <w:rFonts w:ascii="仿宋" w:hAnsi="仿宋" w:eastAsia="仿宋" w:cs="仿宋"/>
          <w:bCs/>
          <w:sz w:val="28"/>
          <w:szCs w:val="28"/>
          <w:lang w:val="en-US" w:eastAsia="zh-CN" w:bidi="ar-SA"/>
        </w:rPr>
      </w:pPr>
      <w:r>
        <w:rPr>
          <w:rFonts w:hint="eastAsia" w:ascii="仿宋" w:hAnsi="仿宋" w:eastAsia="仿宋" w:cs="仿宋"/>
          <w:bCs/>
          <w:sz w:val="28"/>
          <w:szCs w:val="28"/>
          <w:lang w:val="en-US" w:eastAsia="zh-CN" w:bidi="ar-S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2、教学设施</w:t>
      </w:r>
    </w:p>
    <w:p>
      <w:pPr>
        <w:spacing w:line="300" w:lineRule="auto"/>
        <w:ind w:firstLine="548" w:firstLineChars="196"/>
        <w:rPr>
          <w:rFonts w:ascii="仿宋" w:hAnsi="仿宋" w:eastAsia="仿宋" w:cs="仿宋"/>
          <w:sz w:val="28"/>
          <w:szCs w:val="28"/>
        </w:rPr>
      </w:pPr>
      <w:r>
        <w:rPr>
          <w:rFonts w:hint="eastAsia" w:ascii="仿宋" w:hAnsi="仿宋" w:eastAsia="仿宋" w:cs="仿宋"/>
          <w:sz w:val="28"/>
          <w:szCs w:val="28"/>
        </w:rPr>
        <w:t>校内实训基地有：机械加工实训室、工业机器人实验实训室、CAD/CAM实训室。</w:t>
      </w:r>
    </w:p>
    <w:p>
      <w:pPr>
        <w:overflowPunct w:val="0"/>
        <w:adjustRightInd w:val="0"/>
        <w:ind w:firstLine="560" w:firstLineChars="200"/>
        <w:rPr>
          <w:rFonts w:ascii="仿宋" w:hAnsi="仿宋" w:eastAsia="仿宋" w:cs="仿宋"/>
          <w:sz w:val="28"/>
          <w:szCs w:val="28"/>
        </w:rPr>
      </w:pPr>
      <w:r>
        <w:rPr>
          <w:rFonts w:hint="eastAsia" w:ascii="仿宋" w:hAnsi="仿宋" w:eastAsia="仿宋" w:cs="仿宋"/>
          <w:sz w:val="28"/>
          <w:szCs w:val="28"/>
        </w:rPr>
        <w:t>校外实训基地有：广西工程职业学院与玉柴曲轴公司共建的校外实训基地。</w:t>
      </w:r>
    </w:p>
    <w:p>
      <w:pPr>
        <w:widowControl/>
        <w:snapToGrid w:val="0"/>
        <w:spacing w:line="440" w:lineRule="exact"/>
        <w:ind w:firstLine="480" w:firstLineChars="200"/>
        <w:jc w:val="left"/>
        <w:rPr>
          <w:rFonts w:ascii="宋体" w:hAnsi="宋体" w:eastAsia="宋体"/>
          <w:bCs/>
          <w:sz w:val="24"/>
          <w:szCs w:val="24"/>
        </w:rPr>
      </w:pPr>
      <w:r>
        <w:rPr>
          <w:rFonts w:hint="eastAsia" w:ascii="宋体" w:hAnsi="宋体" w:eastAsia="宋体"/>
          <w:bCs/>
          <w:sz w:val="24"/>
          <w:szCs w:val="24"/>
        </w:rPr>
        <w:t>校内实训室如表4所示：</w:t>
      </w:r>
    </w:p>
    <w:p>
      <w:pPr>
        <w:widowControl/>
        <w:snapToGrid w:val="0"/>
        <w:spacing w:line="52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4校内实训室一览表表</w:t>
      </w:r>
    </w:p>
    <w:tbl>
      <w:tblPr>
        <w:tblStyle w:val="10"/>
        <w:tblpPr w:leftFromText="1" w:topFromText="1" w:vertAnchor="text" w:tblpX="85" w:tblpY="68"/>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2"/>
        <w:gridCol w:w="3797"/>
        <w:gridCol w:w="393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792"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widowControl/>
              <w:spacing w:line="40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序号</w:t>
            </w:r>
          </w:p>
        </w:tc>
        <w:tc>
          <w:tcPr>
            <w:tcW w:w="3797"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widowControl/>
              <w:spacing w:line="40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实训室名称</w:t>
            </w:r>
          </w:p>
        </w:tc>
        <w:tc>
          <w:tcPr>
            <w:tcW w:w="3933"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widowControl/>
              <w:spacing w:line="40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用途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1</w:t>
            </w:r>
          </w:p>
        </w:tc>
        <w:tc>
          <w:tcPr>
            <w:tcW w:w="379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机械加工实训室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钳工、普通车床、数控车、数控铣削实训、线切割实训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2</w:t>
            </w:r>
          </w:p>
        </w:tc>
        <w:tc>
          <w:tcPr>
            <w:tcW w:w="379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工业机器人实验实训室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机器人编程操作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3</w:t>
            </w:r>
          </w:p>
        </w:tc>
        <w:tc>
          <w:tcPr>
            <w:tcW w:w="379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CAD/CAM实训室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数控程序编写</w:t>
            </w:r>
          </w:p>
        </w:tc>
      </w:tr>
    </w:tbl>
    <w:p>
      <w:pPr>
        <w:widowControl/>
        <w:snapToGrid w:val="0"/>
        <w:spacing w:line="520" w:lineRule="exact"/>
        <w:jc w:val="left"/>
        <w:rPr>
          <w:rFonts w:ascii="黑体" w:hAnsi="黑体" w:eastAsia="黑体"/>
          <w:sz w:val="28"/>
          <w:szCs w:val="28"/>
          <w:highlight w:val="yellow"/>
        </w:rPr>
      </w:pPr>
      <w:r>
        <w:rPr>
          <w:rFonts w:hint="eastAsia" w:ascii="宋体" w:hAnsi="宋体" w:eastAsia="宋体"/>
          <w:bCs/>
          <w:color w:val="000000"/>
          <w:kern w:val="0"/>
          <w:sz w:val="28"/>
          <w:szCs w:val="28"/>
        </w:rPr>
        <w:t xml:space="preserve">  </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3、教学资源</w:t>
      </w:r>
    </w:p>
    <w:p>
      <w:pPr>
        <w:widowControl/>
        <w:snapToGrid w:val="0"/>
        <w:spacing w:line="440" w:lineRule="exact"/>
        <w:ind w:firstLine="640" w:firstLineChars="200"/>
        <w:jc w:val="left"/>
        <w:rPr>
          <w:rFonts w:ascii="仿宋" w:hAnsi="仿宋" w:eastAsia="仿宋" w:cs="仿宋"/>
          <w:bCs/>
          <w:szCs w:val="32"/>
        </w:rPr>
      </w:pPr>
      <w:bookmarkStart w:id="15" w:name="_Toc39423573"/>
      <w:bookmarkStart w:id="16" w:name="_Toc39849479"/>
      <w:r>
        <w:rPr>
          <w:rFonts w:hint="eastAsia" w:ascii="仿宋" w:hAnsi="仿宋" w:eastAsia="仿宋" w:cs="仿宋"/>
          <w:bCs/>
          <w:szCs w:val="32"/>
        </w:rPr>
        <w:t>教学资源丰富，所有课程的教材采用各出版社“十三五”规划教材，主要由本专业教师主编和参编，出版社主要有中国机械工业出版社、机械工业出版社、武汉大学出版社、中国建材工业出版社、上海交通大学出版社等。学校图书馆和汽车与机电学院图书室配套采购与本专业相关的教材、图集、规范、标准，满足师生借阅需求。</w:t>
      </w:r>
    </w:p>
    <w:bookmarkEnd w:id="15"/>
    <w:bookmarkEnd w:id="16"/>
    <w:p>
      <w:pPr>
        <w:overflowPunct w:val="0"/>
        <w:adjustRightInd w:val="0"/>
        <w:ind w:firstLine="562" w:firstLineChars="200"/>
        <w:rPr>
          <w:rFonts w:ascii="黑体" w:hAnsi="黑体" w:eastAsia="黑体"/>
          <w:b/>
          <w:bCs/>
          <w:sz w:val="28"/>
          <w:szCs w:val="28"/>
        </w:rPr>
      </w:pPr>
      <w:bookmarkStart w:id="17" w:name="_bookmark110"/>
      <w:bookmarkEnd w:id="17"/>
      <w:r>
        <w:rPr>
          <w:rFonts w:hint="eastAsia" w:ascii="黑体" w:hAnsi="黑体" w:eastAsia="黑体"/>
          <w:b/>
          <w:bCs/>
          <w:sz w:val="28"/>
          <w:szCs w:val="28"/>
        </w:rPr>
        <w:t>（二）质量保障</w:t>
      </w:r>
    </w:p>
    <w:p>
      <w:pPr>
        <w:ind w:firstLine="640" w:firstLineChars="200"/>
        <w:rPr>
          <w:rFonts w:ascii="仿宋" w:hAnsi="仿宋" w:eastAsia="仿宋"/>
          <w:szCs w:val="32"/>
        </w:rPr>
      </w:pPr>
      <w:bookmarkStart w:id="18" w:name="_Toc90856313"/>
      <w:r>
        <w:rPr>
          <w:rFonts w:hint="eastAsia" w:ascii="仿宋" w:hAnsi="仿宋" w:eastAsia="仿宋"/>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rPr>
          <w:rFonts w:ascii="仿宋" w:hAnsi="仿宋" w:eastAsia="仿宋"/>
          <w:szCs w:val="32"/>
        </w:rPr>
      </w:pPr>
      <w:r>
        <w:rPr>
          <w:rFonts w:hint="eastAsia" w:ascii="仿宋" w:hAnsi="仿宋" w:eastAsia="仿宋"/>
          <w:szCs w:val="32"/>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rPr>
          <w:rFonts w:ascii="仿宋" w:hAnsi="仿宋" w:eastAsia="仿宋"/>
          <w:szCs w:val="32"/>
        </w:rPr>
      </w:pPr>
      <w:r>
        <w:rPr>
          <w:rFonts w:hint="eastAsia" w:ascii="仿宋" w:hAnsi="仿宋" w:eastAsia="仿宋"/>
          <w:szCs w:val="32"/>
        </w:rPr>
        <w:t>3.学校应建立毕业生跟踪反馈机制及社会评价机制，并对生源情况、在校生学业水平、毕业生就业情况等进行分析，定期评价人才培养质量和培养目标达成情况。</w:t>
      </w:r>
    </w:p>
    <w:p>
      <w:pPr>
        <w:overflowPunct w:val="0"/>
        <w:adjustRightInd w:val="0"/>
        <w:ind w:firstLine="640" w:firstLineChars="200"/>
        <w:outlineLvl w:val="0"/>
        <w:rPr>
          <w:rFonts w:ascii="黑体" w:hAnsi="黑体" w:eastAsia="黑体"/>
          <w:sz w:val="36"/>
          <w:szCs w:val="36"/>
        </w:rPr>
      </w:pPr>
      <w:r>
        <w:rPr>
          <w:rFonts w:hint="eastAsia" w:ascii="仿宋" w:hAnsi="仿宋" w:eastAsia="仿宋"/>
          <w:szCs w:val="32"/>
        </w:rPr>
        <w:t>4.专业教研组织应充分利用评价分析结果有效改进专业教学，持续提高人才培养质量。</w:t>
      </w:r>
      <w:r>
        <w:rPr>
          <w:rFonts w:hint="eastAsia" w:ascii="仿宋" w:hAnsi="仿宋" w:eastAsia="仿宋"/>
          <w:szCs w:val="32"/>
        </w:rPr>
        <w:br w:type="textWrapping"/>
      </w:r>
    </w:p>
    <w:p>
      <w:pPr>
        <w:overflowPunct w:val="0"/>
        <w:adjustRightInd w:val="0"/>
        <w:ind w:firstLine="360" w:firstLineChars="100"/>
        <w:outlineLvl w:val="0"/>
        <w:rPr>
          <w:rFonts w:ascii="黑体" w:hAnsi="黑体" w:eastAsia="黑体"/>
          <w:sz w:val="36"/>
          <w:szCs w:val="36"/>
        </w:rPr>
      </w:pPr>
      <w:r>
        <w:rPr>
          <w:rFonts w:ascii="黑体" w:hAnsi="黑体" w:eastAsia="黑体"/>
          <w:sz w:val="36"/>
          <w:szCs w:val="36"/>
        </w:rPr>
        <w:t>九、毕业要求</w:t>
      </w:r>
      <w:bookmarkEnd w:id="18"/>
    </w:p>
    <w:p>
      <w:pPr>
        <w:overflowPunct w:val="0"/>
        <w:adjustRightInd w:val="0"/>
        <w:ind w:firstLine="640" w:firstLineChars="200"/>
        <w:rPr>
          <w:rFonts w:ascii="仿宋" w:hAnsi="仿宋" w:eastAsia="仿宋"/>
          <w:szCs w:val="32"/>
        </w:rPr>
      </w:pPr>
      <w:r>
        <w:rPr>
          <w:rFonts w:hint="eastAsia" w:ascii="仿宋" w:hAnsi="仿宋" w:eastAsia="仿宋"/>
          <w:szCs w:val="32"/>
        </w:rPr>
        <w:t>学生在规定年限内修足规定学分,且思想品德考核合格方准予毕业。毕业学分包括课程学习学分与毕业资格学分两部分,三年制总学分为157.5学分,其中课程学习学分153.5学分,毕业资格学分为4学分,包括创新研发与应用项目、劳动素养课程、职业资格证书专业技能竞赛、创新创业实践、劳动素养、阅读素养等“第二课堂成绩单”。</w:t>
      </w:r>
    </w:p>
    <w:p>
      <w:pPr>
        <w:widowControl/>
        <w:spacing w:line="520" w:lineRule="exact"/>
        <w:jc w:val="left"/>
        <w:rPr>
          <w:rFonts w:ascii="黑体" w:hAnsi="黑体" w:eastAsia="黑体" w:cs="黑体"/>
          <w:bCs/>
          <w:sz w:val="28"/>
          <w:szCs w:val="28"/>
        </w:rPr>
      </w:pPr>
    </w:p>
    <w:p>
      <w:pPr>
        <w:overflowPunct w:val="0"/>
        <w:adjustRightInd w:val="0"/>
        <w:outlineLvl w:val="0"/>
        <w:rPr>
          <w:rFonts w:ascii="黑体" w:hAnsi="黑体" w:eastAsia="黑体"/>
          <w:sz w:val="36"/>
          <w:szCs w:val="36"/>
        </w:rPr>
      </w:pPr>
      <w:bookmarkStart w:id="19" w:name="_Toc90856314"/>
      <w:r>
        <w:rPr>
          <w:rFonts w:ascii="黑体" w:hAnsi="黑体" w:eastAsia="黑体"/>
          <w:sz w:val="36"/>
          <w:szCs w:val="36"/>
        </w:rPr>
        <w:t>十、附录</w:t>
      </w:r>
      <w:bookmarkEnd w:id="19"/>
    </w:p>
    <w:p>
      <w:pPr>
        <w:rPr>
          <w:rFonts w:ascii="宋体" w:hAnsi="宋体"/>
          <w:b/>
          <w:bCs/>
          <w:sz w:val="36"/>
        </w:rPr>
      </w:pPr>
      <w:bookmarkStart w:id="20" w:name="_Toc6305"/>
      <w:r>
        <w:rPr>
          <w:rFonts w:hint="eastAsia" w:ascii="宋体" w:hAnsi="宋体"/>
          <w:b/>
          <w:bCs/>
          <w:sz w:val="36"/>
        </w:rPr>
        <w:t>广西工程职业学院人才培养方案</w:t>
      </w:r>
      <w:bookmarkEnd w:id="20"/>
      <w:bookmarkStart w:id="21" w:name="_Toc25753"/>
      <w:bookmarkStart w:id="22" w:name="_Toc20080"/>
      <w:r>
        <w:rPr>
          <w:rFonts w:hint="eastAsia" w:ascii="宋体" w:hAnsi="宋体"/>
          <w:b/>
          <w:bCs/>
          <w:sz w:val="36"/>
        </w:rPr>
        <w:t>调整申请表</w:t>
      </w:r>
      <w:bookmarkEnd w:id="21"/>
      <w:bookmarkEnd w:id="22"/>
    </w:p>
    <w:tbl>
      <w:tblPr>
        <w:tblStyle w:val="10"/>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ind w:firstLine="640" w:firstLineChars="200"/>
        <w:rPr>
          <w:rFonts w:ascii="仿宋" w:hAnsi="仿宋" w:eastAsia="仿宋"/>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PMingLiU">
    <w:panose1 w:val="02020500000000000000"/>
    <w:charset w:val="88"/>
    <w:family w:val="roman"/>
    <w:pitch w:val="default"/>
    <w:sig w:usb0="A00002FF" w:usb1="28CFFCFA" w:usb2="00000016" w:usb3="00000000" w:csb0="0010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74991"/>
    <w:rsid w:val="000B0CCC"/>
    <w:rsid w:val="000B2AC8"/>
    <w:rsid w:val="00116397"/>
    <w:rsid w:val="00117915"/>
    <w:rsid w:val="00163598"/>
    <w:rsid w:val="001772AF"/>
    <w:rsid w:val="0018212C"/>
    <w:rsid w:val="001A2541"/>
    <w:rsid w:val="001C1B20"/>
    <w:rsid w:val="00205BAF"/>
    <w:rsid w:val="0026696A"/>
    <w:rsid w:val="002756C2"/>
    <w:rsid w:val="002B7E88"/>
    <w:rsid w:val="0033076E"/>
    <w:rsid w:val="0039010C"/>
    <w:rsid w:val="003C0FEB"/>
    <w:rsid w:val="003D3CE1"/>
    <w:rsid w:val="00402BE6"/>
    <w:rsid w:val="00432866"/>
    <w:rsid w:val="004334FE"/>
    <w:rsid w:val="00442804"/>
    <w:rsid w:val="004528AF"/>
    <w:rsid w:val="004544C1"/>
    <w:rsid w:val="004D17F3"/>
    <w:rsid w:val="004E4724"/>
    <w:rsid w:val="00506BD1"/>
    <w:rsid w:val="00506EE5"/>
    <w:rsid w:val="005320E1"/>
    <w:rsid w:val="00534C14"/>
    <w:rsid w:val="00534D01"/>
    <w:rsid w:val="0054030A"/>
    <w:rsid w:val="0055568A"/>
    <w:rsid w:val="00557D55"/>
    <w:rsid w:val="005918AD"/>
    <w:rsid w:val="00610401"/>
    <w:rsid w:val="00612EAC"/>
    <w:rsid w:val="00616D7B"/>
    <w:rsid w:val="006253ED"/>
    <w:rsid w:val="00635648"/>
    <w:rsid w:val="006468E1"/>
    <w:rsid w:val="00661116"/>
    <w:rsid w:val="006B57C6"/>
    <w:rsid w:val="007010A5"/>
    <w:rsid w:val="00724A4F"/>
    <w:rsid w:val="00730328"/>
    <w:rsid w:val="00732FF3"/>
    <w:rsid w:val="00735740"/>
    <w:rsid w:val="007705B3"/>
    <w:rsid w:val="007D5B8F"/>
    <w:rsid w:val="008351B0"/>
    <w:rsid w:val="0083745B"/>
    <w:rsid w:val="00857F1B"/>
    <w:rsid w:val="0088701F"/>
    <w:rsid w:val="008A232F"/>
    <w:rsid w:val="008B2BE3"/>
    <w:rsid w:val="008C0DA9"/>
    <w:rsid w:val="008E20A1"/>
    <w:rsid w:val="00923B7C"/>
    <w:rsid w:val="00962B5F"/>
    <w:rsid w:val="00964E87"/>
    <w:rsid w:val="00967877"/>
    <w:rsid w:val="009A3053"/>
    <w:rsid w:val="00A24CF3"/>
    <w:rsid w:val="00A274D0"/>
    <w:rsid w:val="00A27E12"/>
    <w:rsid w:val="00A456E0"/>
    <w:rsid w:val="00A57F3D"/>
    <w:rsid w:val="00AA0658"/>
    <w:rsid w:val="00AB2A13"/>
    <w:rsid w:val="00B244ED"/>
    <w:rsid w:val="00B41674"/>
    <w:rsid w:val="00B4347A"/>
    <w:rsid w:val="00B628AA"/>
    <w:rsid w:val="00B81D99"/>
    <w:rsid w:val="00BB5D79"/>
    <w:rsid w:val="00BB670F"/>
    <w:rsid w:val="00BC049A"/>
    <w:rsid w:val="00BE545B"/>
    <w:rsid w:val="00C04F09"/>
    <w:rsid w:val="00C1597C"/>
    <w:rsid w:val="00C41172"/>
    <w:rsid w:val="00C4375A"/>
    <w:rsid w:val="00CA216D"/>
    <w:rsid w:val="00CA3B94"/>
    <w:rsid w:val="00CC03BC"/>
    <w:rsid w:val="00CC4470"/>
    <w:rsid w:val="00CD6A69"/>
    <w:rsid w:val="00D2068A"/>
    <w:rsid w:val="00D505C8"/>
    <w:rsid w:val="00D54F88"/>
    <w:rsid w:val="00DD5BEF"/>
    <w:rsid w:val="00DE423F"/>
    <w:rsid w:val="00E10610"/>
    <w:rsid w:val="00E20A3A"/>
    <w:rsid w:val="00E24386"/>
    <w:rsid w:val="00E414AB"/>
    <w:rsid w:val="00E548B2"/>
    <w:rsid w:val="00E6697F"/>
    <w:rsid w:val="00EB0CC1"/>
    <w:rsid w:val="00F23FBF"/>
    <w:rsid w:val="00F33047"/>
    <w:rsid w:val="00F66733"/>
    <w:rsid w:val="00F76F67"/>
    <w:rsid w:val="00F83156"/>
    <w:rsid w:val="00FB5295"/>
    <w:rsid w:val="00FC4010"/>
    <w:rsid w:val="00FD26F6"/>
    <w:rsid w:val="00FE1103"/>
    <w:rsid w:val="07707937"/>
    <w:rsid w:val="08850768"/>
    <w:rsid w:val="092263E9"/>
    <w:rsid w:val="12C33760"/>
    <w:rsid w:val="161938D7"/>
    <w:rsid w:val="165F2D89"/>
    <w:rsid w:val="17002C41"/>
    <w:rsid w:val="1721795E"/>
    <w:rsid w:val="1C55074D"/>
    <w:rsid w:val="1E9B2A8A"/>
    <w:rsid w:val="1EE047D0"/>
    <w:rsid w:val="1FC97EF7"/>
    <w:rsid w:val="2103528A"/>
    <w:rsid w:val="24A11214"/>
    <w:rsid w:val="28D70535"/>
    <w:rsid w:val="29565901"/>
    <w:rsid w:val="2B7F7BC0"/>
    <w:rsid w:val="2BFE547A"/>
    <w:rsid w:val="2E1E518C"/>
    <w:rsid w:val="2FE03E5F"/>
    <w:rsid w:val="37D00E0B"/>
    <w:rsid w:val="3A091F13"/>
    <w:rsid w:val="3ABD2F6A"/>
    <w:rsid w:val="3AF30EEA"/>
    <w:rsid w:val="43B103FC"/>
    <w:rsid w:val="451A74E4"/>
    <w:rsid w:val="48AD1E17"/>
    <w:rsid w:val="49A97B61"/>
    <w:rsid w:val="4A7305EE"/>
    <w:rsid w:val="4F381D14"/>
    <w:rsid w:val="576A2990"/>
    <w:rsid w:val="5C1F64E4"/>
    <w:rsid w:val="5D344FBD"/>
    <w:rsid w:val="5DA83465"/>
    <w:rsid w:val="602033E5"/>
    <w:rsid w:val="6174739F"/>
    <w:rsid w:val="629119A5"/>
    <w:rsid w:val="631B560D"/>
    <w:rsid w:val="65A65C82"/>
    <w:rsid w:val="698C5F4C"/>
    <w:rsid w:val="6D9D312A"/>
    <w:rsid w:val="6E8543EE"/>
    <w:rsid w:val="70281692"/>
    <w:rsid w:val="71994036"/>
    <w:rsid w:val="777212EE"/>
    <w:rsid w:val="7B332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8"/>
    <w:semiHidden/>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jc w:val="center"/>
    </w:pPr>
    <w:rPr>
      <w:b/>
      <w:sz w:val="40"/>
    </w:rPr>
  </w:style>
  <w:style w:type="paragraph" w:styleId="9">
    <w:name w:val="Normal (Web)"/>
    <w:basedOn w:val="1"/>
    <w:qFormat/>
    <w:uiPriority w:val="0"/>
    <w:pPr>
      <w:spacing w:before="100" w:beforeAutospacing="1" w:after="100" w:afterAutospacing="1"/>
      <w:jc w:val="left"/>
    </w:pPr>
    <w:rPr>
      <w:kern w:val="0"/>
      <w:sz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paragraph" w:customStyle="1" w:styleId="14">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5">
    <w:name w:val="页眉 字符"/>
    <w:basedOn w:val="12"/>
    <w:link w:val="7"/>
    <w:qFormat/>
    <w:uiPriority w:val="0"/>
    <w:rPr>
      <w:rFonts w:ascii="Times New Roman" w:hAnsi="Times New Roman" w:eastAsia="仿宋_GB2312" w:cs="Times New Roman"/>
      <w:sz w:val="18"/>
      <w:szCs w:val="18"/>
    </w:rPr>
  </w:style>
  <w:style w:type="character" w:customStyle="1" w:styleId="16">
    <w:name w:val="页脚 字符"/>
    <w:basedOn w:val="12"/>
    <w:link w:val="6"/>
    <w:qFormat/>
    <w:uiPriority w:val="0"/>
    <w:rPr>
      <w:rFonts w:ascii="Times New Roman" w:hAnsi="Times New Roman" w:eastAsia="仿宋_GB2312" w:cs="Times New Roman"/>
      <w:sz w:val="18"/>
      <w:szCs w:val="18"/>
    </w:rPr>
  </w:style>
  <w:style w:type="character" w:customStyle="1" w:styleId="17">
    <w:name w:val="标题 1 字符"/>
    <w:basedOn w:val="12"/>
    <w:link w:val="2"/>
    <w:qFormat/>
    <w:uiPriority w:val="9"/>
    <w:rPr>
      <w:rFonts w:ascii="Times New Roman" w:hAnsi="Times New Roman" w:eastAsia="仿宋" w:cs="Times New Roman"/>
      <w:b/>
      <w:bCs/>
      <w:kern w:val="44"/>
      <w:sz w:val="36"/>
      <w:szCs w:val="44"/>
    </w:rPr>
  </w:style>
  <w:style w:type="character" w:customStyle="1" w:styleId="18">
    <w:name w:val="标题 2 字符"/>
    <w:basedOn w:val="12"/>
    <w:link w:val="3"/>
    <w:semiHidden/>
    <w:qFormat/>
    <w:uiPriority w:val="9"/>
    <w:rPr>
      <w:rFonts w:eastAsia="仿宋" w:asciiTheme="majorHAnsi" w:hAnsiTheme="majorHAnsi" w:cstheme="majorBidi"/>
      <w:b/>
      <w:bCs/>
      <w:sz w:val="32"/>
      <w:szCs w:val="32"/>
    </w:rPr>
  </w:style>
  <w:style w:type="character" w:customStyle="1" w:styleId="19">
    <w:name w:val="批注框文本 字符"/>
    <w:basedOn w:val="12"/>
    <w:link w:val="5"/>
    <w:semiHidden/>
    <w:qFormat/>
    <w:uiPriority w:val="99"/>
    <w:rPr>
      <w:rFonts w:ascii="Times New Roman" w:hAnsi="Times New Roman" w:eastAsia="仿宋_GB2312" w:cs="Times New Roman"/>
      <w:sz w:val="18"/>
      <w:szCs w:val="18"/>
    </w:rPr>
  </w:style>
  <w:style w:type="paragraph" w:customStyle="1" w:styleId="20">
    <w:name w:val="Body text|1"/>
    <w:basedOn w:val="1"/>
    <w:qFormat/>
    <w:uiPriority w:val="0"/>
    <w:pPr>
      <w:spacing w:line="360" w:lineRule="auto"/>
      <w:ind w:firstLine="400"/>
    </w:pPr>
    <w:rPr>
      <w:rFonts w:ascii="宋体" w:hAnsi="宋体" w:eastAsia="宋体" w:cs="宋体"/>
      <w:sz w:val="19"/>
      <w:szCs w:val="19"/>
      <w:lang w:val="zh-TW" w:eastAsia="zh-TW" w:bidi="zh-TW"/>
    </w:rPr>
  </w:style>
  <w:style w:type="character" w:customStyle="1" w:styleId="21">
    <w:name w:val="font61"/>
    <w:basedOn w:val="12"/>
    <w:qFormat/>
    <w:uiPriority w:val="0"/>
    <w:rPr>
      <w:rFonts w:hint="default" w:ascii="Times New Roman" w:hAnsi="Times New Roman" w:cs="Times New Roman"/>
      <w:color w:val="FF0000"/>
      <w:sz w:val="18"/>
      <w:szCs w:val="18"/>
      <w:u w:val="none"/>
    </w:rPr>
  </w:style>
  <w:style w:type="character" w:customStyle="1" w:styleId="22">
    <w:name w:val="font51"/>
    <w:basedOn w:val="12"/>
    <w:qFormat/>
    <w:uiPriority w:val="0"/>
    <w:rPr>
      <w:rFonts w:hint="eastAsia" w:ascii="宋体" w:hAnsi="宋体" w:eastAsia="宋体" w:cs="宋体"/>
      <w:color w:val="FF0000"/>
      <w:sz w:val="18"/>
      <w:szCs w:val="18"/>
      <w:u w:val="none"/>
    </w:rPr>
  </w:style>
  <w:style w:type="character" w:customStyle="1" w:styleId="23">
    <w:name w:val="font121"/>
    <w:basedOn w:val="12"/>
    <w:qFormat/>
    <w:uiPriority w:val="0"/>
    <w:rPr>
      <w:rFonts w:hint="default" w:ascii="Times New Roman" w:hAnsi="Times New Roman" w:cs="Times New Roman"/>
      <w:color w:val="000000"/>
      <w:sz w:val="18"/>
      <w:szCs w:val="18"/>
      <w:u w:val="none"/>
    </w:rPr>
  </w:style>
  <w:style w:type="character" w:customStyle="1" w:styleId="24">
    <w:name w:val="font141"/>
    <w:basedOn w:val="12"/>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450881-979F-451B-BDCB-8DD1B794A10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26</Pages>
  <Words>2067</Words>
  <Characters>11782</Characters>
  <Lines>98</Lines>
  <Paragraphs>27</Paragraphs>
  <TotalTime>34</TotalTime>
  <ScaleCrop>false</ScaleCrop>
  <LinksUpToDate>false</LinksUpToDate>
  <CharactersWithSpaces>13822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2022-01-28T14:32:27Z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BD77AF7A75C1468FBA44B7B709C2B474</vt:lpwstr>
  </property>
</Properties>
</file>