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hint="eastAsia" w:ascii="仿宋" w:hAnsi="仿宋" w:eastAsia="仿宋"/>
          <w:szCs w:val="32"/>
        </w:rPr>
      </w:pPr>
    </w:p>
    <w:p>
      <w:pPr>
        <w:overflowPunct w:val="0"/>
        <w:adjustRightInd w:val="0"/>
        <w:snapToGrid w:val="0"/>
        <w:rPr>
          <w:rFonts w:hint="eastAsia"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2024级大数据与会计专业</w:t>
      </w:r>
    </w:p>
    <w:p>
      <w:pPr>
        <w:widowControl/>
        <w:overflowPunct w:val="0"/>
        <w:adjustRightInd w:val="0"/>
        <w:snapToGrid w:val="0"/>
        <w:jc w:val="center"/>
        <w:rPr>
          <w:rFonts w:hint="eastAsia" w:ascii="黑体" w:hAnsi="黑体" w:eastAsia="黑体" w:cs="黑体"/>
          <w:b/>
          <w:bCs/>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kern w:val="0"/>
          <w:sz w:val="52"/>
          <w:szCs w:val="52"/>
        </w:rPr>
        <w:t>人才培养方案</w:t>
      </w: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大数据与会计专业人才培养方案</w:t>
      </w:r>
    </w:p>
    <w:p>
      <w:pPr>
        <w:overflowPunct w:val="0"/>
        <w:adjustRightInd w:val="0"/>
        <w:snapToGrid w:val="0"/>
        <w:spacing w:line="520" w:lineRule="exact"/>
        <w:jc w:val="center"/>
        <w:rPr>
          <w:rFonts w:hint="eastAsia" w:ascii="仿宋" w:hAnsi="仿宋" w:eastAsia="仿宋"/>
          <w:szCs w:val="32"/>
        </w:rPr>
      </w:pPr>
    </w:p>
    <w:p>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专业名称：大数据与会计</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专业代码：530302</w:t>
      </w:r>
    </w:p>
    <w:p>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普通高级中学毕业、中等职业学校毕业或具备同等学力。</w:t>
      </w:r>
    </w:p>
    <w:p>
      <w:pPr>
        <w:overflowPunct w:val="0"/>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三、修业年限</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标准修业年限为3年，弹性学分有效修业年限为2-5年。</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pPr>
        <w:overflowPunct w:val="0"/>
        <w:adjustRightInd w:val="0"/>
        <w:spacing w:line="520" w:lineRule="exact"/>
        <w:ind w:firstLine="640" w:firstLineChars="200"/>
        <w:jc w:val="center"/>
        <w:rPr>
          <w:rFonts w:hint="eastAsia" w:ascii="仿宋" w:hAnsi="仿宋" w:eastAsia="仿宋"/>
          <w:sz w:val="24"/>
        </w:rPr>
      </w:pPr>
      <w:r>
        <w:rPr>
          <w:rFonts w:hint="eastAsia" w:ascii="仿宋_GB2312" w:hAnsi="仿宋_GB2312" w:eastAsia="仿宋_GB2312" w:cs="仿宋_GB2312"/>
          <w:sz w:val="32"/>
          <w:szCs w:val="32"/>
        </w:rPr>
        <w:t>表1 大数据与会计专业职业岗位分析表</w:t>
      </w:r>
    </w:p>
    <w:tbl>
      <w:tblPr>
        <w:tblStyle w:val="7"/>
        <w:tblW w:w="931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234"/>
        <w:gridCol w:w="1421"/>
        <w:gridCol w:w="1786"/>
        <w:gridCol w:w="1660"/>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484" w:type="dxa"/>
            <w:vAlign w:val="center"/>
          </w:tcPr>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所属专业大类（代码）</w:t>
            </w:r>
          </w:p>
        </w:tc>
        <w:tc>
          <w:tcPr>
            <w:tcW w:w="1234" w:type="dxa"/>
            <w:vAlign w:val="center"/>
          </w:tcPr>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所属专业类（代码）</w:t>
            </w:r>
          </w:p>
        </w:tc>
        <w:tc>
          <w:tcPr>
            <w:tcW w:w="1421" w:type="dxa"/>
            <w:vAlign w:val="center"/>
          </w:tcPr>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对应行业</w:t>
            </w:r>
          </w:p>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（代码）</w:t>
            </w:r>
          </w:p>
        </w:tc>
        <w:tc>
          <w:tcPr>
            <w:tcW w:w="1786" w:type="dxa"/>
            <w:vAlign w:val="center"/>
          </w:tcPr>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主要职业类别（代码）</w:t>
            </w:r>
          </w:p>
        </w:tc>
        <w:tc>
          <w:tcPr>
            <w:tcW w:w="1660" w:type="dxa"/>
            <w:vAlign w:val="center"/>
          </w:tcPr>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主要岗位类别（或技术领域）</w:t>
            </w:r>
          </w:p>
        </w:tc>
        <w:tc>
          <w:tcPr>
            <w:tcW w:w="1730" w:type="dxa"/>
            <w:vAlign w:val="center"/>
          </w:tcPr>
          <w:p>
            <w:pPr>
              <w:overflowPunct w:val="0"/>
              <w:adjustRightInd w:val="0"/>
              <w:spacing w:line="320" w:lineRule="exact"/>
              <w:jc w:val="center"/>
              <w:rPr>
                <w:rFonts w:hint="eastAsia" w:ascii="仿宋" w:hAnsi="仿宋" w:eastAsia="仿宋" w:cs="仿宋"/>
                <w:sz w:val="24"/>
              </w:rPr>
            </w:pPr>
            <w:r>
              <w:rPr>
                <w:rFonts w:hint="eastAsia" w:ascii="仿宋" w:hAnsi="仿宋" w:eastAsia="仿宋" w:cs="仿宋"/>
                <w:sz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484" w:type="dxa"/>
          </w:tcPr>
          <w:p>
            <w:pPr>
              <w:overflowPunct w:val="0"/>
              <w:adjustRightInd w:val="0"/>
              <w:spacing w:line="300" w:lineRule="auto"/>
              <w:jc w:val="center"/>
              <w:rPr>
                <w:rFonts w:hint="eastAsia" w:ascii="仿宋" w:hAnsi="仿宋" w:eastAsia="仿宋" w:cs="仿宋"/>
                <w:sz w:val="24"/>
              </w:rPr>
            </w:pPr>
            <w:bookmarkStart w:id="0" w:name="OLE_LINK1" w:colFirst="0" w:colLast="5"/>
            <w:r>
              <w:rPr>
                <w:rFonts w:hint="eastAsia" w:ascii="仿宋" w:hAnsi="仿宋" w:eastAsia="仿宋" w:cs="仿宋"/>
                <w:sz w:val="24"/>
              </w:rPr>
              <w:t>53 财经商贸大类</w:t>
            </w:r>
          </w:p>
        </w:tc>
        <w:tc>
          <w:tcPr>
            <w:tcW w:w="1234" w:type="dxa"/>
          </w:tcPr>
          <w:p>
            <w:pPr>
              <w:overflowPunct w:val="0"/>
              <w:adjustRightInd w:val="0"/>
              <w:spacing w:line="300" w:lineRule="auto"/>
              <w:jc w:val="center"/>
              <w:rPr>
                <w:rFonts w:hint="eastAsia" w:ascii="仿宋" w:hAnsi="仿宋" w:eastAsia="仿宋" w:cs="仿宋"/>
                <w:sz w:val="24"/>
              </w:rPr>
            </w:pPr>
            <w:r>
              <w:rPr>
                <w:rFonts w:hint="eastAsia" w:ascii="仿宋" w:hAnsi="仿宋" w:eastAsia="仿宋" w:cs="仿宋"/>
                <w:sz w:val="24"/>
              </w:rPr>
              <w:t>5303 财务会计类</w:t>
            </w:r>
          </w:p>
        </w:tc>
        <w:tc>
          <w:tcPr>
            <w:tcW w:w="1421" w:type="dxa"/>
          </w:tcPr>
          <w:p>
            <w:pPr>
              <w:overflowPunct w:val="0"/>
              <w:adjustRightInd w:val="0"/>
              <w:spacing w:line="300" w:lineRule="auto"/>
              <w:jc w:val="center"/>
              <w:rPr>
                <w:rFonts w:hint="eastAsia" w:ascii="仿宋" w:hAnsi="仿宋" w:eastAsia="仿宋" w:cs="仿宋"/>
                <w:sz w:val="24"/>
              </w:rPr>
            </w:pPr>
            <w:r>
              <w:rPr>
                <w:rFonts w:hint="eastAsia" w:ascii="仿宋" w:hAnsi="仿宋" w:eastAsia="仿宋" w:cs="仿宋"/>
                <w:sz w:val="24"/>
              </w:rPr>
              <w:t>7241 会计、审计及税务服务</w:t>
            </w:r>
          </w:p>
        </w:tc>
        <w:tc>
          <w:tcPr>
            <w:tcW w:w="1786" w:type="dxa"/>
          </w:tcPr>
          <w:p>
            <w:pPr>
              <w:overflowPunct w:val="0"/>
              <w:adjustRightInd w:val="0"/>
              <w:spacing w:line="300" w:lineRule="auto"/>
              <w:jc w:val="center"/>
              <w:rPr>
                <w:rFonts w:hint="eastAsia" w:ascii="仿宋" w:hAnsi="仿宋" w:eastAsia="仿宋" w:cs="仿宋"/>
                <w:sz w:val="24"/>
              </w:rPr>
            </w:pPr>
            <w:r>
              <w:rPr>
                <w:rFonts w:hint="eastAsia" w:ascii="仿宋" w:hAnsi="仿宋" w:eastAsia="仿宋" w:cs="仿宋"/>
                <w:sz w:val="24"/>
              </w:rPr>
              <w:t>会计从业人员（2-06-03-00）</w:t>
            </w:r>
          </w:p>
        </w:tc>
        <w:tc>
          <w:tcPr>
            <w:tcW w:w="1660" w:type="dxa"/>
          </w:tcPr>
          <w:p>
            <w:pPr>
              <w:overflowPunct w:val="0"/>
              <w:adjustRightInd w:val="0"/>
              <w:spacing w:line="300" w:lineRule="auto"/>
              <w:jc w:val="center"/>
              <w:rPr>
                <w:rFonts w:hint="eastAsia" w:ascii="仿宋" w:hAnsi="仿宋" w:eastAsia="仿宋" w:cs="仿宋"/>
                <w:sz w:val="24"/>
              </w:rPr>
            </w:pPr>
            <w:r>
              <w:rPr>
                <w:rFonts w:hint="eastAsia" w:ascii="仿宋" w:hAnsi="仿宋" w:eastAsia="仿宋" w:cs="仿宋"/>
                <w:sz w:val="24"/>
              </w:rPr>
              <w:t>会计核算、会计监督、会计信息管理、财务大数据分析</w:t>
            </w:r>
          </w:p>
        </w:tc>
        <w:tc>
          <w:tcPr>
            <w:tcW w:w="1730" w:type="dxa"/>
          </w:tcPr>
          <w:p>
            <w:pPr>
              <w:overflowPunct w:val="0"/>
              <w:adjustRightInd w:val="0"/>
              <w:spacing w:line="300" w:lineRule="auto"/>
              <w:jc w:val="center"/>
              <w:rPr>
                <w:rFonts w:hint="eastAsia" w:ascii="仿宋" w:hAnsi="仿宋" w:eastAsia="仿宋" w:cs="仿宋"/>
                <w:sz w:val="24"/>
              </w:rPr>
            </w:pPr>
            <w:r>
              <w:rPr>
                <w:rFonts w:hint="eastAsia" w:ascii="仿宋" w:hAnsi="仿宋" w:eastAsia="仿宋" w:cs="仿宋"/>
                <w:sz w:val="24"/>
              </w:rPr>
              <w:t>会计专业技术资格、税务会计师资格证、业财一体信息化应用</w:t>
            </w:r>
          </w:p>
        </w:tc>
      </w:tr>
      <w:bookmarkEnd w:id="0"/>
    </w:tbl>
    <w:p>
      <w:pPr>
        <w:overflowPunct w:val="0"/>
        <w:adjustRightIn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五、培养目标与培养规格</w:t>
      </w:r>
    </w:p>
    <w:p>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（一）培养目标</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本专业培养理想信念坚定，德、智、体、美、劳全面发展，具有一定的科学文化水平，良好的人文素养、职业道德和创新意识，精益求精的工匠精神，</w:t>
      </w:r>
      <w:r>
        <w:rPr>
          <w:rFonts w:ascii="仿宋_GB2312" w:hAnsi="仿宋_GB2312" w:eastAsia="仿宋_GB2312" w:cs="仿宋_GB2312"/>
          <w:sz w:val="32"/>
          <w:szCs w:val="32"/>
        </w:rPr>
        <w:t>具备会计学理论基础、大数据技术应用能力和跨学科融合思维，同时拥有现代会计实务技能、职业道德素养和持续学习能力的复合型人才，以满足数字经济时代对会计人才的需求。为了确保学生能够胜任智能化、数据化环境下的会计、审计、财务管理和数据分析等相关工作，注重培养学生的现代会计实务技能，并要求学生熟练掌握大数据工具进行财务数据分析与决策支持。通过系统的课程设置和实践教学，学生能够掌握会计学的核心知识，熟悉大数据技术的应用，具备解决实际问题的能力。</w:t>
      </w:r>
    </w:p>
    <w:p>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（二）培养规格</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本专业毕业生应在素质、知识和能力等方面达到以下要求：</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1.素质</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（1）掌握必备的思想政治理论、科学文化基础知识和中华优秀传统文化知识。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（2）熟悉与本专业相关的法律法规以及环境保护、安全消防、文明生产等知识。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（3）掌握现代信息技术、会计核算、经济、财政、税务、金融、企业管理、市场营销等基础知识。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（4）掌握企业财务会计、企业成本核算与管理、企业财务管理、企业财务分析、管理会计、企业内部控制的理论知识。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（5）掌握大数据技术、数据库技术等基础知识。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（5）掌握企业会计制度设计的相关知识。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（6）掌握社会审计、内部审计的相关知识。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3.能力</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（1）具有探究学习、终身学习、分析问题和解决问题的能力。</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（2）具有良好的语言、文字表达能力和沟通能力。</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（3）具有文字、表格、图像的计算机处理能力，本专业必需的信息技术应用能力。</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（4）具备出纳岗位工作能力，能够选择合理的结算方式，完成资金收付结算。</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（5）具备会计核算能力，能够准确进行会计要素的确认、计量和报告，熟练进行会计凭证审核与编制、账簿登记以及报表编制。</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（6）具备成本核算与管理能力，能够合理选择产品成本计算的方法，正确计算产品成本，科学进行成本分析与管理。</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（7）具备涉税事务处理能力，能够正确计算各种税费，并进行规范申报，能够进行基本的纳税筹划和纳税风险控制。</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（8）具备一定的管理会计能力，能够进行财务、业务信息的处理、分类、分析、输出，提供企业决策所需的信息。</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（9）具备企业内部管理与控制的基本能力，能进行中小微企业和非营利组织会计核算制度的设计，并能合理应用内部控制的基本原理和方法进行内部会计控制。</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（10）具有撰写财务与成本分析报告的能力，能应用大数据技术进行业务财务数据收集、清洗、整理、挖掘和可视化输出。</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（11）掌握信息技术基础知识，具有适应本领域数字化和智能化发展需求的数字技能。</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（12）具备一定的审计工作能力，能够收集整理审计证据和有关审计信息，编制审计工作底稿，协助审计人员编制审计报告。</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（13）具备一定的财务管理能力，能够运用财务管理的基本原理和方法进行中小微企业筹资、投资及营运方案的分析，能够运用预算编制的基本方法编制企业收入、成本费用以及项目预算。</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（14）具备撰写财务会计报告、财务与成本分析报告的能力。</w:t>
      </w:r>
      <w:bookmarkStart w:id="1" w:name="_Toc1289"/>
    </w:p>
    <w:bookmarkEnd w:id="1"/>
    <w:p>
      <w:pPr>
        <w:adjustRightInd w:val="0"/>
        <w:snapToGrid w:val="0"/>
        <w:spacing w:after="0"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六、课程设置及要求</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主要包括公共基础课程和专业（技能）课程。</w:t>
      </w:r>
    </w:p>
    <w:p>
      <w:pPr>
        <w:overflowPunct w:val="0"/>
        <w:adjustRightInd w:val="0"/>
        <w:spacing w:after="0"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（一）公共基础课程</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bookmarkStart w:id="2" w:name="_Toc90734974"/>
      <w:r>
        <w:rPr>
          <w:rFonts w:hint="eastAsia" w:ascii="仿宋_GB2312" w:hAnsi="仿宋_GB2312" w:eastAsia="仿宋_GB2312" w:cs="仿宋_GB2312"/>
          <w:sz w:val="32"/>
          <w:szCs w:val="32"/>
        </w:rPr>
        <w:t>按照教育部要求设置公共基础必修选修课程，公共基础必修课程包括</w:t>
      </w:r>
      <w:bookmarkEnd w:id="2"/>
      <w:r>
        <w:rPr>
          <w:rFonts w:hint="eastAsia" w:ascii="仿宋_GB2312" w:hAnsi="仿宋_GB2312" w:eastAsia="仿宋_GB2312" w:cs="仿宋_GB2312"/>
          <w:sz w:val="32"/>
          <w:szCs w:val="32"/>
        </w:rPr>
        <w:t>：思想道德与法治、毛泽东思想和中国特色社会主义理论体系概论、形势与政策、习近平新时代中国特色社会主义思想概论、大学体育、军事理论及军事技能、大学生心理健康教育、大学英语、高等数学、计算机基础、大学生职业发展与就业指导、劳动教育。</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选修课程包括：大学生礼仪修养、中国民俗剪纸技法、影视与鉴赏、人际交流与沟通、演讲与口才、创新创业教育、中国共产党简史、改革开放简史、中华人民共和国简史、社会主义发展简史、国家安全教育、语文。</w:t>
      </w:r>
    </w:p>
    <w:p>
      <w:pPr>
        <w:overflowPunct w:val="0"/>
        <w:adjustRightInd w:val="0"/>
        <w:spacing w:line="520" w:lineRule="exact"/>
        <w:ind w:firstLine="640" w:firstLineChars="200"/>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 公共基础课程描述表</w:t>
      </w:r>
    </w:p>
    <w:tbl>
      <w:tblPr>
        <w:tblStyle w:val="6"/>
        <w:tblW w:w="11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183"/>
        <w:gridCol w:w="3651"/>
        <w:gridCol w:w="2982"/>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bookmarkStart w:id="3" w:name="_Toc90734979"/>
            <w:bookmarkStart w:id="4" w:name="_Toc2022"/>
            <w:r>
              <w:rPr>
                <w:rFonts w:hint="eastAsia" w:ascii="仿宋" w:hAnsi="仿宋" w:eastAsia="仿宋" w:cs="仿宋"/>
                <w:sz w:val="24"/>
              </w:rPr>
              <w:t>序号</w:t>
            </w:r>
            <w:bookmarkEnd w:id="3"/>
            <w:bookmarkEnd w:id="4"/>
          </w:p>
        </w:tc>
        <w:tc>
          <w:tcPr>
            <w:tcW w:w="1183" w:type="dxa"/>
            <w:vAlign w:val="center"/>
          </w:tcPr>
          <w:p>
            <w:pPr>
              <w:spacing w:line="320" w:lineRule="exact"/>
              <w:jc w:val="center"/>
              <w:rPr>
                <w:rFonts w:hint="eastAsia" w:ascii="仿宋" w:hAnsi="仿宋" w:eastAsia="仿宋" w:cs="仿宋"/>
                <w:sz w:val="24"/>
              </w:rPr>
            </w:pPr>
            <w:bookmarkStart w:id="5" w:name="_Toc90734980"/>
            <w:bookmarkStart w:id="6" w:name="_Toc2635"/>
            <w:r>
              <w:rPr>
                <w:rFonts w:hint="eastAsia" w:ascii="仿宋" w:hAnsi="仿宋" w:eastAsia="仿宋" w:cs="仿宋"/>
                <w:sz w:val="24"/>
              </w:rPr>
              <w:t>课程名称</w:t>
            </w:r>
            <w:bookmarkEnd w:id="5"/>
            <w:bookmarkEnd w:id="6"/>
          </w:p>
        </w:tc>
        <w:tc>
          <w:tcPr>
            <w:tcW w:w="3651" w:type="dxa"/>
            <w:vAlign w:val="center"/>
          </w:tcPr>
          <w:p>
            <w:pPr>
              <w:spacing w:line="320" w:lineRule="exact"/>
              <w:jc w:val="center"/>
              <w:rPr>
                <w:rFonts w:hint="eastAsia" w:ascii="仿宋" w:hAnsi="仿宋" w:eastAsia="仿宋" w:cs="仿宋"/>
                <w:sz w:val="24"/>
              </w:rPr>
            </w:pPr>
            <w:bookmarkStart w:id="7" w:name="_Toc90734981"/>
            <w:bookmarkStart w:id="8" w:name="_Toc24608"/>
            <w:r>
              <w:rPr>
                <w:rFonts w:hint="eastAsia" w:ascii="仿宋" w:hAnsi="仿宋" w:eastAsia="仿宋" w:cs="仿宋"/>
                <w:sz w:val="24"/>
              </w:rPr>
              <w:t>课程教学目标</w:t>
            </w:r>
            <w:bookmarkEnd w:id="7"/>
            <w:bookmarkEnd w:id="8"/>
          </w:p>
        </w:tc>
        <w:tc>
          <w:tcPr>
            <w:tcW w:w="2982" w:type="dxa"/>
            <w:vAlign w:val="center"/>
          </w:tcPr>
          <w:p>
            <w:pPr>
              <w:spacing w:line="320" w:lineRule="exact"/>
              <w:jc w:val="center"/>
              <w:rPr>
                <w:rFonts w:hint="eastAsia" w:ascii="仿宋" w:hAnsi="仿宋" w:eastAsia="仿宋" w:cs="仿宋"/>
                <w:sz w:val="24"/>
              </w:rPr>
            </w:pPr>
            <w:bookmarkStart w:id="9" w:name="_Toc90734982"/>
            <w:bookmarkStart w:id="10" w:name="_Toc23051"/>
            <w:r>
              <w:rPr>
                <w:rFonts w:hint="eastAsia" w:ascii="仿宋" w:hAnsi="仿宋" w:eastAsia="仿宋" w:cs="仿宋"/>
                <w:sz w:val="24"/>
              </w:rPr>
              <w:t>课程教学内容</w:t>
            </w:r>
            <w:bookmarkEnd w:id="9"/>
            <w:bookmarkEnd w:id="10"/>
          </w:p>
        </w:tc>
        <w:tc>
          <w:tcPr>
            <w:tcW w:w="298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思想道德与法治</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通过教师的理论讲授和学生的实践体验，让大学生形成崇高的理想信念，弘扬伟大的爱国主义精神，确立正确的人生观 和 价 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2</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毛泽东思想和中国特色社会主义理论体系概论</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3</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形势与政策</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4</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习近平新时代中国特色社会主义思想概论</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spacing w:line="320" w:lineRule="exact"/>
              <w:rPr>
                <w:rFonts w:hint="eastAsia" w:ascii="仿宋" w:hAnsi="仿宋" w:eastAsia="仿宋" w:cs="仿宋"/>
                <w:sz w:val="24"/>
              </w:rPr>
            </w:pP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5</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大学体育</w:t>
            </w:r>
          </w:p>
        </w:tc>
        <w:tc>
          <w:tcPr>
            <w:tcW w:w="3651"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旨在培养学生的体育兴趣，增强其身体素质，提高运动技能，并通过体育运动促进身心健康发展，为未来的学习和生活打下坚实的健康基础。</w:t>
            </w:r>
          </w:p>
          <w:p>
            <w:pPr>
              <w:spacing w:line="320" w:lineRule="exact"/>
              <w:rPr>
                <w:rFonts w:hint="eastAsia" w:ascii="仿宋" w:hAnsi="仿宋" w:eastAsia="仿宋" w:cs="仿宋"/>
                <w:sz w:val="24"/>
                <w:shd w:val="clear" w:color="auto" w:fill="FFFFFF"/>
              </w:rPr>
            </w:pP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shd w:val="clear" w:color="auto" w:fill="FFFFFF"/>
              </w:rPr>
              <w:t>内容涵盖体育基础理论知识、实践技能训练、身体素质训练和心理健康教育等方面。</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6</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军事理论及军事技能</w:t>
            </w:r>
          </w:p>
        </w:tc>
        <w:tc>
          <w:tcPr>
            <w:tcW w:w="3651"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旨在让学生了解基本的军事理论知识，掌握基本的军事技能，增强国家安全意识和国防观念，培养爱国主义精神，为培养合格公民和后备军事人才打下基础。</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课程内容包括军事基础知识、国家安全形势分析、军事技能训练等。</w:t>
            </w:r>
          </w:p>
          <w:p>
            <w:pPr>
              <w:spacing w:line="320" w:lineRule="exact"/>
              <w:rPr>
                <w:rFonts w:hint="eastAsia" w:ascii="仿宋" w:hAnsi="仿宋" w:eastAsia="仿宋" w:cs="仿宋"/>
                <w:sz w:val="24"/>
                <w:shd w:val="clear" w:color="auto" w:fill="FFFFFF"/>
              </w:rPr>
            </w:pP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7</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大学生心理健康教育</w:t>
            </w:r>
          </w:p>
        </w:tc>
        <w:tc>
          <w:tcPr>
            <w:tcW w:w="3651"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旨在帮助学生建立正确的心理健康观念，提高心理素质，增强心理调适能力，预防和解决心理问题，促进个人全面发展，为未来的学习和生活奠定坚实的心理基础。</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课程内容涵盖了心理学基础知识、自我认知与情绪管理、人际关系处理、学业与职业规划、心理健康维护与危机应对等方面。</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8</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大学英语</w:t>
            </w:r>
          </w:p>
        </w:tc>
        <w:tc>
          <w:tcPr>
            <w:tcW w:w="3651"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培养学生具备基本的英语听、说、读、写、译能力，增强其跨文化交际意识和沟通能力，同时提高其综合素养，为未来的学术、职业和国际交流做好准备。</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课程内容主要包括英语语言知识、语言技能和文化知识。具体涵盖词汇、语法、听力理解、口语表达、阅读理解、写作技巧和跨文化交际等方面的知识与技能。</w:t>
            </w:r>
          </w:p>
        </w:tc>
        <w:tc>
          <w:tcPr>
            <w:tcW w:w="2982"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9</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高等数学</w:t>
            </w:r>
          </w:p>
        </w:tc>
        <w:tc>
          <w:tcPr>
            <w:tcW w:w="3651" w:type="dxa"/>
            <w:vAlign w:val="center"/>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培养学生的数学逻辑思维、抽象思维和问题解决能力，使其掌握高等数学的基本概念和方法，为后续的学术研究、工程应用以及科学探索打下坚实的数学基础。</w:t>
            </w:r>
          </w:p>
        </w:tc>
        <w:tc>
          <w:tcPr>
            <w:tcW w:w="2982" w:type="dxa"/>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课程内容包括函数、极限与连续、一元函数微积分、多元微积分、级数、常微分方程等。</w:t>
            </w:r>
          </w:p>
        </w:tc>
        <w:tc>
          <w:tcPr>
            <w:tcW w:w="2982" w:type="dxa"/>
          </w:tcPr>
          <w:p>
            <w:pPr>
              <w:spacing w:line="32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10</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计算机基础</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让学生掌握计算机的基本概念和操作技能，培养其利用计算机解决实际问题的能力，为其未来的学习和工作提供必要的计算机技能支持。</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课程内容涵盖计算机基础知识、操作系统、办公软件应用、网络基础等方面。</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11</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大学生职业发展与就业指导</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帮助学生明确职业方向，提升就业竞争力，培养创业意识，以及提供个性化的职业规划指导，为未来的职业生涯发展奠定坚实基础。</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课程内容包括自我认知与职业定位、就业市场分析、求职技巧与方法、职业生涯规划、创业基础知识等。</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12</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劳动教育</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以实习实训课为主要载体开展劳动教育，包含劳动精神、劳模精神、工匠精神专题教育。</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13</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大学生礼仪修养</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培养学生具备优雅得体的社交礼仪，提高其人际交往能力和社会适应能力，为未来的职业生涯和个人发展打下良好的社交基础。</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课程涵盖仪表仪态、日常社交礼仪、商务礼仪、公共礼仪、国际礼仪等方面。</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shd w:val="clear" w:color="auto" w:fill="FFFFFF"/>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14</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中国民俗剪纸技法</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传承和弘扬中华传统文化，让学生掌握基本的剪纸技法和创作思维，培养其创意实践能力，并增进对中国传统民间艺术的了解与欣赏。</w:t>
            </w:r>
          </w:p>
          <w:p>
            <w:pPr>
              <w:spacing w:line="320" w:lineRule="exact"/>
              <w:rPr>
                <w:rFonts w:hint="eastAsia" w:ascii="仿宋" w:hAnsi="仿宋" w:eastAsia="仿宋" w:cs="仿宋"/>
                <w:sz w:val="24"/>
              </w:rPr>
            </w:pP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15</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影视与鉴赏</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培养学生具备对影视作品的基本鉴赏能力，理解影视艺术的内涵与特点，提高审美水平，同时引导学生思考影视作品所反映的社会、文化和人性问题，促进批判性思维的形成。</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课程内容涵盖影视作品分析、影视艺术理论、影视史论等方面。</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16</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人际交流与沟通</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课程旨在帮助学生掌握有效的人际沟通技巧，提升其在工作、学习和日常生活中的沟通能力，以更好地建立和维护人际关系，实现有效合作与问题解决。</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课程内容包括沟通基础理论、沟通技巧、冲突处理、团队合作等方面。</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17</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演讲与口才</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培养学生的口头表达能力，使其具备清晰、准确、有逻辑的语言表达能力，同时增强学生的自信心和应变能力，为未来的公众演讲和职场沟通打下坚实基础。</w:t>
            </w:r>
          </w:p>
          <w:p>
            <w:pPr>
              <w:spacing w:line="320" w:lineRule="exact"/>
              <w:rPr>
                <w:rFonts w:hint="eastAsia" w:ascii="仿宋" w:hAnsi="仿宋" w:eastAsia="仿宋" w:cs="仿宋"/>
                <w:sz w:val="24"/>
              </w:rPr>
            </w:pP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课程内容包括演讲基础理论、演讲技巧、口才训练、实践演练等方面。学生将学习演讲的基本结构、语言技巧、肢体语言以及应对紧张情绪的方法。</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18</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创新创业教育</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培养学生的创新思维、创业意识和创业能力，让学生了解创业的基本知识和流程，掌握创业所需的基本技能，为未来的创业实践或职业发展打下坚实基础。</w:t>
            </w:r>
          </w:p>
          <w:p>
            <w:pPr>
              <w:spacing w:line="320" w:lineRule="exact"/>
              <w:rPr>
                <w:rFonts w:hint="eastAsia" w:ascii="仿宋" w:hAnsi="仿宋" w:eastAsia="仿宋" w:cs="仿宋"/>
                <w:sz w:val="24"/>
              </w:rPr>
            </w:pP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课程内容涵盖创新思维培养、创业理念引导、市场调研分析、商业模式构建、团队建设与管理、创业计划书撰写、资金筹措与投资等方面。</w:t>
            </w:r>
          </w:p>
        </w:tc>
        <w:tc>
          <w:tcPr>
            <w:tcW w:w="2982" w:type="dxa"/>
          </w:tcPr>
          <w:p>
            <w:pPr>
              <w:spacing w:line="320" w:lineRule="exact"/>
              <w:rPr>
                <w:rFonts w:hint="eastAsia" w:ascii="仿宋" w:hAnsi="仿宋" w:eastAsia="仿宋" w:cs="仿宋"/>
                <w:sz w:val="24"/>
              </w:rPr>
            </w:pPr>
            <w:r>
              <w:rPr>
                <w:rFonts w:hint="eastAsia" w:ascii="仿宋" w:hAnsi="仿宋" w:eastAsia="仿宋" w:cs="仿宋"/>
                <w:szCs w:val="21"/>
                <w:shd w:val="clear" w:color="auto" w:fill="FFFFFF"/>
              </w:rPr>
              <w:t>理</w:t>
            </w:r>
            <w:r>
              <w:rPr>
                <w:rFonts w:hint="eastAsia" w:ascii="仿宋" w:hAnsi="仿宋" w:eastAsia="仿宋" w:cs="仿宋"/>
                <w:sz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19</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中国共产党简史</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中国共产党简史课程的目的是让学生了解中国共产党的光辉历程、伟大成就和宝贵经验，加深对中国特色社会主义道路、理论、制度、文化的认识，增强对党的信仰和对中国特色社会主义的信念。</w:t>
            </w:r>
          </w:p>
          <w:p>
            <w:pPr>
              <w:spacing w:line="320" w:lineRule="exact"/>
              <w:rPr>
                <w:rFonts w:hint="eastAsia" w:ascii="仿宋" w:hAnsi="仿宋" w:eastAsia="仿宋" w:cs="仿宋"/>
                <w:sz w:val="24"/>
              </w:rPr>
            </w:pP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20</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改革开放简史</w:t>
            </w:r>
          </w:p>
        </w:tc>
        <w:tc>
          <w:tcPr>
            <w:tcW w:w="3651" w:type="dxa"/>
            <w:vAlign w:val="center"/>
          </w:tcPr>
          <w:p>
            <w:pPr>
              <w:spacing w:line="320" w:lineRule="exact"/>
              <w:rPr>
                <w:rFonts w:hint="eastAsia" w:ascii="仿宋" w:hAnsi="仿宋" w:eastAsia="仿宋" w:cs="仿宋"/>
                <w:sz w:val="24"/>
              </w:rPr>
            </w:pPr>
            <w:r>
              <w:rPr>
                <w:rFonts w:hint="eastAsia" w:ascii="仿宋" w:hAnsi="仿宋" w:eastAsia="仿宋" w:cs="仿宋"/>
                <w:sz w:val="24"/>
              </w:rPr>
              <w:t>让学生全面了解改革开放的历史背景、进程和成就，深刻理解改革开放对中国现代化建设的深远影响，增强对中国特色社会主义道路、理论、制度、文化的自信。</w:t>
            </w:r>
          </w:p>
          <w:p>
            <w:pPr>
              <w:spacing w:line="320" w:lineRule="exact"/>
              <w:rPr>
                <w:rFonts w:hint="eastAsia" w:ascii="仿宋" w:hAnsi="仿宋" w:eastAsia="仿宋" w:cs="仿宋"/>
                <w:sz w:val="24"/>
              </w:rPr>
            </w:pP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982" w:type="dxa"/>
            <w:vAlign w:val="center"/>
          </w:tcPr>
          <w:p>
            <w:pPr>
              <w:spacing w:line="320" w:lineRule="exact"/>
              <w:rPr>
                <w:rFonts w:hint="eastAsia" w:ascii="仿宋" w:hAnsi="仿宋" w:eastAsia="仿宋" w:cs="仿宋"/>
                <w:sz w:val="24"/>
              </w:rPr>
            </w:pPr>
            <w:r>
              <w:rPr>
                <w:rFonts w:hint="eastAsia" w:ascii="仿宋" w:hAnsi="仿宋" w:eastAsia="仿宋" w:cs="仿宋"/>
                <w:sz w:val="24"/>
              </w:rPr>
              <w:t>通过专题讲授法、情境教学法，让学生能够系统把握中国改革开放事业的辉煌成就、重大贡献、重要经验和深刻启示。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21</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中华人民共和国简史</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让学生全面了解中华人民共和国从成立至今的历史进程、主要成就和基本经验，加深对中国特色社会主义道路、理论、制度、文化的认识，增强国家认同感和民族自豪感。</w:t>
            </w:r>
          </w:p>
          <w:p>
            <w:pPr>
              <w:spacing w:line="320" w:lineRule="exact"/>
              <w:rPr>
                <w:rFonts w:hint="eastAsia" w:ascii="仿宋" w:hAnsi="仿宋" w:eastAsia="仿宋" w:cs="仿宋"/>
                <w:sz w:val="24"/>
              </w:rPr>
            </w:pPr>
          </w:p>
          <w:p>
            <w:pPr>
              <w:spacing w:line="320" w:lineRule="exact"/>
              <w:rPr>
                <w:rFonts w:hint="eastAsia" w:ascii="仿宋" w:hAnsi="仿宋" w:eastAsia="仿宋" w:cs="仿宋"/>
                <w:sz w:val="24"/>
              </w:rPr>
            </w:pP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22</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社会主义发展简史</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让学生全面了解社会主义思想和实践的历史演变，深入理解社会主义的基本原则和核心价值，认识社会主义在不同国家和时期的发展与挑战，从而增强对社会主义制度的认识与信心。</w:t>
            </w:r>
          </w:p>
          <w:p>
            <w:pPr>
              <w:spacing w:line="320" w:lineRule="exact"/>
              <w:rPr>
                <w:rFonts w:hint="eastAsia" w:ascii="仿宋" w:hAnsi="仿宋" w:eastAsia="仿宋" w:cs="仿宋"/>
                <w:sz w:val="24"/>
              </w:rPr>
            </w:pPr>
          </w:p>
          <w:p>
            <w:pPr>
              <w:spacing w:line="320" w:lineRule="exact"/>
              <w:rPr>
                <w:rFonts w:hint="eastAsia" w:ascii="仿宋" w:hAnsi="仿宋" w:eastAsia="仿宋" w:cs="仿宋"/>
                <w:sz w:val="24"/>
              </w:rPr>
            </w:pP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23</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国家安全教育</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让学生系统掌握总体国家安全观的内涵和精神实质，理解中国特色国家安全体系，树立国家安全底线思维，将国家安全意识转化为自觉行动，强化责任担当。</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政治安全、国土安全、军事安全、经济安全、文化安全、社会安全、科技安全、网络安全、生态安全、资源安全、核安全、海外利益安全、新型领域安全。</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8" w:hRule="atLeast"/>
          <w:jc w:val="center"/>
        </w:trPr>
        <w:tc>
          <w:tcPr>
            <w:tcW w:w="522"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24</w:t>
            </w:r>
          </w:p>
        </w:tc>
        <w:tc>
          <w:tcPr>
            <w:tcW w:w="1183" w:type="dxa"/>
            <w:vAlign w:val="center"/>
          </w:tcPr>
          <w:p>
            <w:pPr>
              <w:spacing w:line="320" w:lineRule="exact"/>
              <w:jc w:val="left"/>
              <w:rPr>
                <w:rFonts w:hint="eastAsia" w:ascii="仿宋" w:hAnsi="仿宋" w:eastAsia="仿宋" w:cs="仿宋"/>
                <w:sz w:val="24"/>
              </w:rPr>
            </w:pPr>
            <w:r>
              <w:rPr>
                <w:rFonts w:hint="eastAsia" w:ascii="仿宋" w:hAnsi="仿宋" w:eastAsia="仿宋" w:cs="仿宋"/>
                <w:sz w:val="24"/>
              </w:rPr>
              <w:t>语文</w:t>
            </w:r>
          </w:p>
        </w:tc>
        <w:tc>
          <w:tcPr>
            <w:tcW w:w="3651" w:type="dxa"/>
          </w:tcPr>
          <w:p>
            <w:pPr>
              <w:spacing w:line="320" w:lineRule="exact"/>
              <w:rPr>
                <w:rFonts w:hint="eastAsia" w:ascii="仿宋" w:hAnsi="仿宋" w:eastAsia="仿宋" w:cs="仿宋"/>
                <w:sz w:val="24"/>
              </w:rPr>
            </w:pPr>
            <w:r>
              <w:rPr>
                <w:rFonts w:hint="eastAsia" w:ascii="仿宋" w:hAnsi="仿宋" w:eastAsia="仿宋" w:cs="仿宋"/>
                <w:sz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982" w:type="dxa"/>
          </w:tcPr>
          <w:p>
            <w:pPr>
              <w:spacing w:line="320" w:lineRule="exact"/>
              <w:rPr>
                <w:rFonts w:hint="eastAsia" w:ascii="仿宋" w:hAnsi="仿宋" w:eastAsia="仿宋" w:cs="仿宋"/>
                <w:sz w:val="24"/>
              </w:rPr>
            </w:pPr>
            <w:r>
              <w:rPr>
                <w:rFonts w:hint="eastAsia" w:ascii="仿宋" w:hAnsi="仿宋" w:eastAsia="仿宋" w:cs="仿宋"/>
                <w:sz w:val="24"/>
              </w:rPr>
              <w:t>通过多媒体教学设备展示文学作品的相关图片、视频和音频资料，帮助学生更好理解作品。其次组织课堂讨论、小组合作等教学活动，鼓励学生积极参与，培养其合作意识和创新能力。</w:t>
            </w:r>
          </w:p>
        </w:tc>
      </w:tr>
    </w:tbl>
    <w:p>
      <w:pPr>
        <w:pStyle w:val="2"/>
        <w:widowControl/>
        <w:spacing w:before="0" w:after="0" w:line="52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（二）专业（技能）课程</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专业（技能）课程包括专业基础课程、专业核心课程、专业拓展课程，并涵盖有关实践性教学环节。</w:t>
      </w:r>
    </w:p>
    <w:p>
      <w:pPr>
        <w:overflowPunct w:val="0"/>
        <w:adjustRightInd w:val="0"/>
        <w:spacing w:after="0" w:line="520" w:lineRule="exact"/>
        <w:ind w:firstLine="960" w:firstLineChars="300"/>
        <w:rPr>
          <w:rFonts w:hint="eastAsia" w:ascii="仿宋_GB2312" w:hAnsi="仿宋_GB2312" w:eastAsia="仿宋_GB2312" w:cs="仿宋_GB2312"/>
          <w:sz w:val="32"/>
          <w:szCs w:val="32"/>
        </w:rPr>
      </w:pPr>
      <w:bookmarkStart w:id="11" w:name="_Toc90734975"/>
      <w:r>
        <w:rPr>
          <w:rFonts w:hint="eastAsia" w:ascii="仿宋_GB2312" w:hAnsi="仿宋_GB2312" w:eastAsia="仿宋_GB2312" w:cs="仿宋_GB2312"/>
          <w:sz w:val="32"/>
          <w:szCs w:val="32"/>
        </w:rPr>
        <w:t>1.专业基础课程：</w:t>
      </w:r>
      <w:bookmarkEnd w:id="11"/>
    </w:p>
    <w:p>
      <w:pPr>
        <w:overflowPunct w:val="0"/>
        <w:adjustRightInd w:val="0"/>
        <w:spacing w:after="0" w:line="520" w:lineRule="exact"/>
        <w:rPr>
          <w:rFonts w:hint="eastAsia" w:ascii="仿宋" w:hAnsi="仿宋" w:eastAsia="仿宋" w:cs="仿宋"/>
          <w:sz w:val="32"/>
          <w:szCs w:val="32"/>
        </w:rPr>
      </w:pPr>
      <w:r>
        <w:rPr>
          <w:rFonts w:hint="eastAsia" w:ascii="仿宋_GB2312" w:hAnsi="仿宋_GB2312" w:eastAsia="仿宋_GB2312" w:cs="仿宋_GB2312"/>
          <w:sz w:val="32"/>
          <w:szCs w:val="32"/>
        </w:rPr>
        <w:t xml:space="preserve">     专业基础课是为后续专业课程学习打基础的课程。包括：管理学、会计学原理、会计技能、经济法、出纳实务、财经法规与会计职业道德、统计学原理、纳税会计、企业内部控制、审计学、行业会计比较、</w:t>
      </w:r>
      <w:r>
        <w:rPr>
          <w:rFonts w:hint="eastAsia" w:ascii="仿宋_GB2312" w:hAnsi="仿宋_GB2312" w:eastAsia="仿宋_GB2312" w:cs="仿宋_GB2312"/>
          <w:spacing w:val="-4"/>
          <w:sz w:val="32"/>
          <w:szCs w:val="32"/>
        </w:rPr>
        <w:t>等课程。</w:t>
      </w:r>
    </w:p>
    <w:p>
      <w:pPr>
        <w:overflowPunct w:val="0"/>
        <w:adjustRightIn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 大数据与会计专业基础课程描述表</w:t>
      </w:r>
    </w:p>
    <w:tbl>
      <w:tblPr>
        <w:tblStyle w:val="7"/>
        <w:tblW w:w="10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800"/>
        <w:gridCol w:w="2919"/>
        <w:gridCol w:w="2867"/>
        <w:gridCol w:w="3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序号</w:t>
            </w:r>
          </w:p>
        </w:tc>
        <w:tc>
          <w:tcPr>
            <w:tcW w:w="800"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课程名称</w:t>
            </w:r>
          </w:p>
        </w:tc>
        <w:tc>
          <w:tcPr>
            <w:tcW w:w="2919"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课程教学目标</w:t>
            </w:r>
          </w:p>
        </w:tc>
        <w:tc>
          <w:tcPr>
            <w:tcW w:w="2867"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课程教学内容</w:t>
            </w:r>
          </w:p>
        </w:tc>
        <w:tc>
          <w:tcPr>
            <w:tcW w:w="3707"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管理学</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正确理解管理的涵义，掌握管理学所涉及的核心概念与理论；了解管理活动的产生、管理思想的演进及其主要理论流派；掌握管理四大职能即计划、组织、领导、控制的基本原则、内容及技术方法；认识企业文化的涵义、功能及其塑造途径。</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管理与管理学、 管理理论的演化、组织的概论、计划工作概述、 决策在管理中的战略、领导艺术、激励等。</w:t>
            </w:r>
          </w:p>
        </w:tc>
        <w:tc>
          <w:tcPr>
            <w:tcW w:w="3707" w:type="dxa"/>
          </w:tcPr>
          <w:p>
            <w:pPr>
              <w:spacing w:line="320" w:lineRule="exact"/>
              <w:jc w:val="left"/>
              <w:rPr>
                <w:rFonts w:hint="eastAsia" w:ascii="仿宋" w:hAnsi="仿宋" w:eastAsia="仿宋" w:cs="仿宋"/>
                <w:sz w:val="24"/>
              </w:rPr>
            </w:pPr>
            <w:bookmarkStart w:id="12" w:name="OLE_LINK4"/>
            <w:r>
              <w:rPr>
                <w:rFonts w:hint="eastAsia" w:ascii="仿宋" w:hAnsi="仿宋" w:eastAsia="仿宋" w:cs="仿宋"/>
                <w:sz w:val="24"/>
              </w:rPr>
              <w:t>通过教材结合多媒体教学手段，系统讲解管理学理论知识，确保学生掌握基本概念和原理。选取典型管理案例，组织学生进行分析讨论，增强学生对理论知识的理解和应用能力。其次围绕特定主题或问题，分组进行讨论，促进学生之间的交流与合作，培养团队协作能力。在掌握基本理论知识点基础上通过角色扮演、管理游戏等方式，模拟真实管理情境，让学生在实践中学习和掌握管理技能。</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0" w:hRule="atLeast"/>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w:t>
            </w:r>
          </w:p>
        </w:tc>
        <w:tc>
          <w:tcPr>
            <w:tcW w:w="800" w:type="dxa"/>
            <w:vAlign w:val="center"/>
          </w:tcPr>
          <w:p>
            <w:pPr>
              <w:spacing w:line="360" w:lineRule="exact"/>
              <w:jc w:val="center"/>
              <w:rPr>
                <w:rFonts w:hint="eastAsia" w:ascii="仿宋" w:hAnsi="仿宋" w:eastAsia="仿宋" w:cs="仿宋"/>
                <w:sz w:val="24"/>
              </w:rPr>
            </w:pPr>
            <w:bookmarkStart w:id="13" w:name="OLE_LINK18"/>
            <w:r>
              <w:rPr>
                <w:rFonts w:hint="eastAsia" w:ascii="仿宋" w:hAnsi="仿宋" w:eastAsia="仿宋" w:cs="仿宋"/>
                <w:sz w:val="24"/>
              </w:rPr>
              <w:t>会计学原理</w:t>
            </w:r>
            <w:bookmarkEnd w:id="13"/>
          </w:p>
        </w:tc>
        <w:tc>
          <w:tcPr>
            <w:tcW w:w="2919" w:type="dxa"/>
          </w:tcPr>
          <w:p>
            <w:pPr>
              <w:spacing w:line="360" w:lineRule="exact"/>
              <w:jc w:val="left"/>
              <w:rPr>
                <w:rFonts w:hint="eastAsia" w:ascii="仿宋" w:hAnsi="仿宋" w:eastAsia="仿宋" w:cs="仿宋"/>
                <w:sz w:val="24"/>
              </w:rPr>
            </w:pPr>
            <w:bookmarkStart w:id="14" w:name="OLE_LINK19"/>
            <w:r>
              <w:rPr>
                <w:rFonts w:hint="eastAsia" w:ascii="仿宋" w:hAnsi="仿宋" w:eastAsia="仿宋" w:cs="仿宋"/>
                <w:sz w:val="24"/>
              </w:rPr>
              <w:t>认知会计职业岗位的背景、特点和要求；能正确解释会计的基本规范，能说出会计的基本术语；能正确判断经济业务性质和内容。</w:t>
            </w:r>
            <w:bookmarkEnd w:id="14"/>
          </w:p>
        </w:tc>
        <w:tc>
          <w:tcPr>
            <w:tcW w:w="2867" w:type="dxa"/>
          </w:tcPr>
          <w:p>
            <w:pPr>
              <w:spacing w:line="360" w:lineRule="exact"/>
              <w:jc w:val="left"/>
              <w:rPr>
                <w:rFonts w:hint="eastAsia" w:ascii="仿宋" w:hAnsi="仿宋" w:eastAsia="仿宋" w:cs="仿宋"/>
                <w:sz w:val="24"/>
              </w:rPr>
            </w:pPr>
            <w:bookmarkStart w:id="15" w:name="OLE_LINK20"/>
            <w:r>
              <w:rPr>
                <w:rFonts w:hint="eastAsia" w:ascii="仿宋" w:hAnsi="仿宋" w:eastAsia="仿宋" w:cs="仿宋"/>
                <w:sz w:val="24"/>
              </w:rPr>
              <w:t>总论、会计科目与账户复式记账、主要经济业务的核算、会计账户分类、会计凭证、会计账簿财产清查、会计核算组织程序、财务会计报告、会计工作组织。</w:t>
            </w:r>
            <w:bookmarkEnd w:id="15"/>
          </w:p>
        </w:tc>
        <w:tc>
          <w:tcPr>
            <w:tcW w:w="3707" w:type="dxa"/>
          </w:tcPr>
          <w:p>
            <w:pPr>
              <w:spacing w:after="240" w:line="320" w:lineRule="exact"/>
              <w:jc w:val="left"/>
              <w:rPr>
                <w:rFonts w:hint="eastAsia" w:ascii="仿宋" w:hAnsi="仿宋" w:eastAsia="仿宋" w:cs="仿宋"/>
                <w:sz w:val="24"/>
              </w:rPr>
            </w:pPr>
            <w:bookmarkStart w:id="16" w:name="OLE_LINK5"/>
            <w:r>
              <w:rPr>
                <w:rFonts w:hint="eastAsia" w:ascii="仿宋" w:hAnsi="仿宋" w:eastAsia="仿宋" w:cs="仿宋"/>
                <w:sz w:val="24"/>
              </w:rPr>
              <w:t>通过多媒体结合教材系统讲解会计学原理的基本概念、理论和方法，注重理论与实践相结合。选取具有代表性的经济业务案例，引导学生进行分析讨论，加深对会计理论的理解和应用。其次利用会计实训软件或手工模拟账套，进行会计凭证填制、账簿登记、报表编制等实操训练，提高学生的动手能力。</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3</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会计技能</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能够熟练书写会计文字、数字;能够熟练进行人民币的真假鉴别;能够熟练运用各种点钞方法进行点钞;能够熟练运用计算器进行珠算、翻打传票。</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会计数字和文字书写技能、电子计算工具的操作与应用技能、会计资料的整理和装订技能、点钞与验钞操作技能、会计计算基本操作技能（珠算）、会计计算实务操作技能等。</w:t>
            </w:r>
          </w:p>
        </w:tc>
        <w:tc>
          <w:tcPr>
            <w:tcW w:w="3707" w:type="dxa"/>
          </w:tcPr>
          <w:p>
            <w:pPr>
              <w:spacing w:after="240" w:line="320" w:lineRule="exact"/>
              <w:rPr>
                <w:rFonts w:hint="eastAsia" w:ascii="仿宋" w:hAnsi="仿宋" w:eastAsia="仿宋" w:cs="仿宋"/>
                <w:sz w:val="24"/>
              </w:rPr>
            </w:pPr>
            <w:r>
              <w:rPr>
                <w:rFonts w:hint="eastAsia" w:ascii="仿宋" w:hAnsi="仿宋" w:eastAsia="仿宋" w:cs="仿宋"/>
                <w:sz w:val="24"/>
              </w:rPr>
              <w:t>通过采用讲授、讨论、案例分析、模拟实训等多种教学方法，使学生在掌握理论知识的同时，增强实践操作能力。充分利用多媒体、网络教学平台等现代信息技术手段，丰富教学资源，提高教学效果。鼓励学生参与企业项目，通过真实或模拟的会计项目，加深理解，提升综合应用能力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4</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经济法</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lang w:val="zh-CN"/>
              </w:rPr>
              <w:t>通过经济法总论与分论部分的密切结合，增强学生对经济法基本体系的把握度，从而把握反垄断法、反不正当竞争法、宏观调控法等经济法的主干法的基本法理，提高其将经济法学理论运用于实际的能力。</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经济法基础理论、公司企业法律制度、合同法、市场规制法律制度、工业产权法律制度、金融法律制度、劳动法律制度、经济仲裁与诉讼法律制度。</w:t>
            </w:r>
          </w:p>
        </w:tc>
        <w:tc>
          <w:tcPr>
            <w:tcW w:w="3707" w:type="dxa"/>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采用教师讲授为主，辅以课堂讨论、案例分析等形式，激发学生学习兴趣，促进师生互动。结合经济生活中的热点问题，引入真实案例进行教学，增强学生的实践应用能力。其次利用多媒体教学资源和网络平台，开展线上预习、复习、测试等环节，提高教学效率和学习效果。最后在学生掌握经济法基础理论知识的基础上模拟法庭与实训 ，组织模拟法庭、法律诊所等活动，让学生在模拟实践中加深对法律条文的理解和应用。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bookmarkStart w:id="17" w:name="_Toc90734977"/>
            <w:r>
              <w:rPr>
                <w:rFonts w:hint="eastAsia" w:ascii="仿宋" w:hAnsi="仿宋" w:eastAsia="仿宋" w:cs="仿宋"/>
                <w:sz w:val="24"/>
              </w:rPr>
              <w:t>5</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出纳实务</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 xml:space="preserve">熟悉出纳岗位工作制度和出纳人员职业素质；掌握阿拉伯数字的书写要求；掌握票据金额和日期的书写要求；掌握常见点钞方法的操作标准和要求；掌握现金和银行存款管理的相关规定；掌握现金和银行存款的清查方法以及银行存款余额调节表的编制方法；熟悉出纳工作常见原始凭证的格式，并掌握其填制、审核的方法；掌握出纳记账凭证的填制与审核方法。  </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认识出纳、出纳岗位基本能力训练、现金业务办理银行业务办理、会计凭证、账簿与出纳报表的填写、出纳的交接工作等。</w:t>
            </w:r>
          </w:p>
        </w:tc>
        <w:tc>
          <w:tcPr>
            <w:tcW w:w="3707" w:type="dxa"/>
          </w:tcPr>
          <w:p>
            <w:pPr>
              <w:spacing w:after="240" w:line="320" w:lineRule="exact"/>
              <w:rPr>
                <w:rFonts w:hint="eastAsia" w:ascii="仿宋" w:hAnsi="仿宋" w:eastAsia="仿宋" w:cs="仿宋"/>
                <w:sz w:val="24"/>
              </w:rPr>
            </w:pPr>
          </w:p>
          <w:p>
            <w:pPr>
              <w:spacing w:after="240" w:line="320" w:lineRule="exact"/>
              <w:rPr>
                <w:rFonts w:hint="eastAsia" w:ascii="仿宋" w:hAnsi="仿宋" w:eastAsia="仿宋" w:cs="仿宋"/>
                <w:sz w:val="24"/>
              </w:rPr>
            </w:pPr>
            <w:r>
              <w:rPr>
                <w:rFonts w:hint="eastAsia" w:ascii="仿宋" w:hAnsi="仿宋" w:eastAsia="仿宋" w:cs="仿宋"/>
                <w:sz w:val="24"/>
              </w:rPr>
              <w:t>采用多媒体教学手段，结合板书、PPT等教学工具，系统讲解出纳实务的理论知识。选取典型出纳业务案例，引导学生进行分析讨论，加深对知识点的理解和应用。其次设置仿真出纳工作环境，通过模拟现金收付、银行结算、票据处理等业务流程，增强学生的实践能力。同时在课堂上组织学生分组讨论出纳工作中遇到的问题及解决方案，培养学生的团队协作能力和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6</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财经法规与会计职业道德</w:t>
            </w:r>
          </w:p>
        </w:tc>
        <w:tc>
          <w:tcPr>
            <w:tcW w:w="2919" w:type="dxa"/>
          </w:tcPr>
          <w:p>
            <w:pPr>
              <w:spacing w:line="360" w:lineRule="exact"/>
              <w:jc w:val="left"/>
              <w:rPr>
                <w:rFonts w:hint="eastAsia" w:ascii="仿宋" w:hAnsi="仿宋" w:eastAsia="仿宋" w:cs="仿宋"/>
                <w:sz w:val="24"/>
                <w:lang w:val="zh-CN"/>
              </w:rPr>
            </w:pPr>
            <w:r>
              <w:rPr>
                <w:rFonts w:hint="eastAsia" w:ascii="仿宋" w:hAnsi="仿宋" w:eastAsia="仿宋" w:cs="仿宋"/>
                <w:sz w:val="24"/>
                <w:lang w:val="zh-CN"/>
              </w:rPr>
              <w:t>掌握会计法规体系及会计法主要规定； 掌握支付结算的主要规定； 掌握税收征收管理法的主要规定；掌握会计职业道德的内涵。</w:t>
            </w:r>
          </w:p>
          <w:p>
            <w:pPr>
              <w:spacing w:line="360" w:lineRule="exact"/>
              <w:jc w:val="left"/>
              <w:rPr>
                <w:rFonts w:hint="eastAsia" w:ascii="仿宋" w:hAnsi="仿宋" w:eastAsia="仿宋" w:cs="仿宋"/>
                <w:sz w:val="24"/>
              </w:rPr>
            </w:pP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会计法律制度、支付结算法律制度、税收法律制度、财政法规制度、会计职业道德等。</w:t>
            </w:r>
          </w:p>
        </w:tc>
        <w:tc>
          <w:tcPr>
            <w:tcW w:w="3707" w:type="dxa"/>
          </w:tcPr>
          <w:p>
            <w:pPr>
              <w:spacing w:after="240" w:line="320" w:lineRule="exact"/>
              <w:rPr>
                <w:rFonts w:hint="eastAsia" w:ascii="仿宋" w:hAnsi="仿宋" w:eastAsia="仿宋" w:cs="仿宋"/>
                <w:sz w:val="24"/>
              </w:rPr>
            </w:pPr>
            <w:bookmarkStart w:id="18" w:name="OLE_LINK6"/>
            <w:r>
              <w:rPr>
                <w:rFonts w:hint="eastAsia" w:ascii="仿宋" w:hAnsi="仿宋" w:eastAsia="仿宋" w:cs="仿宋"/>
                <w:sz w:val="24"/>
              </w:rPr>
              <w:t>通过教师系统讲授，使学生掌握基础知识和理论框架。在教学过程中选取典型财经案例，引导学生分析讨论，增强实践应用能力。组织学生分组讨论，促进思想碰撞，培养团队合作精神。模拟会计工作中的实际场景，让学生在角色扮演中体验法律与道德的冲突与抉择。利用网络平台提供丰富的教学资料、视频讲座、在线测试等，拓宽学习渠道。</w:t>
            </w:r>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7</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统计学原理</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掌握统计学基础的相关知识；能够掌握处理统计基本业务知识；能够掌握统计设计、搜集资料、整理资料、计算分析资料，撰写分析报告等知识；掌握数学、财务的基础知识，具有较强的分析和演算能力。</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导论、统计设计、统计调查、统计整理、综合指标时间数列、统计指数、抽样推断、相关与回归分析。</w:t>
            </w:r>
          </w:p>
        </w:tc>
        <w:tc>
          <w:tcPr>
            <w:tcW w:w="3707" w:type="dxa"/>
          </w:tcPr>
          <w:p>
            <w:pPr>
              <w:spacing w:line="320" w:lineRule="exact"/>
              <w:rPr>
                <w:rFonts w:hint="eastAsia" w:ascii="仿宋" w:hAnsi="仿宋" w:eastAsia="仿宋" w:cs="仿宋"/>
                <w:sz w:val="24"/>
              </w:rPr>
            </w:pPr>
            <w:r>
              <w:rPr>
                <w:rFonts w:hint="eastAsia" w:ascii="仿宋" w:hAnsi="仿宋" w:eastAsia="仿宋" w:cs="仿宋"/>
                <w:sz w:val="24"/>
              </w:rPr>
              <w:t>通过多媒体结合教材系统讲解统计学原理的基础知识，注重理论联系实际。教学中通过实际案例，引导学生运用统计学原理分析问题，加深理解。在课堂上组织小组讨论，促进学生之间的交流与合作，共同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8</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纳税会计</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能够根据企业情况的变化进行各种税务登记；能够处理企业各涉税经济业务，编制会计凭证，设置和登记应交税费账簿；能够编制增值税，企业所得税，出口退税，消费税，营业税及地方税种相关的纳税申报表，进行网上申报和税款交纳。</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项总论、增值税会计、消费税会计、企业所得税会计、个人所得税会计、其他税种会计、纳税会计等。</w:t>
            </w:r>
          </w:p>
        </w:tc>
        <w:tc>
          <w:tcPr>
            <w:tcW w:w="3707" w:type="dxa"/>
          </w:tcPr>
          <w:p>
            <w:pPr>
              <w:spacing w:line="320" w:lineRule="exact"/>
              <w:rPr>
                <w:rFonts w:hint="eastAsia" w:ascii="仿宋" w:hAnsi="仿宋" w:eastAsia="仿宋" w:cs="仿宋"/>
                <w:sz w:val="24"/>
              </w:rPr>
            </w:pPr>
            <w:bookmarkStart w:id="19" w:name="OLE_LINK13"/>
            <w:r>
              <w:rPr>
                <w:rFonts w:hint="eastAsia" w:ascii="仿宋" w:hAnsi="仿宋" w:eastAsia="仿宋" w:cs="仿宋"/>
                <w:sz w:val="24"/>
              </w:rPr>
              <w:t>通过结合多媒体教学手段，系统讲解税收理论与制度，确保学生掌握基础知识。教学中选取典型税务案例，引导学生分析讨论，加深对知识点的理解和应用。课堂上利用税务实训软件或模拟系统，进行税务登记、税款计算、纳税申报等实际操作训练，提高学生都对税务的理解和实际操作能力。</w:t>
            </w:r>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9</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企业内部控制</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系统了解和掌握内部控制的理论，具体包括内部控制的产生与演进轨迹、理论框架和方式；掌握企业主要经济业务的内部控制制度的建立程序和方法；掌握内部控制评价的报告编写、风险和防范。</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总论、企业内部控制理论企业内部控制目标与风险管理、企业内部控制环境与风险评估、控制活动与信息传递、内部监督、人员与组织行为风险控制、资金活动与财务风险控制、信息传递与信息风险控制、流程与任务控制管理控制、公司治理层面、内部控制、内部审计、企业内部控制评价等。</w:t>
            </w:r>
          </w:p>
        </w:tc>
        <w:tc>
          <w:tcPr>
            <w:tcW w:w="3707" w:type="dxa"/>
          </w:tcPr>
          <w:p>
            <w:pPr>
              <w:spacing w:line="320" w:lineRule="exact"/>
              <w:jc w:val="left"/>
              <w:rPr>
                <w:rFonts w:hint="eastAsia" w:ascii="仿宋" w:hAnsi="仿宋" w:eastAsia="仿宋" w:cs="仿宋"/>
                <w:sz w:val="24"/>
              </w:rPr>
            </w:pPr>
            <w:bookmarkStart w:id="20" w:name="OLE_LINK10"/>
            <w:r>
              <w:rPr>
                <w:rFonts w:hint="eastAsia" w:ascii="仿宋" w:hAnsi="仿宋" w:eastAsia="仿宋" w:cs="仿宋"/>
                <w:sz w:val="24"/>
              </w:rPr>
              <w:t>通过多媒体教学手段，系统讲授内部控制理论知识。教学中采用小组讨论、角色扮演等形式，对典型案例进行分析，促进学生理解与应用。课堂中学生通过内部控制设计、测试与评价等模拟实训项目，增强学生的实践能力。利用网络平台提供丰富的教学资源，支持学生自主学习和互动交流。</w:t>
            </w:r>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10</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审计学</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lang w:val="zh-CN"/>
              </w:rPr>
              <w:t>能够熟悉审计总体目标和具体审计目标；能够理解审计报告的种类和出具各种不同审计报告的条件；能够审计工作底稿；能够运用审计证据的种类以及获取审计证据的方法。</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总论、审计业务承接和审计报告、审计目标、审计证据与工作底稿、审计计划、重要性和审计风险、审计方法、内部控制测试和风险评估、销售收入及收款循环的审计、生产循环审计。</w:t>
            </w:r>
          </w:p>
        </w:tc>
        <w:tc>
          <w:tcPr>
            <w:tcW w:w="3707" w:type="dxa"/>
          </w:tcPr>
          <w:p>
            <w:pPr>
              <w:spacing w:line="320" w:lineRule="exact"/>
              <w:jc w:val="left"/>
              <w:rPr>
                <w:rFonts w:hint="eastAsia" w:ascii="仿宋" w:hAnsi="仿宋" w:eastAsia="仿宋" w:cs="仿宋"/>
                <w:sz w:val="24"/>
              </w:rPr>
            </w:pPr>
            <w:bookmarkStart w:id="21" w:name="OLE_LINK9"/>
            <w:r>
              <w:rPr>
                <w:rFonts w:hint="eastAsia" w:ascii="仿宋" w:hAnsi="仿宋" w:eastAsia="仿宋" w:cs="仿宋"/>
                <w:sz w:val="24"/>
              </w:rPr>
              <w:t>通过多媒体结合教材进行课堂讲授，系统介绍审计学的理论知识体系。在教学中选取具有代表性的审计案例，引导学生分析讨论，加深对审计理论和方法的理解。课堂上组织学生就特定审计问题进行小组讨论，培养团队合作精神和批判性思维。</w:t>
            </w:r>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11</w:t>
            </w:r>
          </w:p>
        </w:tc>
        <w:tc>
          <w:tcPr>
            <w:tcW w:w="80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行业会计比较</w:t>
            </w:r>
          </w:p>
        </w:tc>
        <w:tc>
          <w:tcPr>
            <w:tcW w:w="2919" w:type="dxa"/>
          </w:tcPr>
          <w:p>
            <w:pPr>
              <w:spacing w:line="360" w:lineRule="exact"/>
              <w:jc w:val="left"/>
              <w:rPr>
                <w:rFonts w:hint="eastAsia" w:ascii="仿宋" w:hAnsi="仿宋" w:eastAsia="仿宋" w:cs="仿宋"/>
                <w:sz w:val="24"/>
              </w:rPr>
            </w:pPr>
            <w:r>
              <w:rPr>
                <w:rFonts w:hint="eastAsia" w:ascii="仿宋" w:hAnsi="仿宋" w:eastAsia="仿宋" w:cs="仿宋"/>
                <w:sz w:val="24"/>
              </w:rPr>
              <w:t>了解商品流通企业、施工企业、房地产开发企业、运输企业、农业企业、邮政电信企业、旅游餐饮服务企业、金融企业等8个主要行业的经营管理特点，熟悉其典型的经济业务类型和业务流程；能根据行业经营管理特点设置会计科目和账户；掌握这8个行业的典型经济业务的会计核算方法。</w:t>
            </w:r>
          </w:p>
        </w:tc>
        <w:tc>
          <w:tcPr>
            <w:tcW w:w="2867" w:type="dxa"/>
          </w:tcPr>
          <w:p>
            <w:pPr>
              <w:spacing w:line="360" w:lineRule="exact"/>
              <w:jc w:val="left"/>
              <w:rPr>
                <w:rFonts w:hint="eastAsia" w:ascii="仿宋" w:hAnsi="仿宋" w:eastAsia="仿宋" w:cs="仿宋"/>
                <w:sz w:val="24"/>
              </w:rPr>
            </w:pPr>
            <w:r>
              <w:rPr>
                <w:rFonts w:hint="eastAsia" w:ascii="仿宋" w:hAnsi="仿宋" w:eastAsia="仿宋" w:cs="仿宋"/>
                <w:sz w:val="24"/>
              </w:rPr>
              <w:t>总论、商品流通企业会计、旅游餐饮企业会计、交通运输企业会计、房地产企业会计、农业企业会计、民间非盈利企业会计等。</w:t>
            </w:r>
          </w:p>
        </w:tc>
        <w:tc>
          <w:tcPr>
            <w:tcW w:w="3707" w:type="dxa"/>
          </w:tcPr>
          <w:p>
            <w:pPr>
              <w:spacing w:line="320" w:lineRule="exact"/>
              <w:rPr>
                <w:rFonts w:hint="eastAsia" w:ascii="仿宋" w:hAnsi="仿宋" w:eastAsia="仿宋" w:cs="仿宋"/>
                <w:sz w:val="24"/>
              </w:rPr>
            </w:pPr>
            <w:r>
              <w:rPr>
                <w:rFonts w:hint="eastAsia" w:ascii="仿宋" w:hAnsi="仿宋" w:eastAsia="仿宋" w:cs="仿宋"/>
                <w:sz w:val="24"/>
              </w:rPr>
              <w:t>通过教材结合PPT、视频系统讲解行业会计的基本理论与核算方法。通过真实的行业会计案例，引导学生分析讨论，加深理解；同时组织学生对行业间会计差异进行小组讨论，促进思维碰撞与知识共享。</w:t>
            </w:r>
          </w:p>
        </w:tc>
      </w:tr>
    </w:tbl>
    <w:p>
      <w:pPr>
        <w:adjustRightInd w:val="0"/>
        <w:snapToGri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7"/>
    </w:p>
    <w:p>
      <w:pPr>
        <w:adjustRightInd w:val="0"/>
        <w:snapToGrid w:val="0"/>
        <w:spacing w:after="0" w:line="520" w:lineRule="exact"/>
        <w:ind w:firstLine="640" w:firstLineChars="200"/>
        <w:rPr>
          <w:rFonts w:hint="eastAsia" w:ascii="仿宋_GB2312" w:hAnsi="仿宋_GB2312" w:eastAsia="仿宋_GB2312" w:cs="仿宋_GB2312"/>
          <w:sz w:val="32"/>
          <w:szCs w:val="32"/>
        </w:rPr>
      </w:pPr>
      <w:bookmarkStart w:id="22" w:name="OLE_LINK7"/>
      <w:r>
        <w:rPr>
          <w:rFonts w:hint="eastAsia" w:ascii="仿宋_GB2312" w:hAnsi="仿宋_GB2312" w:eastAsia="仿宋_GB2312" w:cs="仿宋_GB2312"/>
          <w:sz w:val="32"/>
          <w:szCs w:val="32"/>
        </w:rPr>
        <w:t>专业核心课是面向各类中小微企业、金融机构、行政事业单位的会计专业人员、税务专业人员等岗位（群）</w:t>
      </w:r>
      <w:bookmarkEnd w:id="22"/>
      <w:r>
        <w:rPr>
          <w:rFonts w:hint="eastAsia" w:ascii="仿宋_GB2312" w:hAnsi="仿宋_GB2312" w:eastAsia="仿宋_GB2312" w:cs="仿宋_GB2312"/>
          <w:sz w:val="32"/>
          <w:szCs w:val="32"/>
        </w:rPr>
        <w:t>，会计、出纳等就业岗位，建立</w:t>
      </w:r>
      <w:r>
        <w:rPr>
          <w:rFonts w:hint="eastAsia" w:ascii="仿宋_GB2312" w:hAnsi="仿宋_GB2312" w:eastAsia="仿宋_GB2312" w:cs="仿宋_GB2312"/>
          <w:spacing w:val="-2"/>
          <w:sz w:val="32"/>
          <w:szCs w:val="32"/>
        </w:rPr>
        <w:t>大数据与会计</w:t>
      </w:r>
      <w:r>
        <w:rPr>
          <w:rFonts w:hint="eastAsia" w:ascii="仿宋_GB2312" w:hAnsi="仿宋_GB2312" w:eastAsia="仿宋_GB2312" w:cs="仿宋_GB2312"/>
          <w:sz w:val="32"/>
          <w:szCs w:val="32"/>
        </w:rPr>
        <w:t>专业核心课程，培养学生财务账务处理，成本核算等方面的能力。包括财务管理、企业财务会计、智能化成本核算与管理、会计信息系统应用、财务大数据分析与可视化、税法教程、会计综合模拟实训</w:t>
      </w:r>
      <w:r>
        <w:rPr>
          <w:rFonts w:hint="eastAsia" w:ascii="仿宋_GB2312" w:hAnsi="仿宋_GB2312" w:eastAsia="仿宋_GB2312" w:cs="仿宋_GB2312"/>
          <w:spacing w:val="-4"/>
          <w:sz w:val="32"/>
          <w:szCs w:val="32"/>
        </w:rPr>
        <w:t>等课程。</w:t>
      </w:r>
    </w:p>
    <w:p>
      <w:pPr>
        <w:adjustRightInd w:val="0"/>
        <w:snapToGri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 大数据与会计专业核心课程描述表</w:t>
      </w:r>
    </w:p>
    <w:tbl>
      <w:tblPr>
        <w:tblStyle w:val="7"/>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698"/>
        <w:gridCol w:w="2033"/>
        <w:gridCol w:w="3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序号</w:t>
            </w:r>
          </w:p>
        </w:tc>
        <w:tc>
          <w:tcPr>
            <w:tcW w:w="775"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课程名称</w:t>
            </w:r>
          </w:p>
        </w:tc>
        <w:tc>
          <w:tcPr>
            <w:tcW w:w="3698"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课程教学目标</w:t>
            </w:r>
          </w:p>
        </w:tc>
        <w:tc>
          <w:tcPr>
            <w:tcW w:w="203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课程教学内容</w:t>
            </w:r>
          </w:p>
        </w:tc>
        <w:tc>
          <w:tcPr>
            <w:tcW w:w="3468"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1</w:t>
            </w:r>
          </w:p>
        </w:tc>
        <w:tc>
          <w:tcPr>
            <w:tcW w:w="7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财务管理</w:t>
            </w:r>
          </w:p>
        </w:tc>
        <w:tc>
          <w:tcPr>
            <w:tcW w:w="3698"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掌握财务管理基础理论、企业筹资管理、营运资金的管理、对内投资管理基本技能；掌握收益及其分配管理、财务预算和控制、财务分析基本方法；掌握财务管理基础理论、企业筹资管理、营运资金的管理。</w:t>
            </w:r>
          </w:p>
        </w:tc>
        <w:tc>
          <w:tcPr>
            <w:tcW w:w="2033"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货币时间价值、筹资管理、投资管理、营运资金管理、收益分配管理、全面预算管理等。</w:t>
            </w:r>
          </w:p>
        </w:tc>
        <w:tc>
          <w:tcPr>
            <w:tcW w:w="3468" w:type="dxa"/>
            <w:vAlign w:val="center"/>
          </w:tcPr>
          <w:p>
            <w:pPr>
              <w:spacing w:line="360" w:lineRule="exact"/>
              <w:jc w:val="left"/>
              <w:rPr>
                <w:rFonts w:hint="eastAsia" w:ascii="仿宋" w:hAnsi="仿宋" w:eastAsia="仿宋" w:cs="仿宋"/>
                <w:sz w:val="24"/>
              </w:rPr>
            </w:pPr>
            <w:bookmarkStart w:id="23" w:name="OLE_LINK12"/>
            <w:r>
              <w:rPr>
                <w:rFonts w:hint="eastAsia" w:ascii="仿宋" w:hAnsi="仿宋" w:eastAsia="仿宋" w:cs="仿宋"/>
                <w:sz w:val="24"/>
              </w:rPr>
              <w:t>采用多媒体教学手段，结合生活实例和企业案例，深入浅出地讲解理论知识。选取具有代表性的企业财务案例，引导学生分析讨论，增强理论学习的针对性和实用性。同时利用财务管理软件或Excel等工具，进行财务决策模拟实训，提高学生的实践操作能力和问题解决能力。</w:t>
            </w:r>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2</w:t>
            </w:r>
          </w:p>
        </w:tc>
        <w:tc>
          <w:tcPr>
            <w:tcW w:w="7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企业财务会计</w:t>
            </w:r>
          </w:p>
        </w:tc>
        <w:tc>
          <w:tcPr>
            <w:tcW w:w="3698"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掌握存货的内容、分类；期末计量和清查的主要方法；重点掌握存货的初始计量以及发出材料时的计价；掌握金融资产的确认条件及初始计量、后续计量等会计业务处理；掌握不同情况下取得固定资产和无形资产的会计处理；掌握固定资产折旧方法、无形资产摊销方法及相关的核算；掌握固定资产及无形资产处置的会计处理；了解财务报告的内容、报表的编制方法。</w:t>
            </w:r>
          </w:p>
        </w:tc>
        <w:tc>
          <w:tcPr>
            <w:tcW w:w="2033"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存货、金融资产、长期股权投资、固定资产、无形资产、投资性房地产、资产减值等资产的核算；流动负债和非流动负债的核算；所有者权益、收入、费用、利润的核算；财务会计报告。</w:t>
            </w:r>
          </w:p>
        </w:tc>
        <w:tc>
          <w:tcPr>
            <w:tcW w:w="3468"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通过课堂讲授结合多媒体、案例分析、小组讨论等多种教学方式，增强教学的互动性和实践性。同时，安排实验课程，让学生亲手操作财务软件，进行账务处理，提升动手能力。</w:t>
            </w:r>
            <w:r>
              <w:rPr>
                <w:rFonts w:hint="eastAsia" w:ascii="仿宋" w:hAnsi="仿宋" w:eastAsia="仿宋" w:cs="仿宋"/>
                <w:sz w:val="24"/>
              </w:rPr>
              <w:br w:type="textWrapping"/>
            </w:r>
            <w:r>
              <w:rPr>
                <w:rFonts w:hint="eastAsia" w:ascii="仿宋" w:hAnsi="仿宋" w:eastAsia="仿宋" w:cs="仿宋"/>
                <w:sz w:val="24"/>
              </w:rPr>
              <w:t>同时，引导学生利用网络资源，如会计在线课程、会计准则数据库等，拓宽学习视野。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3</w:t>
            </w:r>
          </w:p>
        </w:tc>
        <w:tc>
          <w:tcPr>
            <w:tcW w:w="7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智能化成本核算与管理</w:t>
            </w:r>
          </w:p>
        </w:tc>
        <w:tc>
          <w:tcPr>
            <w:tcW w:w="3698"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通过智能化成本核算系统操作掌握制造费用的核算内容、归集和分配；掌握生产费用在完工产品和月末在产品之间的分配的七种方法；掌握产品成本计算的基本方法和辅助方法的特点。掌握品种法、分批法、分类法的计算程序并在实践工作中应用。掌握有关成本报表的编制方法和分析方法。</w:t>
            </w:r>
          </w:p>
        </w:tc>
        <w:tc>
          <w:tcPr>
            <w:tcW w:w="2033"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运用智能化成本系统完成以下工资：成本核算程序、费用归集和分配、品种法、作业成本法、目标成本法、标准成本法、变动成本法，成本报表的编制和成本分析与管理。</w:t>
            </w:r>
          </w:p>
        </w:tc>
        <w:tc>
          <w:tcPr>
            <w:tcW w:w="3468" w:type="dxa"/>
            <w:vAlign w:val="center"/>
          </w:tcPr>
          <w:p>
            <w:pPr>
              <w:spacing w:line="360" w:lineRule="exact"/>
              <w:jc w:val="left"/>
              <w:rPr>
                <w:rFonts w:hint="eastAsia" w:ascii="仿宋" w:hAnsi="仿宋" w:eastAsia="仿宋" w:cs="仿宋"/>
                <w:sz w:val="24"/>
              </w:rPr>
            </w:pPr>
            <w:bookmarkStart w:id="24" w:name="OLE_LINK11"/>
            <w:r>
              <w:rPr>
                <w:rFonts w:hint="eastAsia" w:ascii="仿宋" w:hAnsi="仿宋" w:eastAsia="仿宋" w:cs="仿宋"/>
                <w:sz w:val="24"/>
              </w:rPr>
              <w:t>通过采用多智能化成本核算系统，利用媒体教学手段，结合案例分析，深入浅出地讲解成本会计的基本理论和方法。教学中针对热点问题或难点内容组织小组讨论，促进学生之间的交流与合作。同时设计贴近实际的成本核算、成本控制等模拟实训项目，增强学生的动手能力和问题解决能力。</w:t>
            </w:r>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4</w:t>
            </w:r>
          </w:p>
          <w:p>
            <w:pPr>
              <w:overflowPunct w:val="0"/>
              <w:adjustRightInd w:val="0"/>
              <w:spacing w:line="360" w:lineRule="exact"/>
              <w:jc w:val="center"/>
              <w:rPr>
                <w:rFonts w:hint="eastAsia" w:ascii="仿宋" w:hAnsi="仿宋" w:eastAsia="仿宋" w:cs="仿宋"/>
                <w:sz w:val="24"/>
              </w:rPr>
            </w:pPr>
          </w:p>
          <w:p>
            <w:pPr>
              <w:overflowPunct w:val="0"/>
              <w:adjustRightInd w:val="0"/>
              <w:spacing w:line="360" w:lineRule="exact"/>
              <w:jc w:val="center"/>
              <w:rPr>
                <w:rFonts w:hint="eastAsia" w:ascii="仿宋" w:hAnsi="仿宋" w:eastAsia="仿宋" w:cs="仿宋"/>
                <w:sz w:val="24"/>
              </w:rPr>
            </w:pPr>
          </w:p>
          <w:p>
            <w:pPr>
              <w:overflowPunct w:val="0"/>
              <w:adjustRightInd w:val="0"/>
              <w:spacing w:line="360" w:lineRule="exact"/>
              <w:jc w:val="center"/>
              <w:rPr>
                <w:rFonts w:hint="eastAsia" w:ascii="仿宋" w:hAnsi="仿宋" w:eastAsia="仿宋" w:cs="仿宋"/>
                <w:sz w:val="24"/>
              </w:rPr>
            </w:pPr>
          </w:p>
          <w:p>
            <w:pPr>
              <w:overflowPunct w:val="0"/>
              <w:adjustRightInd w:val="0"/>
              <w:spacing w:line="360" w:lineRule="exact"/>
              <w:jc w:val="center"/>
              <w:rPr>
                <w:rFonts w:hint="eastAsia" w:ascii="仿宋" w:hAnsi="仿宋" w:eastAsia="仿宋" w:cs="仿宋"/>
                <w:sz w:val="24"/>
              </w:rPr>
            </w:pPr>
          </w:p>
          <w:p>
            <w:pPr>
              <w:overflowPunct w:val="0"/>
              <w:adjustRightInd w:val="0"/>
              <w:spacing w:line="360" w:lineRule="exact"/>
              <w:jc w:val="center"/>
              <w:rPr>
                <w:rFonts w:hint="eastAsia" w:ascii="仿宋" w:hAnsi="仿宋" w:eastAsia="仿宋" w:cs="仿宋"/>
                <w:sz w:val="24"/>
              </w:rPr>
            </w:pPr>
          </w:p>
          <w:p>
            <w:pPr>
              <w:overflowPunct w:val="0"/>
              <w:adjustRightInd w:val="0"/>
              <w:spacing w:line="360" w:lineRule="exact"/>
              <w:jc w:val="center"/>
              <w:rPr>
                <w:rFonts w:hint="eastAsia" w:ascii="仿宋" w:hAnsi="仿宋" w:eastAsia="仿宋" w:cs="仿宋"/>
                <w:sz w:val="24"/>
              </w:rPr>
            </w:pPr>
          </w:p>
        </w:tc>
        <w:tc>
          <w:tcPr>
            <w:tcW w:w="7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会计信息系统应用</w:t>
            </w:r>
          </w:p>
        </w:tc>
        <w:tc>
          <w:tcPr>
            <w:tcW w:w="3698"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理解会计软件中总账系统的基本功能，熟练掌握总账系统的初始化、日常会计处理、出纳管理、账簿管理及期末处理的各项操作；理解报表管理系统的基本术语，掌握报表格式设计、报表公式编辑及报表管理理解固定资产管理系统的主要功能，熟练掌握固定资产系统的初始化设置、日常管理及账表管理；熟练掌握工资系统的初始化设置及工资数据管理；了解供应链管理系统的主要功能以及业务处理流程，掌握采购系统、销售系统、库存系统、存货系统的初始设置及日常业务处理操作方法</w:t>
            </w:r>
          </w:p>
        </w:tc>
        <w:tc>
          <w:tcPr>
            <w:tcW w:w="2033"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依托ERP业财一体信息系统完成：总账报表核算系统、职工薪酬核算与管理系统、固定资产核算与管理系统、往来核算与管理、存货核算与管理、采购与销售管理等。</w:t>
            </w:r>
          </w:p>
        </w:tc>
        <w:tc>
          <w:tcPr>
            <w:tcW w:w="3468"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通过多媒体课件、案例分析等形式，系统讲授会计电算化理论与知识要点。教学中安排充足的上机时间，让学生在模拟或真实的会计软件环境中进行实际操作练习。同时针对学习中的难点与热点问题，组织学生分组讨论，促进思维碰撞与知识共享。在学生掌握基本操作的基础上，设计综合性项目任务，如完成一套完整的账务处理与报表编制流程，以任务为导向，增强学习的针对性和实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exact"/>
              <w:jc w:val="center"/>
              <w:rPr>
                <w:rFonts w:hint="eastAsia" w:ascii="仿宋" w:hAnsi="仿宋" w:eastAsia="仿宋" w:cs="仿宋"/>
              </w:rPr>
            </w:pPr>
            <w:bookmarkStart w:id="25" w:name="_Toc12794"/>
            <w:bookmarkStart w:id="26" w:name="_Toc3821"/>
            <w:bookmarkStart w:id="27" w:name="_Toc22341"/>
            <w:bookmarkStart w:id="28" w:name="_Toc27284"/>
          </w:p>
          <w:p>
            <w:pPr>
              <w:spacing w:line="360" w:lineRule="exact"/>
              <w:jc w:val="center"/>
              <w:rPr>
                <w:rFonts w:hint="eastAsia" w:ascii="仿宋" w:hAnsi="仿宋" w:eastAsia="仿宋" w:cs="仿宋"/>
              </w:rPr>
            </w:pPr>
          </w:p>
          <w:p>
            <w:pPr>
              <w:spacing w:line="360" w:lineRule="exact"/>
              <w:jc w:val="center"/>
              <w:rPr>
                <w:rFonts w:hint="eastAsia" w:ascii="仿宋" w:hAnsi="仿宋" w:eastAsia="仿宋" w:cs="仿宋"/>
              </w:rPr>
            </w:pPr>
            <w:r>
              <w:rPr>
                <w:rFonts w:hint="eastAsia" w:ascii="仿宋" w:hAnsi="仿宋" w:eastAsia="仿宋" w:cs="仿宋"/>
              </w:rPr>
              <w:t>5</w:t>
            </w:r>
          </w:p>
        </w:tc>
        <w:tc>
          <w:tcPr>
            <w:tcW w:w="7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税法教程</w:t>
            </w:r>
          </w:p>
        </w:tc>
        <w:tc>
          <w:tcPr>
            <w:tcW w:w="3698"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理解我国现行税制体系与税收管理体制、税务登记与发票管理制度、纳税信用等级管理制度；掌握税法的构成要素；理解主要税种的含义及征税范围；掌握主要税种应纳税金的计算方法；熟悉主要税种征收管理制度；了解主要税种涉及的特殊业务处理方法；根据企业的类型和业务种类判断应纳的税种；正确计算相关税费应纳金额并进行相关会计处理；能够使用各类发累、填制涉税文书、进行网上申报；可组织数据的汇总与分析，开展简单的纳税筹划工作。</w:t>
            </w:r>
          </w:p>
        </w:tc>
        <w:tc>
          <w:tcPr>
            <w:tcW w:w="2033"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税收管理、增值税计算与申报、消费税计算与申报、关税计算与申报、企业所得税计算与申报、个人所得税计算与申报、其他税种的计算与申报。</w:t>
            </w:r>
          </w:p>
        </w:tc>
        <w:tc>
          <w:tcPr>
            <w:tcW w:w="3468"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通过教材讲授结合多媒体课件，系统阐述税法理论及法律条文。教学中选取典型税收案例，引导学生分析讨论，提升解决问题的能力。利用网络平台提供丰富的学习资源，鼓励学生自主学习，拓展知识面。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exact"/>
              <w:jc w:val="center"/>
              <w:rPr>
                <w:rFonts w:hint="eastAsia" w:ascii="仿宋" w:hAnsi="仿宋" w:eastAsia="仿宋" w:cs="仿宋"/>
              </w:rPr>
            </w:pPr>
            <w:r>
              <w:rPr>
                <w:rFonts w:hint="eastAsia" w:ascii="仿宋" w:hAnsi="仿宋" w:eastAsia="仿宋" w:cs="仿宋"/>
              </w:rPr>
              <w:t>6</w:t>
            </w:r>
          </w:p>
        </w:tc>
        <w:tc>
          <w:tcPr>
            <w:tcW w:w="7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会计综合模拟实训</w:t>
            </w:r>
          </w:p>
        </w:tc>
        <w:tc>
          <w:tcPr>
            <w:tcW w:w="3698"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综合掌握所学的会计知识，提高学生的实际操作能力。能熟练掌握企业会计账务处理程序，能正确地填制和审核记账凭证，根据记账凭证登记账簿，并能编制会计报表写出财务分析；通过从填制凭证、登记账簿、成本计算到最后编制会计报表，将所学到的理论知识转化为实际工作技能同时培养学生严谨的工作作风和良好的职业道德,为毕业后尽快适应会计工作打下良好的基础。</w:t>
            </w:r>
          </w:p>
        </w:tc>
        <w:tc>
          <w:tcPr>
            <w:tcW w:w="2033" w:type="dxa"/>
            <w:vAlign w:val="center"/>
          </w:tcPr>
          <w:p>
            <w:pPr>
              <w:overflowPunct w:val="0"/>
              <w:adjustRightInd w:val="0"/>
              <w:spacing w:line="360" w:lineRule="exact"/>
              <w:jc w:val="left"/>
              <w:rPr>
                <w:rFonts w:hint="eastAsia" w:ascii="仿宋" w:hAnsi="仿宋" w:eastAsia="仿宋" w:cs="仿宋"/>
                <w:sz w:val="24"/>
              </w:rPr>
            </w:pPr>
            <w:r>
              <w:rPr>
                <w:rFonts w:hint="eastAsia" w:ascii="仿宋" w:hAnsi="仿宋" w:eastAsia="仿宋" w:cs="仿宋"/>
                <w:sz w:val="24"/>
              </w:rPr>
              <w:t>按照会计基本工作过程，完成建账、填制、审核原始凭证和记账凭证，登记账簿、成本计算、财产清查、编制会计报表、装订凭证、会计档案整理与归档等。</w:t>
            </w:r>
          </w:p>
        </w:tc>
        <w:tc>
          <w:tcPr>
            <w:tcW w:w="3468" w:type="dxa"/>
            <w:vAlign w:val="center"/>
          </w:tcPr>
          <w:p>
            <w:pPr>
              <w:spacing w:line="360" w:lineRule="exact"/>
              <w:jc w:val="left"/>
              <w:rPr>
                <w:rFonts w:hint="eastAsia" w:ascii="仿宋" w:hAnsi="仿宋" w:eastAsia="仿宋" w:cs="仿宋"/>
                <w:sz w:val="24"/>
              </w:rPr>
            </w:pPr>
            <w:r>
              <w:rPr>
                <w:rFonts w:hint="eastAsia" w:ascii="仿宋" w:hAnsi="仿宋" w:eastAsia="仿宋" w:cs="仿宋"/>
                <w:sz w:val="24"/>
              </w:rPr>
              <w:t>通过案例模拟真实企业经济环境，增强学生的实践感知和操作能力。选取典型会计案例，引导学生分析讨论，提升问题解决能力。同时课堂上促进学生之间的交流与协作，共同解决实训中遇到的问题。鼓励学生课前预习相关理论知识，课堂上更多地进行实践操作和讨论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exact"/>
              <w:jc w:val="center"/>
              <w:rPr>
                <w:rFonts w:hint="eastAsia" w:ascii="仿宋" w:hAnsi="仿宋" w:eastAsia="仿宋" w:cs="仿宋"/>
                <w:sz w:val="32"/>
                <w:szCs w:val="22"/>
              </w:rPr>
            </w:pPr>
            <w:r>
              <w:rPr>
                <w:rFonts w:hint="eastAsia" w:ascii="仿宋" w:hAnsi="仿宋" w:eastAsia="仿宋" w:cs="仿宋"/>
              </w:rPr>
              <w:t>7</w:t>
            </w:r>
          </w:p>
        </w:tc>
        <w:tc>
          <w:tcPr>
            <w:tcW w:w="775"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管理会计实务</w:t>
            </w:r>
          </w:p>
        </w:tc>
        <w:tc>
          <w:tcPr>
            <w:tcW w:w="3698" w:type="dxa"/>
          </w:tcPr>
          <w:p>
            <w:pPr>
              <w:spacing w:line="360" w:lineRule="exact"/>
              <w:jc w:val="left"/>
              <w:rPr>
                <w:rFonts w:hint="eastAsia" w:ascii="仿宋" w:hAnsi="仿宋" w:eastAsia="仿宋" w:cs="仿宋"/>
                <w:sz w:val="24"/>
              </w:rPr>
            </w:pPr>
            <w:r>
              <w:rPr>
                <w:rFonts w:hint="eastAsia" w:ascii="仿宋" w:hAnsi="仿宋" w:eastAsia="仿宋" w:cs="仿宋"/>
                <w:sz w:val="24"/>
              </w:rPr>
              <w:t>理解管理会计的概念和基本内容，掌握管理会计与财务会计的区别与联系；掌握固定成本和变动成本的特点与内容，掌握本量利分析计算和本量利分析图；理解预测分析的内容和方法，掌握资金预测的销售百分比法；掌握差量分析法及其应用；理解长期投资决策及货币时间价值的涵义，掌握现金流量的计算，掌握动态评价指标在决策中的具体运用。</w:t>
            </w:r>
          </w:p>
        </w:tc>
        <w:tc>
          <w:tcPr>
            <w:tcW w:w="2033" w:type="dxa"/>
          </w:tcPr>
          <w:p>
            <w:pPr>
              <w:spacing w:line="360" w:lineRule="exact"/>
              <w:jc w:val="left"/>
              <w:rPr>
                <w:rFonts w:hint="eastAsia" w:ascii="仿宋" w:hAnsi="仿宋" w:eastAsia="仿宋" w:cs="仿宋"/>
                <w:sz w:val="24"/>
              </w:rPr>
            </w:pPr>
            <w:r>
              <w:rPr>
                <w:rFonts w:hint="eastAsia" w:ascii="仿宋" w:hAnsi="仿宋" w:eastAsia="仿宋" w:cs="仿宋"/>
                <w:sz w:val="24"/>
              </w:rPr>
              <w:t>管理会计概述、成本性态分析、变动成本法、本量利分析原理、预测分析、短期经营决策、长期投资决策、全面预算、成本控制、存货控制、责任会计等。</w:t>
            </w:r>
          </w:p>
        </w:tc>
        <w:tc>
          <w:tcPr>
            <w:tcW w:w="3468" w:type="dxa"/>
          </w:tcPr>
          <w:p>
            <w:pPr>
              <w:spacing w:line="320" w:lineRule="exact"/>
              <w:jc w:val="left"/>
              <w:rPr>
                <w:rFonts w:hint="eastAsia" w:ascii="仿宋" w:hAnsi="仿宋" w:eastAsia="仿宋" w:cs="仿宋"/>
                <w:sz w:val="24"/>
              </w:rPr>
            </w:pPr>
            <w:r>
              <w:rPr>
                <w:rFonts w:hint="eastAsia" w:ascii="仿宋" w:hAnsi="仿宋" w:eastAsia="仿宋" w:cs="仿宋"/>
                <w:sz w:val="24"/>
              </w:rPr>
              <w:t>通过教材结合PPT、视频等多媒体教学资源，系统讲授管理会计理论知识，利用实训系统开展虚拟仿真实训。教学中选取企业实际案例，引导学生分析讨论，增强理论联系实际的能力。课堂上组织学生围绕特定议题进行小组讨论，培养团队合作精神和批判性思维。鼓励学生课外自主学习，课堂上重点解决疑难问题，提高教学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exact"/>
              <w:jc w:val="center"/>
              <w:rPr>
                <w:rFonts w:hint="eastAsia" w:ascii="仿宋" w:hAnsi="仿宋" w:eastAsia="仿宋" w:cs="仿宋"/>
              </w:rPr>
            </w:pPr>
            <w:r>
              <w:rPr>
                <w:rFonts w:hint="eastAsia" w:ascii="仿宋" w:hAnsi="仿宋" w:eastAsia="仿宋" w:cs="仿宋"/>
              </w:rPr>
              <w:t>8</w:t>
            </w:r>
          </w:p>
        </w:tc>
        <w:tc>
          <w:tcPr>
            <w:tcW w:w="775" w:type="dxa"/>
            <w:vAlign w:val="center"/>
          </w:tcPr>
          <w:p>
            <w:pPr>
              <w:spacing w:line="360" w:lineRule="exact"/>
              <w:jc w:val="center"/>
              <w:rPr>
                <w:rFonts w:hint="eastAsia" w:ascii="仿宋" w:hAnsi="仿宋" w:eastAsia="仿宋" w:cs="仿宋"/>
                <w:sz w:val="24"/>
              </w:rPr>
            </w:pPr>
            <w:bookmarkStart w:id="29" w:name="_Hlk192064157"/>
            <w:r>
              <w:rPr>
                <w:rFonts w:hint="eastAsia" w:ascii="仿宋" w:hAnsi="仿宋" w:eastAsia="仿宋" w:cs="仿宋"/>
                <w:sz w:val="24"/>
              </w:rPr>
              <w:t>财务大数据分析与可视化</w:t>
            </w:r>
            <w:bookmarkEnd w:id="29"/>
          </w:p>
        </w:tc>
        <w:tc>
          <w:tcPr>
            <w:tcW w:w="3698" w:type="dxa"/>
          </w:tcPr>
          <w:p>
            <w:pPr>
              <w:spacing w:line="360" w:lineRule="exact"/>
              <w:jc w:val="left"/>
              <w:rPr>
                <w:rFonts w:hint="eastAsia" w:ascii="仿宋" w:hAnsi="仿宋" w:eastAsia="仿宋" w:cs="仿宋"/>
                <w:sz w:val="24"/>
              </w:rPr>
            </w:pPr>
            <w:r>
              <w:rPr>
                <w:rFonts w:hint="eastAsia" w:ascii="仿宋" w:hAnsi="仿宋" w:eastAsia="仿宋" w:cs="仿宋"/>
                <w:sz w:val="24"/>
              </w:rPr>
              <w:t>熟悉财务报表分析主要内容；了解财务报表分析的结构及其在会计核算过程中的地位和作用；掌握财务报表分析的基本理论、计算方式和报表分析的模式撰写；具有财务报表分析的分析能力，编写财务报表分析报告的能力。</w:t>
            </w:r>
          </w:p>
        </w:tc>
        <w:tc>
          <w:tcPr>
            <w:tcW w:w="2033" w:type="dxa"/>
          </w:tcPr>
          <w:p>
            <w:pPr>
              <w:spacing w:line="360" w:lineRule="exact"/>
              <w:rPr>
                <w:rFonts w:hint="eastAsia" w:ascii="仿宋" w:hAnsi="仿宋" w:eastAsia="仿宋" w:cs="仿宋"/>
                <w:sz w:val="24"/>
              </w:rPr>
            </w:pPr>
            <w:r>
              <w:rPr>
                <w:rFonts w:hint="eastAsia" w:ascii="仿宋" w:hAnsi="仿宋" w:eastAsia="仿宋" w:cs="仿宋"/>
                <w:sz w:val="24"/>
              </w:rPr>
              <w:t>财务报表分析综述、财务报表分析的信息构成、盈利能力、偿债能力、增长能力所有者权益变动表分析、财务报表综合分析、案例分析财务报表的内涵及应用等。完成相应数据分析及报告攥写。</w:t>
            </w:r>
          </w:p>
        </w:tc>
        <w:tc>
          <w:tcPr>
            <w:tcW w:w="3468" w:type="dxa"/>
          </w:tcPr>
          <w:p>
            <w:pPr>
              <w:spacing w:line="320" w:lineRule="exact"/>
              <w:jc w:val="left"/>
              <w:rPr>
                <w:rFonts w:hint="eastAsia" w:ascii="仿宋" w:hAnsi="仿宋" w:eastAsia="仿宋" w:cs="仿宋"/>
                <w:sz w:val="24"/>
              </w:rPr>
            </w:pPr>
            <w:r>
              <w:rPr>
                <w:rFonts w:hint="eastAsia" w:ascii="仿宋" w:hAnsi="仿宋" w:eastAsia="仿宋" w:cs="仿宋"/>
                <w:sz w:val="24"/>
              </w:rPr>
              <w:t>利用实训系统展开虚拟仿真实训，通过讲授结合PPT系统讲解财务报表分析的基本理论和方法，注重理论与实际相结合。通过实际案例的剖析，引导学生运用所学知识进行问题分析和解决，增强实践能力。能根据可视化数据呈现，进行财务业务数据的横向、纵向比较，结合企业管理知识，进行多维度分析，撰写报告，培养良好的数据思维和管理服务意识。</w:t>
            </w:r>
          </w:p>
        </w:tc>
      </w:tr>
      <w:bookmarkEnd w:id="25"/>
      <w:bookmarkEnd w:id="26"/>
      <w:bookmarkEnd w:id="27"/>
      <w:bookmarkEnd w:id="28"/>
    </w:tbl>
    <w:p>
      <w:pPr>
        <w:adjustRightInd w:val="0"/>
        <w:snapToGri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3.主要实践性课程：毕业设计、岗位实习</w:t>
      </w:r>
    </w:p>
    <w:p>
      <w:pPr>
        <w:adjustRightInd w:val="0"/>
        <w:snapToGrid w:val="0"/>
        <w:spacing w:after="0"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 主要实践课程描述表</w:t>
      </w:r>
    </w:p>
    <w:tbl>
      <w:tblPr>
        <w:tblStyle w:val="7"/>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3446"/>
        <w:gridCol w:w="1575"/>
        <w:gridCol w:w="3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overflowPunct w:val="0"/>
              <w:adjustRightInd w:val="0"/>
              <w:spacing w:line="360" w:lineRule="exact"/>
              <w:jc w:val="center"/>
              <w:rPr>
                <w:rFonts w:hint="eastAsia" w:ascii="仿宋" w:hAnsi="仿宋" w:eastAsia="仿宋" w:cs="仿宋"/>
                <w:sz w:val="24"/>
              </w:rPr>
            </w:pPr>
            <w:bookmarkStart w:id="30" w:name="OLE_LINK21"/>
            <w:r>
              <w:rPr>
                <w:rFonts w:hint="eastAsia" w:ascii="仿宋" w:hAnsi="仿宋" w:eastAsia="仿宋" w:cs="仿宋"/>
                <w:sz w:val="24"/>
              </w:rPr>
              <w:t>序号</w:t>
            </w:r>
          </w:p>
        </w:tc>
        <w:tc>
          <w:tcPr>
            <w:tcW w:w="856"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课程名称</w:t>
            </w:r>
          </w:p>
        </w:tc>
        <w:tc>
          <w:tcPr>
            <w:tcW w:w="3446"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课程教学目标</w:t>
            </w:r>
          </w:p>
        </w:tc>
        <w:tc>
          <w:tcPr>
            <w:tcW w:w="1575"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课程教学内容</w:t>
            </w:r>
          </w:p>
        </w:tc>
        <w:tc>
          <w:tcPr>
            <w:tcW w:w="3193"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1</w:t>
            </w:r>
          </w:p>
        </w:tc>
        <w:tc>
          <w:tcPr>
            <w:tcW w:w="856"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毕业设计</w:t>
            </w:r>
          </w:p>
        </w:tc>
        <w:tc>
          <w:tcPr>
            <w:tcW w:w="3446" w:type="dxa"/>
            <w:vAlign w:val="center"/>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1575"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选题和资料收集；分析和计划；开题报告；撰写初稿；修改定稿；答辩。</w:t>
            </w:r>
          </w:p>
        </w:tc>
        <w:tc>
          <w:tcPr>
            <w:tcW w:w="3193"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指导教师根据学生的能力水平和兴趣特长，进行针对性及个别指导。同时全程跟踪学生的研究进展，及时解决学生遇到的问题；对学生在选题、研究过程、论文撰写及答辩等各个环节均提出明确要求；鼓励学生在研究中勇于探索未知领域，提出新观点、新方法，培养学生的创新意识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2</w:t>
            </w:r>
          </w:p>
        </w:tc>
        <w:tc>
          <w:tcPr>
            <w:tcW w:w="856" w:type="dxa"/>
            <w:vAlign w:val="center"/>
          </w:tcPr>
          <w:p>
            <w:pPr>
              <w:overflowPunct w:val="0"/>
              <w:adjustRightInd w:val="0"/>
              <w:spacing w:line="360" w:lineRule="exact"/>
              <w:jc w:val="center"/>
              <w:rPr>
                <w:rFonts w:hint="eastAsia" w:ascii="仿宋" w:hAnsi="仿宋" w:eastAsia="仿宋" w:cs="仿宋"/>
                <w:sz w:val="24"/>
              </w:rPr>
            </w:pPr>
            <w:r>
              <w:rPr>
                <w:rFonts w:hint="eastAsia" w:ascii="仿宋" w:hAnsi="仿宋" w:eastAsia="仿宋" w:cs="仿宋"/>
                <w:sz w:val="24"/>
              </w:rPr>
              <w:t>岗位实习</w:t>
            </w:r>
          </w:p>
        </w:tc>
        <w:tc>
          <w:tcPr>
            <w:tcW w:w="3446"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通过岗位实习，培养学生吃苦耐劳、团结合作的精神品质和正确的处事原则,进一步增强学生实际操作能力、专业应用能力和岗位适应能力，并取得用人单位正式聘用。</w:t>
            </w:r>
          </w:p>
        </w:tc>
        <w:tc>
          <w:tcPr>
            <w:tcW w:w="1575"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会计岗位实习、出纳岗位实习</w:t>
            </w:r>
          </w:p>
        </w:tc>
        <w:tc>
          <w:tcPr>
            <w:tcW w:w="3193"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通过校企合作模式、实习导师制、实习日志与报告撰写等教学方法，让学生在真实的工作环境中锻炼技能，积累实践经验。</w:t>
            </w:r>
          </w:p>
        </w:tc>
      </w:tr>
      <w:bookmarkEnd w:id="30"/>
    </w:tbl>
    <w:p>
      <w:pPr>
        <w:adjustRightInd w:val="0"/>
        <w:snapToGrid w:val="0"/>
        <w:spacing w:after="0" w:line="520" w:lineRule="exact"/>
        <w:ind w:firstLine="640" w:firstLineChars="200"/>
        <w:rPr>
          <w:rFonts w:hint="eastAsia" w:ascii="仿宋_GB2312" w:hAnsi="仿宋_GB2312" w:eastAsia="仿宋_GB2312" w:cs="仿宋_GB2312"/>
          <w:sz w:val="32"/>
          <w:szCs w:val="32"/>
        </w:rPr>
      </w:pPr>
      <w:bookmarkStart w:id="31" w:name="_Toc90734991"/>
      <w:r>
        <w:rPr>
          <w:rFonts w:hint="eastAsia" w:ascii="仿宋_GB2312" w:hAnsi="仿宋_GB2312" w:eastAsia="仿宋_GB2312" w:cs="仿宋_GB2312"/>
          <w:sz w:val="32"/>
          <w:szCs w:val="32"/>
        </w:rPr>
        <w:t>4.专业拓展课程：</w:t>
      </w:r>
      <w:bookmarkEnd w:id="31"/>
    </w:p>
    <w:p>
      <w:pPr>
        <w:adjustRightInd w:val="0"/>
        <w:snapToGri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财务会计行业</w:t>
      </w:r>
      <w:r>
        <w:rPr>
          <w:rFonts w:hint="eastAsia" w:ascii="仿宋_GB2312" w:hAnsi="仿宋_GB2312" w:eastAsia="仿宋_GB2312" w:cs="仿宋_GB2312"/>
          <w:sz w:val="32"/>
          <w:szCs w:val="32"/>
        </w:rPr>
        <w:t>发展的趋势，依据企业用人需求调研，企业对</w:t>
      </w:r>
      <w:r>
        <w:rPr>
          <w:rFonts w:hint="eastAsia" w:ascii="仿宋_GB2312" w:hAnsi="仿宋_GB2312" w:eastAsia="仿宋_GB2312" w:cs="仿宋_GB2312"/>
          <w:spacing w:val="-2"/>
          <w:sz w:val="32"/>
          <w:szCs w:val="32"/>
        </w:rPr>
        <w:t>大数据处理、会计核算、财务管理</w:t>
      </w:r>
      <w:r>
        <w:rPr>
          <w:rFonts w:hint="eastAsia" w:ascii="仿宋_GB2312" w:hAnsi="仿宋_GB2312" w:eastAsia="仿宋_GB2312" w:cs="仿宋_GB2312"/>
          <w:sz w:val="32"/>
          <w:szCs w:val="32"/>
        </w:rPr>
        <w:t>等方面日益增加的需求，建立了</w:t>
      </w:r>
      <w:r>
        <w:rPr>
          <w:rFonts w:hint="eastAsia" w:ascii="仿宋_GB2312" w:hAnsi="仿宋_GB2312" w:eastAsia="仿宋_GB2312" w:cs="仿宋_GB2312"/>
          <w:spacing w:val="-2"/>
          <w:sz w:val="32"/>
          <w:szCs w:val="32"/>
        </w:rPr>
        <w:t>大数据与会计</w:t>
      </w:r>
      <w:r>
        <w:rPr>
          <w:rFonts w:hint="eastAsia" w:ascii="仿宋_GB2312" w:hAnsi="仿宋_GB2312" w:eastAsia="仿宋_GB2312" w:cs="仿宋_GB2312"/>
          <w:sz w:val="32"/>
          <w:szCs w:val="32"/>
        </w:rPr>
        <w:t>专业拓展课，并将辅修方向课程纳入其中。由</w:t>
      </w:r>
      <w:bookmarkStart w:id="32" w:name="OLE_LINK17"/>
      <w:r>
        <w:rPr>
          <w:rFonts w:hint="eastAsia" w:ascii="仿宋_GB2312" w:hAnsi="仿宋_GB2312" w:eastAsia="仿宋_GB2312" w:cs="仿宋_GB2312"/>
          <w:sz w:val="32"/>
          <w:szCs w:val="32"/>
        </w:rPr>
        <w:t>财务会计职业素养、文献检索与论文写作、经济学基础、电子商务基础</w:t>
      </w:r>
      <w:bookmarkEnd w:id="32"/>
      <w:r>
        <w:rPr>
          <w:rFonts w:hint="eastAsia" w:ascii="仿宋_GB2312" w:hAnsi="仿宋_GB2312" w:eastAsia="仿宋_GB2312" w:cs="仿宋_GB2312"/>
          <w:sz w:val="32"/>
          <w:szCs w:val="32"/>
        </w:rPr>
        <w:t>等课程构成专业拓展课。</w:t>
      </w:r>
    </w:p>
    <w:p>
      <w:pPr>
        <w:adjustRightInd w:val="0"/>
        <w:snapToGrid w:val="0"/>
        <w:spacing w:after="0"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 大数据与会计专业拓展课程描述表</w:t>
      </w:r>
    </w:p>
    <w:tbl>
      <w:tblPr>
        <w:tblStyle w:val="7"/>
        <w:tblW w:w="10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940"/>
        <w:gridCol w:w="2623"/>
        <w:gridCol w:w="2172"/>
        <w:gridCol w:w="3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序号</w:t>
            </w:r>
          </w:p>
        </w:tc>
        <w:tc>
          <w:tcPr>
            <w:tcW w:w="940"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w:t>
            </w:r>
          </w:p>
          <w:p>
            <w:pPr>
              <w:spacing w:line="360" w:lineRule="exact"/>
              <w:jc w:val="center"/>
              <w:rPr>
                <w:rFonts w:hint="eastAsia" w:ascii="仿宋" w:hAnsi="仿宋" w:eastAsia="仿宋" w:cs="仿宋"/>
                <w:sz w:val="24"/>
              </w:rPr>
            </w:pPr>
            <w:r>
              <w:rPr>
                <w:rFonts w:hint="eastAsia" w:ascii="仿宋" w:hAnsi="仿宋" w:eastAsia="仿宋" w:cs="仿宋"/>
                <w:sz w:val="24"/>
              </w:rPr>
              <w:t>名称</w:t>
            </w:r>
          </w:p>
        </w:tc>
        <w:tc>
          <w:tcPr>
            <w:tcW w:w="2623"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课程教学目标</w:t>
            </w:r>
          </w:p>
        </w:tc>
        <w:tc>
          <w:tcPr>
            <w:tcW w:w="2172"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课程教学内容</w:t>
            </w:r>
          </w:p>
        </w:tc>
        <w:tc>
          <w:tcPr>
            <w:tcW w:w="3575"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1</w:t>
            </w:r>
          </w:p>
        </w:tc>
        <w:tc>
          <w:tcPr>
            <w:tcW w:w="940" w:type="dxa"/>
            <w:vAlign w:val="center"/>
          </w:tcPr>
          <w:p>
            <w:pPr>
              <w:overflowPunct w:val="0"/>
              <w:adjustRightInd w:val="0"/>
              <w:spacing w:line="360" w:lineRule="exact"/>
              <w:rPr>
                <w:rFonts w:hint="eastAsia" w:ascii="仿宋" w:hAnsi="仿宋" w:eastAsia="仿宋" w:cs="仿宋"/>
                <w:sz w:val="24"/>
              </w:rPr>
            </w:pPr>
            <w:bookmarkStart w:id="33" w:name="OLE_LINK14"/>
            <w:r>
              <w:rPr>
                <w:rFonts w:hint="eastAsia" w:ascii="仿宋" w:hAnsi="仿宋" w:eastAsia="仿宋" w:cs="仿宋"/>
                <w:sz w:val="24"/>
              </w:rPr>
              <w:t>财务会计职业素养</w:t>
            </w:r>
            <w:bookmarkEnd w:id="33"/>
            <w:r>
              <w:rPr>
                <w:rFonts w:hint="eastAsia" w:ascii="仿宋" w:hAnsi="仿宋" w:eastAsia="仿宋" w:cs="仿宋"/>
                <w:sz w:val="24"/>
              </w:rPr>
              <w:br w:type="textWrapping"/>
            </w:r>
          </w:p>
        </w:tc>
        <w:tc>
          <w:tcPr>
            <w:tcW w:w="2623"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培养学生爱岗敬业、诚实守信、廉洁自律、客观公正、坚持准则、提高技能、参与管理、强化服务等财务会计职业素养。</w:t>
            </w:r>
            <w:r>
              <w:rPr>
                <w:rFonts w:hint="eastAsia" w:ascii="仿宋" w:hAnsi="仿宋" w:eastAsia="仿宋" w:cs="仿宋"/>
                <w:sz w:val="24"/>
              </w:rPr>
              <w:br w:type="textWrapping"/>
            </w:r>
          </w:p>
        </w:tc>
        <w:tc>
          <w:tcPr>
            <w:tcW w:w="2172"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财务人员职业操守、工作规范和纪律守则、财务人员道德纪律、会计职业道德概述、会计职业道德与会计法律制度、财务人员相关法律、法规、政策等。</w:t>
            </w:r>
          </w:p>
        </w:tc>
        <w:tc>
          <w:tcPr>
            <w:tcW w:w="3575" w:type="dxa"/>
            <w:vAlign w:val="center"/>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通过教师系统讲授，使学生掌握基础知识和理论框架。在教学过程中选取典型财经案例，引导学生分析讨论，增强实践应用能力。组织学生分组讨论，促进思想碰撞，培养团队合作精神。模拟会计工作中的实际场景，让学生在角色扮演中体验法律与道德的冲突与抉择。利用网络平台提供丰富的教学资料、视频讲座、在线测试等，拓宽学习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4" w:hRule="atLeast"/>
          <w:jc w:val="center"/>
        </w:trPr>
        <w:tc>
          <w:tcPr>
            <w:tcW w:w="841"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2</w:t>
            </w:r>
          </w:p>
        </w:tc>
        <w:tc>
          <w:tcPr>
            <w:tcW w:w="940" w:type="dxa"/>
            <w:vAlign w:val="center"/>
          </w:tcPr>
          <w:p>
            <w:pPr>
              <w:overflowPunct w:val="0"/>
              <w:adjustRightInd w:val="0"/>
              <w:spacing w:line="360" w:lineRule="exact"/>
              <w:rPr>
                <w:rFonts w:hint="eastAsia" w:ascii="仿宋" w:hAnsi="仿宋" w:eastAsia="仿宋" w:cs="仿宋"/>
                <w:sz w:val="24"/>
              </w:rPr>
            </w:pPr>
            <w:bookmarkStart w:id="34" w:name="OLE_LINK15"/>
            <w:r>
              <w:rPr>
                <w:rFonts w:hint="eastAsia" w:ascii="仿宋" w:hAnsi="仿宋" w:eastAsia="仿宋" w:cs="仿宋"/>
                <w:sz w:val="24"/>
              </w:rPr>
              <w:t>文献检索与论文写作</w:t>
            </w:r>
            <w:bookmarkEnd w:id="34"/>
            <w:r>
              <w:rPr>
                <w:rFonts w:hint="eastAsia" w:ascii="仿宋" w:hAnsi="仿宋" w:eastAsia="仿宋" w:cs="仿宋"/>
                <w:sz w:val="24"/>
              </w:rPr>
              <w:br w:type="textWrapping"/>
            </w:r>
          </w:p>
        </w:tc>
        <w:tc>
          <w:tcPr>
            <w:tcW w:w="2623"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r>
              <w:rPr>
                <w:rFonts w:hint="eastAsia" w:ascii="仿宋" w:hAnsi="仿宋" w:eastAsia="仿宋" w:cs="仿宋"/>
                <w:sz w:val="24"/>
              </w:rPr>
              <w:br w:type="textWrapping"/>
            </w:r>
          </w:p>
        </w:tc>
        <w:tc>
          <w:tcPr>
            <w:tcW w:w="2172"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文献信息基础知识掌握，中国期刊全文数据库、引文检索的特点和要求、科技论文的格式、科技论文的规范表达，综述论文写作要点、科技论文写作要点、毕业论文的写作规范，毕业论文的答辩等。</w:t>
            </w:r>
          </w:p>
        </w:tc>
        <w:tc>
          <w:tcPr>
            <w:tcW w:w="3575" w:type="dxa"/>
            <w:vAlign w:val="center"/>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针对各章不同教学内容和教学目标，采用教师讲授、学生讨论、课堂练习、课后作业等多种多样的学习方法，融“教、学、做”于一体，运用教师案例教学法，让学生能够熟悉并掌握文献检索在实际学习中的必要性，了解相关概念，掌握文献检索的基本知识及检索工具的基本知识和使用方法，并掌握论文，申请书等常见应用文的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3</w:t>
            </w:r>
          </w:p>
        </w:tc>
        <w:tc>
          <w:tcPr>
            <w:tcW w:w="940" w:type="dxa"/>
            <w:vAlign w:val="center"/>
          </w:tcPr>
          <w:p>
            <w:pPr>
              <w:overflowPunct w:val="0"/>
              <w:adjustRightInd w:val="0"/>
              <w:spacing w:line="360" w:lineRule="exact"/>
              <w:rPr>
                <w:rFonts w:hint="eastAsia" w:ascii="仿宋" w:hAnsi="仿宋" w:eastAsia="仿宋" w:cs="仿宋"/>
                <w:sz w:val="24"/>
              </w:rPr>
            </w:pPr>
            <w:bookmarkStart w:id="35" w:name="OLE_LINK16"/>
            <w:r>
              <w:rPr>
                <w:rFonts w:hint="eastAsia" w:ascii="仿宋" w:hAnsi="仿宋" w:eastAsia="仿宋" w:cs="仿宋"/>
                <w:sz w:val="24"/>
              </w:rPr>
              <w:t>经济学基础</w:t>
            </w:r>
            <w:r>
              <w:rPr>
                <w:rFonts w:hint="eastAsia" w:ascii="仿宋" w:hAnsi="仿宋" w:eastAsia="仿宋" w:cs="仿宋"/>
                <w:sz w:val="24"/>
              </w:rPr>
              <w:br w:type="textWrapping"/>
            </w:r>
            <w:bookmarkEnd w:id="35"/>
          </w:p>
        </w:tc>
        <w:tc>
          <w:tcPr>
            <w:tcW w:w="2623" w:type="dxa"/>
            <w:vAlign w:val="center"/>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掌握经济学的基本概念和原理，包括经济学的定义、范畴、基本假设、经济体系、经济规律等方面的知识；熟悉市场经济体制下的经济规律和运行机制，包括供求关系、价格形成、市场竞争、资源配置等方面的知识；了解宏观经济运行和调控，包括国民经济核算、货币政策、财政政策等方面的知识；了解经济全球化和国际经济合作，包括国际贸易、国际投资、国际金融等方面的知识；掌握经济分析和决策的基本方法和技能，包括经济学模型的构建、数据分析的方法和技巧、经济政策的评估等方面的知识。</w:t>
            </w:r>
          </w:p>
        </w:tc>
        <w:tc>
          <w:tcPr>
            <w:tcW w:w="2172"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导论、需求、供给和均衡价格决定理论、消费者行为理论、生产者理论、成本理论、市场理论</w:t>
            </w:r>
            <w:r>
              <w:rPr>
                <w:rFonts w:hint="eastAsia" w:ascii="仿宋" w:hAnsi="仿宋" w:eastAsia="仿宋" w:cs="仿宋"/>
                <w:sz w:val="24"/>
              </w:rPr>
              <w:softHyphen/>
            </w:r>
            <w:r>
              <w:rPr>
                <w:rFonts w:hint="eastAsia" w:ascii="仿宋" w:hAnsi="仿宋" w:eastAsia="仿宋" w:cs="仿宋"/>
                <w:sz w:val="24"/>
              </w:rPr>
              <w:t>、分配理论、市场失灵和政府、国民收入核算理论、国民收入决定理论、失业与通货膨胀理论、章经济周期理论、宏观经济政策等。</w:t>
            </w:r>
          </w:p>
        </w:tc>
        <w:tc>
          <w:tcPr>
            <w:tcW w:w="3575"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采用教材结合多媒体教学手段，结合生动具体的经济案例，帮助学生理解抽象的经济理论。教学中组织小组讨论，鼓励学生积极参与，促进思想碰撞，深化对经济学原理的理解。推荐经济学经典读物和前沿研究论文，鼓励学生拓展知识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Align w:val="center"/>
          </w:tcPr>
          <w:p>
            <w:pPr>
              <w:spacing w:line="360" w:lineRule="exact"/>
              <w:jc w:val="center"/>
              <w:rPr>
                <w:rFonts w:hint="eastAsia" w:ascii="仿宋" w:hAnsi="仿宋" w:eastAsia="仿宋" w:cs="仿宋"/>
                <w:sz w:val="24"/>
              </w:rPr>
            </w:pPr>
            <w:r>
              <w:rPr>
                <w:rFonts w:hint="eastAsia" w:ascii="仿宋" w:hAnsi="仿宋" w:eastAsia="仿宋" w:cs="仿宋"/>
                <w:sz w:val="24"/>
              </w:rPr>
              <w:t>4</w:t>
            </w:r>
          </w:p>
        </w:tc>
        <w:tc>
          <w:tcPr>
            <w:tcW w:w="940" w:type="dxa"/>
            <w:vAlign w:val="center"/>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电子商务基础</w:t>
            </w:r>
          </w:p>
        </w:tc>
        <w:tc>
          <w:tcPr>
            <w:tcW w:w="2623" w:type="dxa"/>
            <w:vAlign w:val="center"/>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通过本课程的学习，帮助学生掌握电子商务有关的概念、基本知识和基础理论，在理解有关概念的基础上，熟悉电子商务的实现技术。具体课程内容包括电子商务概述、电子商务技术基础，电子商务商业模式、电子商务支付、电子商务物流、网络营销、电子商务涉及的法律法规等。</w:t>
            </w:r>
          </w:p>
        </w:tc>
        <w:tc>
          <w:tcPr>
            <w:tcW w:w="2172"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电子商务概述，电子商务技术基础，网络零售，网络营销，网店管理，电子支付，电子商务物流及供应链管，电子商务安全，新零售，电子商务法，客户关系管理，移动电子商务，电子政务等。</w:t>
            </w:r>
          </w:p>
        </w:tc>
        <w:tc>
          <w:tcPr>
            <w:tcW w:w="3575" w:type="dxa"/>
          </w:tcPr>
          <w:p>
            <w:pPr>
              <w:overflowPunct w:val="0"/>
              <w:adjustRightInd w:val="0"/>
              <w:spacing w:line="360" w:lineRule="exact"/>
              <w:rPr>
                <w:rFonts w:hint="eastAsia" w:ascii="仿宋" w:hAnsi="仿宋" w:eastAsia="仿宋" w:cs="仿宋"/>
                <w:sz w:val="24"/>
              </w:rPr>
            </w:pPr>
            <w:r>
              <w:rPr>
                <w:rFonts w:hint="eastAsia" w:ascii="仿宋" w:hAnsi="仿宋" w:eastAsia="仿宋" w:cs="仿宋"/>
                <w:sz w:val="24"/>
              </w:rPr>
              <w:t>课程采用多种教学方法，如案例分析、项目实训、小组讨论、模拟演练等，以提高学生的实际操作能力和理解力。使学生掌握电子商务的基本概念、框架结构、运行环境、技术内容、交易手段与管理方法，以及电子商务应用的现实框架等内容。</w:t>
            </w:r>
          </w:p>
        </w:tc>
      </w:tr>
    </w:tbl>
    <w:p>
      <w:pPr>
        <w:spacing w:after="0" w:line="520" w:lineRule="exact"/>
        <w:ind w:firstLine="640" w:firstLineChars="200"/>
        <w:rPr>
          <w:rFonts w:hint="eastAsia" w:ascii="楷体" w:hAnsi="楷体" w:eastAsia="楷体" w:cs="楷体"/>
          <w:sz w:val="32"/>
          <w:szCs w:val="32"/>
        </w:rPr>
      </w:pPr>
    </w:p>
    <w:p>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（三）第二课堂</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第二课堂包括思想成长、社会实践与志愿服务、文艺体育、工作履历、科技学术和创新创业、专业技能特长等其他各类课程及活动。</w:t>
      </w:r>
    </w:p>
    <w:p>
      <w:pPr>
        <w:overflowPunct w:val="0"/>
        <w:adjustRightInd w:val="0"/>
        <w:spacing w:after="0" w:line="520" w:lineRule="exact"/>
        <w:ind w:firstLine="640" w:firstLineChars="200"/>
        <w:outlineLvl w:val="0"/>
        <w:rPr>
          <w:rFonts w:hint="eastAsia" w:ascii="黑体" w:hAnsi="黑体" w:eastAsia="黑体"/>
          <w:sz w:val="32"/>
          <w:szCs w:val="32"/>
        </w:rPr>
      </w:pPr>
      <w:r>
        <w:rPr>
          <w:rFonts w:ascii="黑体" w:hAnsi="黑体" w:eastAsia="黑体"/>
          <w:sz w:val="32"/>
          <w:szCs w:val="32"/>
        </w:rPr>
        <w:t>七、教学进程总体安排</w:t>
      </w:r>
    </w:p>
    <w:p>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（一）教学时间安排</w:t>
      </w:r>
    </w:p>
    <w:p>
      <w:pPr>
        <w:overflowPunct w:val="0"/>
        <w:adjustRightInd w:val="0"/>
        <w:spacing w:after="0"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本专业教学活动总周数为120周。其中，校内教学共76周，校外教学共 31周，复习考试共6周，机动共7周。教学安排可根据具体情况经教务科研处审批后作适当调整。 </w:t>
      </w:r>
    </w:p>
    <w:p>
      <w:pPr>
        <w:spacing w:after="0"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 大数据与会计专业教学时间安排表</w:t>
      </w:r>
    </w:p>
    <w:tbl>
      <w:tblPr>
        <w:tblStyle w:val="7"/>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6"/>
        <w:gridCol w:w="1594"/>
        <w:gridCol w:w="1225"/>
        <w:gridCol w:w="1185"/>
        <w:gridCol w:w="1140"/>
        <w:gridCol w:w="112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3400" w:type="dxa"/>
            <w:gridSpan w:val="2"/>
            <w:noWrap w:val="0"/>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mc:AlternateContent>
                <mc:Choice Requires="wpsCustomData">
                  <wpsCustomData:diagonalParaType/>
                </mc:Choice>
              </mc:AlternateContent>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学年</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mc:AlternateContent>
                <mc:Choice Requires="wpsCustomData">
                  <wpsCustomData:diagonalParaType/>
                </mc:Choice>
              </mc:AlternateContent>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周数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both"/>
              <w:textAlignment w:val="auto"/>
              <w:rPr>
                <w:rFonts w:hint="eastAsia" w:ascii="仿宋" w:hAnsi="仿宋" w:eastAsia="仿宋" w:cs="仿宋"/>
                <w:color w:val="auto"/>
                <w:sz w:val="24"/>
                <w:szCs w:val="24"/>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both"/>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内容</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校内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教学</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校外</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教学</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考试</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机动</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第一学年</w:t>
            </w: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第二学年</w:t>
            </w: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3</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18</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0</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kern w:val="2"/>
                <w:sz w:val="24"/>
                <w:szCs w:val="24"/>
                <w:highlight w:val="none"/>
                <w:vertAlign w:val="baseline"/>
                <w:lang w:val="en-US" w:eastAsia="zh-CN" w:bidi="ar-SA"/>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第三学年</w:t>
            </w: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5</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4</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14</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59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6</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0</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17</w:t>
            </w: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w:t>
            </w: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合计</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1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rPr>
            </w:pPr>
          </w:p>
        </w:tc>
        <w:tc>
          <w:tcPr>
            <w:tcW w:w="12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120</w:t>
            </w:r>
          </w:p>
        </w:tc>
      </w:tr>
    </w:tbl>
    <w:p>
      <w:pPr>
        <w:spacing w:after="0" w:line="520" w:lineRule="exact"/>
        <w:ind w:firstLine="640" w:firstLineChars="200"/>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pPr>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spacing w:val="-2"/>
          <w:sz w:val="32"/>
          <w:szCs w:val="32"/>
        </w:rPr>
        <w:t>3062</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spacing w:val="-2"/>
          <w:sz w:val="32"/>
          <w:szCs w:val="32"/>
        </w:rPr>
        <w:t>1440</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47</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spacing w:val="-2"/>
          <w:sz w:val="32"/>
          <w:szCs w:val="32"/>
        </w:rPr>
        <w:t>1622</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53</w:t>
      </w:r>
      <w:r>
        <w:rPr>
          <w:rFonts w:hint="eastAsia" w:ascii="仿宋_GB2312" w:hAnsi="仿宋_GB2312" w:eastAsia="仿宋_GB2312" w:cs="仿宋_GB2312"/>
          <w:bCs/>
          <w:sz w:val="32"/>
          <w:szCs w:val="32"/>
        </w:rPr>
        <w:t>%，其中岗位实习累计时间6个月。公共基础课</w:t>
      </w:r>
      <w:r>
        <w:rPr>
          <w:rFonts w:hint="eastAsia" w:ascii="仿宋_GB2312" w:hAnsi="仿宋_GB2312" w:eastAsia="仿宋_GB2312" w:cs="仿宋_GB2312"/>
          <w:spacing w:val="-2"/>
          <w:sz w:val="32"/>
          <w:szCs w:val="32"/>
        </w:rPr>
        <w:t>974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31.8</w:t>
      </w:r>
      <w:r>
        <w:rPr>
          <w:rFonts w:hint="eastAsia" w:ascii="仿宋_GB2312" w:hAnsi="仿宋_GB2312" w:eastAsia="仿宋_GB2312" w:cs="仿宋_GB2312"/>
          <w:bCs/>
          <w:sz w:val="32"/>
          <w:szCs w:val="32"/>
        </w:rPr>
        <w:t xml:space="preserve"> %；选修课</w:t>
      </w:r>
      <w:r>
        <w:rPr>
          <w:rFonts w:hint="eastAsia" w:ascii="仿宋_GB2312" w:hAnsi="仿宋_GB2312" w:eastAsia="仿宋_GB2312" w:cs="仿宋_GB2312"/>
          <w:spacing w:val="-2"/>
          <w:sz w:val="32"/>
          <w:szCs w:val="32"/>
        </w:rPr>
        <w:t>324</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10.6</w:t>
      </w:r>
      <w:r>
        <w:rPr>
          <w:rFonts w:hint="eastAsia" w:ascii="仿宋_GB2312" w:hAnsi="仿宋_GB2312" w:eastAsia="仿宋_GB2312" w:cs="仿宋_GB2312"/>
          <w:bCs/>
          <w:sz w:val="32"/>
          <w:szCs w:val="32"/>
        </w:rPr>
        <w:t xml:space="preserve">%。       </w:t>
      </w:r>
    </w:p>
    <w:p>
      <w:pPr>
        <w:spacing w:after="0" w:line="520" w:lineRule="exact"/>
        <w:jc w:val="center"/>
        <w:rPr>
          <w:rFonts w:hint="eastAsia" w:ascii="仿宋_GB2312" w:hAnsi="仿宋_GB2312" w:eastAsia="仿宋_GB2312" w:cs="仿宋_GB2312"/>
          <w:sz w:val="32"/>
          <w:szCs w:val="32"/>
        </w:rPr>
      </w:pPr>
    </w:p>
    <w:p>
      <w:pPr>
        <w:spacing w:after="0" w:line="520" w:lineRule="exact"/>
        <w:jc w:val="center"/>
        <w:rPr>
          <w:rFonts w:hint="eastAsia" w:ascii="仿宋_GB2312" w:hAnsi="仿宋_GB2312" w:eastAsia="仿宋_GB2312" w:cs="仿宋_GB2312"/>
          <w:sz w:val="32"/>
          <w:szCs w:val="32"/>
        </w:rPr>
      </w:pPr>
    </w:p>
    <w:p>
      <w:pPr>
        <w:spacing w:after="0" w:line="520" w:lineRule="exact"/>
        <w:jc w:val="center"/>
        <w:rPr>
          <w:rFonts w:hint="eastAsia" w:ascii="仿宋_GB2312" w:hAnsi="仿宋_GB2312" w:eastAsia="仿宋_GB2312" w:cs="仿宋_GB2312"/>
          <w:sz w:val="32"/>
          <w:szCs w:val="32"/>
        </w:rPr>
      </w:pPr>
    </w:p>
    <w:p>
      <w:pPr>
        <w:spacing w:after="0" w:line="520" w:lineRule="exact"/>
        <w:jc w:val="center"/>
        <w:rPr>
          <w:rFonts w:hint="eastAsia" w:ascii="楷体" w:hAnsi="楷体" w:eastAsia="楷体" w:cs="楷体"/>
          <w:bCs/>
          <w:sz w:val="32"/>
          <w:szCs w:val="32"/>
        </w:rPr>
      </w:pPr>
      <w:r>
        <w:rPr>
          <w:rFonts w:hint="eastAsia" w:ascii="仿宋_GB2312" w:hAnsi="仿宋_GB2312" w:eastAsia="仿宋_GB2312" w:cs="仿宋_GB2312"/>
          <w:sz w:val="32"/>
          <w:szCs w:val="32"/>
        </w:rPr>
        <w:t xml:space="preserve">表8 </w:t>
      </w:r>
      <w:r>
        <w:rPr>
          <w:rFonts w:hint="eastAsia" w:ascii="仿宋_GB2312" w:hAnsi="仿宋_GB2312" w:eastAsia="仿宋_GB2312" w:cs="仿宋_GB2312"/>
          <w:sz w:val="32"/>
          <w:szCs w:val="32"/>
          <w:shd w:val="clear" w:color="auto" w:fill="FFFFFF"/>
          <w:lang w:bidi="ar"/>
        </w:rPr>
        <w:t>大数据与会计</w:t>
      </w:r>
      <w:r>
        <w:rPr>
          <w:rFonts w:hint="eastAsia" w:ascii="仿宋_GB2312" w:hAnsi="仿宋_GB2312" w:eastAsia="仿宋_GB2312" w:cs="仿宋_GB2312"/>
          <w:spacing w:val="-2"/>
          <w:sz w:val="32"/>
          <w:szCs w:val="32"/>
        </w:rPr>
        <w:t>专业课程学时、学分分配表</w:t>
      </w:r>
    </w:p>
    <w:tbl>
      <w:tblPr>
        <w:tblStyle w:val="6"/>
        <w:tblW w:w="6172" w:type="pct"/>
        <w:jc w:val="center"/>
        <w:tblLayout w:type="fixed"/>
        <w:tblCellMar>
          <w:top w:w="0" w:type="dxa"/>
          <w:left w:w="108" w:type="dxa"/>
          <w:bottom w:w="0" w:type="dxa"/>
          <w:right w:w="108" w:type="dxa"/>
        </w:tblCellMar>
      </w:tblPr>
      <w:tblGrid>
        <w:gridCol w:w="826"/>
        <w:gridCol w:w="1714"/>
        <w:gridCol w:w="767"/>
        <w:gridCol w:w="843"/>
        <w:gridCol w:w="1288"/>
        <w:gridCol w:w="694"/>
        <w:gridCol w:w="694"/>
        <w:gridCol w:w="1483"/>
        <w:gridCol w:w="717"/>
        <w:gridCol w:w="1494"/>
      </w:tblGrid>
      <w:tr>
        <w:tblPrEx>
          <w:tblCellMar>
            <w:top w:w="0" w:type="dxa"/>
            <w:left w:w="108" w:type="dxa"/>
            <w:bottom w:w="0" w:type="dxa"/>
            <w:right w:w="108" w:type="dxa"/>
          </w:tblCellMar>
        </w:tblPrEx>
        <w:trPr>
          <w:trHeight w:val="312" w:hRule="atLeast"/>
          <w:jc w:val="center"/>
        </w:trPr>
        <w:tc>
          <w:tcPr>
            <w:tcW w:w="120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课程类别</w:t>
            </w:r>
          </w:p>
        </w:tc>
        <w:tc>
          <w:tcPr>
            <w:tcW w:w="3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课程性质</w:t>
            </w:r>
          </w:p>
        </w:tc>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学分</w:t>
            </w:r>
          </w:p>
        </w:tc>
        <w:tc>
          <w:tcPr>
            <w:tcW w:w="6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占专业总学分比例</w:t>
            </w:r>
          </w:p>
        </w:tc>
        <w:tc>
          <w:tcPr>
            <w:tcW w:w="2416"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 xml:space="preserve">                         学时</w:t>
            </w:r>
          </w:p>
        </w:tc>
      </w:tr>
      <w:tr>
        <w:tblPrEx>
          <w:tblCellMar>
            <w:top w:w="0" w:type="dxa"/>
            <w:left w:w="108" w:type="dxa"/>
            <w:bottom w:w="0" w:type="dxa"/>
            <w:right w:w="108" w:type="dxa"/>
          </w:tblCellMar>
        </w:tblPrEx>
        <w:trPr>
          <w:trHeight w:val="312" w:hRule="atLeast"/>
          <w:jc w:val="center"/>
        </w:trPr>
        <w:tc>
          <w:tcPr>
            <w:tcW w:w="12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asciiTheme="minorEastAsia" w:hAnsiTheme="minorEastAsia" w:eastAsiaTheme="minorEastAsia" w:cstheme="minorEastAsia"/>
                <w:sz w:val="24"/>
              </w:rPr>
            </w:pPr>
          </w:p>
        </w:tc>
        <w:tc>
          <w:tcPr>
            <w:tcW w:w="3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rPr>
                <w:rFonts w:hint="eastAsia" w:asciiTheme="minorEastAsia" w:hAnsiTheme="minorEastAsia" w:eastAsiaTheme="minorEastAsia" w:cstheme="minorEastAsia"/>
                <w:sz w:val="24"/>
              </w:rPr>
            </w:pPr>
          </w:p>
        </w:tc>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合计</w:t>
            </w:r>
          </w:p>
        </w:tc>
        <w:tc>
          <w:tcPr>
            <w:tcW w:w="103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理论教学</w:t>
            </w:r>
          </w:p>
        </w:tc>
        <w:tc>
          <w:tcPr>
            <w:tcW w:w="105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实践教学</w:t>
            </w:r>
          </w:p>
        </w:tc>
      </w:tr>
      <w:tr>
        <w:tblPrEx>
          <w:tblCellMar>
            <w:top w:w="0" w:type="dxa"/>
            <w:left w:w="108" w:type="dxa"/>
            <w:bottom w:w="0" w:type="dxa"/>
            <w:right w:w="108" w:type="dxa"/>
          </w:tblCellMar>
        </w:tblPrEx>
        <w:trPr>
          <w:trHeight w:val="701" w:hRule="atLeast"/>
          <w:jc w:val="center"/>
        </w:trPr>
        <w:tc>
          <w:tcPr>
            <w:tcW w:w="12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asciiTheme="minorEastAsia" w:hAnsiTheme="minorEastAsia" w:eastAsiaTheme="minorEastAsia" w:cstheme="minorEastAsia"/>
                <w:sz w:val="24"/>
              </w:rPr>
            </w:pPr>
          </w:p>
        </w:tc>
        <w:tc>
          <w:tcPr>
            <w:tcW w:w="3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rPr>
                <w:rFonts w:hint="eastAsia" w:asciiTheme="minorEastAsia" w:hAnsiTheme="minorEastAsia" w:eastAsiaTheme="minorEastAsia" w:cstheme="minorEastAsia"/>
                <w:sz w:val="24"/>
              </w:rPr>
            </w:pPr>
          </w:p>
        </w:tc>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rPr>
                <w:rFonts w:hint="eastAsia" w:asciiTheme="minorEastAsia" w:hAnsiTheme="minorEastAsia" w:eastAsiaTheme="minorEastAsia" w:cstheme="minorEastAsia"/>
                <w:sz w:val="24"/>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学时</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占专业总学时比例（%）</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学时</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占专业总学时比例（%）</w:t>
            </w:r>
          </w:p>
        </w:tc>
      </w:tr>
      <w:tr>
        <w:tblPrEx>
          <w:tblCellMar>
            <w:top w:w="0" w:type="dxa"/>
            <w:left w:w="108" w:type="dxa"/>
            <w:bottom w:w="0" w:type="dxa"/>
            <w:right w:w="108" w:type="dxa"/>
          </w:tblCellMar>
        </w:tblPrEx>
        <w:trPr>
          <w:trHeight w:val="312" w:hRule="atLeast"/>
          <w:jc w:val="center"/>
        </w:trPr>
        <w:tc>
          <w:tcPr>
            <w:tcW w:w="120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公共基础课</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必修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40</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25.15%</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758</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442</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14.44%</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316</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10.32%</w:t>
            </w:r>
          </w:p>
        </w:tc>
      </w:tr>
      <w:tr>
        <w:tblPrEx>
          <w:tblCellMar>
            <w:top w:w="0" w:type="dxa"/>
            <w:left w:w="108" w:type="dxa"/>
            <w:bottom w:w="0" w:type="dxa"/>
            <w:right w:w="108" w:type="dxa"/>
          </w:tblCellMar>
        </w:tblPrEx>
        <w:trPr>
          <w:trHeight w:val="312" w:hRule="atLeast"/>
          <w:jc w:val="center"/>
        </w:trPr>
        <w:tc>
          <w:tcPr>
            <w:tcW w:w="12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asciiTheme="minorEastAsia" w:hAnsiTheme="minorEastAsia" w:eastAsiaTheme="minorEastAsia" w:cstheme="minorEastAsia"/>
                <w:sz w:val="24"/>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选修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12</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7.55%</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216</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144</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4.70%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72</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2.35%</w:t>
            </w:r>
          </w:p>
        </w:tc>
      </w:tr>
      <w:tr>
        <w:tblPrEx>
          <w:tblCellMar>
            <w:top w:w="0" w:type="dxa"/>
            <w:left w:w="108" w:type="dxa"/>
            <w:bottom w:w="0" w:type="dxa"/>
            <w:right w:w="108" w:type="dxa"/>
          </w:tblCellMar>
        </w:tblPrEx>
        <w:trPr>
          <w:trHeight w:val="312" w:hRule="atLeast"/>
          <w:jc w:val="center"/>
        </w:trPr>
        <w:tc>
          <w:tcPr>
            <w:tcW w:w="12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320" w:lineRule="exact"/>
              <w:jc w:val="center"/>
              <w:rPr>
                <w:rFonts w:hint="eastAsia" w:asciiTheme="minorEastAsia" w:hAnsiTheme="minorEastAsia" w:eastAsiaTheme="minorEastAsia" w:cstheme="minorEastAsia"/>
                <w:sz w:val="24"/>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小计</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52</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32.70%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974</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586</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19.14%</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388</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12.67%</w:t>
            </w:r>
          </w:p>
        </w:tc>
      </w:tr>
      <w:tr>
        <w:tblPrEx>
          <w:tblCellMar>
            <w:top w:w="0" w:type="dxa"/>
            <w:left w:w="108" w:type="dxa"/>
            <w:bottom w:w="0" w:type="dxa"/>
            <w:right w:w="108" w:type="dxa"/>
          </w:tblCellMar>
        </w:tblPrEx>
        <w:trPr>
          <w:trHeight w:val="662" w:hRule="atLeast"/>
          <w:jc w:val="center"/>
        </w:trPr>
        <w:tc>
          <w:tcPr>
            <w:tcW w:w="3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专业(技能)课</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专业基础课</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必修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38</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24%</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684</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498</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16%</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186</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6%</w:t>
            </w:r>
          </w:p>
        </w:tc>
      </w:tr>
      <w:tr>
        <w:tblPrEx>
          <w:tblCellMar>
            <w:top w:w="0" w:type="dxa"/>
            <w:left w:w="108" w:type="dxa"/>
            <w:bottom w:w="0" w:type="dxa"/>
            <w:right w:w="108" w:type="dxa"/>
          </w:tblCellMar>
        </w:tblPrEx>
        <w:trPr>
          <w:trHeight w:val="536" w:hRule="atLeast"/>
          <w:jc w:val="center"/>
        </w:trPr>
        <w:tc>
          <w:tcPr>
            <w:tcW w:w="3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专业核心课</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必修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34</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21%</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612</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300</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312</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10%</w:t>
            </w:r>
          </w:p>
        </w:tc>
      </w:tr>
      <w:tr>
        <w:tblPrEx>
          <w:tblCellMar>
            <w:top w:w="0" w:type="dxa"/>
            <w:left w:w="108" w:type="dxa"/>
            <w:bottom w:w="0" w:type="dxa"/>
            <w:right w:w="108" w:type="dxa"/>
          </w:tblCellMar>
        </w:tblPrEx>
        <w:trPr>
          <w:trHeight w:val="671" w:hRule="atLeast"/>
          <w:jc w:val="center"/>
        </w:trPr>
        <w:tc>
          <w:tcPr>
            <w:tcW w:w="3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专业实践课程</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必修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25</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16%</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620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20</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600</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20%</w:t>
            </w:r>
          </w:p>
        </w:tc>
      </w:tr>
      <w:tr>
        <w:tblPrEx>
          <w:tblCellMar>
            <w:top w:w="0" w:type="dxa"/>
            <w:left w:w="108" w:type="dxa"/>
            <w:bottom w:w="0" w:type="dxa"/>
            <w:right w:w="108" w:type="dxa"/>
          </w:tblCellMar>
        </w:tblPrEx>
        <w:trPr>
          <w:trHeight w:val="641" w:hRule="atLeast"/>
          <w:jc w:val="center"/>
        </w:trPr>
        <w:tc>
          <w:tcPr>
            <w:tcW w:w="3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专业拓展课程</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选修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6</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4%</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108</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36</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72</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2%</w:t>
            </w:r>
          </w:p>
        </w:tc>
      </w:tr>
      <w:tr>
        <w:tblPrEx>
          <w:tblCellMar>
            <w:top w:w="0" w:type="dxa"/>
            <w:left w:w="108" w:type="dxa"/>
            <w:bottom w:w="0" w:type="dxa"/>
            <w:right w:w="108" w:type="dxa"/>
          </w:tblCellMar>
        </w:tblPrEx>
        <w:trPr>
          <w:trHeight w:val="312" w:hRule="atLeast"/>
          <w:jc w:val="center"/>
        </w:trPr>
        <w:tc>
          <w:tcPr>
            <w:tcW w:w="3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20" w:lineRule="exact"/>
              <w:jc w:val="center"/>
              <w:rPr>
                <w:rFonts w:hint="eastAsia" w:asciiTheme="minorEastAsia" w:hAnsiTheme="minorEastAsia" w:eastAsiaTheme="minorEastAsia" w:cstheme="minorEastAsia"/>
                <w:sz w:val="24"/>
              </w:rPr>
            </w:pPr>
          </w:p>
        </w:tc>
        <w:tc>
          <w:tcPr>
            <w:tcW w:w="11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小计</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103</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65%</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2024</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854</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28%</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1170</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38%</w:t>
            </w:r>
          </w:p>
        </w:tc>
      </w:tr>
      <w:tr>
        <w:tblPrEx>
          <w:tblCellMar>
            <w:top w:w="0" w:type="dxa"/>
            <w:left w:w="108" w:type="dxa"/>
            <w:bottom w:w="0" w:type="dxa"/>
            <w:right w:w="108" w:type="dxa"/>
          </w:tblCellMar>
        </w:tblPrEx>
        <w:trPr>
          <w:trHeight w:val="312" w:hRule="atLeast"/>
          <w:jc w:val="center"/>
        </w:trPr>
        <w:tc>
          <w:tcPr>
            <w:tcW w:w="120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第二课堂</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必修</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4</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3%</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64</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0</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0%</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64</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kern w:val="0"/>
                <w:sz w:val="24"/>
                <w:lang w:bidi="ar"/>
              </w:rPr>
            </w:pPr>
            <w:r>
              <w:rPr>
                <w:rFonts w:hint="eastAsia" w:asciiTheme="minorEastAsia" w:hAnsiTheme="minorEastAsia" w:eastAsiaTheme="minorEastAsia" w:cstheme="minorEastAsia"/>
                <w:kern w:val="0"/>
                <w:sz w:val="24"/>
                <w:lang w:bidi="ar"/>
              </w:rPr>
              <w:t>2%</w:t>
            </w:r>
          </w:p>
        </w:tc>
      </w:tr>
      <w:tr>
        <w:tblPrEx>
          <w:tblCellMar>
            <w:top w:w="0" w:type="dxa"/>
            <w:left w:w="108" w:type="dxa"/>
            <w:bottom w:w="0" w:type="dxa"/>
            <w:right w:w="108" w:type="dxa"/>
          </w:tblCellMar>
        </w:tblPrEx>
        <w:trPr>
          <w:trHeight w:val="312" w:hRule="atLeast"/>
          <w:jc w:val="center"/>
        </w:trPr>
        <w:tc>
          <w:tcPr>
            <w:tcW w:w="15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kern w:val="0"/>
                <w:sz w:val="24"/>
                <w:lang w:bidi="ar"/>
              </w:rPr>
              <w:t>合计</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159</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100%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3062</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1440</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47%</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1622</w:t>
            </w: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lang w:bidi="ar"/>
              </w:rPr>
              <w:t>53%</w:t>
            </w:r>
          </w:p>
        </w:tc>
      </w:tr>
    </w:tbl>
    <w:p>
      <w:pPr>
        <w:overflowPunct w:val="0"/>
        <w:adjustRightInd w:val="0"/>
        <w:spacing w:line="520" w:lineRule="exact"/>
        <w:outlineLvl w:val="0"/>
        <w:rPr>
          <w:rFonts w:hint="eastAsia" w:ascii="仿宋_GB2312" w:hAnsi="仿宋_GB2312" w:eastAsia="仿宋_GB2312" w:cs="仿宋_GB2312"/>
          <w:sz w:val="32"/>
          <w:szCs w:val="32"/>
        </w:rPr>
      </w:pPr>
      <w:r>
        <w:rPr>
          <w:rFonts w:hint="eastAsia" w:ascii="楷体" w:hAnsi="楷体" w:eastAsia="楷体" w:cs="楷体"/>
          <w:sz w:val="32"/>
          <w:szCs w:val="32"/>
        </w:rPr>
        <w:t>（三）教学计划进程</w:t>
      </w:r>
    </w:p>
    <w:p>
      <w:pPr>
        <w:pStyle w:val="5"/>
        <w:shd w:val="clear" w:color="auto" w:fill="FFFFFF"/>
        <w:spacing w:beforeAutospacing="0" w:afterAutospacing="0" w:line="520" w:lineRule="exact"/>
        <w:jc w:val="center"/>
        <w:rPr>
          <w:rFonts w:hint="eastAsia" w:ascii="仿宋_GB2312" w:hAnsi="仿宋_GB2312" w:eastAsia="仿宋_GB2312" w:cs="仿宋_GB2312"/>
          <w:sz w:val="32"/>
          <w:szCs w:val="32"/>
          <w:shd w:val="clear" w:color="auto" w:fill="FFFFFF"/>
          <w:lang w:bidi="ar"/>
        </w:rPr>
      </w:pPr>
      <w:bookmarkStart w:id="36" w:name="OLE_LINK3"/>
      <w:r>
        <w:rPr>
          <w:rFonts w:hint="eastAsia" w:ascii="仿宋_GB2312" w:hAnsi="仿宋_GB2312" w:eastAsia="仿宋_GB2312" w:cs="仿宋_GB2312"/>
          <w:sz w:val="32"/>
          <w:szCs w:val="32"/>
        </w:rPr>
        <w:t xml:space="preserve">表9 </w:t>
      </w:r>
      <w:r>
        <w:rPr>
          <w:rFonts w:hint="eastAsia" w:ascii="仿宋_GB2312" w:hAnsi="仿宋_GB2312" w:eastAsia="仿宋_GB2312" w:cs="仿宋_GB2312"/>
          <w:sz w:val="32"/>
          <w:szCs w:val="32"/>
          <w:shd w:val="clear" w:color="auto" w:fill="FFFFFF"/>
          <w:lang w:bidi="ar"/>
        </w:rPr>
        <w:t>大数据与会计</w:t>
      </w:r>
      <w:bookmarkEnd w:id="36"/>
      <w:r>
        <w:rPr>
          <w:rFonts w:hint="eastAsia" w:ascii="仿宋_GB2312" w:hAnsi="仿宋_GB2312" w:eastAsia="仿宋_GB2312" w:cs="仿宋_GB2312"/>
          <w:sz w:val="32"/>
          <w:szCs w:val="32"/>
          <w:shd w:val="clear" w:color="auto" w:fill="FFFFFF"/>
          <w:lang w:bidi="ar"/>
        </w:rPr>
        <w:t>专业教学计划进程安排表</w:t>
      </w:r>
    </w:p>
    <w:tbl>
      <w:tblPr>
        <w:tblStyle w:val="6"/>
        <w:tblW w:w="63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2"/>
        <w:gridCol w:w="253"/>
        <w:gridCol w:w="430"/>
        <w:gridCol w:w="424"/>
        <w:gridCol w:w="1119"/>
        <w:gridCol w:w="1493"/>
        <w:gridCol w:w="583"/>
        <w:gridCol w:w="658"/>
        <w:gridCol w:w="599"/>
        <w:gridCol w:w="631"/>
        <w:gridCol w:w="540"/>
        <w:gridCol w:w="429"/>
        <w:gridCol w:w="404"/>
        <w:gridCol w:w="450"/>
        <w:gridCol w:w="446"/>
        <w:gridCol w:w="488"/>
        <w:gridCol w:w="629"/>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43" w:type="pct"/>
            <w:gridSpan w:val="3"/>
            <w:vMerge w:val="restar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课程类型</w:t>
            </w:r>
          </w:p>
        </w:tc>
        <w:tc>
          <w:tcPr>
            <w:tcW w:w="201"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序号</w:t>
            </w:r>
          </w:p>
        </w:tc>
        <w:tc>
          <w:tcPr>
            <w:tcW w:w="532"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课程代码</w:t>
            </w:r>
          </w:p>
        </w:tc>
        <w:tc>
          <w:tcPr>
            <w:tcW w:w="707"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课程名称</w:t>
            </w:r>
          </w:p>
        </w:tc>
        <w:tc>
          <w:tcPr>
            <w:tcW w:w="277"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学分</w:t>
            </w:r>
          </w:p>
        </w:tc>
        <w:tc>
          <w:tcPr>
            <w:tcW w:w="898" w:type="pct"/>
            <w:gridSpan w:val="3"/>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教学学时数</w:t>
            </w:r>
          </w:p>
        </w:tc>
        <w:tc>
          <w:tcPr>
            <w:tcW w:w="1311" w:type="pct"/>
            <w:gridSpan w:val="6"/>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开课学期和周学时</w:t>
            </w:r>
          </w:p>
        </w:tc>
        <w:tc>
          <w:tcPr>
            <w:tcW w:w="299"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考核类型</w:t>
            </w:r>
          </w:p>
        </w:tc>
        <w:tc>
          <w:tcPr>
            <w:tcW w:w="227"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43" w:type="pct"/>
            <w:gridSpan w:val="3"/>
            <w:vMerge w:val="continue"/>
            <w:shd w:val="clear" w:color="auto" w:fill="auto"/>
            <w:tcMar>
              <w:top w:w="15" w:type="dxa"/>
              <w:left w:w="15" w:type="dxa"/>
              <w:right w:w="15" w:type="dxa"/>
            </w:tcMar>
            <w:vAlign w:val="center"/>
          </w:tcPr>
          <w:p>
            <w:pPr>
              <w:spacing w:after="0" w:line="320" w:lineRule="exact"/>
              <w:jc w:val="left"/>
              <w:rPr>
                <w:rFonts w:hint="eastAsia" w:asciiTheme="minorEastAsia" w:hAnsiTheme="minorEastAsia" w:eastAsiaTheme="minorEastAsia" w:cstheme="minorEastAsia"/>
                <w:bCs/>
                <w:szCs w:val="21"/>
              </w:rPr>
            </w:pPr>
          </w:p>
        </w:tc>
        <w:tc>
          <w:tcPr>
            <w:tcW w:w="201"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532"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707"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77"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898" w:type="pct"/>
            <w:gridSpan w:val="3"/>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43" w:type="pct"/>
            <w:gridSpan w:val="3"/>
            <w:vMerge w:val="continue"/>
            <w:shd w:val="clear" w:color="auto" w:fill="auto"/>
            <w:tcMar>
              <w:top w:w="15" w:type="dxa"/>
              <w:left w:w="15" w:type="dxa"/>
              <w:right w:w="15" w:type="dxa"/>
            </w:tcMar>
            <w:vAlign w:val="center"/>
          </w:tcPr>
          <w:p>
            <w:pPr>
              <w:spacing w:after="0" w:line="320" w:lineRule="exact"/>
              <w:jc w:val="left"/>
              <w:rPr>
                <w:rFonts w:hint="eastAsia" w:asciiTheme="minorEastAsia" w:hAnsiTheme="minorEastAsia" w:eastAsiaTheme="minorEastAsia" w:cstheme="minorEastAsia"/>
                <w:bCs/>
                <w:szCs w:val="21"/>
              </w:rPr>
            </w:pPr>
          </w:p>
        </w:tc>
        <w:tc>
          <w:tcPr>
            <w:tcW w:w="201"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532"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707"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77"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合计</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理论学时</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实践学时</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一</w:t>
            </w:r>
          </w:p>
        </w:tc>
        <w:tc>
          <w:tcPr>
            <w:tcW w:w="20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二</w:t>
            </w:r>
          </w:p>
        </w:tc>
        <w:tc>
          <w:tcPr>
            <w:tcW w:w="19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三</w:t>
            </w:r>
          </w:p>
        </w:tc>
        <w:tc>
          <w:tcPr>
            <w:tcW w:w="21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四</w:t>
            </w:r>
          </w:p>
        </w:tc>
        <w:tc>
          <w:tcPr>
            <w:tcW w:w="21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五</w:t>
            </w:r>
          </w:p>
        </w:tc>
        <w:tc>
          <w:tcPr>
            <w:tcW w:w="230"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六</w:t>
            </w:r>
          </w:p>
        </w:tc>
        <w:tc>
          <w:tcPr>
            <w:tcW w:w="299"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jc w:val="center"/>
        </w:trPr>
        <w:tc>
          <w:tcPr>
            <w:tcW w:w="339" w:type="pct"/>
            <w:gridSpan w:val="2"/>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公共基础课</w:t>
            </w:r>
          </w:p>
        </w:tc>
        <w:tc>
          <w:tcPr>
            <w:tcW w:w="204"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必修</w:t>
            </w: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10B118820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毛泽东思想和中国特色社会主义理论体系概论</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32</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28</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25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考试</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10B110820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形势与政策</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32</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32</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1311" w:type="pct"/>
            <w:gridSpan w:val="6"/>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1到4学期开课，每学期8学时。</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10B110520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思想道德与法治</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48</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考试</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10B119720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习近平新时代中国特色社会主义思想概论</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48</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48</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考试</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10B111320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大学体育</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108</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96</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0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19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10B111221</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军事理论</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10B111222</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军事技能</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112</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112</w:t>
            </w:r>
          </w:p>
        </w:tc>
        <w:tc>
          <w:tcPr>
            <w:tcW w:w="1311" w:type="pct"/>
            <w:gridSpan w:val="6"/>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第1学期，实际训练时间不少于14天</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8</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10A119820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大学生心理健康教育</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32</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5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9</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10A110120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大学英语</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8</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128</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104</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24</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20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考试</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10C111720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计算机基础</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32</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32</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11</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10B111220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大学生职业发展与就业指导</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38</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10C119700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劳动教育</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16</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5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13</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10A111820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高等数学</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64</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64</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widowControl/>
              <w:spacing w:after="0" w:line="320" w:lineRule="exact"/>
              <w:jc w:val="righ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204" w:type="pct"/>
            <w:shd w:val="clear" w:color="auto" w:fill="auto"/>
            <w:noWrap/>
            <w:tcMar>
              <w:top w:w="15" w:type="dxa"/>
              <w:left w:w="15" w:type="dxa"/>
              <w:right w:w="15" w:type="dxa"/>
            </w:tcMar>
            <w:vAlign w:val="center"/>
          </w:tcPr>
          <w:p>
            <w:pPr>
              <w:widowControl/>
              <w:spacing w:after="0" w:line="320" w:lineRule="exact"/>
              <w:jc w:val="righ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19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选修</w:t>
            </w: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20D0005</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大学生礼仪修养</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公共选修课最低学分要求为12学分，其中要求3个学分为思政选修课学分,3个学分为国家安全教育课学分。</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20D0006</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中国民俗剪纸技法</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20D0007</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影视与鉴赏</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20D0003</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人际交流与沟通</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20D0002</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演讲与口才</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20D0008</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创新创业教育</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10B119920</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中国共产党简史（限选）</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8</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20D9901</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改革开放简史（限选）</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9</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20D9902</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中华人民共和国简史（限选）</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20D9903</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社会主义发展简史（限选）</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11</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20D9904</w:t>
            </w:r>
          </w:p>
        </w:tc>
        <w:tc>
          <w:tcPr>
            <w:tcW w:w="70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国家安全教育（限选）</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1311" w:type="pct"/>
            <w:gridSpan w:val="6"/>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tcMar>
              <w:top w:w="15" w:type="dxa"/>
              <w:left w:w="15" w:type="dxa"/>
              <w:right w:w="15" w:type="dxa"/>
            </w:tcMa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646" w:type="pct"/>
            <w:gridSpan w:val="4"/>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公共必修课程学分、学时小计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40</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758</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442</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316</w:t>
            </w:r>
          </w:p>
        </w:tc>
        <w:tc>
          <w:tcPr>
            <w:tcW w:w="25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646" w:type="pct"/>
            <w:gridSpan w:val="4"/>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公共必修课程学分、学时占比</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25.16%</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24.76%</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14.44%</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10.32%</w:t>
            </w:r>
          </w:p>
        </w:tc>
        <w:tc>
          <w:tcPr>
            <w:tcW w:w="257"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646" w:type="pct"/>
            <w:gridSpan w:val="4"/>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公共选修课程学分、学时小计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216</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144</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339" w:type="pct"/>
            <w:gridSpan w:val="2"/>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646" w:type="pct"/>
            <w:gridSpan w:val="4"/>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公共选修课程学分、学时占比</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7.55%</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7.05%</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4.70%</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2.35%</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专业课</w:t>
            </w:r>
          </w:p>
        </w:tc>
        <w:tc>
          <w:tcPr>
            <w:tcW w:w="120"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专业基础课</w:t>
            </w:r>
          </w:p>
        </w:tc>
        <w:tc>
          <w:tcPr>
            <w:tcW w:w="204" w:type="pct"/>
            <w:vMerge w:val="restar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必修</w:t>
            </w: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10000A2231</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管理学</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10000A2232</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会计学原理</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02303B2231</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会计技能</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60</w:t>
            </w:r>
          </w:p>
        </w:tc>
        <w:tc>
          <w:tcPr>
            <w:tcW w:w="25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02300A2239</w:t>
            </w:r>
          </w:p>
        </w:tc>
        <w:tc>
          <w:tcPr>
            <w:tcW w:w="707" w:type="pc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经济法</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02300B2229</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出纳实务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2</w:t>
            </w: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02300A2227</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财经法规与会计职业道德</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02303B2229</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统计学原理</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24</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8</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02303B2230</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纳税会计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24</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2</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9</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02300B2230</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企业内部控制</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24</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2</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02300B2237</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审计学</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24</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48</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11</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02300A2234</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行业会计比较</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专业核心课</w:t>
            </w:r>
          </w:p>
        </w:tc>
        <w:tc>
          <w:tcPr>
            <w:tcW w:w="204" w:type="pct"/>
            <w:vMerge w:val="restar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必修</w:t>
            </w: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02300B2323</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财务管理</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02300B2322</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企业财务会计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108</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6</w:t>
            </w: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bookmarkStart w:id="37" w:name="OLE_LINK2" w:colFirst="5" w:colLast="5"/>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02300B2326</w:t>
            </w:r>
          </w:p>
        </w:tc>
        <w:tc>
          <w:tcPr>
            <w:tcW w:w="707" w:type="pc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智能化成本核算与管理</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02300B2325</w:t>
            </w:r>
          </w:p>
        </w:tc>
        <w:tc>
          <w:tcPr>
            <w:tcW w:w="707" w:type="pc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会计信息系统应用</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bookmark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02300A2324</w:t>
            </w:r>
          </w:p>
        </w:tc>
        <w:tc>
          <w:tcPr>
            <w:tcW w:w="707" w:type="pc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税法教程</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02303B2327</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会计综合模拟实训</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4</w:t>
            </w: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7</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02300A2236</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管理会计实务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72</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kern w:val="0"/>
                <w:szCs w:val="21"/>
                <w:lang w:bidi="ar"/>
              </w:rPr>
              <w:t>4</w:t>
            </w: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8</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02300B2233</w:t>
            </w:r>
          </w:p>
        </w:tc>
        <w:tc>
          <w:tcPr>
            <w:tcW w:w="707" w:type="pct"/>
            <w:shd w:val="clear" w:color="auto" w:fill="auto"/>
            <w:noWrap/>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财务大数据分析与可视化</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4</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72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24</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kern w:val="0"/>
                <w:szCs w:val="21"/>
                <w:lang w:bidi="ar"/>
              </w:rPr>
            </w:pPr>
            <w:r>
              <w:rPr>
                <w:rFonts w:hint="eastAsia" w:asciiTheme="minorEastAsia" w:hAnsiTheme="minorEastAsia" w:eastAsiaTheme="minorEastAsia" w:cstheme="minorEastAsia"/>
                <w:bCs/>
                <w:kern w:val="0"/>
                <w:szCs w:val="21"/>
                <w:lang w:bidi="ar"/>
              </w:rPr>
              <w:t>48</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kern w:val="0"/>
                <w:szCs w:val="21"/>
                <w:lang w:bidi="ar"/>
              </w:rPr>
              <w:t>4</w:t>
            </w: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kern w:val="0"/>
                <w:szCs w:val="21"/>
                <w:lang w:bidi="ar"/>
              </w:rPr>
              <w:t>考试</w:t>
            </w:r>
          </w:p>
        </w:tc>
        <w:tc>
          <w:tcPr>
            <w:tcW w:w="22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专业实践教学环节</w:t>
            </w:r>
          </w:p>
        </w:tc>
        <w:tc>
          <w:tcPr>
            <w:tcW w:w="204"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必修</w:t>
            </w: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10B110020</w:t>
            </w:r>
          </w:p>
        </w:tc>
        <w:tc>
          <w:tcPr>
            <w:tcW w:w="707" w:type="pct"/>
            <w:shd w:val="clear" w:color="auto" w:fill="auto"/>
            <w:tcMar>
              <w:top w:w="15" w:type="dxa"/>
              <w:left w:w="15" w:type="dxa"/>
              <w:right w:w="15" w:type="dxa"/>
            </w:tcMar>
            <w:vAlign w:val="center"/>
          </w:tcPr>
          <w:p>
            <w:pPr>
              <w:widowControl/>
              <w:spacing w:after="0" w:line="320" w:lineRule="exac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毕业设计</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80</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60</w:t>
            </w:r>
          </w:p>
        </w:tc>
        <w:tc>
          <w:tcPr>
            <w:tcW w:w="257" w:type="pct"/>
            <w:shd w:val="clear" w:color="auto" w:fill="auto"/>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20</w:t>
            </w:r>
          </w:p>
        </w:tc>
        <w:tc>
          <w:tcPr>
            <w:tcW w:w="230" w:type="pct"/>
            <w:shd w:val="clear" w:color="auto" w:fill="auto"/>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10C112120</w:t>
            </w:r>
          </w:p>
        </w:tc>
        <w:tc>
          <w:tcPr>
            <w:tcW w:w="707" w:type="pct"/>
            <w:shd w:val="clear" w:color="auto" w:fill="auto"/>
            <w:tcMar>
              <w:top w:w="15" w:type="dxa"/>
              <w:left w:w="15" w:type="dxa"/>
              <w:right w:w="15" w:type="dxa"/>
            </w:tcMar>
            <w:vAlign w:val="center"/>
          </w:tcPr>
          <w:p>
            <w:pPr>
              <w:widowControl/>
              <w:spacing w:after="0" w:line="320" w:lineRule="exac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岗位实习</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20</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540</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540</w:t>
            </w:r>
          </w:p>
        </w:tc>
        <w:tc>
          <w:tcPr>
            <w:tcW w:w="25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20</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restar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专业拓展课</w:t>
            </w:r>
          </w:p>
        </w:tc>
        <w:tc>
          <w:tcPr>
            <w:tcW w:w="204" w:type="pct"/>
            <w:vMerge w:val="restar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选修</w:t>
            </w: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23D0101</w:t>
            </w:r>
          </w:p>
        </w:tc>
        <w:tc>
          <w:tcPr>
            <w:tcW w:w="707" w:type="pct"/>
            <w:shd w:val="clear" w:color="auto" w:fill="auto"/>
            <w:tcMar>
              <w:top w:w="15" w:type="dxa"/>
              <w:left w:w="15" w:type="dxa"/>
              <w:right w:w="15" w:type="dxa"/>
            </w:tcMar>
            <w:vAlign w:val="center"/>
          </w:tcPr>
          <w:p>
            <w:pPr>
              <w:widowControl/>
              <w:spacing w:after="0" w:line="320" w:lineRule="exac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财务会计职业素养</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1311" w:type="pct"/>
            <w:gridSpan w:val="6"/>
            <w:vMerge w:val="restar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专业拓展课最低学分要求为6学分</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left"/>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w:t>
            </w:r>
          </w:p>
        </w:tc>
        <w:tc>
          <w:tcPr>
            <w:tcW w:w="532"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23D0102</w:t>
            </w:r>
          </w:p>
        </w:tc>
        <w:tc>
          <w:tcPr>
            <w:tcW w:w="707" w:type="pct"/>
            <w:shd w:val="clear" w:color="auto" w:fill="auto"/>
            <w:noWrap/>
            <w:tcMar>
              <w:top w:w="15" w:type="dxa"/>
              <w:left w:w="15" w:type="dxa"/>
              <w:right w:w="15" w:type="dxa"/>
            </w:tcMar>
            <w:vAlign w:val="center"/>
          </w:tcPr>
          <w:p>
            <w:pPr>
              <w:widowControl/>
              <w:spacing w:after="0" w:line="320" w:lineRule="exac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文献检索与论文写作</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1311" w:type="pct"/>
            <w:gridSpan w:val="6"/>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left"/>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23D0103</w:t>
            </w:r>
          </w:p>
        </w:tc>
        <w:tc>
          <w:tcPr>
            <w:tcW w:w="707" w:type="pc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经济学基础</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1311" w:type="pct"/>
            <w:gridSpan w:val="6"/>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20" w:type="pct"/>
            <w:vMerge w:val="continue"/>
            <w:shd w:val="clear" w:color="auto" w:fill="auto"/>
            <w:tcMar>
              <w:top w:w="15" w:type="dxa"/>
              <w:left w:w="15" w:type="dxa"/>
              <w:right w:w="15" w:type="dxa"/>
            </w:tcMar>
            <w:vAlign w:val="center"/>
          </w:tcPr>
          <w:p>
            <w:pPr>
              <w:spacing w:after="0" w:line="320" w:lineRule="exact"/>
              <w:jc w:val="left"/>
              <w:rPr>
                <w:rFonts w:hint="eastAsia" w:asciiTheme="minorEastAsia" w:hAnsiTheme="minorEastAsia" w:eastAsiaTheme="minorEastAsia" w:cstheme="minorEastAsia"/>
                <w:bCs/>
                <w:szCs w:val="21"/>
              </w:rPr>
            </w:pPr>
          </w:p>
        </w:tc>
        <w:tc>
          <w:tcPr>
            <w:tcW w:w="204"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01"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532"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23D0104</w:t>
            </w:r>
          </w:p>
        </w:tc>
        <w:tc>
          <w:tcPr>
            <w:tcW w:w="707" w:type="pct"/>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电子商务基础</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54</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1311" w:type="pct"/>
            <w:gridSpan w:val="6"/>
            <w:vMerge w:val="continue"/>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766" w:type="pct"/>
            <w:gridSpan w:val="5"/>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专业必修课程学分、学时小计</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97</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1916</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818</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1098</w:t>
            </w:r>
          </w:p>
        </w:tc>
        <w:tc>
          <w:tcPr>
            <w:tcW w:w="25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p>
        </w:tc>
        <w:tc>
          <w:tcPr>
            <w:tcW w:w="20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p>
        </w:tc>
        <w:tc>
          <w:tcPr>
            <w:tcW w:w="192" w:type="pct"/>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766" w:type="pct"/>
            <w:gridSpan w:val="5"/>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专业必修课程学分、学时占比</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61.01%</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62.57%</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26.71%</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35.86%</w:t>
            </w:r>
          </w:p>
        </w:tc>
        <w:tc>
          <w:tcPr>
            <w:tcW w:w="25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766" w:type="pct"/>
            <w:gridSpan w:val="5"/>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专业拓展课程学分、学时小计</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108</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36</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72</w:t>
            </w:r>
          </w:p>
        </w:tc>
        <w:tc>
          <w:tcPr>
            <w:tcW w:w="25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19" w:type="pct"/>
            <w:vMerge w:val="continue"/>
            <w:shd w:val="clear" w:color="auto" w:fill="auto"/>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1766" w:type="pct"/>
            <w:gridSpan w:val="5"/>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专业拓展课程学分、学时占比</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3.77%</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3.53%</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1.18%</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2.35%</w:t>
            </w:r>
          </w:p>
        </w:tc>
        <w:tc>
          <w:tcPr>
            <w:tcW w:w="25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jc w:val="center"/>
        </w:trPr>
        <w:tc>
          <w:tcPr>
            <w:tcW w:w="339" w:type="pct"/>
            <w:gridSpan w:val="2"/>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其他教育活动</w:t>
            </w:r>
          </w:p>
        </w:tc>
        <w:tc>
          <w:tcPr>
            <w:tcW w:w="204"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必修</w:t>
            </w:r>
          </w:p>
        </w:tc>
        <w:tc>
          <w:tcPr>
            <w:tcW w:w="1442" w:type="pct"/>
            <w:gridSpan w:val="3"/>
            <w:shd w:val="clear" w:color="auto" w:fill="auto"/>
            <w:tcMar>
              <w:top w:w="15" w:type="dxa"/>
              <w:left w:w="15" w:type="dxa"/>
              <w:right w:w="15" w:type="dxa"/>
            </w:tcMar>
            <w:vAlign w:val="center"/>
          </w:tcPr>
          <w:p>
            <w:pPr>
              <w:widowControl/>
              <w:spacing w:after="0" w:line="320" w:lineRule="exact"/>
              <w:jc w:val="left"/>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第二课堂</w:t>
            </w:r>
          </w:p>
        </w:tc>
        <w:tc>
          <w:tcPr>
            <w:tcW w:w="277"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4</w:t>
            </w:r>
          </w:p>
        </w:tc>
        <w:tc>
          <w:tcPr>
            <w:tcW w:w="313"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64</w:t>
            </w:r>
          </w:p>
        </w:tc>
        <w:tc>
          <w:tcPr>
            <w:tcW w:w="285"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0</w:t>
            </w:r>
          </w:p>
        </w:tc>
        <w:tc>
          <w:tcPr>
            <w:tcW w:w="299" w:type="pct"/>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64</w:t>
            </w:r>
          </w:p>
        </w:tc>
        <w:tc>
          <w:tcPr>
            <w:tcW w:w="1311" w:type="pct"/>
            <w:gridSpan w:val="6"/>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此学分为毕业资格学分</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考查</w:t>
            </w: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1986" w:type="pct"/>
            <w:gridSpan w:val="6"/>
            <w:shd w:val="clear" w:color="auto" w:fill="auto"/>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总学分、学时合计</w:t>
            </w:r>
          </w:p>
        </w:tc>
        <w:tc>
          <w:tcPr>
            <w:tcW w:w="277"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159</w:t>
            </w:r>
          </w:p>
        </w:tc>
        <w:tc>
          <w:tcPr>
            <w:tcW w:w="313"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3062</w:t>
            </w:r>
          </w:p>
        </w:tc>
        <w:tc>
          <w:tcPr>
            <w:tcW w:w="285"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1440</w:t>
            </w:r>
          </w:p>
        </w:tc>
        <w:tc>
          <w:tcPr>
            <w:tcW w:w="299" w:type="pct"/>
            <w:shd w:val="clear" w:color="auto" w:fill="auto"/>
            <w:noWrap/>
            <w:tcMar>
              <w:top w:w="15" w:type="dxa"/>
              <w:left w:w="15" w:type="dxa"/>
              <w:right w:w="15" w:type="dxa"/>
            </w:tcMar>
            <w:vAlign w:val="center"/>
          </w:tcPr>
          <w:p>
            <w:pPr>
              <w:widowControl/>
              <w:spacing w:after="0" w:line="320" w:lineRule="exact"/>
              <w:jc w:val="center"/>
              <w:textAlignment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kern w:val="0"/>
                <w:szCs w:val="21"/>
                <w:lang w:bidi="ar"/>
              </w:rPr>
              <w:t>1622</w:t>
            </w:r>
          </w:p>
        </w:tc>
        <w:tc>
          <w:tcPr>
            <w:tcW w:w="25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0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19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4"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12"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30"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c>
          <w:tcPr>
            <w:tcW w:w="299" w:type="pct"/>
            <w:shd w:val="clear" w:color="auto" w:fill="auto"/>
            <w:noWrap/>
            <w:tcMar>
              <w:top w:w="15" w:type="dxa"/>
              <w:left w:w="15" w:type="dxa"/>
              <w:right w:w="15" w:type="dxa"/>
            </w:tcMar>
            <w:vAlign w:val="center"/>
          </w:tcPr>
          <w:p>
            <w:pPr>
              <w:spacing w:after="0" w:line="320" w:lineRule="exact"/>
              <w:jc w:val="center"/>
              <w:rPr>
                <w:rFonts w:hint="eastAsia" w:asciiTheme="minorEastAsia" w:hAnsiTheme="minorEastAsia" w:eastAsiaTheme="minorEastAsia" w:cstheme="minorEastAsia"/>
                <w:bCs/>
                <w:szCs w:val="21"/>
              </w:rPr>
            </w:pPr>
          </w:p>
        </w:tc>
        <w:tc>
          <w:tcPr>
            <w:tcW w:w="227" w:type="pct"/>
            <w:shd w:val="clear" w:color="auto" w:fill="auto"/>
            <w:noWrap/>
            <w:tcMar>
              <w:top w:w="15" w:type="dxa"/>
              <w:left w:w="15" w:type="dxa"/>
              <w:right w:w="15" w:type="dxa"/>
            </w:tcMar>
            <w:vAlign w:val="center"/>
          </w:tcPr>
          <w:p>
            <w:pPr>
              <w:spacing w:after="0" w:line="320" w:lineRule="exact"/>
              <w:rPr>
                <w:rFonts w:hint="eastAsia" w:asciiTheme="minorEastAsia" w:hAnsiTheme="minorEastAsia" w:eastAsiaTheme="minorEastAsia" w:cstheme="minorEastAsia"/>
                <w:bCs/>
                <w:szCs w:val="21"/>
              </w:rPr>
            </w:pPr>
          </w:p>
        </w:tc>
      </w:tr>
    </w:tbl>
    <w:p>
      <w:pPr>
        <w:overflowPunct w:val="0"/>
        <w:adjustRightInd w:val="0"/>
        <w:spacing w:after="0" w:line="52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八、实施保障</w:t>
      </w: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（一）师资队伍</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1.队伍结构</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专任教师队伍的知识、职称、年龄结构合理，有良好的合作精神和梯队结构。学生数与本专业专任教师数比例不高于25∶1，双师素质教师占专业</w:t>
      </w:r>
      <w:bookmarkStart w:id="38" w:name="_GoBack"/>
      <w:bookmarkEnd w:id="38"/>
      <w:r>
        <w:rPr>
          <w:rFonts w:hint="eastAsia" w:ascii="仿宋_GB2312" w:hAnsi="仿宋_GB2312" w:eastAsia="仿宋_GB2312" w:cs="仿宋_GB2312"/>
          <w:sz w:val="32"/>
          <w:szCs w:val="32"/>
        </w:rPr>
        <w:t>教师比例不低于60%，具有承担专业核心课程教学任务的专业教师不少于4人，其中，具有高级以上专业技术职务的不少于1人，“双师型”教师不少于2人。</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数据与会计专业教师团队现有专任教师36人，获取职称人数为21人。其中副高及以上职称2人，中级职称12人，初级职称7人。双师型专任教师4人，具有研究生学位教师9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2.专任教师</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专任教师应具有高校教师资格;有理想信念、有道德情操、有扎实学识、有仁爱之心;具有大数据与会计等相关专业本科及以上学历;具有扎实的本专业相关理论功底和实践能力;具有较强信息化教学能力，能够开展课程教学改革和科学研究;有每 5 年累计不少于 6 个月的企业实践经历。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3.专业带头人</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专业带头人原则上应具有副高及以上职称，能够较好地把握国内外会计行业、专业发展，能广泛联系行业企业，了解行业企业对本专业人才的需求实际，教学设计、专业研究能力强，组织开展教科研工作能力强，在本区域或本领域具有一定的专业影响力。本专业带头人为国超，副高级职称，负责本专业的规划与建设、主持专业人才培养方案、课程标准的制定与修订、教材、专业教学标准、专业认证体系的建设工作、负责本专业教学改革和实践技能培养方案的制定等工作。</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4.兼职教师</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（二）教学设施</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overflowPunct w:val="0"/>
        <w:adjustRightInd w:val="0"/>
        <w:spacing w:after="0" w:line="52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pPr>
        <w:overflowPunct w:val="0"/>
        <w:adjustRightInd w:val="0"/>
        <w:spacing w:after="0" w:line="52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2.校内实训资源</w:t>
      </w:r>
    </w:p>
    <w:p>
      <w:pPr>
        <w:overflowPunct w:val="0"/>
        <w:adjustRightInd w:val="0"/>
        <w:spacing w:after="0" w:line="520" w:lineRule="exact"/>
        <w:jc w:val="center"/>
        <w:rPr>
          <w:rFonts w:hint="eastAsia" w:ascii="仿宋_GB2312" w:hAnsi="仿宋_GB2312" w:eastAsia="仿宋_GB2312" w:cs="仿宋_GB2312"/>
          <w:sz w:val="32"/>
          <w:szCs w:val="32"/>
        </w:rPr>
      </w:pPr>
    </w:p>
    <w:p>
      <w:pPr>
        <w:overflowPunct w:val="0"/>
        <w:adjustRightInd w:val="0"/>
        <w:spacing w:after="0" w:line="520" w:lineRule="exact"/>
        <w:jc w:val="center"/>
        <w:rPr>
          <w:rFonts w:hint="eastAsia" w:ascii="仿宋_GB2312" w:hAnsi="仿宋_GB2312" w:eastAsia="仿宋_GB2312" w:cs="仿宋_GB2312"/>
          <w:sz w:val="32"/>
          <w:szCs w:val="32"/>
        </w:rPr>
      </w:pPr>
    </w:p>
    <w:p>
      <w:pPr>
        <w:overflowPunct w:val="0"/>
        <w:adjustRightInd w:val="0"/>
        <w:spacing w:after="0" w:line="520" w:lineRule="exact"/>
        <w:jc w:val="center"/>
        <w:rPr>
          <w:rFonts w:hint="eastAsia" w:ascii="仿宋_GB2312" w:hAnsi="仿宋_GB2312" w:eastAsia="仿宋_GB2312" w:cs="仿宋_GB2312"/>
          <w:sz w:val="32"/>
          <w:szCs w:val="32"/>
        </w:rPr>
      </w:pPr>
    </w:p>
    <w:p>
      <w:pPr>
        <w:overflowPunct w:val="0"/>
        <w:adjustRightInd w:val="0"/>
        <w:spacing w:after="0" w:line="52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表10 </w:t>
      </w:r>
      <w:r>
        <w:rPr>
          <w:rFonts w:hint="eastAsia" w:ascii="仿宋_GB2312" w:hAnsi="仿宋_GB2312" w:eastAsia="仿宋_GB2312" w:cs="仿宋_GB2312"/>
          <w:kern w:val="0"/>
          <w:sz w:val="32"/>
          <w:szCs w:val="32"/>
        </w:rPr>
        <w:t>大数据与会计专业校内实训资源列表</w:t>
      </w:r>
    </w:p>
    <w:tbl>
      <w:tblPr>
        <w:tblStyle w:val="7"/>
        <w:tblW w:w="10152" w:type="dxa"/>
        <w:tblInd w:w="-9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1356"/>
        <w:gridCol w:w="1182"/>
        <w:gridCol w:w="4284"/>
        <w:gridCol w:w="1743"/>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67"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序号</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实验实训</w:t>
            </w:r>
          </w:p>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室名称</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实训适用</w:t>
            </w:r>
          </w:p>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课程</w:t>
            </w:r>
          </w:p>
        </w:tc>
        <w:tc>
          <w:tcPr>
            <w:tcW w:w="4284"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实训</w:t>
            </w:r>
          </w:p>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项目</w:t>
            </w:r>
          </w:p>
        </w:tc>
        <w:tc>
          <w:tcPr>
            <w:tcW w:w="1743" w:type="dxa"/>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主要设备</w:t>
            </w:r>
          </w:p>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名称及配</w:t>
            </w:r>
          </w:p>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置数量</w:t>
            </w:r>
          </w:p>
        </w:tc>
        <w:tc>
          <w:tcPr>
            <w:tcW w:w="720" w:type="dxa"/>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1</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会计师事务所</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审计学、财务大数据分析与可视化</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1.审查企业会计报表，出具审计报告；2.验证企业资本，出具验资报告；3.办理企业合并、分立、清算事宜中的审计业务，出具有关报告；4.办理法律、行政法规规定的其他审计业务。5.设计财务会计制度;6.担任会计顾问，提供会计、财务、税务和其他经济管理咨。</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模拟事务台15台</w:t>
            </w:r>
          </w:p>
          <w:p>
            <w:pPr>
              <w:overflowPunct w:val="0"/>
              <w:adjustRightInd w:val="0"/>
              <w:spacing w:after="0" w:line="320" w:lineRule="exact"/>
              <w:jc w:val="center"/>
              <w:rPr>
                <w:rFonts w:hint="eastAsia" w:ascii="仿宋" w:hAnsi="仿宋" w:eastAsia="仿宋" w:cs="仿宋"/>
                <w:sz w:val="24"/>
              </w:rPr>
            </w:pP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2</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财会综合实训室</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会计综合模拟实训</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1.建立新账套，2.审核财务单据，3.填制会计凭证，4.对相关凭证进行审核记账，5.登记各种账薄，6.编制财务报表，7.装订凭证。</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凭证装订机10台</w:t>
            </w: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jc w:val="center"/>
              <w:rPr>
                <w:rFonts w:hint="eastAsia" w:ascii="仿宋" w:hAnsi="仿宋" w:eastAsia="仿宋" w:cs="仿宋"/>
                <w:sz w:val="24"/>
              </w:rPr>
            </w:pPr>
          </w:p>
          <w:p>
            <w:pPr>
              <w:overflowPunct w:val="0"/>
              <w:adjustRightInd w:val="0"/>
              <w:spacing w:after="0" w:line="320" w:lineRule="exact"/>
              <w:jc w:val="center"/>
              <w:rPr>
                <w:rFonts w:hint="eastAsia" w:ascii="仿宋" w:hAnsi="仿宋" w:eastAsia="仿宋" w:cs="仿宋"/>
                <w:sz w:val="24"/>
              </w:rPr>
            </w:pPr>
          </w:p>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3</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会计信息系统实训室</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会计信息系统应用</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1.建立新账套，2.财务总账模块，3.固定资产模块，4.工资模块，5.财务报表模块，6.往来管理。7.成本计算8.销售采购等。</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金蝶软件一套、电脑60台</w:t>
            </w: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ind w:firstLine="240" w:firstLineChars="100"/>
              <w:rPr>
                <w:rFonts w:hint="eastAsia" w:ascii="仿宋" w:hAnsi="仿宋" w:eastAsia="仿宋" w:cs="仿宋"/>
                <w:sz w:val="24"/>
              </w:rPr>
            </w:pPr>
            <w:r>
              <w:rPr>
                <w:rFonts w:hint="eastAsia" w:ascii="仿宋" w:hAnsi="仿宋" w:eastAsia="仿宋" w:cs="仿宋"/>
                <w:sz w:val="24"/>
              </w:rPr>
              <w:t>4</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会计技能实训室</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会计技能</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1.珠算加减法，2.珠算乘除法，3.心算，4.点钞，5.商务谈判人员的基本能力，6.商务谈判人员的礼仪，7.商务谈判人员的语言表达能力。</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算盘、计算器、练钞券120把</w:t>
            </w: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5</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财会实训资料室</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会计综合模拟实训</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大数据与会计专业、大数据与财务管理专业相关实训资料、会计资料档案保管。</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资料箱、资料柜6个</w:t>
            </w: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6</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模拟教学公司</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会计学原理、智能化成本核算与管理、财务管理</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1.适应企业特点，熟悉会计核算原理和操作，2.成本核算及成本费用计算表，3.财务费用核算以及资金筹集、投资、营运规划与选择</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课桌椅90套，成本核算资料4套、财务方案6套模拟事务台15台</w:t>
            </w:r>
          </w:p>
          <w:p>
            <w:pPr>
              <w:overflowPunct w:val="0"/>
              <w:adjustRightInd w:val="0"/>
              <w:spacing w:after="0" w:line="320" w:lineRule="exact"/>
              <w:rPr>
                <w:rFonts w:hint="eastAsia" w:ascii="仿宋" w:hAnsi="仿宋" w:eastAsia="仿宋" w:cs="仿宋"/>
                <w:sz w:val="24"/>
              </w:rPr>
            </w:pP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7</w:t>
            </w:r>
          </w:p>
        </w:tc>
        <w:tc>
          <w:tcPr>
            <w:tcW w:w="1356"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综合实训室</w:t>
            </w:r>
          </w:p>
        </w:tc>
        <w:tc>
          <w:tcPr>
            <w:tcW w:w="1182"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会计学原理、财务大数据分析与可视化、审计学、智能化成本核算与管理、财务管理</w:t>
            </w:r>
          </w:p>
        </w:tc>
        <w:tc>
          <w:tcPr>
            <w:tcW w:w="4284" w:type="dxa"/>
          </w:tcPr>
          <w:p>
            <w:pPr>
              <w:overflowPunct w:val="0"/>
              <w:adjustRightInd w:val="0"/>
              <w:spacing w:after="0" w:line="320" w:lineRule="exact"/>
              <w:jc w:val="left"/>
              <w:rPr>
                <w:rFonts w:hint="eastAsia" w:ascii="仿宋" w:hAnsi="仿宋" w:eastAsia="仿宋" w:cs="仿宋"/>
                <w:sz w:val="24"/>
              </w:rPr>
            </w:pPr>
            <w:r>
              <w:rPr>
                <w:rFonts w:hint="eastAsia" w:ascii="仿宋" w:hAnsi="仿宋" w:eastAsia="仿宋" w:cs="仿宋"/>
                <w:sz w:val="24"/>
              </w:rPr>
              <w:t>1.适应企业特点，熟悉会计核算原理和操作，2.设计财务会计制度;3.担任会计顾问，提供会计、财务、税务和其他经济管理咨4.成本核算及成本费用计算表，5.财务费用核算以及资金筹集、投资、营运规划与选择</w:t>
            </w:r>
          </w:p>
        </w:tc>
        <w:tc>
          <w:tcPr>
            <w:tcW w:w="1743"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课桌椅90套，成本核算资料4套、财务方案6套模拟事务台15台</w:t>
            </w:r>
          </w:p>
        </w:tc>
        <w:tc>
          <w:tcPr>
            <w:tcW w:w="720" w:type="dxa"/>
            <w:vAlign w:val="center"/>
          </w:tcPr>
          <w:p>
            <w:pPr>
              <w:overflowPunct w:val="0"/>
              <w:adjustRightInd w:val="0"/>
              <w:spacing w:after="0" w:line="320" w:lineRule="exact"/>
              <w:jc w:val="center"/>
              <w:rPr>
                <w:rFonts w:hint="eastAsia" w:ascii="仿宋" w:hAnsi="仿宋" w:eastAsia="仿宋" w:cs="仿宋"/>
                <w:sz w:val="24"/>
              </w:rPr>
            </w:pPr>
            <w:r>
              <w:rPr>
                <w:rFonts w:hint="eastAsia" w:ascii="仿宋" w:hAnsi="仿宋" w:eastAsia="仿宋" w:cs="仿宋"/>
                <w:sz w:val="24"/>
              </w:rPr>
              <w:t>90</w:t>
            </w:r>
          </w:p>
        </w:tc>
      </w:tr>
    </w:tbl>
    <w:p>
      <w:pPr>
        <w:pStyle w:val="2"/>
        <w:widowControl/>
        <w:spacing w:before="0"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具有稳定的校外实训基地2个以上;能够开展会计核算、成本核算、全盘账等实训活动;实训设施齐备，实训岗位、实训指导教师确定，实训管理及实施规章制度齐全。</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具有稳定的校外实习基地2个以上;能提供实习会计、 会计助理、出纳等相关实习岗位，能涵盖当前相关产业的主流技术，可接纳一定规模的学生实习;能够配备相应数量的指导教师对学生实习进行指导和管理;有保证实习生日常工作、学习、生活的规章制度，有安全、保险保障。</w:t>
      </w:r>
    </w:p>
    <w:p>
      <w:pPr>
        <w:overflowPunct w:val="0"/>
        <w:adjustRightIn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 大数据与会计专业校外实习基地一览表</w:t>
      </w:r>
    </w:p>
    <w:tbl>
      <w:tblPr>
        <w:tblStyle w:val="7"/>
        <w:tblW w:w="10380"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3119"/>
        <w:gridCol w:w="2651"/>
        <w:gridCol w:w="1320"/>
        <w:gridCol w:w="1200"/>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序号</w:t>
            </w:r>
          </w:p>
        </w:tc>
        <w:tc>
          <w:tcPr>
            <w:tcW w:w="3119"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校外实习基地名称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合作企业名称</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用途</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合作深</w:t>
            </w:r>
          </w:p>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度要求</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1</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广西北部湾银行股份有限公司平果支行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2</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中国建设银行博白支行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3</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平果国民村镇银行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4</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中国农业银行平果市支行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柳州银行平果支行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6</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中国银行平果支行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7</w:t>
            </w:r>
          </w:p>
        </w:tc>
        <w:tc>
          <w:tcPr>
            <w:tcW w:w="3119" w:type="dxa"/>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广西工程职业学院大数据与会计专业校外实习基地</w:t>
            </w:r>
          </w:p>
        </w:tc>
        <w:tc>
          <w:tcPr>
            <w:tcW w:w="2651"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桂林银行股份有限公司百色平果支行</w:t>
            </w:r>
          </w:p>
        </w:tc>
        <w:tc>
          <w:tcPr>
            <w:tcW w:w="132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岗位实习</w:t>
            </w:r>
          </w:p>
        </w:tc>
        <w:tc>
          <w:tcPr>
            <w:tcW w:w="120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深度合作</w:t>
            </w:r>
          </w:p>
        </w:tc>
        <w:tc>
          <w:tcPr>
            <w:tcW w:w="1340" w:type="dxa"/>
            <w:vAlign w:val="center"/>
          </w:tcPr>
          <w:p>
            <w:pPr>
              <w:overflowPunct w:val="0"/>
              <w:adjustRightInd w:val="0"/>
              <w:spacing w:line="240" w:lineRule="auto"/>
              <w:jc w:val="center"/>
              <w:rPr>
                <w:rFonts w:hint="eastAsia" w:ascii="仿宋" w:hAnsi="仿宋" w:eastAsia="仿宋" w:cs="仿宋"/>
                <w:sz w:val="24"/>
              </w:rPr>
            </w:pPr>
            <w:r>
              <w:rPr>
                <w:rFonts w:hint="eastAsia" w:ascii="仿宋" w:hAnsi="仿宋" w:eastAsia="仿宋" w:cs="仿宋"/>
                <w:sz w:val="24"/>
              </w:rPr>
              <w:t>50</w:t>
            </w:r>
          </w:p>
        </w:tc>
      </w:tr>
    </w:tbl>
    <w:p>
      <w:pPr>
        <w:overflowPunct w:val="0"/>
        <w:adjustRightInd w:val="0"/>
        <w:spacing w:after="0" w:line="520" w:lineRule="exact"/>
        <w:ind w:firstLine="640" w:firstLineChars="200"/>
        <w:rPr>
          <w:rFonts w:hint="eastAsia" w:ascii="楷体" w:hAnsi="楷体" w:eastAsia="楷体" w:cs="楷体"/>
          <w:sz w:val="32"/>
          <w:szCs w:val="32"/>
        </w:rPr>
      </w:pP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（三）教学资源</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财务会计相关行业政策法规、行业标准、技术规范以及以及财务会计从业人员素养要求等与服务相关专业类图书和实务案例类图书。专业图书资料（含电子图书）不低于500册，5 种以上财务会计类专业学术期刊，并能保持每年更新。</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（四）教学方法</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根据不同课程的性质</w:t>
      </w:r>
      <w:r>
        <w:rPr>
          <w:rFonts w:hint="eastAsia" w:ascii="仿宋_GB2312" w:hAnsi="仿宋_GB2312" w:eastAsia="仿宋_GB2312" w:cs="仿宋_GB2312"/>
          <w:sz w:val="32"/>
          <w:szCs w:val="32"/>
        </w:rPr>
        <w:t>特点</w:t>
      </w:r>
      <w:r>
        <w:rPr>
          <w:rFonts w:ascii="仿宋_GB2312" w:hAnsi="仿宋_GB2312" w:eastAsia="仿宋_GB2312" w:cs="仿宋_GB2312"/>
          <w:sz w:val="32"/>
          <w:szCs w:val="32"/>
        </w:rPr>
        <w:t>，在保留传统讲授法、演示法、讨论法、问答法、案例分析法等的基础上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应充分利用信息化教学资源，尽量将项目驱动法、探究式教学、翻转课堂等新型教学模式及方法引入课堂，遵循“学生为主体，教师为主导”的原则，积极探索多种教学方法。</w:t>
      </w: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（五）学习评价</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（一）A类课程成绩构成（纯理论）</w:t>
      </w:r>
    </w:p>
    <w:p>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课程总成绩=期末卷面考试成绩（50%）+平时过程性考核成绩（50%)</w:t>
      </w:r>
    </w:p>
    <w:p>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（二）B类课程成绩构成（理论+实践）</w:t>
      </w:r>
    </w:p>
    <w:p>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课程总成绩=理论部分期末卷面考试成绩（40%)+技能成绩（30%）+平时过程性考核成绩（30%)。</w:t>
      </w:r>
    </w:p>
    <w:p>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（三）C类课程成绩构成(纯实践）</w:t>
      </w:r>
    </w:p>
    <w:p>
      <w:pPr>
        <w:autoSpaceDE w:val="0"/>
        <w:autoSpaceDN w:val="0"/>
        <w:adjustRightInd w:val="0"/>
        <w:snapToGrid w:val="0"/>
        <w:spacing w:after="0"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课程总成绩=技能成绩（50%）+平时过程性考核成绩（50%)</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overflowPunct w:val="0"/>
        <w:adjustRightInd w:val="0"/>
        <w:spacing w:after="0" w:line="520" w:lineRule="exact"/>
        <w:ind w:firstLine="640" w:firstLineChars="200"/>
        <w:rPr>
          <w:rFonts w:hint="eastAsia" w:ascii="楷体" w:hAnsi="楷体" w:eastAsia="楷体" w:cs="楷体"/>
          <w:sz w:val="32"/>
          <w:szCs w:val="32"/>
        </w:rPr>
      </w:pPr>
    </w:p>
    <w:p>
      <w:pPr>
        <w:overflowPunct w:val="0"/>
        <w:adjustRightInd w:val="0"/>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（六）质量管理</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pPr>
        <w:overflowPunct w:val="0"/>
        <w:adjustRightInd w:val="0"/>
        <w:spacing w:after="0" w:line="520" w:lineRule="exact"/>
        <w:ind w:firstLine="640" w:firstLineChars="200"/>
        <w:rPr>
          <w:rFonts w:hint="eastAsia" w:ascii="黑体" w:hAnsi="黑体" w:eastAsia="黑体" w:cs="黑体"/>
          <w:sz w:val="32"/>
          <w:szCs w:val="32"/>
        </w:rPr>
      </w:pPr>
      <w:r>
        <w:rPr>
          <w:rFonts w:hint="eastAsia" w:ascii="仿宋_GB2312" w:hAnsi="仿宋_GB2312" w:eastAsia="仿宋_GB2312" w:cs="仿宋_GB2312"/>
          <w:sz w:val="32"/>
          <w:szCs w:val="32"/>
        </w:rPr>
        <w:t>4.充分利用评价分析结果有效改进专业教学，持续提高 人才培养质量。</w:t>
      </w:r>
    </w:p>
    <w:p>
      <w:pPr>
        <w:overflowPunct w:val="0"/>
        <w:adjustRightInd w:val="0"/>
        <w:spacing w:after="0" w:line="52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九、毕业要求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学生必须具备以下条件，方可毕业：</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（一）满足修业年限的要求：标准修业年限为3年，弹性学分有效修业年限为2-5年。</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（二）满足学分要求：至少取得159学分，其中，必修课学分141学分，公共选修课不低于12 学分，专业选修课不少于6 学分，达到专业培养目标和培养规格要求。</w:t>
      </w:r>
    </w:p>
    <w:p>
      <w:p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（三）符合学生学籍管理的其它规定。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5E7996"/>
    <w:rsid w:val="00222CC9"/>
    <w:rsid w:val="00283E45"/>
    <w:rsid w:val="002D15C0"/>
    <w:rsid w:val="003418A9"/>
    <w:rsid w:val="00414E96"/>
    <w:rsid w:val="004434E1"/>
    <w:rsid w:val="00542C08"/>
    <w:rsid w:val="005818D2"/>
    <w:rsid w:val="005C271D"/>
    <w:rsid w:val="005E7996"/>
    <w:rsid w:val="00650397"/>
    <w:rsid w:val="006A1AE0"/>
    <w:rsid w:val="00795575"/>
    <w:rsid w:val="007E10B2"/>
    <w:rsid w:val="00871569"/>
    <w:rsid w:val="00A07E0A"/>
    <w:rsid w:val="00A73C45"/>
    <w:rsid w:val="00B21781"/>
    <w:rsid w:val="00BA1C25"/>
    <w:rsid w:val="00C4271B"/>
    <w:rsid w:val="00D62285"/>
    <w:rsid w:val="00E27C7F"/>
    <w:rsid w:val="00E868F3"/>
    <w:rsid w:val="00FB4A38"/>
    <w:rsid w:val="018E7B8F"/>
    <w:rsid w:val="01AA3877"/>
    <w:rsid w:val="02CD5374"/>
    <w:rsid w:val="03A07894"/>
    <w:rsid w:val="051223C4"/>
    <w:rsid w:val="062E0F1B"/>
    <w:rsid w:val="070954E4"/>
    <w:rsid w:val="09CB082F"/>
    <w:rsid w:val="0AFF69E2"/>
    <w:rsid w:val="0DE924A0"/>
    <w:rsid w:val="0E113288"/>
    <w:rsid w:val="10EE36A0"/>
    <w:rsid w:val="13203999"/>
    <w:rsid w:val="1796247C"/>
    <w:rsid w:val="1A570472"/>
    <w:rsid w:val="1BAE7956"/>
    <w:rsid w:val="1BCC19A4"/>
    <w:rsid w:val="1CB25FAA"/>
    <w:rsid w:val="2318574B"/>
    <w:rsid w:val="296E1A2F"/>
    <w:rsid w:val="29C72B81"/>
    <w:rsid w:val="2B8D373E"/>
    <w:rsid w:val="2C802418"/>
    <w:rsid w:val="2CB341C7"/>
    <w:rsid w:val="2F7A2E0A"/>
    <w:rsid w:val="33260700"/>
    <w:rsid w:val="33AE06F6"/>
    <w:rsid w:val="33B93C14"/>
    <w:rsid w:val="34B65AB4"/>
    <w:rsid w:val="357449D1"/>
    <w:rsid w:val="35E93C67"/>
    <w:rsid w:val="370E7E29"/>
    <w:rsid w:val="37AD2573"/>
    <w:rsid w:val="39372651"/>
    <w:rsid w:val="3A451367"/>
    <w:rsid w:val="3B4007CD"/>
    <w:rsid w:val="3BA90991"/>
    <w:rsid w:val="3D0047E4"/>
    <w:rsid w:val="3F6A4DBB"/>
    <w:rsid w:val="3F954E4D"/>
    <w:rsid w:val="3FF86C17"/>
    <w:rsid w:val="404B5C4A"/>
    <w:rsid w:val="40DC0013"/>
    <w:rsid w:val="41DE5079"/>
    <w:rsid w:val="42817701"/>
    <w:rsid w:val="43C755E8"/>
    <w:rsid w:val="44380293"/>
    <w:rsid w:val="44FF52AE"/>
    <w:rsid w:val="4602706C"/>
    <w:rsid w:val="462C4687"/>
    <w:rsid w:val="46733805"/>
    <w:rsid w:val="46B856BC"/>
    <w:rsid w:val="46F661E4"/>
    <w:rsid w:val="47103740"/>
    <w:rsid w:val="4C0272E2"/>
    <w:rsid w:val="4E514358"/>
    <w:rsid w:val="5135219E"/>
    <w:rsid w:val="51D535C6"/>
    <w:rsid w:val="51FE1E87"/>
    <w:rsid w:val="535B634F"/>
    <w:rsid w:val="54595AA0"/>
    <w:rsid w:val="56397652"/>
    <w:rsid w:val="595C12A3"/>
    <w:rsid w:val="5B137EF8"/>
    <w:rsid w:val="5C4E644E"/>
    <w:rsid w:val="5C606182"/>
    <w:rsid w:val="5E043D85"/>
    <w:rsid w:val="5E510503"/>
    <w:rsid w:val="5E7540E3"/>
    <w:rsid w:val="5F07293D"/>
    <w:rsid w:val="5F1B4F3C"/>
    <w:rsid w:val="5F475456"/>
    <w:rsid w:val="600B4B95"/>
    <w:rsid w:val="611870CB"/>
    <w:rsid w:val="67B90B06"/>
    <w:rsid w:val="68986B5D"/>
    <w:rsid w:val="6AF44665"/>
    <w:rsid w:val="6C923EBF"/>
    <w:rsid w:val="6D1D49F8"/>
    <w:rsid w:val="6FF128C8"/>
    <w:rsid w:val="70CA7C28"/>
    <w:rsid w:val="71E42D4C"/>
    <w:rsid w:val="735E76C4"/>
    <w:rsid w:val="73C60B68"/>
    <w:rsid w:val="75504B8E"/>
    <w:rsid w:val="76191423"/>
    <w:rsid w:val="77FC484A"/>
    <w:rsid w:val="79751DE3"/>
    <w:rsid w:val="7E372159"/>
    <w:rsid w:val="7F491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8">
    <w:name w:val="Default Paragraph Font"/>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spacing w:line="240" w:lineRule="auto"/>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B31946-2B7E-4511-8FCE-7D3BBC95B916}">
  <ds:schemaRefs/>
</ds:datastoreItem>
</file>

<file path=docProps/app.xml><?xml version="1.0" encoding="utf-8"?>
<Properties xmlns="http://schemas.openxmlformats.org/officeDocument/2006/extended-properties" xmlns:vt="http://schemas.openxmlformats.org/officeDocument/2006/docPropsVTypes">
  <Template>Normal</Template>
  <Pages>32</Pages>
  <Words>3804</Words>
  <Characters>21683</Characters>
  <Lines>180</Lines>
  <Paragraphs>50</Paragraphs>
  <TotalTime>1</TotalTime>
  <ScaleCrop>false</ScaleCrop>
  <LinksUpToDate>false</LinksUpToDate>
  <CharactersWithSpaces>25437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Administrator</cp:lastModifiedBy>
  <cp:lastPrinted>2024-09-18T02:55:00Z</cp:lastPrinted>
  <dcterms:modified xsi:type="dcterms:W3CDTF">2025-03-05T03:17:49Z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D565E632A76C4840AF9AB87103BE2995_12</vt:lpwstr>
  </property>
  <property fmtid="{D5CDD505-2E9C-101B-9397-08002B2CF9AE}" pid="4" name="KSOTemplateDocerSaveRecord">
    <vt:lpwstr>eyJoZGlkIjoiYTlkZGNjYzU4MGVmYzM3YzkxYTEyNjI5Y2FiYjZmODMiLCJ1c2VySWQiOiI1MjMzNTI2MTkifQ==</vt:lpwstr>
  </property>
</Properties>
</file>