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ind w:firstLine="420" w:firstLineChars="0"/>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r>
        <w:rPr>
          <w:rFonts w:hint="eastAsia" w:ascii="仿宋" w:hAnsi="仿宋" w:eastAsia="仿宋"/>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pPr>
        <w:overflowPunct w:val="0"/>
        <w:adjustRightInd w:val="0"/>
        <w:snapToGrid w:val="0"/>
        <w:jc w:val="center"/>
        <w:rPr>
          <w:rFonts w:hint="eastAsia" w:ascii="仿宋" w:hAnsi="仿宋" w:eastAsia="仿宋"/>
          <w:szCs w:val="32"/>
        </w:rPr>
      </w:pPr>
    </w:p>
    <w:p>
      <w:pPr>
        <w:overflowPunct w:val="0"/>
        <w:adjustRightInd w:val="0"/>
        <w:snapToGrid w:val="0"/>
        <w:rPr>
          <w:rFonts w:hint="eastAsia" w:ascii="华文新魏" w:hAnsi="仿宋" w:eastAsia="华文新魏"/>
          <w:b/>
          <w:bCs/>
          <w:sz w:val="100"/>
          <w:szCs w:val="100"/>
        </w:rPr>
      </w:pPr>
      <w:r>
        <w:rPr>
          <w:rFonts w:hint="eastAsia" w:ascii="华文新魏" w:hAnsi="仿宋" w:eastAsia="华文新魏"/>
          <w:b/>
          <w:bCs/>
          <w:sz w:val="100"/>
          <w:szCs w:val="100"/>
        </w:rPr>
        <w:t>广西工程职业学院</w:t>
      </w: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widowControl/>
        <w:overflowPunct w:val="0"/>
        <w:adjustRightInd w:val="0"/>
        <w:snapToGrid w:val="0"/>
        <w:spacing w:after="160"/>
        <w:jc w:val="center"/>
        <w:rPr>
          <w:rFonts w:hint="eastAsia" w:ascii="黑体" w:hAnsi="黑体" w:eastAsia="黑体" w:cs="黑体"/>
          <w:b/>
          <w:bCs/>
          <w:kern w:val="0"/>
          <w:sz w:val="52"/>
          <w:szCs w:val="52"/>
        </w:rPr>
      </w:pPr>
      <w:r>
        <w:rPr>
          <w:rFonts w:hint="eastAsia" w:ascii="黑体" w:hAnsi="黑体" w:eastAsia="黑体" w:cs="黑体"/>
          <w:b/>
          <w:bCs/>
          <w:kern w:val="0"/>
          <w:sz w:val="52"/>
          <w:szCs w:val="52"/>
        </w:rPr>
        <w:t>2024级电子商务专业</w:t>
      </w:r>
    </w:p>
    <w:p>
      <w:pPr>
        <w:widowControl/>
        <w:overflowPunct w:val="0"/>
        <w:adjustRightInd w:val="0"/>
        <w:snapToGrid w:val="0"/>
        <w:spacing w:after="160"/>
        <w:jc w:val="center"/>
        <w:rPr>
          <w:rFonts w:hint="eastAsia" w:ascii="黑体" w:hAnsi="黑体" w:eastAsia="黑体" w:cs="黑体"/>
          <w:b/>
          <w:bCs/>
          <w:kern w:val="0"/>
          <w:sz w:val="52"/>
          <w:szCs w:val="52"/>
        </w:rPr>
        <w:sectPr>
          <w:headerReference r:id="rId3" w:type="default"/>
          <w:pgSz w:w="11906" w:h="16838"/>
          <w:pgMar w:top="1417" w:right="1417" w:bottom="1417" w:left="1984" w:header="851" w:footer="992" w:gutter="0"/>
          <w:pgNumType w:start="1"/>
          <w:cols w:space="425" w:num="1"/>
          <w:docGrid w:type="lines" w:linePitch="312" w:charSpace="0"/>
        </w:sectPr>
      </w:pPr>
      <w:r>
        <w:rPr>
          <w:rFonts w:hint="eastAsia" w:ascii="黑体" w:hAnsi="黑体" w:eastAsia="黑体" w:cs="黑体"/>
          <w:b/>
          <w:bCs/>
          <w:kern w:val="0"/>
          <w:sz w:val="52"/>
          <w:szCs w:val="52"/>
        </w:rPr>
        <w:t>人才培养方案</w:t>
      </w:r>
    </w:p>
    <w:p>
      <w:pPr>
        <w:overflowPunct w:val="0"/>
        <w:adjustRightInd w:val="0"/>
        <w:snapToGrid w:val="0"/>
        <w:spacing w:line="520" w:lineRule="exact"/>
        <w:ind w:firstLine="1760" w:firstLineChars="400"/>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电子商务专业人才培养方案</w:t>
      </w:r>
    </w:p>
    <w:p>
      <w:pPr>
        <w:overflowPunct w:val="0"/>
        <w:adjustRightInd w:val="0"/>
        <w:snapToGrid w:val="0"/>
        <w:spacing w:line="520" w:lineRule="exact"/>
        <w:jc w:val="center"/>
        <w:rPr>
          <w:rFonts w:hint="eastAsia" w:ascii="仿宋" w:hAnsi="仿宋" w:eastAsia="仿宋"/>
          <w:szCs w:val="32"/>
        </w:rPr>
      </w:pPr>
    </w:p>
    <w:p>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一、专业名称</w:t>
      </w:r>
      <w:bookmarkStart w:id="12" w:name="_GoBack"/>
      <w:bookmarkEnd w:id="12"/>
      <w:r>
        <w:rPr>
          <w:rFonts w:hint="eastAsia" w:ascii="黑体" w:hAnsi="黑体" w:eastAsia="黑体" w:cs="黑体"/>
          <w:sz w:val="32"/>
          <w:szCs w:val="32"/>
        </w:rPr>
        <w:t>及代码</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专业名称：电子商务</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专业代码：530701</w:t>
      </w:r>
    </w:p>
    <w:p>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二、入学要求</w:t>
      </w:r>
    </w:p>
    <w:p>
      <w:pPr>
        <w:overflowPunct w:val="0"/>
        <w:adjustRightInd w:val="0"/>
        <w:spacing w:line="52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普通高级中学毕业、中等职业学校毕业或具备同等学力。</w:t>
      </w:r>
    </w:p>
    <w:p>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三、修业年限</w:t>
      </w:r>
    </w:p>
    <w:p>
      <w:pPr>
        <w:overflowPunct w:val="0"/>
        <w:adjustRightInd w:val="0"/>
        <w:spacing w:line="52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标准修业年限为3年，弹性学分有效修业年限为</w:t>
      </w: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rPr>
        <w:t>-5年。</w:t>
      </w:r>
    </w:p>
    <w:p>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四、职业面向</w:t>
      </w:r>
    </w:p>
    <w:p>
      <w:pPr>
        <w:overflowPunct w:val="0"/>
        <w:adjustRightInd w:val="0"/>
        <w:spacing w:line="520" w:lineRule="exact"/>
        <w:ind w:firstLine="640" w:firstLineChars="200"/>
        <w:jc w:val="center"/>
        <w:rPr>
          <w:rFonts w:hint="eastAsia" w:ascii="仿宋_GB2312" w:hAnsi="仿宋" w:eastAsia="仿宋_GB2312" w:cs="仿宋_GB2312"/>
          <w:sz w:val="32"/>
          <w:szCs w:val="32"/>
        </w:rPr>
      </w:pPr>
      <w:r>
        <w:rPr>
          <w:rFonts w:hint="eastAsia" w:ascii="仿宋_GB2312" w:hAnsi="仿宋" w:eastAsia="仿宋_GB2312" w:cs="仿宋_GB2312"/>
          <w:sz w:val="32"/>
          <w:szCs w:val="32"/>
        </w:rPr>
        <w:t>表1 电子商务专业职业岗位分析表</w:t>
      </w:r>
    </w:p>
    <w:tbl>
      <w:tblPr>
        <w:tblStyle w:val="7"/>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0"/>
        <w:gridCol w:w="1169"/>
        <w:gridCol w:w="1431"/>
        <w:gridCol w:w="1536"/>
        <w:gridCol w:w="1883"/>
        <w:gridCol w:w="2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vAlign w:val="center"/>
          </w:tcPr>
          <w:p>
            <w:pPr>
              <w:overflowPunct w:val="0"/>
              <w:adjustRightIn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 xml:space="preserve"> 所属专业大类（代码）</w:t>
            </w:r>
          </w:p>
        </w:tc>
        <w:tc>
          <w:tcPr>
            <w:tcW w:w="1180" w:type="dxa"/>
            <w:vAlign w:val="center"/>
          </w:tcPr>
          <w:p>
            <w:pPr>
              <w:overflowPunct w:val="0"/>
              <w:adjustRightIn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所属专业类（代码）</w:t>
            </w:r>
          </w:p>
        </w:tc>
        <w:tc>
          <w:tcPr>
            <w:tcW w:w="1445" w:type="dxa"/>
            <w:vAlign w:val="center"/>
          </w:tcPr>
          <w:p>
            <w:pPr>
              <w:overflowPunct w:val="0"/>
              <w:adjustRightIn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对应行业</w:t>
            </w:r>
          </w:p>
          <w:p>
            <w:pPr>
              <w:overflowPunct w:val="0"/>
              <w:adjustRightIn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（代码）</w:t>
            </w:r>
          </w:p>
        </w:tc>
        <w:tc>
          <w:tcPr>
            <w:tcW w:w="1435" w:type="dxa"/>
            <w:vAlign w:val="center"/>
          </w:tcPr>
          <w:p>
            <w:pPr>
              <w:overflowPunct w:val="0"/>
              <w:adjustRightIn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主要职业类别（代码）</w:t>
            </w:r>
          </w:p>
        </w:tc>
        <w:tc>
          <w:tcPr>
            <w:tcW w:w="1910" w:type="dxa"/>
            <w:vAlign w:val="center"/>
          </w:tcPr>
          <w:p>
            <w:pPr>
              <w:overflowPunct w:val="0"/>
              <w:adjustRightIn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主要岗位类别（或技术领域）</w:t>
            </w:r>
          </w:p>
        </w:tc>
        <w:tc>
          <w:tcPr>
            <w:tcW w:w="2220" w:type="dxa"/>
            <w:vAlign w:val="center"/>
          </w:tcPr>
          <w:p>
            <w:pPr>
              <w:overflowPunct w:val="0"/>
              <w:adjustRightIn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vAlign w:val="center"/>
          </w:tcPr>
          <w:p>
            <w:pPr>
              <w:overflowPunct w:val="0"/>
              <w:adjustRightInd w:val="0"/>
              <w:spacing w:line="360" w:lineRule="exact"/>
              <w:rPr>
                <w:rFonts w:hint="eastAsia" w:ascii="仿宋" w:hAnsi="仿宋" w:eastAsia="仿宋" w:cs="仿宋"/>
                <w:sz w:val="24"/>
                <w:szCs w:val="24"/>
              </w:rPr>
            </w:pPr>
            <w:r>
              <w:rPr>
                <w:rFonts w:hint="eastAsia" w:ascii="仿宋" w:hAnsi="仿宋" w:eastAsia="仿宋" w:cs="仿宋"/>
                <w:sz w:val="24"/>
                <w:szCs w:val="24"/>
              </w:rPr>
              <w:t>财经商贸大类（53）</w:t>
            </w:r>
          </w:p>
        </w:tc>
        <w:tc>
          <w:tcPr>
            <w:tcW w:w="1180" w:type="dxa"/>
            <w:vAlign w:val="center"/>
          </w:tcPr>
          <w:p>
            <w:pPr>
              <w:overflowPunct w:val="0"/>
              <w:adjustRightInd w:val="0"/>
              <w:spacing w:line="360" w:lineRule="exact"/>
              <w:rPr>
                <w:rFonts w:hint="eastAsia" w:ascii="仿宋" w:hAnsi="仿宋" w:eastAsia="仿宋" w:cs="仿宋"/>
                <w:sz w:val="24"/>
                <w:szCs w:val="24"/>
                <w:lang w:eastAsia="zh-CN"/>
              </w:rPr>
            </w:pPr>
            <w:r>
              <w:rPr>
                <w:rFonts w:hint="eastAsia" w:ascii="仿宋" w:hAnsi="仿宋" w:eastAsia="仿宋" w:cs="仿宋"/>
                <w:sz w:val="24"/>
                <w:szCs w:val="24"/>
              </w:rPr>
              <w:t>电子商务类530</w:t>
            </w:r>
            <w:r>
              <w:rPr>
                <w:rFonts w:hint="eastAsia" w:ascii="仿宋" w:hAnsi="仿宋" w:eastAsia="仿宋" w:cs="仿宋"/>
                <w:sz w:val="24"/>
                <w:szCs w:val="24"/>
                <w:lang w:val="en-US" w:eastAsia="zh-CN"/>
              </w:rPr>
              <w:t>8</w:t>
            </w:r>
          </w:p>
        </w:tc>
        <w:tc>
          <w:tcPr>
            <w:tcW w:w="1445" w:type="dxa"/>
            <w:vAlign w:val="center"/>
          </w:tcPr>
          <w:p>
            <w:pPr>
              <w:overflowPunct w:val="0"/>
              <w:adjustRightInd w:val="0"/>
              <w:spacing w:line="360" w:lineRule="exact"/>
              <w:rPr>
                <w:rFonts w:hint="eastAsia" w:ascii="仿宋" w:hAnsi="仿宋" w:eastAsia="仿宋" w:cs="仿宋"/>
                <w:sz w:val="24"/>
                <w:szCs w:val="24"/>
              </w:rPr>
            </w:pPr>
            <w:r>
              <w:rPr>
                <w:rFonts w:hint="eastAsia" w:ascii="仿宋" w:hAnsi="仿宋" w:eastAsia="仿宋" w:cs="仿宋"/>
                <w:sz w:val="24"/>
                <w:szCs w:val="24"/>
              </w:rPr>
              <w:t>互联网和相关服(64);</w:t>
            </w:r>
          </w:p>
          <w:p>
            <w:pPr>
              <w:overflowPunct w:val="0"/>
              <w:adjustRightInd w:val="0"/>
              <w:spacing w:line="360" w:lineRule="exact"/>
              <w:rPr>
                <w:rFonts w:hint="eastAsia" w:ascii="仿宋" w:hAnsi="仿宋" w:eastAsia="仿宋" w:cs="仿宋"/>
                <w:sz w:val="24"/>
                <w:szCs w:val="24"/>
              </w:rPr>
            </w:pPr>
            <w:r>
              <w:rPr>
                <w:rFonts w:hint="eastAsia" w:ascii="仿宋" w:hAnsi="仿宋" w:eastAsia="仿宋" w:cs="仿宋"/>
                <w:sz w:val="24"/>
                <w:szCs w:val="24"/>
              </w:rPr>
              <w:t>批发(51);</w:t>
            </w:r>
          </w:p>
          <w:p>
            <w:pPr>
              <w:overflowPunct w:val="0"/>
              <w:adjustRightInd w:val="0"/>
              <w:spacing w:line="360" w:lineRule="exact"/>
              <w:rPr>
                <w:rFonts w:hint="eastAsia" w:ascii="仿宋" w:hAnsi="仿宋" w:eastAsia="仿宋" w:cs="仿宋"/>
                <w:sz w:val="24"/>
                <w:szCs w:val="24"/>
              </w:rPr>
            </w:pPr>
            <w:r>
              <w:rPr>
                <w:rFonts w:hint="eastAsia" w:ascii="仿宋" w:hAnsi="仿宋" w:eastAsia="仿宋" w:cs="仿宋"/>
                <w:sz w:val="24"/>
                <w:szCs w:val="24"/>
              </w:rPr>
              <w:t>零售业(52)</w:t>
            </w:r>
          </w:p>
        </w:tc>
        <w:tc>
          <w:tcPr>
            <w:tcW w:w="1435" w:type="dxa"/>
            <w:vAlign w:val="center"/>
          </w:tcPr>
          <w:p>
            <w:pPr>
              <w:overflowPunct w:val="0"/>
              <w:adjustRightInd w:val="0"/>
              <w:spacing w:line="360" w:lineRule="exact"/>
              <w:rPr>
                <w:rFonts w:hint="eastAsia" w:ascii="仿宋" w:hAnsi="仿宋" w:eastAsia="仿宋" w:cs="仿宋"/>
                <w:sz w:val="24"/>
                <w:szCs w:val="24"/>
                <w:lang w:eastAsia="zh-CN"/>
              </w:rPr>
            </w:pPr>
            <w:r>
              <w:rPr>
                <w:rFonts w:hint="eastAsia" w:ascii="仿宋" w:hAnsi="仿宋" w:eastAsia="仿宋" w:cs="仿宋"/>
                <w:sz w:val="24"/>
                <w:szCs w:val="24"/>
                <w:lang w:eastAsia="zh-CN"/>
              </w:rPr>
              <w:t>销售人员（</w:t>
            </w:r>
            <w:r>
              <w:rPr>
                <w:rFonts w:hint="eastAsia" w:ascii="仿宋" w:hAnsi="仿宋" w:eastAsia="仿宋" w:cs="仿宋"/>
                <w:sz w:val="24"/>
                <w:szCs w:val="24"/>
                <w:lang w:val="en-US" w:eastAsia="zh-CN"/>
              </w:rPr>
              <w:t>4-01-02</w:t>
            </w:r>
            <w:r>
              <w:rPr>
                <w:rFonts w:hint="eastAsia" w:ascii="仿宋" w:hAnsi="仿宋" w:eastAsia="仿宋" w:cs="仿宋"/>
                <w:sz w:val="24"/>
                <w:szCs w:val="24"/>
                <w:lang w:eastAsia="zh-CN"/>
              </w:rPr>
              <w:t>）</w:t>
            </w:r>
          </w:p>
        </w:tc>
        <w:tc>
          <w:tcPr>
            <w:tcW w:w="1910" w:type="dxa"/>
            <w:vAlign w:val="center"/>
          </w:tcPr>
          <w:p>
            <w:pPr>
              <w:overflowPunct w:val="0"/>
              <w:adjustRightInd w:val="0"/>
              <w:spacing w:line="360" w:lineRule="exact"/>
              <w:rPr>
                <w:rFonts w:hint="eastAsia" w:ascii="仿宋" w:hAnsi="仿宋" w:eastAsia="仿宋" w:cs="仿宋"/>
                <w:sz w:val="24"/>
                <w:szCs w:val="24"/>
                <w:lang w:eastAsia="zh-CN"/>
              </w:rPr>
            </w:pPr>
            <w:r>
              <w:rPr>
                <w:rFonts w:hint="eastAsia" w:ascii="仿宋" w:hAnsi="仿宋" w:eastAsia="仿宋" w:cs="仿宋"/>
                <w:sz w:val="24"/>
                <w:szCs w:val="24"/>
                <w:lang w:eastAsia="zh-CN"/>
              </w:rPr>
              <w:t>营销推广；运营管理；客户服务</w:t>
            </w:r>
          </w:p>
        </w:tc>
        <w:tc>
          <w:tcPr>
            <w:tcW w:w="2220" w:type="dxa"/>
            <w:vAlign w:val="center"/>
          </w:tcPr>
          <w:p>
            <w:pPr>
              <w:overflowPunct w:val="0"/>
              <w:adjustRightInd w:val="0"/>
              <w:spacing w:line="360" w:lineRule="exact"/>
              <w:rPr>
                <w:rFonts w:hint="eastAsia" w:ascii="仿宋" w:hAnsi="仿宋" w:eastAsia="仿宋" w:cs="仿宋"/>
                <w:sz w:val="24"/>
                <w:szCs w:val="24"/>
                <w:lang w:eastAsia="zh-CN"/>
              </w:rPr>
            </w:pPr>
            <w:r>
              <w:rPr>
                <w:rFonts w:hint="eastAsia" w:ascii="仿宋" w:hAnsi="仿宋" w:eastAsia="仿宋" w:cs="仿宋"/>
                <w:sz w:val="24"/>
                <w:szCs w:val="24"/>
              </w:rPr>
              <w:t>信息处理技术员</w:t>
            </w:r>
            <w:r>
              <w:rPr>
                <w:rFonts w:hint="eastAsia" w:ascii="仿宋" w:hAnsi="仿宋" w:eastAsia="仿宋" w:cs="仿宋"/>
                <w:sz w:val="24"/>
                <w:szCs w:val="24"/>
                <w:lang w:eastAsia="zh-CN"/>
              </w:rPr>
              <w:t>证</w:t>
            </w:r>
            <w:r>
              <w:rPr>
                <w:rFonts w:hint="eastAsia" w:ascii="仿宋" w:hAnsi="仿宋" w:eastAsia="仿宋" w:cs="仿宋"/>
                <w:sz w:val="24"/>
                <w:szCs w:val="24"/>
              </w:rPr>
              <w:t>、助理电子商务师</w:t>
            </w:r>
            <w:r>
              <w:rPr>
                <w:rFonts w:hint="eastAsia" w:ascii="仿宋" w:hAnsi="仿宋" w:eastAsia="仿宋" w:cs="仿宋"/>
                <w:sz w:val="24"/>
                <w:szCs w:val="24"/>
                <w:lang w:eastAsia="zh-CN"/>
              </w:rPr>
              <w:t>证</w:t>
            </w:r>
            <w:r>
              <w:rPr>
                <w:rFonts w:hint="eastAsia" w:ascii="仿宋" w:hAnsi="仿宋" w:eastAsia="仿宋" w:cs="仿宋"/>
                <w:sz w:val="24"/>
                <w:szCs w:val="24"/>
              </w:rPr>
              <w:t>、跨境电子商务初级人才证、电子商务运营师</w:t>
            </w:r>
            <w:r>
              <w:rPr>
                <w:rFonts w:hint="eastAsia" w:ascii="仿宋" w:hAnsi="仿宋" w:eastAsia="仿宋" w:cs="仿宋"/>
                <w:sz w:val="24"/>
                <w:szCs w:val="24"/>
                <w:lang w:eastAsia="zh-CN"/>
              </w:rPr>
              <w:t>证</w:t>
            </w:r>
          </w:p>
        </w:tc>
      </w:tr>
    </w:tbl>
    <w:p>
      <w:pPr>
        <w:overflowPunct w:val="0"/>
        <w:adjustRightIn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五、培养目标与培养规格</w:t>
      </w:r>
    </w:p>
    <w:p>
      <w:pPr>
        <w:overflowPunct w:val="0"/>
        <w:adjustRightInd w:val="0"/>
        <w:spacing w:line="52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（一）培养目标</w:t>
      </w:r>
    </w:p>
    <w:p>
      <w:pPr>
        <w:overflowPunct w:val="0"/>
        <w:adjustRightInd w:val="0"/>
        <w:spacing w:line="520" w:lineRule="exact"/>
        <w:ind w:firstLine="640" w:firstLineChars="200"/>
        <w:outlineLvl w:val="0"/>
        <w:rPr>
          <w:rFonts w:hint="eastAsia" w:ascii="仿宋_GB2312" w:hAnsi="仿宋" w:eastAsia="仿宋_GB2312" w:cs="仿宋_GB2312"/>
          <w:sz w:val="32"/>
          <w:szCs w:val="32"/>
        </w:rPr>
      </w:pPr>
      <w:r>
        <w:rPr>
          <w:rFonts w:hint="eastAsia" w:ascii="仿宋_GB2312" w:hAnsi="仿宋" w:eastAsia="仿宋_GB2312" w:cs="仿宋_GB2312"/>
          <w:sz w:val="32"/>
          <w:szCs w:val="32"/>
        </w:rPr>
        <w:t>本专业培养具备团队协作意识和能力，具备问题解决与创新意识的人才。培养注重合规经营、具备数据隐私保护职业道德，适应行业快速迭代，掌握网店运营、视觉设计、新媒体营销等技能，熟练操作PS、Flash等工具，胜任商品上架、活动策划、跨境客服等岗位，满足企业“即用型”需求的人才。</w:t>
      </w:r>
    </w:p>
    <w:p>
      <w:pPr>
        <w:rPr>
          <w:rFonts w:hint="eastAsia" w:ascii="楷体" w:hAnsi="楷体" w:eastAsia="楷体" w:cs="楷体"/>
          <w:sz w:val="32"/>
          <w:szCs w:val="32"/>
        </w:rPr>
      </w:pPr>
      <w:r>
        <w:rPr>
          <w:rFonts w:hint="eastAsia" w:ascii="楷体" w:hAnsi="楷体" w:eastAsia="楷体" w:cs="楷体"/>
          <w:sz w:val="32"/>
          <w:szCs w:val="32"/>
        </w:rPr>
        <w:br w:type="page"/>
      </w:r>
    </w:p>
    <w:p>
      <w:pPr>
        <w:overflowPunct w:val="0"/>
        <w:adjustRightInd w:val="0"/>
        <w:spacing w:line="52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（二）培养规格</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本专业毕业生应在素质、知识和能力等方面达到以下要求：</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1.素质</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（1）坚定拥护中国共产党领导和我国社会主义制度，在习近平新时代中国特色社会主义思想指引下，践行社会主义核心价值观，具有深厚的爱国情感和中华民族自豪感。</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（2）崇尚宪法、遵法守纪、崇德向善、诚实守信、尊重生命、热爱劳动，履行道德准则和行为规范，具有社会责任感和社会参与意识。</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（3）具有质量意识、环保意识、安全意识、信息素养、工匠精神、创新思维。</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（4）勇于奋斗、乐观向上，具有自我管理能力、职业生涯规划的意识，有较强的集体意识和团队合作精神。</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（5）具有健康的体魄、心理和健全的人格，掌握基本运动知识和1—2项运动技能，养成良好的健身与卫生习惯，以及良好的行为习惯。</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（6）具有一定的审美和人文素养，能够形成1—2项艺术特长或爱好。</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2.知识</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（1）掌握商务动画制作工具及动画原理，能制作产品展示、广告宣传类动画。</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（2）熟练使用Photoshop等工具进行图形图像处理，包括产品修图、广告素材设计与视觉营销内容创作。</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（3）了解电商平台（如淘宝）的建站流程，能独立完成网页设计与网店搭建。</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（4）掌握网店装修、商品管理、订单处理、客户服务等运营全流程知识。</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（5）熟悉搜索引擎优化、搜索引擎营销）、内容营销、等网络营销手段。</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（6）掌握新媒体平台（微信、抖音、小红书等）的运营规则及用户画像分析，能策划精准营销活动。</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（7）了解国际贸易基础、跨境平台（如亚马逊、速卖通）规则、国际物流（如海外仓、清关流程）及跨境支付工具（如PayPal）。</w:t>
      </w:r>
    </w:p>
    <w:p>
      <w:pPr>
        <w:adjustRightInd w:val="0"/>
        <w:snapToGrid w:val="0"/>
        <w:spacing w:line="520" w:lineRule="exact"/>
        <w:ind w:firstLine="640" w:firstLineChars="200"/>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rPr>
        <w:t>（8）具备电商数据（流量、转化率、客单价等）的收集与分析能力，能通过案例学习优化营销策略和运营方案</w:t>
      </w:r>
      <w:r>
        <w:rPr>
          <w:rFonts w:hint="eastAsia" w:ascii="仿宋_GB2312" w:hAnsi="仿宋" w:eastAsia="仿宋_GB2312" w:cs="仿宋_GB2312"/>
          <w:sz w:val="32"/>
          <w:szCs w:val="32"/>
          <w:lang w:eastAsia="zh-CN"/>
        </w:rPr>
        <w:t>。</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3.能力</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（1）掌握商务动画制作工具及动画原理，能制作产品展示、广告宣传类动画。</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（2）熟练使用Photoshop等工具进行图形图像处理，包括产品修图、广告素材设计与视觉营销内容创作。</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（3）了解电商平台（如淘宝）的建站流程，能独立完成网页设计与网店搭建。</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（4）掌握网店装修、商品管理、订单处理、客户服务等运营全流程知识。</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（5）熟悉搜索引擎优化、搜索引擎营销）、内容营销、等网络营销手段。</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（6）掌握新媒体平台（微信、抖音、小红书等）的运营规则及用户画像分析，能策划精准营销活动。</w:t>
      </w:r>
    </w:p>
    <w:p>
      <w:pPr>
        <w:adjustRightInd w:val="0"/>
        <w:snapToGrid w:val="0"/>
        <w:spacing w:line="52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（7）了解国际贸易基础、跨境平台（如亚马逊、速卖通）规则、国际物流（如海外仓、清关流程）及跨境支付工具（如PayPal）。</w:t>
      </w:r>
    </w:p>
    <w:p>
      <w:pPr>
        <w:adjustRightInd w:val="0"/>
        <w:snapToGrid w:val="0"/>
        <w:spacing w:line="520" w:lineRule="exact"/>
        <w:ind w:firstLine="640" w:firstLineChars="200"/>
        <w:rPr>
          <w:rFonts w:hint="eastAsia" w:ascii="仿宋_GB2312" w:hAnsi="仿宋" w:eastAsia="仿宋_GB2312" w:cs="仿宋_GB2312"/>
          <w:sz w:val="32"/>
          <w:szCs w:val="32"/>
          <w:lang w:eastAsia="zh-CN"/>
        </w:rPr>
      </w:pPr>
      <w:r>
        <w:rPr>
          <w:rFonts w:hint="eastAsia" w:ascii="仿宋_GB2312" w:hAnsi="仿宋" w:eastAsia="仿宋_GB2312" w:cs="仿宋_GB2312"/>
          <w:sz w:val="32"/>
          <w:szCs w:val="32"/>
        </w:rPr>
        <w:t>（8）具备电商数据（流量、转化率、客单价等）的收集与分析能力，能通过案例学习优化营销策略和运营方案</w:t>
      </w:r>
      <w:r>
        <w:rPr>
          <w:rFonts w:hint="eastAsia" w:ascii="仿宋_GB2312" w:hAnsi="仿宋" w:eastAsia="仿宋_GB2312" w:cs="仿宋_GB2312"/>
          <w:sz w:val="32"/>
          <w:szCs w:val="32"/>
          <w:lang w:eastAsia="zh-CN"/>
        </w:rPr>
        <w:t>。</w:t>
      </w:r>
    </w:p>
    <w:p>
      <w:pPr>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六、课程设置及要求</w:t>
      </w:r>
    </w:p>
    <w:p>
      <w:pPr>
        <w:overflowPunct w:val="0"/>
        <w:adjustRightInd w:val="0"/>
        <w:spacing w:line="520" w:lineRule="exact"/>
        <w:ind w:firstLine="640" w:firstLineChars="200"/>
        <w:outlineLvl w:val="0"/>
        <w:rPr>
          <w:rFonts w:hint="eastAsia" w:ascii="仿宋_GB2312" w:hAnsi="仿宋" w:eastAsia="仿宋_GB2312" w:cs="仿宋_GB2312"/>
          <w:sz w:val="32"/>
          <w:szCs w:val="32"/>
        </w:rPr>
      </w:pPr>
      <w:r>
        <w:rPr>
          <w:rFonts w:hint="eastAsia" w:ascii="仿宋_GB2312" w:hAnsi="仿宋" w:eastAsia="仿宋_GB2312" w:cs="仿宋_GB2312"/>
          <w:sz w:val="32"/>
          <w:szCs w:val="32"/>
        </w:rPr>
        <w:t>主要包括公共基础课程和专业（技能）课程。</w:t>
      </w:r>
    </w:p>
    <w:p>
      <w:pPr>
        <w:overflowPunct w:val="0"/>
        <w:adjustRightInd w:val="0"/>
        <w:spacing w:line="52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（一）公共基础课程</w:t>
      </w:r>
    </w:p>
    <w:p>
      <w:pPr>
        <w:overflowPunct w:val="0"/>
        <w:adjustRightInd w:val="0"/>
        <w:spacing w:line="520" w:lineRule="exact"/>
        <w:ind w:firstLine="640" w:firstLineChars="200"/>
        <w:outlineLvl w:val="0"/>
        <w:rPr>
          <w:rFonts w:hint="eastAsia" w:ascii="仿宋_GB2312" w:hAnsi="仿宋" w:eastAsia="仿宋_GB2312" w:cs="仿宋_GB2312"/>
          <w:sz w:val="32"/>
          <w:szCs w:val="32"/>
        </w:rPr>
      </w:pPr>
      <w:bookmarkStart w:id="0" w:name="_Toc90734974"/>
      <w:r>
        <w:rPr>
          <w:rFonts w:hint="eastAsia" w:ascii="仿宋_GB2312" w:hAnsi="仿宋" w:eastAsia="仿宋_GB2312" w:cs="仿宋_GB2312"/>
          <w:sz w:val="32"/>
          <w:szCs w:val="32"/>
        </w:rPr>
        <w:t>按照教育部要求设置公共基础必修选修课程，公共基础必修课程包括</w:t>
      </w:r>
      <w:bookmarkEnd w:id="0"/>
      <w:r>
        <w:rPr>
          <w:rFonts w:hint="eastAsia" w:ascii="仿宋_GB2312" w:hAnsi="仿宋" w:eastAsia="仿宋_GB2312" w:cs="仿宋_GB2312"/>
          <w:sz w:val="32"/>
          <w:szCs w:val="32"/>
        </w:rPr>
        <w:t>：思想道德与法治、毛泽东思想和中国特色社会主义理论体系概论、形势与政策、习近平新时代中国特色社会主义思想概论、大学体育、军事理论及军事技能、大学生心理健康教育、大学英语、高等数学、计算机基础、大学生职业发展与就业指导、劳动教育。</w:t>
      </w:r>
    </w:p>
    <w:p>
      <w:pPr>
        <w:overflowPunct w:val="0"/>
        <w:adjustRightInd w:val="0"/>
        <w:spacing w:line="520" w:lineRule="exact"/>
        <w:ind w:firstLine="640" w:firstLineChars="200"/>
        <w:outlineLvl w:val="0"/>
        <w:rPr>
          <w:rFonts w:hint="eastAsia" w:ascii="仿宋_GB2312" w:hAnsi="仿宋" w:eastAsia="仿宋_GB2312" w:cs="仿宋_GB2312"/>
          <w:sz w:val="32"/>
          <w:szCs w:val="32"/>
        </w:rPr>
      </w:pPr>
      <w:r>
        <w:rPr>
          <w:rFonts w:hint="eastAsia" w:ascii="仿宋_GB2312" w:hAnsi="仿宋" w:eastAsia="仿宋_GB2312" w:cs="仿宋_GB2312"/>
          <w:sz w:val="32"/>
          <w:szCs w:val="32"/>
        </w:rPr>
        <w:t>公共基础选修课程包括：大学生礼仪修养、中国民俗剪纸技法、影视与鉴赏、人际交流与沟通、演讲与口才、创新创业教育、中国共产党简史、改革开放简史、中华人民共和国简史、社会主义发展简史、国家安全教育、语文。</w:t>
      </w:r>
    </w:p>
    <w:p>
      <w:pPr>
        <w:jc w:val="center"/>
        <w:rPr>
          <w:rFonts w:hint="eastAsia" w:ascii="仿宋_GB2312" w:hAnsi="仿宋_GB2312" w:eastAsia="仿宋_GB2312" w:cs="仿宋_GB2312"/>
          <w:sz w:val="32"/>
          <w:szCs w:val="32"/>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 xml:space="preserve">2 </w:t>
      </w:r>
      <w:r>
        <w:rPr>
          <w:rFonts w:hint="eastAsia" w:ascii="仿宋_GB2312" w:hAnsi="仿宋_GB2312" w:eastAsia="仿宋_GB2312" w:cs="仿宋_GB2312"/>
          <w:sz w:val="32"/>
          <w:szCs w:val="32"/>
        </w:rPr>
        <w:t>公共基础课程描述表</w:t>
      </w:r>
    </w:p>
    <w:tbl>
      <w:tblPr>
        <w:tblStyle w:val="6"/>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869"/>
        <w:gridCol w:w="3311"/>
        <w:gridCol w:w="3210"/>
        <w:gridCol w:w="2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bookmarkStart w:id="1" w:name="_Toc2022"/>
            <w:bookmarkStart w:id="2" w:name="_Toc90734979"/>
            <w:r>
              <w:rPr>
                <w:rFonts w:hint="eastAsia" w:ascii="仿宋" w:hAnsi="仿宋" w:eastAsia="仿宋" w:cs="仿宋"/>
                <w:sz w:val="24"/>
                <w:szCs w:val="24"/>
              </w:rPr>
              <w:t>序号</w:t>
            </w:r>
            <w:bookmarkEnd w:id="1"/>
            <w:bookmarkEnd w:id="2"/>
          </w:p>
        </w:tc>
        <w:tc>
          <w:tcPr>
            <w:tcW w:w="869" w:type="dxa"/>
            <w:vAlign w:val="center"/>
          </w:tcPr>
          <w:p>
            <w:pPr>
              <w:spacing w:line="360" w:lineRule="exact"/>
              <w:jc w:val="center"/>
              <w:rPr>
                <w:rFonts w:hint="eastAsia" w:ascii="仿宋" w:hAnsi="仿宋" w:eastAsia="仿宋" w:cs="仿宋"/>
                <w:sz w:val="24"/>
                <w:szCs w:val="24"/>
              </w:rPr>
            </w:pPr>
            <w:bookmarkStart w:id="3" w:name="_Toc90734980"/>
            <w:bookmarkStart w:id="4" w:name="_Toc2635"/>
            <w:r>
              <w:rPr>
                <w:rFonts w:hint="eastAsia" w:ascii="仿宋" w:hAnsi="仿宋" w:eastAsia="仿宋" w:cs="仿宋"/>
                <w:sz w:val="24"/>
                <w:szCs w:val="24"/>
              </w:rPr>
              <w:t>课程名称</w:t>
            </w:r>
            <w:bookmarkEnd w:id="3"/>
            <w:bookmarkEnd w:id="4"/>
          </w:p>
        </w:tc>
        <w:tc>
          <w:tcPr>
            <w:tcW w:w="3311" w:type="dxa"/>
            <w:vAlign w:val="center"/>
          </w:tcPr>
          <w:p>
            <w:pPr>
              <w:spacing w:line="360" w:lineRule="exact"/>
              <w:jc w:val="center"/>
              <w:rPr>
                <w:rFonts w:hint="eastAsia" w:ascii="仿宋" w:hAnsi="仿宋" w:eastAsia="仿宋" w:cs="仿宋"/>
                <w:sz w:val="24"/>
                <w:szCs w:val="24"/>
              </w:rPr>
            </w:pPr>
            <w:bookmarkStart w:id="5" w:name="_Toc24608"/>
            <w:bookmarkStart w:id="6" w:name="_Toc90734981"/>
            <w:r>
              <w:rPr>
                <w:rFonts w:hint="eastAsia" w:ascii="仿宋" w:hAnsi="仿宋" w:eastAsia="仿宋" w:cs="仿宋"/>
                <w:sz w:val="24"/>
                <w:szCs w:val="24"/>
              </w:rPr>
              <w:t>课程教学目标</w:t>
            </w:r>
            <w:bookmarkEnd w:id="5"/>
            <w:bookmarkEnd w:id="6"/>
          </w:p>
        </w:tc>
        <w:tc>
          <w:tcPr>
            <w:tcW w:w="3210" w:type="dxa"/>
            <w:vAlign w:val="center"/>
          </w:tcPr>
          <w:p>
            <w:pPr>
              <w:spacing w:line="360" w:lineRule="exact"/>
              <w:jc w:val="center"/>
              <w:rPr>
                <w:rFonts w:hint="eastAsia" w:ascii="仿宋" w:hAnsi="仿宋" w:eastAsia="仿宋" w:cs="仿宋"/>
                <w:sz w:val="24"/>
                <w:szCs w:val="24"/>
              </w:rPr>
            </w:pPr>
            <w:bookmarkStart w:id="7" w:name="_Toc23051"/>
            <w:bookmarkStart w:id="8" w:name="_Toc90734982"/>
            <w:r>
              <w:rPr>
                <w:rFonts w:hint="eastAsia" w:ascii="仿宋" w:hAnsi="仿宋" w:eastAsia="仿宋" w:cs="仿宋"/>
                <w:sz w:val="24"/>
                <w:szCs w:val="24"/>
              </w:rPr>
              <w:t>课程教学内容</w:t>
            </w:r>
            <w:bookmarkEnd w:id="7"/>
            <w:bookmarkEnd w:id="8"/>
          </w:p>
        </w:tc>
        <w:tc>
          <w:tcPr>
            <w:tcW w:w="2876"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思想道德与法治</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321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876"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通</w:t>
            </w:r>
            <w:r>
              <w:rPr>
                <w:rFonts w:hint="eastAsia" w:ascii="仿宋" w:hAnsi="仿宋" w:eastAsia="仿宋" w:cs="仿宋"/>
                <w:sz w:val="24"/>
                <w:szCs w:val="24"/>
                <w:shd w:val="clear" w:color="auto" w:fill="FFFFFF"/>
                <w:lang w:val="en-US" w:eastAsia="zh-CN"/>
              </w:rPr>
              <w:t>过</w:t>
            </w:r>
            <w:r>
              <w:rPr>
                <w:rFonts w:hint="eastAsia" w:ascii="仿宋" w:hAnsi="仿宋" w:eastAsia="仿宋" w:cs="仿宋"/>
                <w:sz w:val="24"/>
                <w:szCs w:val="24"/>
                <w:shd w:val="clear" w:color="auto" w:fill="FFFFFF"/>
              </w:rPr>
              <w:t>教师的理论讲授和学生的实践体验，让大学生形成崇高的理想信念，弘扬伟大的爱国主义精神，确立正确的人生观 和 价 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毛泽东思想和中国特色社会主义理论体系概论</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321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形势与政策</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321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4</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习近平新时代中国特色社会主义思想概论</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pPr>
              <w:spacing w:line="360" w:lineRule="exact"/>
              <w:rPr>
                <w:rFonts w:hint="eastAsia" w:ascii="仿宋" w:hAnsi="仿宋" w:eastAsia="仿宋" w:cs="仿宋"/>
                <w:sz w:val="24"/>
                <w:szCs w:val="24"/>
              </w:rPr>
            </w:pPr>
          </w:p>
        </w:tc>
        <w:tc>
          <w:tcPr>
            <w:tcW w:w="321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5</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大学体育</w:t>
            </w:r>
          </w:p>
        </w:tc>
        <w:tc>
          <w:tcPr>
            <w:tcW w:w="3311"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旨在培养学生的体育兴趣，增强其身体素质，提高运动技能，并通过体育运动促进身心健康发展，为未来的学习和生活打下坚实的健康基础。</w:t>
            </w:r>
          </w:p>
          <w:p>
            <w:pPr>
              <w:spacing w:line="360" w:lineRule="exact"/>
              <w:rPr>
                <w:rFonts w:hint="eastAsia" w:ascii="仿宋" w:hAnsi="仿宋" w:eastAsia="仿宋" w:cs="仿宋"/>
                <w:sz w:val="24"/>
                <w:szCs w:val="24"/>
                <w:shd w:val="clear" w:color="auto" w:fill="FFFFFF"/>
              </w:rPr>
            </w:pPr>
          </w:p>
        </w:tc>
        <w:tc>
          <w:tcPr>
            <w:tcW w:w="321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shd w:val="clear" w:color="auto" w:fill="FFFFFF"/>
              </w:rPr>
              <w:t>内容涵盖体育基础理论知识、实践技能训练、身体素质训练和心理健康教育等方面。</w:t>
            </w:r>
          </w:p>
        </w:tc>
        <w:tc>
          <w:tcPr>
            <w:tcW w:w="2876"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循序渐进，由浅入深，逐步提高学生的体育技能；注重示范指导，通过示范动作带动学生的学习兴趣；强化实践训练，让学生通过实际操作掌握体育技能。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6</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军事理论及军事技能</w:t>
            </w:r>
          </w:p>
        </w:tc>
        <w:tc>
          <w:tcPr>
            <w:tcW w:w="3311"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旨在让学生了解基本的军事理论知识，掌握基本的军事技能，增强国家安全意识和国防观念，培养爱国主义精神，为培养合格公民和后备军事人才打下基础。</w:t>
            </w:r>
          </w:p>
        </w:tc>
        <w:tc>
          <w:tcPr>
            <w:tcW w:w="3210"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课程内容包括军事基础知识、国家安全形势分析、军事技能训练等。</w:t>
            </w:r>
          </w:p>
          <w:p>
            <w:pPr>
              <w:spacing w:line="360" w:lineRule="exact"/>
              <w:rPr>
                <w:rFonts w:hint="eastAsia" w:ascii="仿宋" w:hAnsi="仿宋" w:eastAsia="仿宋" w:cs="仿宋"/>
                <w:sz w:val="24"/>
                <w:szCs w:val="24"/>
                <w:shd w:val="clear" w:color="auto" w:fill="FFFFFF"/>
              </w:rPr>
            </w:pPr>
          </w:p>
        </w:tc>
        <w:tc>
          <w:tcPr>
            <w:tcW w:w="2876"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7</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大学生心理健康教育</w:t>
            </w:r>
          </w:p>
        </w:tc>
        <w:tc>
          <w:tcPr>
            <w:tcW w:w="3311"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旨在帮助学生建立正确的心理健康观念，提高心理素质，增强心理调适能力，预防和解决心理问题，促进个人全面发展，为未来的学习和生活奠定坚实的心理基础。</w:t>
            </w:r>
          </w:p>
        </w:tc>
        <w:tc>
          <w:tcPr>
            <w:tcW w:w="3210"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课程内容涵盖了心理学基础知识、自我认知与情绪管理、人际关系处理、学业与职业规划、心理健康维护与危机应对等方面。</w:t>
            </w:r>
          </w:p>
        </w:tc>
        <w:tc>
          <w:tcPr>
            <w:tcW w:w="2876"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要注重理论联系实际，注重培养学生实际应用能力；既有心理知识的传授，心理活动的体验，还有心理调适技能的训练等。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8</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大学英语</w:t>
            </w:r>
          </w:p>
        </w:tc>
        <w:tc>
          <w:tcPr>
            <w:tcW w:w="3311"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培养学生具备基本的英语听、说、读、写、译能力，增强其跨文化交际意识和沟通能力，同时提高其综合素养，为未来的学术、职业和国际交流做好准备。</w:t>
            </w:r>
          </w:p>
        </w:tc>
        <w:tc>
          <w:tcPr>
            <w:tcW w:w="3210"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课程内容主要包括英语语言知识、语言技能和文化知识。具体涵盖词汇、语法、听力理解、口语表达、阅读理解、写作技巧和跨文化交际等方面的知识与技能。</w:t>
            </w:r>
          </w:p>
        </w:tc>
        <w:tc>
          <w:tcPr>
            <w:tcW w:w="2876"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视听说部分加强对听说能力的培养和训练；读写部分加强对文章的理解和运用，引导学生提高全面理解整篇文章的能力。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9</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高等数学</w:t>
            </w:r>
          </w:p>
        </w:tc>
        <w:tc>
          <w:tcPr>
            <w:tcW w:w="3311"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培养学生的数学逻辑思维、抽象思维和问题解决能力，使其掌握高等数学的基本概念和方法，为后续的学术研究、工程应用以及科学探索打下坚实的数学基础。</w:t>
            </w:r>
          </w:p>
        </w:tc>
        <w:tc>
          <w:tcPr>
            <w:tcW w:w="3210"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课程内容包括函数、极限与连续、一元函数微积分、多元微积分、级数、常微分方程等。</w:t>
            </w:r>
          </w:p>
        </w:tc>
        <w:tc>
          <w:tcPr>
            <w:tcW w:w="2876"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根据教学内容，结合学情分析以及教学重点、难点突破等，采用混合式教学模式，综合运用讲授法、案例教学法、启发式教学法、练习法教学方法。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10</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计算机基础</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让学生掌握计算机的基本概念和操作技能，培养其利用计算机解决实际问题的能力，为其未来的学习和工作提供必要的计算机技能支持。</w:t>
            </w:r>
          </w:p>
        </w:tc>
        <w:tc>
          <w:tcPr>
            <w:tcW w:w="321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课程内容涵盖计算机基础知识、操作系统、办公软件应用、网络基础等方面。</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注重实践操作，加强实际操作练习。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11</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大学生职业发展与就业指导</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帮助学生明确职业方向，提升就业竞争力，培养创业意识，以及提供个性化的职业规划指导，为未来的职业生涯发展奠定坚实基础。</w:t>
            </w:r>
          </w:p>
        </w:tc>
        <w:tc>
          <w:tcPr>
            <w:tcW w:w="321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课程内容包括自我认知与职业定位、就业市场分析、求职技巧与方法、职业生涯规划、创业基础知识等。</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12</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劳动教育</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321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以实习实训课为主要载体开展劳动教育，包含劳动精神、劳模精神、工匠精神专题教育。</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注重围绕创新创业，结合学科和专业积极开展实习实训、专业服务、社会实践、勤工助学等，重视新知识、新技术、新工艺、新方法应用，创造性地解决实际问题。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7"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13</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大学生礼仪修养</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培养学生具备优雅得体的社交礼仪，提高其人际交往能力和社会适应能力，为未来的职业生涯和个人发展打下良好的社交基础。</w:t>
            </w:r>
          </w:p>
        </w:tc>
        <w:tc>
          <w:tcPr>
            <w:tcW w:w="321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课程涵盖仪表仪态、日常社交礼仪、商务礼仪、公共礼仪、国际礼仪等方面。</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shd w:val="clear" w:color="auto" w:fill="FFFFFF"/>
              </w:rPr>
              <w:t>注重礼仪示范指导，通过礼仪示范动作带动学生的学习兴趣；强化礼仪实践训练，让学生通过礼仪实际操作掌握礼仪技能。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14</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中国民俗剪纸技法</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传承和弘扬中华传统文化，让学生掌握基本的剪纸技法和创作思维，培养其创意实践能力，并增进对中国传统民间艺术的了解与欣赏。</w:t>
            </w:r>
          </w:p>
          <w:p>
            <w:pPr>
              <w:spacing w:line="360" w:lineRule="exact"/>
              <w:rPr>
                <w:rFonts w:hint="eastAsia" w:ascii="仿宋" w:hAnsi="仿宋" w:eastAsia="仿宋" w:cs="仿宋"/>
                <w:sz w:val="24"/>
                <w:szCs w:val="24"/>
              </w:rPr>
            </w:pPr>
          </w:p>
        </w:tc>
        <w:tc>
          <w:tcPr>
            <w:tcW w:w="321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通过示范教学，直观的了解剪纸的技法和要领，通过剪纸创作，提高剪纸技能。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15</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影视与鉴赏</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培养学生具备对影视作品的基本鉴赏能力，理解影视艺术的内涵与特点，提高审美水平，同时引导学生思考影视作品所反映的社会、文化和人性问题，促进批判性思维的形成。</w:t>
            </w:r>
          </w:p>
          <w:p>
            <w:pPr>
              <w:spacing w:line="360" w:lineRule="exact"/>
              <w:rPr>
                <w:rFonts w:hint="eastAsia" w:ascii="仿宋" w:hAnsi="仿宋" w:eastAsia="仿宋" w:cs="仿宋"/>
                <w:sz w:val="24"/>
                <w:szCs w:val="24"/>
              </w:rPr>
            </w:pPr>
          </w:p>
        </w:tc>
        <w:tc>
          <w:tcPr>
            <w:tcW w:w="321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课程内容涵盖影视作品分析、影视艺术理论、影视史论等方面。</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利用启发诱导提升、优秀案例赏析、项目分组讨论等教学方法，引导学生主动思索，参与创新来达成有效提升学习效果目标。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16</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人际交流与沟通</w:t>
            </w:r>
          </w:p>
        </w:tc>
        <w:tc>
          <w:tcPr>
            <w:tcW w:w="3311" w:type="dxa"/>
            <w:vAlign w:val="center"/>
          </w:tcPr>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r>
              <w:rPr>
                <w:rFonts w:hint="eastAsia" w:ascii="仿宋" w:hAnsi="仿宋" w:eastAsia="仿宋" w:cs="仿宋"/>
                <w:sz w:val="24"/>
                <w:szCs w:val="24"/>
              </w:rPr>
              <w:t>课程旨在帮助学生掌握有效的人际沟通技巧，提升其在工作、学习和日常生活中的沟通能力，以更好地建立和维护人际关系，实现有效合作与问题解决。</w:t>
            </w:r>
          </w:p>
        </w:tc>
        <w:tc>
          <w:tcPr>
            <w:tcW w:w="321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课程内容包括沟通基础理论、沟通技巧、冲突处理、团队合作等方面。</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通过案例引导、深度解析，情景模拟，角色扮演，媒体演示，专项实践，让学生达到掌握知识技能目的。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2"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17</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演讲与口才</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培养学生的口头表达能力，使其具备清晰、准确、有逻辑的语言表达能力，同时增强学生的自信心和应变能力，为未来的公众演讲和职场沟通打下坚实基础。</w:t>
            </w:r>
          </w:p>
          <w:p>
            <w:pPr>
              <w:spacing w:line="360" w:lineRule="exact"/>
              <w:rPr>
                <w:rFonts w:hint="eastAsia" w:ascii="仿宋" w:hAnsi="仿宋" w:eastAsia="仿宋" w:cs="仿宋"/>
                <w:sz w:val="24"/>
                <w:szCs w:val="24"/>
              </w:rPr>
            </w:pPr>
          </w:p>
        </w:tc>
        <w:tc>
          <w:tcPr>
            <w:tcW w:w="321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课程内容包括演讲基础理论、演讲技巧、口才训练、实践演练等方面。学生将学习演讲的基本结构、语言技巧、肢体语言以及应对紧张情绪的方法。</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18</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创新创业教育</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培养学生的创新思维、创业意识和创业能力，让学生了解创业的基本知识和流程，掌握创业所需的基本技能，为未来的创业实践或职业发展打下坚实基础。</w:t>
            </w:r>
          </w:p>
          <w:p>
            <w:pPr>
              <w:spacing w:line="360" w:lineRule="exact"/>
              <w:rPr>
                <w:rFonts w:hint="eastAsia" w:ascii="仿宋" w:hAnsi="仿宋" w:eastAsia="仿宋" w:cs="仿宋"/>
                <w:sz w:val="24"/>
                <w:szCs w:val="24"/>
              </w:rPr>
            </w:pPr>
          </w:p>
        </w:tc>
        <w:tc>
          <w:tcPr>
            <w:tcW w:w="321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课程内容涵盖创新思维培养、创业理念引导、市场调研分析、商业模式构建、团队建设与管理、创业计划书撰写、资金筹措与投资等方面。</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shd w:val="clear" w:color="auto" w:fill="FFFFFF"/>
              </w:rPr>
              <w:t>理</w:t>
            </w:r>
            <w:r>
              <w:rPr>
                <w:rFonts w:hint="eastAsia" w:ascii="仿宋" w:hAnsi="仿宋" w:eastAsia="仿宋" w:cs="仿宋"/>
                <w:sz w:val="24"/>
                <w:szCs w:val="24"/>
              </w:rPr>
              <w:t>论讲授与案例分析相结合、小组讨论与角色体验相结合、经验传授与创业实践相结合，把知识传授、思想碰撞和实践体验有机统一起来，调动学生学习的积极性、主动性和创造性，不断提高教学质量和水平。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19</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中国共产党简史</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中国共产党简史课程的目的是让学生了解中国共产党的光辉历程、伟大成就和宝贵经验，加深对中国特色社会主义道路、理论、制度、文化的认识，增强对党的信仰和对中国特色社会主义的信念。</w:t>
            </w:r>
          </w:p>
          <w:p>
            <w:pPr>
              <w:spacing w:line="360" w:lineRule="exact"/>
              <w:rPr>
                <w:rFonts w:hint="eastAsia" w:ascii="仿宋" w:hAnsi="仿宋" w:eastAsia="仿宋" w:cs="仿宋"/>
                <w:sz w:val="24"/>
                <w:szCs w:val="24"/>
              </w:rPr>
            </w:pPr>
          </w:p>
        </w:tc>
        <w:tc>
          <w:tcPr>
            <w:tcW w:w="321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3"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20</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改革开放简史</w:t>
            </w:r>
          </w:p>
        </w:tc>
        <w:tc>
          <w:tcPr>
            <w:tcW w:w="3311" w:type="dxa"/>
            <w:vAlign w:val="center"/>
          </w:tcPr>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r>
              <w:rPr>
                <w:rFonts w:hint="eastAsia" w:ascii="仿宋" w:hAnsi="仿宋" w:eastAsia="仿宋" w:cs="仿宋"/>
                <w:sz w:val="24"/>
                <w:szCs w:val="24"/>
              </w:rPr>
              <w:t>让学生全面了解改革开放的历史背景、进程和成就，深刻理解改革开放对中国现代化建设的深远影响，增强对中国特色社会主义道路、理论、制度、文化的自信。</w:t>
            </w:r>
          </w:p>
          <w:p>
            <w:pPr>
              <w:spacing w:line="360" w:lineRule="exact"/>
              <w:rPr>
                <w:rFonts w:hint="eastAsia" w:ascii="仿宋" w:hAnsi="仿宋" w:eastAsia="仿宋" w:cs="仿宋"/>
                <w:sz w:val="24"/>
                <w:szCs w:val="24"/>
              </w:rPr>
            </w:pPr>
          </w:p>
        </w:tc>
        <w:tc>
          <w:tcPr>
            <w:tcW w:w="3210" w:type="dxa"/>
            <w:vAlign w:val="center"/>
          </w:tcPr>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r>
              <w:rPr>
                <w:rFonts w:hint="eastAsia" w:ascii="仿宋" w:hAnsi="仿宋" w:eastAsia="仿宋" w:cs="仿宋"/>
                <w:sz w:val="24"/>
                <w:szCs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通过专题讲授法、情境教学法，让学生能够系统把握中国改革开放事业的辉煌成就、重大贡献、重要经验和深刻启示。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21</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中华人民共和国简史</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让学生全面了解中华人民共和国从成立至今的历史进程、主要成就和基本经验，加深对中国特色社会主义道路、理论、制度、文化的认识，增强国家认同感和民族自豪感。</w:t>
            </w:r>
          </w:p>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p>
        </w:tc>
        <w:tc>
          <w:tcPr>
            <w:tcW w:w="3210" w:type="dxa"/>
            <w:vAlign w:val="center"/>
          </w:tcPr>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r>
              <w:rPr>
                <w:rFonts w:hint="eastAsia" w:ascii="仿宋" w:hAnsi="仿宋" w:eastAsia="仿宋" w:cs="仿宋"/>
                <w:sz w:val="24"/>
                <w:szCs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通过课堂讲解、案例分析、小组讨论、模拟实践等方式，促进学生进一步增强民族自尊心、自信心和自豪感,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22</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社会主义发展简史</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让学生全面了解社会主义思想和实践的历史演变，深入理解社会主义的基本原则和核心价值，认识社会主义在不同国家和时期的发展与挑战，从而增强对社会主义制度的认识与信心。</w:t>
            </w:r>
          </w:p>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p>
        </w:tc>
        <w:tc>
          <w:tcPr>
            <w:tcW w:w="3210" w:type="dxa"/>
            <w:vAlign w:val="center"/>
          </w:tcPr>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通过文本解读法、故事穿插法、存疑追问法等方式，帮助学生掌握关于当代社会主义的基本知识，以更深刻的视角理解认识当代中国社会，强化共产主义世界观。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7"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23</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国家安全教育</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让学生系统掌握总体国家安全观的内涵和精神实质，理解中国特色国家安全体系，树立国家安全底线思维，将国家安全意识转化为自觉行动，强化责任担当。</w:t>
            </w:r>
          </w:p>
        </w:tc>
        <w:tc>
          <w:tcPr>
            <w:tcW w:w="3210" w:type="dxa"/>
            <w:vAlign w:val="center"/>
          </w:tcPr>
          <w:p>
            <w:pPr>
              <w:spacing w:line="360" w:lineRule="exact"/>
              <w:rPr>
                <w:rFonts w:hint="eastAsia" w:ascii="仿宋" w:hAnsi="仿宋" w:eastAsia="仿宋" w:cs="仿宋"/>
                <w:sz w:val="24"/>
                <w:szCs w:val="24"/>
                <w:lang w:eastAsia="zh-CN"/>
              </w:rPr>
            </w:pPr>
            <w:r>
              <w:rPr>
                <w:rFonts w:hint="eastAsia" w:ascii="仿宋" w:hAnsi="仿宋" w:eastAsia="仿宋" w:cs="仿宋"/>
                <w:sz w:val="24"/>
                <w:szCs w:val="24"/>
              </w:rPr>
              <w:t>政治安全、国土安全、军事安全、经济安全、文化安全、社会安全、科技安全、网络安全、生态安全、资源安全、核安全、海外利益安全、新型领域安全</w:t>
            </w:r>
            <w:r>
              <w:rPr>
                <w:rFonts w:hint="eastAsia" w:ascii="仿宋" w:hAnsi="仿宋" w:eastAsia="仿宋" w:cs="仿宋"/>
                <w:sz w:val="24"/>
                <w:szCs w:val="24"/>
                <w:lang w:eastAsia="zh-CN"/>
              </w:rPr>
              <w:t>。</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通过组织讲座、参观、调研、体验式、实践活动等方式，进行案例分析、实地考察、访谈探究、行动反思，积极引导学生自主参与、体验感悟。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7"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24</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语文</w:t>
            </w:r>
          </w:p>
        </w:tc>
        <w:tc>
          <w:tcPr>
            <w:tcW w:w="3311"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321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通过多媒体教学设备展示文学作品的相关图片、视频和音频资料，帮助学生更好理解作品。其次组织课堂讨论、小组合作等教学活动，鼓励学生积极参与，培养其合作意识和创新能力。</w:t>
            </w:r>
          </w:p>
        </w:tc>
      </w:tr>
    </w:tbl>
    <w:p>
      <w:pPr>
        <w:pStyle w:val="2"/>
        <w:widowControl/>
        <w:spacing w:before="0" w:line="520" w:lineRule="exact"/>
        <w:ind w:firstLine="640" w:firstLineChars="200"/>
        <w:jc w:val="left"/>
        <w:rPr>
          <w:rFonts w:hint="eastAsia" w:ascii="楷体" w:hAnsi="楷体" w:eastAsia="楷体" w:cs="楷体"/>
          <w:color w:val="auto"/>
          <w:sz w:val="32"/>
          <w:szCs w:val="32"/>
        </w:rPr>
      </w:pPr>
      <w:r>
        <w:rPr>
          <w:rFonts w:hint="eastAsia" w:ascii="楷体" w:hAnsi="楷体" w:eastAsia="楷体" w:cs="楷体"/>
          <w:color w:val="auto"/>
          <w:sz w:val="32"/>
          <w:szCs w:val="32"/>
        </w:rPr>
        <w:t>（二）专业（技能）课程</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专业（技能）课程包括专业基础课程、专业核心课程、专业拓展课程，并涵盖有关实践性教学环节。</w:t>
      </w:r>
    </w:p>
    <w:p>
      <w:pPr>
        <w:overflowPunct w:val="0"/>
        <w:adjustRightInd w:val="0"/>
        <w:spacing w:line="520" w:lineRule="exact"/>
        <w:ind w:firstLine="640" w:firstLineChars="200"/>
        <w:rPr>
          <w:rFonts w:hint="eastAsia" w:ascii="仿宋_GB2312" w:hAnsi="仿宋_GB2312" w:eastAsia="仿宋_GB2312" w:cs="仿宋_GB2312"/>
          <w:sz w:val="32"/>
          <w:szCs w:val="32"/>
        </w:rPr>
      </w:pPr>
      <w:bookmarkStart w:id="9" w:name="_Toc90734975"/>
      <w:r>
        <w:rPr>
          <w:rFonts w:hint="eastAsia" w:ascii="仿宋_GB2312" w:hAnsi="仿宋_GB2312" w:eastAsia="仿宋_GB2312" w:cs="仿宋_GB2312"/>
          <w:sz w:val="32"/>
          <w:szCs w:val="32"/>
        </w:rPr>
        <w:t>1.专业基础课程：</w:t>
      </w:r>
      <w:bookmarkEnd w:id="9"/>
    </w:p>
    <w:p>
      <w:pPr>
        <w:overflowPunct w:val="0"/>
        <w:adjustRightInd w:val="0"/>
        <w:spacing w:line="520" w:lineRule="exact"/>
        <w:ind w:firstLine="640" w:firstLineChars="200"/>
        <w:rPr>
          <w:rFonts w:hint="eastAsia" w:ascii="仿宋" w:hAnsi="仿宋" w:eastAsia="仿宋" w:cs="仿宋"/>
          <w:sz w:val="32"/>
          <w:szCs w:val="32"/>
        </w:rPr>
      </w:pPr>
      <w:r>
        <w:rPr>
          <w:rFonts w:hint="eastAsia" w:ascii="仿宋_GB2312" w:hAnsi="仿宋_GB2312" w:eastAsia="仿宋_GB2312" w:cs="仿宋_GB2312"/>
          <w:sz w:val="32"/>
          <w:szCs w:val="32"/>
        </w:rPr>
        <w:t>专业基础课是为后续专业课程学习打基础的课程。包括：</w:t>
      </w:r>
      <w:r>
        <w:rPr>
          <w:rFonts w:hint="eastAsia" w:ascii="仿宋_GB2312" w:hAnsi="仿宋_GB2312" w:eastAsia="仿宋_GB2312" w:cs="仿宋_GB2312"/>
          <w:spacing w:val="-2"/>
          <w:sz w:val="32"/>
          <w:szCs w:val="32"/>
        </w:rPr>
        <w:t>商务沟通技巧、管理学、会计学原理、电子商务、网络消费者行为、商品摄影、呼叫中心与客户服务、进出口贸易实务、网络广告与制作、快递业务操作与管理</w:t>
      </w:r>
      <w:r>
        <w:rPr>
          <w:rFonts w:hint="eastAsia" w:ascii="仿宋_GB2312" w:hAnsi="仿宋_GB2312" w:eastAsia="仿宋_GB2312" w:cs="仿宋_GB2312"/>
          <w:spacing w:val="-4"/>
          <w:sz w:val="32"/>
          <w:szCs w:val="32"/>
        </w:rPr>
        <w:t>。</w:t>
      </w:r>
    </w:p>
    <w:p>
      <w:pPr>
        <w:widowControl/>
        <w:jc w:val="center"/>
        <w:rPr>
          <w:rFonts w:hint="eastAsia" w:ascii="仿宋_GB2312" w:hAnsi="仿宋_GB2312" w:eastAsia="仿宋_GB2312" w:cs="仿宋_GB2312"/>
          <w:sz w:val="32"/>
          <w:szCs w:val="32"/>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 xml:space="preserve">3 </w:t>
      </w:r>
      <w:r>
        <w:rPr>
          <w:rFonts w:hint="eastAsia" w:ascii="仿宋_GB2312" w:hAnsi="仿宋_GB2312" w:eastAsia="仿宋_GB2312" w:cs="仿宋_GB2312"/>
          <w:sz w:val="32"/>
          <w:szCs w:val="32"/>
        </w:rPr>
        <w:t>专业基础课程描述表</w:t>
      </w:r>
    </w:p>
    <w:tbl>
      <w:tblPr>
        <w:tblStyle w:val="7"/>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896"/>
        <w:gridCol w:w="3369"/>
        <w:gridCol w:w="3893"/>
        <w:gridCol w:w="2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896"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课程名称</w:t>
            </w:r>
          </w:p>
        </w:tc>
        <w:tc>
          <w:tcPr>
            <w:tcW w:w="3369"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课程教学目标</w:t>
            </w:r>
          </w:p>
        </w:tc>
        <w:tc>
          <w:tcPr>
            <w:tcW w:w="3893"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课程教学内容</w:t>
            </w:r>
          </w:p>
        </w:tc>
        <w:tc>
          <w:tcPr>
            <w:tcW w:w="2013"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89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商务沟通技巧</w:t>
            </w:r>
          </w:p>
        </w:tc>
        <w:tc>
          <w:tcPr>
            <w:tcW w:w="3369"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1.掌握基本的商务沟通技能，如口头表达、倾听、非语言沟通、电话沟通、面谈等，能够理解和解释各种商务信息，并进行有效的交流。2. 熟悉各种商务活动和商务环境，能够根据不同情境进行有效的商务沟通，提高工作效率和工作质量。3. 能够运用恰当的商务礼仪和礼貌，树立良好的商务形象和个人形象，提高商务沟通的效果和满意度。4. 培养批判性思维和人文素养，提高商务沟通的理解力和判断力，从而提高商务决策的正确性和有效性。5. 学习跨文化交际的交流和沟通技巧，理解和尊重不同文化背景下的商务沟通方式和礼仪，提高跨文化交际能力。</w:t>
            </w:r>
          </w:p>
        </w:tc>
        <w:tc>
          <w:tcPr>
            <w:tcW w:w="389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1. 商务沟通技巧：介绍沟通技巧、谈判技巧和有效沟通的原则，包含口头表达、倾听、非语言沟通、电话沟通、面谈、演讲与演示技巧、群体沟通、求职面试技巧和求职书面材料的准备等方面的内容。2. 商务沟通礼仪：包括商务礼仪、礼貌原则和商务行为规范等方面的内容，了解和掌握商务礼仪和礼貌，提高商务形象和个人形象。3. 商务信息的理解和解释：包括商务信函、报告、备忘录、会议纪要等方面的内容，能够理解和解释各种商务信息，并进行有效的交流。4. 商务谈判和协商：包括商务谈判的策略、方法和技巧等方面的内容，能够运用恰当的谈判技巧和策略，达到商务目的。</w:t>
            </w:r>
          </w:p>
        </w:tc>
        <w:tc>
          <w:tcPr>
            <w:tcW w:w="201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通过案例教学法、角色扮演法、小组讨论法、情景模拟法使学生熟悉各种商务活动和商务环境，能够根据不同情境进行有效的商务沟通，提高工作效率和工作质量， 能够运用恰当的商务礼仪和礼貌，树立良好的商务形象和个人形象，提高商务沟通的效果和满意度。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89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管理学</w:t>
            </w:r>
          </w:p>
        </w:tc>
        <w:tc>
          <w:tcPr>
            <w:tcW w:w="3369"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1.掌握管理学的基础知识，包括科学管理、管理的工作内容、西方管理思想、管理原理和典型的管理原理。2. 理解管理的真谛，包括协调和调动被管理者的生产积极性，整合企业的各方面社会资源，充分发挥管理者的有效潜能。3. 掌握管理学的基本技能，包括如何设定目标、进行战略环境分析和决策等。4. 能够结合实际案例和问题，分析和解决管理学中的问题，实现理论与实践的结合。5. 提高学生的领导力和管理能力，增强学生的适应性和创新能力。</w:t>
            </w:r>
          </w:p>
        </w:tc>
        <w:tc>
          <w:tcPr>
            <w:tcW w:w="389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1. 管理活动与管理理论：介绍管理的定义、管理的层次和领域，包括组织管理和自我管理等方面，并深入分析了科学管理之父费雷德里克·泰勒的贡献。2. 管理道德与企业社会责任：探讨管理者的道德责任、企业社会责任的重要性和管理道德的实践。3. 信息与信息化管理：介绍信息管理的重要性、信息的收集、处理和应用，以及信息化管理的策略。4. 决策与决策方法：分析决策的基本概念、决策的过程和方法，包括决策的原则、方法，决策分析的原则和方法等。5. 计划与计划工作：介绍计划的重要性、计划的制定和实施，包括目标设定在组织管理中的应用。6. 战略性计划与计划实施：分析战略的定义、战略规划的过程和实施方法，强调了内外部条件的变化在计划制定中的重要性。7. 组织设计：探讨组织结构的设计、组织文化的构建和组织变革的方法。8. 人力资源管理：介绍人力资源的规划、招聘、培训和激励，强调了员工的参与决策和绩效反馈。9. 组织变革与组织文化：探讨组织变革的原因、变革的过程和策略，以及组织文化的构建和作用。</w:t>
            </w:r>
          </w:p>
        </w:tc>
        <w:tc>
          <w:tcPr>
            <w:tcW w:w="201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通过讲授法、案例分析法、小组讨论法、角色扮演法、互动教学法等教学方法，使学生掌握理解管理学的基础知识，包括重要理论、模型和框架等知识。提高团队合作、沟通协调、领导力和冲突解决等能力。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89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会计学原理</w:t>
            </w:r>
          </w:p>
        </w:tc>
        <w:tc>
          <w:tcPr>
            <w:tcW w:w="3369"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1. 建立会计理论知识的基础，了解会计的基本概念，如确认、计量、记录和报告经济活动产生的经济信息等。2. 学习会计的基本操作程序，例如如何使用会计的六大要素来记录和报告经济活动的信息。3. 掌握财务会计基本概念，熟悉会计的主要职能。4. 后续课程的准备，如中级财务会计、财务管理、管理会计等，通过掌握基础理论知识，为学习后续课程打下坚实的基础。</w:t>
            </w:r>
          </w:p>
        </w:tc>
        <w:tc>
          <w:tcPr>
            <w:tcW w:w="389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1. 介绍会计学的基本概念，包括会计的定义、职能、对象、目标、基本假设和会计的六大要素等。2. 详细介绍会计确认、计量、记录和报告的基本程序和方法，包括收入、成本、费用、利润、资产、负债、所有者权益等的确认和计量方法。3. 学习财务报告的构成和分析，包括资产负债表、利润表、现金流量表的编制和分析，为进一步学习财务管理、管理会计等课程做准备。4. 教学案例分析，通过实际案例的学习和分析，让学生更好地理解和运用会计原理。</w:t>
            </w:r>
          </w:p>
        </w:tc>
        <w:tc>
          <w:tcPr>
            <w:tcW w:w="2013" w:type="dxa"/>
            <w:vAlign w:val="center"/>
          </w:tcPr>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r>
              <w:rPr>
                <w:rFonts w:hint="eastAsia" w:ascii="仿宋" w:hAnsi="仿宋" w:eastAsia="仿宋" w:cs="仿宋"/>
                <w:sz w:val="24"/>
                <w:szCs w:val="24"/>
              </w:rPr>
              <w:t>通过多媒体结合教材系统讲解会计学原理的基本概念、理论和方法，注重理论与实践相结合。选取具有代表性的经济业务案例，引导学生进行分析讨论，加深对会计理论的理解和应用。其次利用会计实训软件或手工模拟账套，进行会计凭证填制、账簿登记、报表编制等实操训练，提高学生的动手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4</w:t>
            </w:r>
          </w:p>
        </w:tc>
        <w:tc>
          <w:tcPr>
            <w:tcW w:w="89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电子商务</w:t>
            </w:r>
          </w:p>
        </w:tc>
        <w:tc>
          <w:tcPr>
            <w:tcW w:w="3369"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使学生理解电子商务的基本概念、原理和发展趋势，掌握电子商务的基本框架和运营模式。培养学生运用电子商务技术和工具进行网络营销、在线交易、客户服务等实际操作的能力。提高学生的创新能力和创业意识，使其能够在电子商务领域发现商机、创造价值。</w:t>
            </w:r>
          </w:p>
        </w:tc>
        <w:tc>
          <w:tcPr>
            <w:tcW w:w="389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电子商务基础知识：介绍电子商务的基本概念、发展历程、主要模式和特点，以及电子商务的法律法规和政策环境。网络营销：学习网络营销的基本原理和策略，包括搜索引擎优化、社交媒体营销、电子邮件营销等，掌握网络营销的方法和技巧。电子商务技术：学习电子商务网站的建设与管理、电子支付、网络安全等技术知识，了解电子商务技术的最新发展和应用。电子商务运营管理：学习电子商务平台的运营策略、供应链管理、客户关系管理等内容，掌握电子商务运营的核心技能。电子商务案例分析：通过分析成功的电子商务案例，了解电子商务企业的运营模式和成功经验，培养学生的实践能力和创新精神。</w:t>
            </w:r>
          </w:p>
        </w:tc>
        <w:tc>
          <w:tcPr>
            <w:tcW w:w="201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采用多种教学方法，如案例分析、项目实训、小组讨论、模拟演练等，以提高学生的实际操作能力和理解力。使学生掌握电子商务的基本概念、框架结构、运行环境、技术内容、交易手段与管理方法，以及电子商务应用的现实框架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601" w:type="dxa"/>
            <w:vAlign w:val="center"/>
          </w:tcPr>
          <w:p>
            <w:pPr>
              <w:spacing w:line="360" w:lineRule="exact"/>
              <w:jc w:val="center"/>
              <w:rPr>
                <w:rFonts w:hint="eastAsia" w:ascii="仿宋" w:hAnsi="仿宋" w:eastAsia="仿宋" w:cs="仿宋"/>
                <w:sz w:val="24"/>
                <w:szCs w:val="24"/>
                <w:lang w:eastAsia="zh-CN"/>
              </w:rPr>
            </w:pPr>
            <w:bookmarkStart w:id="10" w:name="_Toc90734977"/>
            <w:r>
              <w:rPr>
                <w:rFonts w:hint="eastAsia" w:ascii="仿宋" w:hAnsi="仿宋" w:eastAsia="仿宋" w:cs="仿宋"/>
                <w:sz w:val="24"/>
                <w:szCs w:val="24"/>
                <w:lang w:val="en-US" w:eastAsia="zh-CN"/>
              </w:rPr>
              <w:t>5</w:t>
            </w:r>
          </w:p>
        </w:tc>
        <w:tc>
          <w:tcPr>
            <w:tcW w:w="89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网络消费者行为</w:t>
            </w:r>
          </w:p>
        </w:tc>
        <w:tc>
          <w:tcPr>
            <w:tcW w:w="3369"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理解网络消费者行为的基本概念和原理，包括网络消费者的心理、动机和需求。掌握网络消费者行为的影响因素，如文化、社会、个人因素等，并学会分析这些因素如何影响消费者的购买决策。学会运用网络消费者行为的研究方法，包括问卷调查、数据分析、案例研究等，以便更好地了解消费者行为。能够基于网络消费者行为分析，制定和调整营销策略，提高销售效果。</w:t>
            </w:r>
          </w:p>
        </w:tc>
        <w:tc>
          <w:tcPr>
            <w:tcW w:w="389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网络消费者行为的基础理论：介绍网络消费者行为的基本概念、特点和形成机制，以及与传统消费者行为的异同点。网络消费者决策过程：分析网络消费者在购物过程中的信息搜索、产品评价、购买决策和购后行为等阶段，探讨各阶段的影响因素和营销策略。网络消费者行为的影响因素：深入研究文化、社会、个人等因素如何影响网络消费者的购买决策，包括价值观、生活方式、网络使用习惯等。网络消费者行为研究方法：介绍问卷调查、数据分析、案例研究等研究方法，帮助学生掌握如何收集和分析消费者行为数据。基于网络消费者行为的营销策略：结合实际案例，讲解如何根据网络消费者行为分析制定和调整营销策略，包括产品定位、价格策略、促销活动等。此外，课程内容还可能涉及网络消费者行为的最新研究动态和趋势，以及未来电子商务市场的发展趋势和挑战。在教学过程中，通常会采用理论讲授、案例分析、小组讨论等多种教学方法，以帮助学生更好地理解和掌握网络消费者行为学的知识和技能。同时，也会注重培养学生的实践能力和创新思维，以便学生能够在未来的电子商务实践中灵活应用所学知识。</w:t>
            </w:r>
          </w:p>
        </w:tc>
        <w:tc>
          <w:tcPr>
            <w:tcW w:w="201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采用多种教学方法，包括讲授、案例分析、小组讨论、模拟演练等，以提高学生的实际操作能力和理解力。使学生了解网络消费者行为的类型及购买过程，把握网络消费者的购买决策，分析网络消费者行为的个性特征和群体特征，探究影响网络消费者行为的外部因素和营销因素，感知网络消费风险，保护网络消费者权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dxa"/>
            <w:vAlign w:val="center"/>
          </w:tcPr>
          <w:p>
            <w:pPr>
              <w:spacing w:line="360" w:lineRule="exact"/>
              <w:jc w:val="center"/>
              <w:rPr>
                <w:rFonts w:hint="eastAsia" w:ascii="仿宋" w:hAnsi="仿宋" w:eastAsia="仿宋" w:cs="仿宋"/>
                <w:sz w:val="24"/>
                <w:szCs w:val="24"/>
                <w:lang w:val="en-US" w:eastAsia="zh-CN"/>
              </w:rPr>
            </w:pPr>
          </w:p>
          <w:p>
            <w:pPr>
              <w:spacing w:line="360" w:lineRule="exact"/>
              <w:jc w:val="center"/>
              <w:rPr>
                <w:rFonts w:hint="eastAsia" w:ascii="仿宋" w:hAnsi="仿宋" w:eastAsia="仿宋" w:cs="仿宋"/>
                <w:sz w:val="24"/>
                <w:szCs w:val="24"/>
                <w:lang w:val="en-US" w:eastAsia="zh-CN"/>
              </w:rPr>
            </w:pPr>
          </w:p>
          <w:p>
            <w:pPr>
              <w:spacing w:line="360" w:lineRule="exact"/>
              <w:jc w:val="center"/>
              <w:rPr>
                <w:rFonts w:hint="eastAsia" w:ascii="仿宋" w:hAnsi="仿宋" w:eastAsia="仿宋" w:cs="仿宋"/>
                <w:sz w:val="24"/>
                <w:szCs w:val="24"/>
                <w:lang w:val="en-US" w:eastAsia="zh-CN"/>
              </w:rPr>
            </w:pPr>
          </w:p>
          <w:p>
            <w:pPr>
              <w:spacing w:line="360" w:lineRule="exact"/>
              <w:jc w:val="center"/>
              <w:rPr>
                <w:rFonts w:hint="eastAsia" w:ascii="仿宋" w:hAnsi="仿宋" w:eastAsia="仿宋" w:cs="仿宋"/>
                <w:sz w:val="24"/>
                <w:szCs w:val="24"/>
                <w:lang w:val="en-US" w:eastAsia="zh-CN"/>
              </w:rPr>
            </w:pPr>
          </w:p>
          <w:p>
            <w:pPr>
              <w:spacing w:line="360" w:lineRule="exact"/>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6</w:t>
            </w:r>
          </w:p>
        </w:tc>
        <w:tc>
          <w:tcPr>
            <w:tcW w:w="896" w:type="dxa"/>
            <w:vAlign w:val="center"/>
          </w:tcPr>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r>
              <w:rPr>
                <w:rFonts w:hint="eastAsia" w:ascii="仿宋" w:hAnsi="仿宋" w:eastAsia="仿宋" w:cs="仿宋"/>
                <w:sz w:val="24"/>
                <w:szCs w:val="24"/>
              </w:rPr>
              <w:t>商品摄影</w:t>
            </w:r>
          </w:p>
        </w:tc>
        <w:tc>
          <w:tcPr>
            <w:tcW w:w="3369"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帮助学生了解并掌握拍摄和制作商品照片的技能，特别是在基本理论知识和实践操作上的训练。这些技能包括相机操作、曝光原理、构图法则、光线运用、色彩构成等基础知识。课程内容可以涵盖摄影简史、传统摄影术实践、数码摄影技术、摄影用光、摄影构图与色彩、摄影布光创作和摄影的可能性等方面。</w:t>
            </w:r>
          </w:p>
        </w:tc>
        <w:tc>
          <w:tcPr>
            <w:tcW w:w="389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1.相机操作：介绍不同类型的相机和镜头，教会学生如何选择适合的设备，掌握如何正确使用相机。2.曝光原理：介绍曝光原理，包括如何控制快门速度、光圈和ISO等参数，以及如何正确选择曝光模式和如何避免过曝和欠曝。3.构图法则：讲解不同的构图法则，包括对称、对角线、三分法等，以及如何在拍摄中合理运用这些法则。4.光线运用：介绍如何使用不同的光线进行拍摄，包括自然光、人造光和混合光，以及如何运用光线创造不同的氛围和效果。5.色彩构成：教授学生如何控制和运用色彩，以及如何运用色彩构成创作出不同的视觉效果。6.后期处理：教授学生如何使用图像编辑软件进行后期处理，包括如何调整亮度、对比度、色彩等参数，以及如何运用滤镜和特效等。</w:t>
            </w:r>
          </w:p>
        </w:tc>
        <w:tc>
          <w:tcPr>
            <w:tcW w:w="201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采用理论与上机相结合，讲授与自学相结合，以项目任务式的方式引导学生一步步学习，通过“动手做”进行知识的同步练习，再安排学生进行“同步实训”，巩固学生对知识的掌握。使学生对商品拍摄与素材编辑的方法有初步的掌握，熟悉商品拍摄的方法，具备拍摄商品图片与视频、美化商品图片与视频、剪辑商品视频的能力。培养学生的实际操作能力、专业技能掌握能力和问题解决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dxa"/>
            <w:vAlign w:val="center"/>
          </w:tcPr>
          <w:p>
            <w:pPr>
              <w:spacing w:line="360" w:lineRule="exact"/>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7</w:t>
            </w:r>
          </w:p>
        </w:tc>
        <w:tc>
          <w:tcPr>
            <w:tcW w:w="89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呼叫中心与客户服务</w:t>
            </w:r>
          </w:p>
        </w:tc>
        <w:tc>
          <w:tcPr>
            <w:tcW w:w="3369"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使学生理解呼叫中心在客户服务中的重要性及其运作原理。培养学生掌握呼叫中心的基本操作流程和客户服务技巧。提高学生的沟通能力和应变能力，以应对各种客户问题和投诉。培养学生的团队协作精神和客户服务意识，提升客户满意度。</w:t>
            </w:r>
          </w:p>
        </w:tc>
        <w:tc>
          <w:tcPr>
            <w:tcW w:w="389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呼叫中心基础知识：介绍呼叫中心的基本概念、发展历程和行业现状，让学生了解呼叫中心在企业运营中的作用和价值。客户服务技巧：培训学生掌握有效的沟通技巧、倾听技巧以及问题解决能力，以便在呼叫中心中为客户提供优质的服务。呼叫中心操作流程：详细讲解呼叫中心的日常操作流程，包括客户接入、信息查询、问题解答、投诉处理等各个环节，确保学生能够熟练掌握。客户关系管理：介绍客户关系管理的基本理念和方法，帮助学生理解客户需求、维护客户关系，提升客户满意度和忠诚度。案例分析与实践：通过分析真实的呼叫中心案例，让学生了解实际工作中的问题和挑战，并通过模拟实践来巩固所学知识和技能。</w:t>
            </w:r>
          </w:p>
        </w:tc>
        <w:tc>
          <w:tcPr>
            <w:tcW w:w="201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运用情境模拟教学、案例分析教学与互动式教学等相结合的教学方法，使学生理解呼叫中心在客户服务中的重要性及其运作原理。培养学生掌握呼叫中心的基本操作流程和客户服务技巧。提高学生的沟通能力和应变能力，以应对各种客户问题和投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dxa"/>
            <w:vAlign w:val="center"/>
          </w:tcPr>
          <w:p>
            <w:pPr>
              <w:spacing w:line="360" w:lineRule="exact"/>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8</w:t>
            </w:r>
          </w:p>
        </w:tc>
        <w:tc>
          <w:tcPr>
            <w:tcW w:w="89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进出口贸易实务</w:t>
            </w:r>
          </w:p>
        </w:tc>
        <w:tc>
          <w:tcPr>
            <w:tcW w:w="3369"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全面掌握进出口贸易的流程和操作，同时培养学生的实践能力和创新能力。在实践中学习和应用国际贸易术语、商品检验、国际结算、运输、保险、海关清关等知识，实现学生个人外贸技能的提升，抓住国际贸易新机遇。</w:t>
            </w:r>
          </w:p>
        </w:tc>
        <w:tc>
          <w:tcPr>
            <w:tcW w:w="389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介绍国际贸易的定义、特点、发展趋势等基本概念。国际贸易政策：讲解国家政策对进出口贸易的影响，如关税、配额等政策。国际贸易术语：介绍国际贸易中常用的贸易术语，如FOB、CIF等。进出口贸易流程：介绍从报价、谈判、签订合同到完成交易的全过程。国际支付与结算：讲解国际贸易中常用支付方式和结算方式，托收等。 进出口合同：讲解进出口合同的结构、合同的履行等。国际贸易法规：讲解国际贸易法规的相关规定，如知识产权保护、反倾销等。国际贸易中的风险管理：介绍国际贸易中可能遇到的风险，如价格波动、信用风险等，并讲解如何进行风险管理。进出口贸易案例分析：通过具体案例，分析进出口贸易的流程、技巧和策略，增强学生的实践能力。模拟实践：通过模拟进出口贸易的流程，让学生亲身体验进出口贸易的各个环节，加深对课程内容的理解和掌握。</w:t>
            </w:r>
          </w:p>
        </w:tc>
        <w:tc>
          <w:tcPr>
            <w:tcW w:w="201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案例分析法、模拟操作法、校企合作法等教学方式培养学生在实践中学习和应用国际贸易术语、商品检验、国际结算、运输、保险、海关清关等知识，实现学生个人外贸技能的提升，抓住国际贸易新机遇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dxa"/>
            <w:vAlign w:val="center"/>
          </w:tcPr>
          <w:p>
            <w:pPr>
              <w:spacing w:line="360" w:lineRule="exact"/>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9</w:t>
            </w:r>
          </w:p>
        </w:tc>
        <w:tc>
          <w:tcPr>
            <w:tcW w:w="89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网络广告与制作</w:t>
            </w:r>
          </w:p>
        </w:tc>
        <w:tc>
          <w:tcPr>
            <w:tcW w:w="3369"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使学生理解网络广告的基本概念、原理和发展趋势，熟悉网络广告的创意、策划和制作流程。培养学生掌握网络广告设计的基本要素和技巧，包括色彩搭配、版面布局、字体设计等，使其能够设计出具有吸引力和影响力的网络广告作品。使学生熟悉网络广告制作的技术和工具，包括图像处理软件、动画制作软件等，能够独立完成网络广告的后期制作。培养学生的团队协作精神和沟通能力，使其能够在团队中有效地进行网络广告的创意、设计和制作工作。</w:t>
            </w:r>
          </w:p>
        </w:tc>
        <w:tc>
          <w:tcPr>
            <w:tcW w:w="389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网络广告基础知识：介绍网络广告的基本概念、类型、特点和发展趋势，使学生对网络广告有一个全面的认识。网络广告创意设计：讲解网络广告的创意来源、设计原则和技巧，通过案例分析让学生了解如何设计出优秀的网络广告作品。网络广告制作技术：介绍网络广告制作的基本流程和技术，包括图像处理、动画制作、音频处理等，使学生掌握相关的技术和工具。网络广告发布与推广：讲解网络广告的发布渠道和推广策略，包括社交媒体、搜索引擎等，使学生了解如何有效地推广网络广告。</w:t>
            </w:r>
          </w:p>
        </w:tc>
        <w:tc>
          <w:tcPr>
            <w:tcW w:w="201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采用课堂讲授法、项目实践法等教学方式，使学生理解网络广告的基本概念、原理和发展趋势，熟悉网络广告的创意、策划和制作流程。培养学生的团队协作精神和沟通能力，使其能够在团队中有效地进行网络广告的创意、设计和制作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1" w:type="dxa"/>
            <w:vAlign w:val="center"/>
          </w:tcPr>
          <w:p>
            <w:pPr>
              <w:spacing w:line="360" w:lineRule="exact"/>
              <w:jc w:val="center"/>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0</w:t>
            </w:r>
          </w:p>
        </w:tc>
        <w:tc>
          <w:tcPr>
            <w:tcW w:w="89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快递业务操作与管理</w:t>
            </w:r>
          </w:p>
        </w:tc>
        <w:tc>
          <w:tcPr>
            <w:tcW w:w="3369"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使学生全面了解快递业务的基本流程，包括收件、分拣、运输、派送等环节，掌握各环节的操作规范和技术要求。培养学生掌握快递业务管理的基本原理和方法，包括快递网络优化、成本控制、服务质量提升等方面。提高学生的问题解决能力和应变能力，使其能够在实际操作中灵活应对各种复杂情况和突发问题。培养学生的团队协作精神和创新意识，以适应快递行业不断变化的市场环境和客户需求。</w:t>
            </w:r>
          </w:p>
        </w:tc>
        <w:tc>
          <w:tcPr>
            <w:tcW w:w="389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快递业务基础知识：介绍快递业务的基本概念、发展历程和行业现状，使学生对快递行业有一个全面的认识。快递业务操作流程：详细讲解快递业务的各个环节，包括收件、分拣、运输、派送等，使学生掌握各环节的操作规范和技术要求。快递业务管理原理：介绍快递业务管理的基本原理和方法，包括网络优化、成本控制、服务质量提升等方面，培养学生的管理能力。快递业务案例分析：通过分析真实的快递业务案例，让学生了解行业中的成功经验和教训，提高学生的问题解决能力。</w:t>
            </w:r>
          </w:p>
        </w:tc>
        <w:tc>
          <w:tcPr>
            <w:tcW w:w="201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情景模拟教学法、案例分析教学法等教学方式，培养学生掌握快递业务管理的基本原理和方法，包括快递网络优化、成本控制、服务质量提升等方面。提高学生的问题解决能力和应变能力，使其能够在实际操作中灵活应对各种复杂情况和突发问题。</w:t>
            </w:r>
          </w:p>
        </w:tc>
      </w:tr>
    </w:tbl>
    <w:p>
      <w:pPr>
        <w:adjustRightInd w:val="0"/>
        <w:snapToGri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2.专业核心课程：</w:t>
      </w:r>
      <w:bookmarkEnd w:id="10"/>
    </w:p>
    <w:p>
      <w:pPr>
        <w:adjustRightInd w:val="0"/>
        <w:snapToGri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专业核心课是面向网店运营、网店美工、新媒体运营等</w:t>
      </w:r>
      <w:r>
        <w:rPr>
          <w:rFonts w:hint="eastAsia" w:ascii="仿宋_GB2312" w:hAnsi="仿宋_GB2312" w:eastAsia="仿宋_GB2312" w:cs="仿宋_GB2312"/>
          <w:spacing w:val="-2"/>
          <w:sz w:val="32"/>
          <w:szCs w:val="32"/>
        </w:rPr>
        <w:t>专业人员</w:t>
      </w:r>
      <w:r>
        <w:rPr>
          <w:rFonts w:hint="eastAsia" w:ascii="仿宋_GB2312" w:hAnsi="仿宋_GB2312" w:eastAsia="仿宋_GB2312" w:cs="仿宋_GB2312"/>
          <w:sz w:val="32"/>
          <w:szCs w:val="32"/>
        </w:rPr>
        <w:t>岗位（群），结合电子商务师、互联网营销师、营销员、市场营销专业人员、商务策划的就业岗位，建立</w:t>
      </w:r>
      <w:r>
        <w:rPr>
          <w:rFonts w:hint="eastAsia" w:ascii="仿宋_GB2312" w:hAnsi="仿宋_GB2312" w:eastAsia="仿宋_GB2312" w:cs="仿宋_GB2312"/>
          <w:spacing w:val="-2"/>
          <w:sz w:val="32"/>
          <w:szCs w:val="32"/>
        </w:rPr>
        <w:t>电子商务</w:t>
      </w:r>
      <w:r>
        <w:rPr>
          <w:rFonts w:hint="eastAsia" w:ascii="仿宋_GB2312" w:hAnsi="仿宋_GB2312" w:eastAsia="仿宋_GB2312" w:cs="仿宋_GB2312"/>
          <w:sz w:val="32"/>
          <w:szCs w:val="32"/>
        </w:rPr>
        <w:t>专业核心课程，培养学生数据分析、广告设计与制作、网络营销、新媒体运营等方面的能力。包括</w:t>
      </w:r>
      <w:r>
        <w:rPr>
          <w:rFonts w:hint="eastAsia" w:ascii="仿宋_GB2312" w:hAnsi="仿宋_GB2312" w:eastAsia="仿宋_GB2312" w:cs="仿宋_GB2312"/>
          <w:spacing w:val="-2"/>
          <w:sz w:val="32"/>
          <w:szCs w:val="32"/>
        </w:rPr>
        <w:t>网页制作、网络营销、网店建设与运营、跨境电商、新媒体营销实务、电子商务案例分析</w:t>
      </w:r>
      <w:r>
        <w:rPr>
          <w:rFonts w:hint="eastAsia" w:ascii="仿宋_GB2312" w:hAnsi="仿宋_GB2312" w:eastAsia="仿宋_GB2312" w:cs="仿宋_GB2312"/>
          <w:spacing w:val="-2"/>
          <w:sz w:val="32"/>
          <w:szCs w:val="32"/>
          <w:lang w:eastAsia="zh-CN"/>
        </w:rPr>
        <w:t>、</w:t>
      </w:r>
      <w:r>
        <w:rPr>
          <w:rFonts w:hint="eastAsia" w:ascii="仿宋_GB2312" w:hAnsi="仿宋_GB2312" w:eastAsia="仿宋_GB2312" w:cs="仿宋_GB2312"/>
          <w:spacing w:val="-2"/>
          <w:sz w:val="32"/>
          <w:szCs w:val="32"/>
          <w:lang w:val="en-US" w:eastAsia="zh-CN"/>
        </w:rPr>
        <w:t>商务图形图像处理、商务动画制作</w:t>
      </w:r>
      <w:r>
        <w:rPr>
          <w:rFonts w:hint="eastAsia" w:ascii="仿宋_GB2312" w:hAnsi="仿宋_GB2312" w:eastAsia="仿宋_GB2312" w:cs="仿宋_GB2312"/>
          <w:spacing w:val="-4"/>
          <w:sz w:val="32"/>
          <w:szCs w:val="32"/>
        </w:rPr>
        <w:t>课程。</w:t>
      </w:r>
    </w:p>
    <w:p>
      <w:pPr>
        <w:jc w:val="center"/>
        <w:rPr>
          <w:rFonts w:hint="eastAsia" w:ascii="仿宋_GB2312" w:hAnsi="仿宋_GB2312" w:eastAsia="仿宋_GB2312" w:cs="仿宋_GB2312"/>
          <w:sz w:val="32"/>
          <w:szCs w:val="32"/>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 xml:space="preserve">4 </w:t>
      </w:r>
      <w:r>
        <w:rPr>
          <w:rFonts w:hint="eastAsia" w:ascii="仿宋_GB2312" w:hAnsi="仿宋_GB2312" w:eastAsia="仿宋_GB2312" w:cs="仿宋_GB2312"/>
          <w:sz w:val="32"/>
          <w:szCs w:val="32"/>
        </w:rPr>
        <w:t>专业核心课程描述表</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9"/>
        <w:gridCol w:w="980"/>
        <w:gridCol w:w="3713"/>
        <w:gridCol w:w="3015"/>
        <w:gridCol w:w="2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980"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课程名称</w:t>
            </w:r>
          </w:p>
        </w:tc>
        <w:tc>
          <w:tcPr>
            <w:tcW w:w="3713"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课程教学目标</w:t>
            </w:r>
          </w:p>
        </w:tc>
        <w:tc>
          <w:tcPr>
            <w:tcW w:w="3015"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课程教学内容</w:t>
            </w:r>
          </w:p>
        </w:tc>
        <w:tc>
          <w:tcPr>
            <w:tcW w:w="2546"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5" w:hRule="atLeast"/>
          <w:jc w:val="center"/>
        </w:trPr>
        <w:tc>
          <w:tcPr>
            <w:tcW w:w="519"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980" w:type="dxa"/>
            <w:vAlign w:val="center"/>
          </w:tcPr>
          <w:p>
            <w:pPr>
              <w:overflowPunct w:val="0"/>
              <w:adjustRightIn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网页制作</w:t>
            </w:r>
          </w:p>
        </w:tc>
        <w:tc>
          <w:tcPr>
            <w:tcW w:w="3713"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（1）培养学生收集、处理信息，准备、加工素材的能力；（2）培养学生制作静态网页的能力；（3）培养学生设计网页、网页布局的能力；（4）培养学生设计网站的综合能力。</w:t>
            </w:r>
          </w:p>
        </w:tc>
        <w:tc>
          <w:tcPr>
            <w:tcW w:w="3015"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运用HTML、CSS等网页制作相关知识，根据产品页面需求，进行页面布局美化，进行网店的装修;应用文本、图像、多媒体等网页元素的方法，制作页面;运用各类动态效果及样式，丰富美化网页。</w:t>
            </w:r>
          </w:p>
        </w:tc>
        <w:tc>
          <w:tcPr>
            <w:tcW w:w="254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通过案例教学法、项目驱动法等教学方法，结合各种实操训练，培养学生设计、制作静态网页的能力。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980" w:type="dxa"/>
            <w:vAlign w:val="center"/>
          </w:tcPr>
          <w:p>
            <w:pPr>
              <w:overflowPunct w:val="0"/>
              <w:adjustRightIn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网络营销</w:t>
            </w:r>
          </w:p>
        </w:tc>
        <w:tc>
          <w:tcPr>
            <w:tcW w:w="3713" w:type="dxa"/>
            <w:vAlign w:val="center"/>
          </w:tcPr>
          <w:p>
            <w:pPr>
              <w:numPr>
                <w:ilvl w:val="0"/>
                <w:numId w:val="1"/>
              </w:num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了解有关网络营销环境、熟悉网络营销流程，掌握网络营销基本实质；（2）掌握网络市场调研的内容与主要方法，以及商情分析等方面的知识；（3）掌握网络营销过程的产品策略、价格策略、渠道策略、促销策略和顾客策略等方面的知识。</w:t>
            </w:r>
          </w:p>
        </w:tc>
        <w:tc>
          <w:tcPr>
            <w:tcW w:w="3015"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根据网站和网店推广目标，筛选合理的推广方式和新媒体营销方法;网络推广和营销方案制定与实施;营销推广方案效果评估与优化。</w:t>
            </w:r>
          </w:p>
        </w:tc>
        <w:tc>
          <w:tcPr>
            <w:tcW w:w="254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采用案例教学法、项目驱动法、互动教学法等各种结合，利用网络营销软件或平台，模拟真实的网络营销环境，让学生进行实战演练，帮助学生熟悉网络营销流程，提升实战能力。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980" w:type="dxa"/>
            <w:vAlign w:val="center"/>
          </w:tcPr>
          <w:p>
            <w:pPr>
              <w:overflowPunct w:val="0"/>
              <w:adjustRightIn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网店建设与运营</w:t>
            </w:r>
          </w:p>
        </w:tc>
        <w:tc>
          <w:tcPr>
            <w:tcW w:w="3713"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学生能够掌握网络开店的必备理论知识和基本流程，同时获得相应的学习能力、操作能力、营销能力，强化学生的实践，增强创业意识、交流沟通能力，能做到完成课程的同时便初步成为了一名拥有自己网上店铺的网商。能够使用互联网技术或各种商务网络平台帮助电子商务企业完成供求信息发布、企业库存管理、订单处理、款项支付与结算过程以及各种商业票据的签发、传送和接收，确定配送方案并监控配送、售后服务跟踪等过程。通过对备份内容的的学习，学生能够比较系统全面地掌握企业电子商务物流、信息流、资金流以及商流的运作过程，培养学生全盘运作企业商业流程的能力，具备大局观和管理能力。</w:t>
            </w:r>
          </w:p>
        </w:tc>
        <w:tc>
          <w:tcPr>
            <w:tcW w:w="3015"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网站(店)运营的规范与流程;商品类型分类、编码、上架、下架；店铺、产品和客户数据分析，营销推广策略的制定与实施</w:t>
            </w:r>
          </w:p>
        </w:tc>
        <w:tc>
          <w:tcPr>
            <w:tcW w:w="254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采用课堂讲授、案例分析等教学方法，通过模拟实战，将网店建设与运营的任务分解为若干个小任务，如市场调研、店铺定位、商品上架、营销推广等，让学生逐一完成。帮助学生系统地掌握网店建设与运营的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4</w:t>
            </w:r>
          </w:p>
        </w:tc>
        <w:tc>
          <w:tcPr>
            <w:tcW w:w="980" w:type="dxa"/>
            <w:vAlign w:val="center"/>
          </w:tcPr>
          <w:p>
            <w:pPr>
              <w:overflowPunct w:val="0"/>
              <w:adjustRightIn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跨境电商</w:t>
            </w:r>
          </w:p>
        </w:tc>
        <w:tc>
          <w:tcPr>
            <w:tcW w:w="3713"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1）识记跨境第三方操作平台规则；（2）熟知跨境电商操作基本工作流程；（3）识记跨境电商平台进行选品的技巧；（4）熟知不同的国际物流方式的运费计算方法；（5）熟知国际支付宝Escrow优势、交易流程及支付方式；（6）熟知P4P的规则、广告模式、价值和优势；（7）熟知速卖通纠纷规则。</w:t>
            </w:r>
          </w:p>
        </w:tc>
        <w:tc>
          <w:tcPr>
            <w:tcW w:w="3015"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跨境电子商务是指分属不同关境的交易主体，通过电子商务平台达成交易、进行支付结算，并通过跨境物流送达商品完成交易的一种国际商业活动。也有学者认为，跨境电商是指分属不同关境的交易主体，通过电子商务平台达成交易、进行支付结算，并通过跨境物流送达商品、完成交易的电子商务平台和在线交易平台。</w:t>
            </w:r>
          </w:p>
        </w:tc>
        <w:tc>
          <w:tcPr>
            <w:tcW w:w="254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在教学中，引入不同国家和地区的文化元素，让学生了解不同市场的消费习惯和需求。同时，展示跨境电商平台如亚马逊、速卖通等具有独特的操作规则和流程。让学生熟悉这些平台的操作流程和规则，掌握跨境电商的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5</w:t>
            </w:r>
          </w:p>
        </w:tc>
        <w:tc>
          <w:tcPr>
            <w:tcW w:w="980" w:type="dxa"/>
            <w:vAlign w:val="center"/>
          </w:tcPr>
          <w:p>
            <w:pPr>
              <w:overflowPunct w:val="0"/>
              <w:adjustRightIn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新媒体营销实务</w:t>
            </w:r>
          </w:p>
        </w:tc>
        <w:tc>
          <w:tcPr>
            <w:tcW w:w="3713" w:type="dxa"/>
            <w:vAlign w:val="center"/>
          </w:tcPr>
          <w:p>
            <w:pPr>
              <w:numPr>
                <w:ilvl w:val="0"/>
                <w:numId w:val="2"/>
              </w:numPr>
              <w:overflowPunct w:val="0"/>
              <w:adjustRightInd w:val="0"/>
              <w:spacing w:line="360" w:lineRule="exact"/>
              <w:rPr>
                <w:rFonts w:hint="eastAsia" w:ascii="仿宋" w:hAnsi="仿宋" w:eastAsia="仿宋" w:cs="仿宋"/>
                <w:sz w:val="24"/>
                <w:szCs w:val="24"/>
              </w:rPr>
            </w:pPr>
            <w:r>
              <w:rPr>
                <w:rFonts w:hint="eastAsia" w:ascii="仿宋" w:hAnsi="仿宋" w:eastAsia="仿宋" w:cs="仿宋"/>
                <w:sz w:val="24"/>
                <w:szCs w:val="24"/>
              </w:rPr>
              <w:t>掌握新媒体营销的基本概念、基本原理；(2)梳理现代的移动互联网微营销理念；(3)掌握微信营销工作的核心与本质；(4)掌握多媒体营销多元化发展的新模式；(5)掌握APP运营、微博营销、微信营销、自媒体运营、活动运营、短视频运营、SEO搜索引擎营销等方法；(6)掌握新媒体运营的基本操作；(7)熟悉掌握主流新媒体平台的规则、特点及运营技巧；(8)深入理解音频自媒体以及短视频自媒体的运营要点。</w:t>
            </w:r>
          </w:p>
        </w:tc>
        <w:tc>
          <w:tcPr>
            <w:tcW w:w="3015"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培养学生在移动互联网营销策略运用、企业微博系统运营、微博自媒体打造、新品上市打爆、微信营销系统全面构建、微信电商实施等方面的实战能力；提高学生基本的沟通协调能力以及较好的自我心态调适能力等。培养和提高学生正确分析和解决新媒体营销相关问题的实践能力，以使学生能较好的满足微营销相关职业岗位的技能需求，将学生培养成为适应社会真需要的应用型新媒体高级营销人才。</w:t>
            </w:r>
          </w:p>
        </w:tc>
        <w:tc>
          <w:tcPr>
            <w:tcW w:w="254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通过平台运营模拟、内容创意工作坊、KPI导向教学法等教学方法，培养学生在新媒体环境下的运营能力和创新思维。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6</w:t>
            </w:r>
          </w:p>
        </w:tc>
        <w:tc>
          <w:tcPr>
            <w:tcW w:w="980" w:type="dxa"/>
            <w:vAlign w:val="center"/>
          </w:tcPr>
          <w:p>
            <w:pPr>
              <w:overflowPunct w:val="0"/>
              <w:adjustRightIn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电子商务案例分析</w:t>
            </w:r>
          </w:p>
        </w:tc>
        <w:tc>
          <w:tcPr>
            <w:tcW w:w="3713" w:type="dxa"/>
            <w:vAlign w:val="center"/>
          </w:tcPr>
          <w:p>
            <w:pPr>
              <w:numPr>
                <w:ilvl w:val="0"/>
                <w:numId w:val="3"/>
              </w:num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提高学生分析问题和解决间题的能力；(2)通过典型案例的分析，结合学生的上网实践帮助学生从案例分析中学习体会相关知识和实际经验，并产生创新思维；(3)学生能够了解马云的阿里巴巴集团未来的发展战略，以及其为什么要打造电商生态系统；(4)学习本课程后学生能够掌握案例分析撰写的知识;写出合格的分析报告，适用于很多行业；(5)学生通过课程可以学习到一些经验，避开前辈人士走过的弯路，找到自己的方向；</w:t>
            </w:r>
          </w:p>
        </w:tc>
        <w:tc>
          <w:tcPr>
            <w:tcW w:w="3015"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目的是通过对各种类型的电子商务案例的详细分析，掌握电子商务运作的一般规律。通过本课程的学习，让学生熟悉较多的电子商务案例，为学生提供分析、评估电子商务项目的方法，培养学生的案例分析能力和归纳总结能力，从而使学生在调查、讨论与实践的基础上更深入地理解电子商务的基本原理。</w:t>
            </w:r>
          </w:p>
          <w:p>
            <w:pPr>
              <w:overflowPunct w:val="0"/>
              <w:adjustRightInd w:val="0"/>
              <w:spacing w:line="360" w:lineRule="exact"/>
              <w:jc w:val="left"/>
              <w:rPr>
                <w:rFonts w:hint="eastAsia" w:ascii="仿宋" w:hAnsi="仿宋" w:eastAsia="仿宋" w:cs="仿宋"/>
                <w:sz w:val="24"/>
                <w:szCs w:val="24"/>
              </w:rPr>
            </w:pPr>
          </w:p>
        </w:tc>
        <w:tc>
          <w:tcPr>
            <w:tcW w:w="254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通过案例讲授法、小组讨论、综合分析等方法通过典型案例的分析，结合学生的上网实践帮助学生从案例分析中学习体会相关知识和实际经验，并产生创新思维。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98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商务图形图像处理</w:t>
            </w:r>
          </w:p>
        </w:tc>
        <w:tc>
          <w:tcPr>
            <w:tcW w:w="371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使学生了解图形图像处理的基本原理和概念，熟悉常用的图形图像处理软件及其操作方法。培养学生掌握图形图像获取、处理、优化与输出的基本技能，能够独立完成商务图形的设计和制作。提高学生的创新能力和审美水平，使其能够设计出具有创意和美感的商务图形作品。培养学生的团队协作精神和沟通能力，以适应商务图形设计领域的实际需求。</w:t>
            </w:r>
          </w:p>
        </w:tc>
        <w:tc>
          <w:tcPr>
            <w:tcW w:w="3015"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图形图像处理基础知识：介绍图形图像的基本概念、属性、格式以及存储方式等，为后续的图像处理技术学习打下基础。图形图像处理软件与技术：学习常用的图形图像处理软件（如Photoshop）的基本操作和使用技巧，掌握图形图像的编辑、修饰、合成与输出等关键技术。商务图形设计原理与技巧：学习商务图形设计的基本原则、配色方法、排版技巧等，掌握如何根据商务需求设计出合适的图形作品。商务图形应用案例：通过分析真实的商务图形应用案例，了解商务图形在实际应用中的需求和效果，提高学生的实践能力和创新精神。</w:t>
            </w:r>
          </w:p>
        </w:tc>
        <w:tc>
          <w:tcPr>
            <w:tcW w:w="254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用讲授法、头脑风暴法、分组讨论法、任务驱动法、案例讨论法等直观教学法，以学生为中心，工作过程为导向，融“教、学、做”为一体，通过小组化教学和案例教学，提高学生的实践操作能力和创新思维。最后让学生能够熟练使用Photoshop进行图像选取、调色、绘图、图层管理、路径和形状工具使用、图片修复、商品主图设计、海报设计、详情页设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98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商务动画制作</w:t>
            </w:r>
          </w:p>
        </w:tc>
        <w:tc>
          <w:tcPr>
            <w:tcW w:w="3713"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使学生理解商务动画的基本概念、原理和应用领域，熟悉商务动画的创意、策划和制作流程。培养学生掌握商务动画设计的基本要素和技巧，包括角色设计、场景构建、动作设计等，使其能够设计出具有吸引力和创意的商务动画作品。使学生熟悉商务动画制作的技术和工具，包括动画制作软件、音频处理软件等，能够独立完成商务动画的后期制作。培养学生的团队协作精神和沟通能力，使其能够在团队中有效地进行商务动画的创意、设计和制作工作。</w:t>
            </w:r>
          </w:p>
        </w:tc>
        <w:tc>
          <w:tcPr>
            <w:tcW w:w="3015"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商务动画基础知识：介绍商务动画的基本概念、应用领域和发展趋势，使学生对商务动画有一个全面的认识。商务动画创意设计：讲解商务动画的创意来源、设计原则和技巧，通过案例分析让学生了解如何设计出优秀的商务动画作品。商务动画制作技术：介绍商务动画制作的基本流程和技术，包括角色建模、动画制作、特效处理等，使学生掌握相关的技术和工具。商务动画应用与实践：结合实际应用场景，让学生进行商务动画的创意、设计和制作实践，提升其实际应用能力。</w:t>
            </w:r>
          </w:p>
        </w:tc>
        <w:tc>
          <w:tcPr>
            <w:tcW w:w="254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采用项目导向教学法、软件操作教学法等教学方法，使学生理解商务动画的基本概念、原理和应用领域，熟悉商务动画的创意、策划和制作流程。培养学生掌握商务动画设计的基本要素和技巧，包括角色设计、场景构建、动作设计等，使其能够设计出具有吸引力和创意的商务动画作品。</w:t>
            </w:r>
          </w:p>
        </w:tc>
      </w:tr>
    </w:tbl>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3.主要实践性课程：毕业设计、岗位实习</w:t>
      </w:r>
    </w:p>
    <w:p>
      <w:pPr>
        <w:adjustRightInd w:val="0"/>
        <w:snapToGrid w:val="0"/>
        <w:spacing w:line="520" w:lineRule="exact"/>
        <w:jc w:val="center"/>
        <w:rPr>
          <w:rFonts w:hint="eastAsia" w:ascii="仿宋_GB2312" w:hAnsi="仿宋_GB2312" w:eastAsia="仿宋_GB2312" w:cs="仿宋_GB2312"/>
          <w:sz w:val="32"/>
          <w:szCs w:val="32"/>
        </w:rPr>
      </w:pPr>
      <w:r>
        <w:rPr>
          <w:rFonts w:hint="eastAsia" w:ascii="仿宋_GB2312" w:hAnsi="仿宋" w:eastAsia="仿宋_GB2312" w:cs="仿宋_GB2312"/>
          <w:sz w:val="32"/>
          <w:szCs w:val="32"/>
        </w:rPr>
        <w:t>表1</w:t>
      </w:r>
      <w:r>
        <w:rPr>
          <w:rFonts w:hint="eastAsia" w:ascii="仿宋_GB2312" w:hAnsi="仿宋" w:eastAsia="仿宋_GB2312" w:cs="仿宋_GB2312"/>
          <w:sz w:val="32"/>
          <w:szCs w:val="32"/>
          <w:lang w:val="en-US" w:eastAsia="zh-CN"/>
        </w:rPr>
        <w:t xml:space="preserve"> </w:t>
      </w:r>
      <w:r>
        <w:rPr>
          <w:rFonts w:hint="eastAsia" w:ascii="仿宋_GB2312" w:hAnsi="仿宋_GB2312" w:eastAsia="仿宋_GB2312" w:cs="仿宋_GB2312"/>
          <w:sz w:val="32"/>
          <w:szCs w:val="32"/>
        </w:rPr>
        <w:t>主要实践课程描述表</w:t>
      </w:r>
    </w:p>
    <w:tbl>
      <w:tblPr>
        <w:tblStyle w:val="7"/>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1289"/>
        <w:gridCol w:w="3339"/>
        <w:gridCol w:w="2961"/>
        <w:gridCol w:w="2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653"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1289"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课程名称</w:t>
            </w:r>
          </w:p>
        </w:tc>
        <w:tc>
          <w:tcPr>
            <w:tcW w:w="3339"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课程教学目标</w:t>
            </w:r>
          </w:p>
        </w:tc>
        <w:tc>
          <w:tcPr>
            <w:tcW w:w="2961"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课程教学内容</w:t>
            </w:r>
          </w:p>
        </w:tc>
        <w:tc>
          <w:tcPr>
            <w:tcW w:w="2530"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1289"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毕业设计</w:t>
            </w:r>
          </w:p>
        </w:tc>
        <w:tc>
          <w:tcPr>
            <w:tcW w:w="3339" w:type="dxa"/>
            <w:vAlign w:val="center"/>
          </w:tcPr>
          <w:p>
            <w:pPr>
              <w:overflowPunct w:val="0"/>
              <w:adjustRightInd w:val="0"/>
              <w:spacing w:line="360" w:lineRule="exact"/>
              <w:rPr>
                <w:rFonts w:hint="eastAsia" w:ascii="仿宋" w:hAnsi="仿宋" w:eastAsia="仿宋" w:cs="仿宋"/>
                <w:sz w:val="24"/>
                <w:szCs w:val="24"/>
              </w:rPr>
            </w:pPr>
            <w:r>
              <w:rPr>
                <w:rFonts w:hint="eastAsia" w:ascii="仿宋" w:hAnsi="仿宋" w:eastAsia="仿宋" w:cs="仿宋"/>
                <w:sz w:val="24"/>
                <w:szCs w:val="24"/>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w:t>
            </w:r>
          </w:p>
        </w:tc>
        <w:tc>
          <w:tcPr>
            <w:tcW w:w="2961" w:type="dxa"/>
            <w:vAlign w:val="center"/>
          </w:tcPr>
          <w:p>
            <w:pPr>
              <w:overflowPunct w:val="0"/>
              <w:adjustRightInd w:val="0"/>
              <w:spacing w:line="360" w:lineRule="exact"/>
              <w:rPr>
                <w:rFonts w:hint="eastAsia" w:ascii="仿宋" w:hAnsi="仿宋" w:eastAsia="仿宋" w:cs="仿宋"/>
                <w:sz w:val="24"/>
                <w:szCs w:val="24"/>
              </w:rPr>
            </w:pPr>
            <w:r>
              <w:rPr>
                <w:rFonts w:hint="eastAsia" w:ascii="仿宋" w:hAnsi="仿宋" w:eastAsia="仿宋" w:cs="仿宋"/>
                <w:sz w:val="24"/>
                <w:szCs w:val="24"/>
              </w:rPr>
              <w:t>选题和资料收集，分析和计划，开题报告;撰写初稿;修改定稿;答辩。</w:t>
            </w:r>
          </w:p>
        </w:tc>
        <w:tc>
          <w:tcPr>
            <w:tcW w:w="253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通过导师指导制、阶段性检查与反馈、毕业答辩模拟等教学方法，确保学生高质量完成毕业设计，提升综合应用能力和创新能力。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1289"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岗位实习</w:t>
            </w:r>
          </w:p>
        </w:tc>
        <w:tc>
          <w:tcPr>
            <w:tcW w:w="3339" w:type="dxa"/>
            <w:vAlign w:val="center"/>
          </w:tcPr>
          <w:p>
            <w:pPr>
              <w:overflowPunct w:val="0"/>
              <w:adjustRightInd w:val="0"/>
              <w:spacing w:line="360" w:lineRule="exact"/>
              <w:rPr>
                <w:rFonts w:hint="eastAsia" w:ascii="仿宋" w:hAnsi="仿宋" w:eastAsia="仿宋" w:cs="仿宋"/>
                <w:sz w:val="24"/>
                <w:szCs w:val="24"/>
              </w:rPr>
            </w:pPr>
            <w:r>
              <w:rPr>
                <w:rFonts w:hint="eastAsia" w:ascii="仿宋" w:hAnsi="仿宋" w:eastAsia="仿宋" w:cs="仿宋"/>
                <w:sz w:val="24"/>
                <w:szCs w:val="24"/>
              </w:rPr>
              <w:t>通过岗位实习，培养学生吃苦耐劳、团结合作的精神品质和正确的处事原则,进一步增强学生实际操作能力、专业应用能力和岗位适应能力，并取得用人单位正式聘用。</w:t>
            </w:r>
          </w:p>
        </w:tc>
        <w:tc>
          <w:tcPr>
            <w:tcW w:w="2961" w:type="dxa"/>
            <w:vAlign w:val="center"/>
          </w:tcPr>
          <w:p>
            <w:pPr>
              <w:overflowPunct w:val="0"/>
              <w:adjustRightInd w:val="0"/>
              <w:spacing w:line="360" w:lineRule="exact"/>
              <w:rPr>
                <w:rFonts w:hint="eastAsia" w:ascii="仿宋" w:hAnsi="仿宋" w:eastAsia="仿宋" w:cs="仿宋"/>
                <w:sz w:val="24"/>
                <w:szCs w:val="24"/>
              </w:rPr>
            </w:pPr>
            <w:r>
              <w:rPr>
                <w:rFonts w:hint="eastAsia" w:ascii="仿宋" w:hAnsi="仿宋" w:eastAsia="仿宋" w:cs="仿宋"/>
                <w:sz w:val="24"/>
                <w:szCs w:val="24"/>
              </w:rPr>
              <w:t>网店运营</w:t>
            </w:r>
            <w:r>
              <w:rPr>
                <w:rFonts w:hint="eastAsia" w:ascii="仿宋" w:hAnsi="仿宋" w:eastAsia="仿宋" w:cs="仿宋"/>
                <w:sz w:val="24"/>
                <w:szCs w:val="24"/>
                <w:lang w:eastAsia="zh-CN"/>
              </w:rPr>
              <w:t>岗位实习</w:t>
            </w:r>
            <w:r>
              <w:rPr>
                <w:rFonts w:hint="eastAsia" w:ascii="仿宋" w:hAnsi="仿宋" w:eastAsia="仿宋" w:cs="仿宋"/>
                <w:sz w:val="24"/>
                <w:szCs w:val="24"/>
              </w:rPr>
              <w:t>、网店美工</w:t>
            </w:r>
            <w:r>
              <w:rPr>
                <w:rFonts w:hint="eastAsia" w:ascii="仿宋" w:hAnsi="仿宋" w:eastAsia="仿宋" w:cs="仿宋"/>
                <w:sz w:val="24"/>
                <w:szCs w:val="24"/>
                <w:lang w:eastAsia="zh-CN"/>
              </w:rPr>
              <w:t>岗位实习</w:t>
            </w:r>
            <w:r>
              <w:rPr>
                <w:rFonts w:hint="eastAsia" w:ascii="仿宋" w:hAnsi="仿宋" w:eastAsia="仿宋" w:cs="仿宋"/>
                <w:sz w:val="24"/>
                <w:szCs w:val="24"/>
              </w:rPr>
              <w:t>、新媒体运营</w:t>
            </w:r>
            <w:r>
              <w:rPr>
                <w:rFonts w:hint="eastAsia" w:ascii="仿宋" w:hAnsi="仿宋" w:eastAsia="仿宋" w:cs="仿宋"/>
                <w:sz w:val="24"/>
                <w:szCs w:val="24"/>
                <w:lang w:eastAsia="zh-CN"/>
              </w:rPr>
              <w:t>岗位实习。</w:t>
            </w:r>
          </w:p>
        </w:tc>
        <w:tc>
          <w:tcPr>
            <w:tcW w:w="2530"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通过校企合作模式、实习导师制、实习日志与报告撰写等教学方法，让学生在真实的工作环境中锻炼技能，积累实践经验。</w:t>
            </w:r>
          </w:p>
        </w:tc>
      </w:tr>
    </w:tbl>
    <w:p>
      <w:pPr>
        <w:adjustRightInd w:val="0"/>
        <w:snapToGrid w:val="0"/>
        <w:spacing w:line="520" w:lineRule="exact"/>
        <w:ind w:firstLine="640" w:firstLineChars="200"/>
        <w:rPr>
          <w:rFonts w:hint="eastAsia" w:ascii="仿宋_GB2312" w:hAnsi="仿宋_GB2312" w:eastAsia="仿宋_GB2312" w:cs="仿宋_GB2312"/>
          <w:sz w:val="32"/>
          <w:szCs w:val="32"/>
        </w:rPr>
      </w:pPr>
      <w:bookmarkStart w:id="11" w:name="_Toc90734991"/>
      <w:r>
        <w:rPr>
          <w:rFonts w:hint="eastAsia" w:ascii="仿宋_GB2312" w:hAnsi="仿宋_GB2312" w:eastAsia="仿宋_GB2312" w:cs="仿宋_GB2312"/>
          <w:sz w:val="32"/>
          <w:szCs w:val="32"/>
        </w:rPr>
        <w:t>4.专业拓展课程：</w:t>
      </w:r>
      <w:bookmarkEnd w:id="11"/>
      <w:r>
        <w:rPr>
          <w:rFonts w:hint="eastAsia" w:ascii="仿宋_GB2312" w:hAnsi="仿宋_GB2312" w:eastAsia="仿宋_GB2312" w:cs="仿宋_GB2312"/>
          <w:spacing w:val="-2"/>
          <w:sz w:val="32"/>
          <w:szCs w:val="32"/>
        </w:rPr>
        <w:t>农村电商</w:t>
      </w:r>
      <w:r>
        <w:rPr>
          <w:rFonts w:hint="eastAsia" w:ascii="仿宋_GB2312" w:hAnsi="仿宋_GB2312" w:eastAsia="仿宋_GB2312" w:cs="仿宋_GB2312"/>
          <w:spacing w:val="-60"/>
          <w:sz w:val="32"/>
          <w:szCs w:val="32"/>
        </w:rPr>
        <w:t>、</w:t>
      </w:r>
      <w:r>
        <w:rPr>
          <w:rFonts w:hint="eastAsia" w:ascii="仿宋_GB2312" w:hAnsi="仿宋_GB2312" w:eastAsia="仿宋_GB2312" w:cs="仿宋_GB2312"/>
          <w:spacing w:val="-2"/>
          <w:sz w:val="32"/>
          <w:szCs w:val="32"/>
        </w:rPr>
        <w:t>公共危机管理、经济学基础</w:t>
      </w:r>
      <w:r>
        <w:rPr>
          <w:rFonts w:hint="eastAsia" w:ascii="仿宋_GB2312" w:hAnsi="仿宋_GB2312" w:eastAsia="仿宋_GB2312" w:cs="仿宋_GB2312"/>
          <w:spacing w:val="-60"/>
          <w:sz w:val="32"/>
          <w:szCs w:val="32"/>
        </w:rPr>
        <w:t>、</w:t>
      </w:r>
      <w:r>
        <w:rPr>
          <w:rFonts w:hint="eastAsia" w:ascii="仿宋_GB2312" w:hAnsi="仿宋_GB2312" w:eastAsia="仿宋_GB2312" w:cs="仿宋_GB2312"/>
          <w:spacing w:val="-2"/>
          <w:sz w:val="32"/>
          <w:szCs w:val="32"/>
        </w:rPr>
        <w:t>文献检索与论文写作</w:t>
      </w:r>
      <w:r>
        <w:rPr>
          <w:rFonts w:hint="eastAsia" w:ascii="仿宋_GB2312" w:hAnsi="仿宋_GB2312" w:eastAsia="仿宋_GB2312" w:cs="仿宋_GB2312"/>
          <w:sz w:val="32"/>
          <w:szCs w:val="32"/>
        </w:rPr>
        <w:t>。</w:t>
      </w:r>
    </w:p>
    <w:p>
      <w:pPr>
        <w:adjustRightInd w:val="0"/>
        <w:snapToGri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专业拓展课程是按照岗位迁移，根据</w:t>
      </w:r>
      <w:r>
        <w:rPr>
          <w:rFonts w:hint="eastAsia" w:ascii="仿宋_GB2312" w:hAnsi="仿宋_GB2312" w:eastAsia="仿宋_GB2312" w:cs="仿宋_GB2312"/>
          <w:spacing w:val="-2"/>
          <w:sz w:val="32"/>
          <w:szCs w:val="32"/>
        </w:rPr>
        <w:t>电子商务行业</w:t>
      </w:r>
      <w:r>
        <w:rPr>
          <w:rFonts w:hint="eastAsia" w:ascii="仿宋_GB2312" w:hAnsi="仿宋_GB2312" w:eastAsia="仿宋_GB2312" w:cs="仿宋_GB2312"/>
          <w:sz w:val="32"/>
          <w:szCs w:val="32"/>
        </w:rPr>
        <w:t>发展的趋势，依据企业用人需求调研，企业对具备农村电子商务、经济学等相关知识的人才需求日益增加，建立了</w:t>
      </w:r>
      <w:r>
        <w:rPr>
          <w:rFonts w:hint="eastAsia" w:ascii="仿宋_GB2312" w:hAnsi="仿宋_GB2312" w:eastAsia="仿宋_GB2312" w:cs="仿宋_GB2312"/>
          <w:spacing w:val="-2"/>
          <w:sz w:val="32"/>
          <w:szCs w:val="32"/>
        </w:rPr>
        <w:t>电子商务</w:t>
      </w:r>
      <w:r>
        <w:rPr>
          <w:rFonts w:hint="eastAsia" w:ascii="仿宋_GB2312" w:hAnsi="仿宋_GB2312" w:eastAsia="仿宋_GB2312" w:cs="仿宋_GB2312"/>
          <w:sz w:val="32"/>
          <w:szCs w:val="32"/>
        </w:rPr>
        <w:t>专业拓展课，并将辅修方向课程纳入其中。由</w:t>
      </w:r>
      <w:r>
        <w:rPr>
          <w:rFonts w:hint="eastAsia" w:ascii="仿宋_GB2312" w:hAnsi="仿宋_GB2312" w:eastAsia="仿宋_GB2312" w:cs="仿宋_GB2312"/>
          <w:spacing w:val="-2"/>
          <w:sz w:val="32"/>
          <w:szCs w:val="32"/>
        </w:rPr>
        <w:t>农村电商</w:t>
      </w:r>
      <w:r>
        <w:rPr>
          <w:rFonts w:hint="eastAsia" w:ascii="仿宋_GB2312" w:hAnsi="仿宋_GB2312" w:eastAsia="仿宋_GB2312" w:cs="仿宋_GB2312"/>
          <w:spacing w:val="-60"/>
          <w:sz w:val="32"/>
          <w:szCs w:val="32"/>
        </w:rPr>
        <w:t>、</w:t>
      </w:r>
      <w:r>
        <w:rPr>
          <w:rFonts w:hint="eastAsia" w:ascii="仿宋_GB2312" w:hAnsi="仿宋_GB2312" w:eastAsia="仿宋_GB2312" w:cs="仿宋_GB2312"/>
          <w:spacing w:val="-2"/>
          <w:sz w:val="32"/>
          <w:szCs w:val="32"/>
        </w:rPr>
        <w:t>公共危机管理、经济学基础</w:t>
      </w:r>
      <w:r>
        <w:rPr>
          <w:rFonts w:hint="eastAsia" w:ascii="仿宋_GB2312" w:hAnsi="仿宋_GB2312" w:eastAsia="仿宋_GB2312" w:cs="仿宋_GB2312"/>
          <w:spacing w:val="-60"/>
          <w:sz w:val="32"/>
          <w:szCs w:val="32"/>
        </w:rPr>
        <w:t>、</w:t>
      </w:r>
      <w:r>
        <w:rPr>
          <w:rFonts w:hint="eastAsia" w:ascii="仿宋_GB2312" w:hAnsi="仿宋_GB2312" w:eastAsia="仿宋_GB2312" w:cs="仿宋_GB2312"/>
          <w:spacing w:val="-2"/>
          <w:sz w:val="32"/>
          <w:szCs w:val="32"/>
        </w:rPr>
        <w:t>文献检索与论文写作</w:t>
      </w:r>
      <w:r>
        <w:rPr>
          <w:rFonts w:hint="eastAsia" w:ascii="仿宋_GB2312" w:hAnsi="仿宋_GB2312" w:eastAsia="仿宋_GB2312" w:cs="仿宋_GB2312"/>
          <w:sz w:val="32"/>
          <w:szCs w:val="32"/>
        </w:rPr>
        <w:t>等课程构成专业拓展课。</w:t>
      </w:r>
    </w:p>
    <w:p>
      <w:pPr>
        <w:jc w:val="center"/>
        <w:rPr>
          <w:rFonts w:hint="eastAsia" w:ascii="仿宋_GB2312" w:hAnsi="仿宋_GB2312" w:eastAsia="仿宋_GB2312" w:cs="仿宋_GB2312"/>
          <w:sz w:val="32"/>
          <w:szCs w:val="32"/>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 xml:space="preserve">6 </w:t>
      </w:r>
      <w:r>
        <w:rPr>
          <w:rFonts w:hint="eastAsia" w:ascii="仿宋_GB2312" w:hAnsi="仿宋_GB2312" w:eastAsia="仿宋_GB2312" w:cs="仿宋_GB2312"/>
          <w:sz w:val="32"/>
          <w:szCs w:val="32"/>
        </w:rPr>
        <w:t>专业拓展课程描述表</w:t>
      </w:r>
    </w:p>
    <w:tbl>
      <w:tblPr>
        <w:tblStyle w:val="7"/>
        <w:tblW w:w="10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921"/>
        <w:gridCol w:w="2985"/>
        <w:gridCol w:w="3705"/>
        <w:gridCol w:w="2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5"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921"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课程名称</w:t>
            </w:r>
          </w:p>
        </w:tc>
        <w:tc>
          <w:tcPr>
            <w:tcW w:w="2985"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课程教学目标</w:t>
            </w:r>
          </w:p>
        </w:tc>
        <w:tc>
          <w:tcPr>
            <w:tcW w:w="3705"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课程教学内容</w:t>
            </w:r>
          </w:p>
        </w:tc>
        <w:tc>
          <w:tcPr>
            <w:tcW w:w="2495"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5"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921"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经济学基础</w:t>
            </w:r>
          </w:p>
        </w:tc>
        <w:tc>
          <w:tcPr>
            <w:tcW w:w="2985"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掌握供给、需求、价格、生产、消费、成本等经济要素间的相互作用机理。理解经济规律对经济活动的指导作用，包括宏观经济的运行和政府方针政策。学会运用经济学的基本原理分析与工作、生活联系紧密的经济现象，并遵循经济规律办事。具备基于经济学基本规律的分析理念和方法技巧，并能在经济活动、学习生活中加以应用。</w:t>
            </w:r>
          </w:p>
          <w:p>
            <w:pPr>
              <w:overflowPunct w:val="0"/>
              <w:adjustRightInd w:val="0"/>
              <w:spacing w:line="360" w:lineRule="exact"/>
              <w:jc w:val="left"/>
              <w:rPr>
                <w:rFonts w:hint="eastAsia" w:ascii="仿宋" w:hAnsi="仿宋" w:eastAsia="仿宋" w:cs="仿宋"/>
                <w:sz w:val="24"/>
                <w:szCs w:val="24"/>
              </w:rPr>
            </w:pPr>
          </w:p>
        </w:tc>
        <w:tc>
          <w:tcPr>
            <w:tcW w:w="3705"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介绍西方经济学的研究对象和研究方法。微观经济学：重点介绍价格理论、弹性理论、消费者行为理论、生产理论、厂商均衡理论、分配理论、市场失灵与政府干预等内容。这部分内容将有助于学生了解微观经济体系的基本运作方式。宏观经济学：主要探讨宏观经济学的内容和宏观经济指标、长期宏观经济分析、短期宏观经济分析、宏观经济政策及开放经济中的宏观经济等问题。通过学习，学生将能够掌握宏观经济运行的规律和政策影响。</w:t>
            </w:r>
          </w:p>
        </w:tc>
        <w:tc>
          <w:tcPr>
            <w:tcW w:w="2495"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通过案例教学、实践教学等方法，通过选取生动、具体的经济事件或企业案例，引导学生分析案例中的经济活动和决策过程，从而深刻理解经济学原理。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5"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921"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公共危机管理</w:t>
            </w:r>
          </w:p>
        </w:tc>
        <w:tc>
          <w:tcPr>
            <w:tcW w:w="2985"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使学生全面理解公共危机管理的理论框架和实践技能，以应对各种突发事件和危机情况。通过本课程的学习，学生应能够掌握危机管理的基本概念、原理和方法，熟悉危机事件的预防、应对和恢复等各个环节，并具备在危机情况下进行有效沟通和协调的能力。</w:t>
            </w:r>
          </w:p>
        </w:tc>
        <w:tc>
          <w:tcPr>
            <w:tcW w:w="3705"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介绍公共危机的内涵、分类、特征等，帮助学生了解什么是公共危机以及它的基本特性。公共危机管理的理论基础：详细讲解公共危机管理的基本概念和原则，包括危机的识别、评估、预警、预防、应对和恢复等各个环节的理论依据。危机决策与沟通机制：探讨在危机情况下如何进行有效的决策和沟通，包括信息收集、分析、传递和发布等方面的策略和方法。危机应对与资源调配：介绍危机应对的具体措施和资源调配的方法，包括应急预案的制定、实施和评估，以及救援力量的组织和协调等。危机恢复与重建：分析危机后的恢复和重建工作，包括心理援助、社会秩序恢复、经济损失评估与补偿等方面的内容。公共危机管理案例分析：通过分析典型的公共危机管理案例，帮助学生理解理论知识的实际应用，提升解决实际问题的能力。</w:t>
            </w:r>
          </w:p>
        </w:tc>
        <w:tc>
          <w:tcPr>
            <w:tcW w:w="2495"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选取典型的公共危机案例，如自然灾害、公共卫生事件等，引导学生分析案例中的危机管理过程、决策和应对措施。通过案例讨论，帮助学生理解危机管理的理论和实践，培养分析解决问题的能力和创新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4" w:hRule="atLeast"/>
          <w:jc w:val="center"/>
        </w:trPr>
        <w:tc>
          <w:tcPr>
            <w:tcW w:w="775"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921" w:type="dxa"/>
            <w:shd w:val="clear" w:color="auto" w:fill="auto"/>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农村电商</w:t>
            </w:r>
          </w:p>
        </w:tc>
        <w:tc>
          <w:tcPr>
            <w:tcW w:w="2985" w:type="dxa"/>
            <w:vAlign w:val="center"/>
          </w:tcPr>
          <w:p>
            <w:pPr>
              <w:overflowPunct w:val="0"/>
              <w:adjustRightInd w:val="0"/>
              <w:spacing w:line="360" w:lineRule="exact"/>
              <w:jc w:val="left"/>
              <w:rPr>
                <w:rFonts w:hint="eastAsia" w:ascii="仿宋" w:hAnsi="仿宋" w:eastAsia="仿宋" w:cs="仿宋"/>
                <w:sz w:val="24"/>
                <w:szCs w:val="24"/>
              </w:rPr>
            </w:pPr>
          </w:p>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培养学生掌握农村电商发展的基本理论和实践技能，使学生能够利用电子商务平台推动农村经济发展，提升农产品市场竞争力，助力乡村振兴。</w:t>
            </w:r>
          </w:p>
          <w:p>
            <w:pPr>
              <w:overflowPunct w:val="0"/>
              <w:adjustRightInd w:val="0"/>
              <w:spacing w:line="360" w:lineRule="exact"/>
              <w:jc w:val="left"/>
              <w:rPr>
                <w:rFonts w:hint="eastAsia" w:ascii="仿宋" w:hAnsi="仿宋" w:eastAsia="仿宋" w:cs="仿宋"/>
                <w:sz w:val="24"/>
                <w:szCs w:val="24"/>
              </w:rPr>
            </w:pPr>
          </w:p>
          <w:p>
            <w:pPr>
              <w:overflowPunct w:val="0"/>
              <w:adjustRightInd w:val="0"/>
              <w:spacing w:line="360" w:lineRule="exact"/>
              <w:jc w:val="left"/>
              <w:rPr>
                <w:rFonts w:hint="eastAsia" w:ascii="仿宋" w:hAnsi="仿宋" w:eastAsia="仿宋" w:cs="仿宋"/>
                <w:sz w:val="24"/>
                <w:szCs w:val="24"/>
              </w:rPr>
            </w:pPr>
          </w:p>
          <w:p>
            <w:pPr>
              <w:overflowPunct w:val="0"/>
              <w:adjustRightInd w:val="0"/>
              <w:spacing w:line="360" w:lineRule="exact"/>
              <w:jc w:val="left"/>
              <w:rPr>
                <w:rFonts w:hint="eastAsia" w:ascii="仿宋" w:hAnsi="仿宋" w:eastAsia="仿宋" w:cs="仿宋"/>
                <w:sz w:val="24"/>
                <w:szCs w:val="24"/>
              </w:rPr>
            </w:pPr>
          </w:p>
          <w:p>
            <w:pPr>
              <w:overflowPunct w:val="0"/>
              <w:adjustRightInd w:val="0"/>
              <w:spacing w:line="360" w:lineRule="exact"/>
              <w:jc w:val="left"/>
              <w:rPr>
                <w:rFonts w:hint="eastAsia" w:ascii="仿宋" w:hAnsi="仿宋" w:eastAsia="仿宋" w:cs="仿宋"/>
                <w:sz w:val="24"/>
                <w:szCs w:val="24"/>
              </w:rPr>
            </w:pPr>
          </w:p>
          <w:p>
            <w:pPr>
              <w:overflowPunct w:val="0"/>
              <w:adjustRightInd w:val="0"/>
              <w:spacing w:line="360" w:lineRule="exact"/>
              <w:jc w:val="left"/>
              <w:rPr>
                <w:rFonts w:hint="eastAsia" w:ascii="仿宋" w:hAnsi="仿宋" w:eastAsia="仿宋" w:cs="仿宋"/>
                <w:sz w:val="24"/>
                <w:szCs w:val="24"/>
              </w:rPr>
            </w:pPr>
          </w:p>
          <w:p>
            <w:pPr>
              <w:overflowPunct w:val="0"/>
              <w:adjustRightInd w:val="0"/>
              <w:spacing w:line="360" w:lineRule="exact"/>
              <w:jc w:val="left"/>
              <w:rPr>
                <w:rFonts w:hint="eastAsia" w:ascii="仿宋" w:hAnsi="仿宋" w:eastAsia="仿宋" w:cs="仿宋"/>
                <w:sz w:val="24"/>
                <w:szCs w:val="24"/>
              </w:rPr>
            </w:pPr>
          </w:p>
        </w:tc>
        <w:tc>
          <w:tcPr>
            <w:tcW w:w="3705"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农村电商的兴起背景、发展趋势、电商平台运营、农产品网络营销策略等方面展开，通过案例分析、实践操作等方式，让学生深入了解农村电商的运营模式和市场机遇，掌握农产品网络营销的技巧和方法，为未来的农村电商创业或从业奠定坚实基础。</w:t>
            </w:r>
          </w:p>
          <w:p>
            <w:pPr>
              <w:overflowPunct w:val="0"/>
              <w:adjustRightInd w:val="0"/>
              <w:spacing w:line="360" w:lineRule="exact"/>
              <w:jc w:val="left"/>
              <w:rPr>
                <w:rFonts w:hint="eastAsia" w:ascii="仿宋" w:hAnsi="仿宋" w:eastAsia="仿宋" w:cs="仿宋"/>
                <w:sz w:val="24"/>
                <w:szCs w:val="24"/>
              </w:rPr>
            </w:pPr>
          </w:p>
          <w:p>
            <w:pPr>
              <w:overflowPunct w:val="0"/>
              <w:adjustRightInd w:val="0"/>
              <w:spacing w:line="360" w:lineRule="exact"/>
              <w:jc w:val="left"/>
              <w:rPr>
                <w:rFonts w:hint="eastAsia" w:ascii="仿宋" w:hAnsi="仿宋" w:eastAsia="仿宋" w:cs="仿宋"/>
                <w:sz w:val="24"/>
                <w:szCs w:val="24"/>
              </w:rPr>
            </w:pPr>
          </w:p>
          <w:p>
            <w:pPr>
              <w:overflowPunct w:val="0"/>
              <w:adjustRightInd w:val="0"/>
              <w:spacing w:line="360" w:lineRule="exact"/>
              <w:jc w:val="left"/>
              <w:rPr>
                <w:rFonts w:hint="eastAsia" w:ascii="仿宋" w:hAnsi="仿宋" w:eastAsia="仿宋" w:cs="仿宋"/>
                <w:sz w:val="24"/>
                <w:szCs w:val="24"/>
              </w:rPr>
            </w:pPr>
          </w:p>
          <w:p>
            <w:pPr>
              <w:overflowPunct w:val="0"/>
              <w:adjustRightInd w:val="0"/>
              <w:spacing w:line="360" w:lineRule="exact"/>
              <w:jc w:val="left"/>
              <w:rPr>
                <w:rFonts w:hint="eastAsia" w:ascii="仿宋" w:hAnsi="仿宋" w:eastAsia="仿宋" w:cs="仿宋"/>
                <w:sz w:val="24"/>
                <w:szCs w:val="24"/>
              </w:rPr>
            </w:pPr>
          </w:p>
        </w:tc>
        <w:tc>
          <w:tcPr>
            <w:tcW w:w="2495"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系统介绍农村电商的概念、发展历程、分类与特征等基础知识，为学生打下坚实的理论基础。</w:t>
            </w:r>
          </w:p>
          <w:p>
            <w:pPr>
              <w:spacing w:line="360" w:lineRule="exact"/>
              <w:rPr>
                <w:rFonts w:hint="eastAsia" w:ascii="仿宋" w:hAnsi="仿宋" w:eastAsia="仿宋" w:cs="仿宋"/>
                <w:sz w:val="24"/>
                <w:szCs w:val="24"/>
              </w:rPr>
            </w:pPr>
            <w:r>
              <w:rPr>
                <w:rFonts w:hint="eastAsia" w:ascii="仿宋" w:hAnsi="仿宋" w:eastAsia="仿宋" w:cs="仿宋"/>
                <w:sz w:val="24"/>
                <w:szCs w:val="24"/>
              </w:rPr>
              <w:t>同时，选取成功的农村电商案例，如淘宝村、京东农场等，分析其发展模式和成功经验，帮助学生理解农村电商的运作机制和盈利模式。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5" w:type="dxa"/>
            <w:vAlign w:val="center"/>
          </w:tcPr>
          <w:p>
            <w:pPr>
              <w:spacing w:line="360" w:lineRule="exact"/>
              <w:jc w:val="center"/>
              <w:rPr>
                <w:rFonts w:hint="eastAsia" w:ascii="仿宋" w:hAnsi="仿宋" w:eastAsia="仿宋" w:cs="仿宋"/>
                <w:sz w:val="24"/>
                <w:szCs w:val="24"/>
              </w:rPr>
            </w:pPr>
          </w:p>
          <w:p>
            <w:pPr>
              <w:spacing w:line="360" w:lineRule="exact"/>
              <w:jc w:val="center"/>
              <w:rPr>
                <w:rFonts w:hint="eastAsia" w:ascii="仿宋" w:hAnsi="仿宋" w:eastAsia="仿宋" w:cs="仿宋"/>
                <w:sz w:val="24"/>
                <w:szCs w:val="24"/>
              </w:rPr>
            </w:pPr>
          </w:p>
          <w:p>
            <w:pPr>
              <w:spacing w:line="360" w:lineRule="exact"/>
              <w:jc w:val="center"/>
              <w:rPr>
                <w:rFonts w:hint="eastAsia" w:ascii="仿宋" w:hAnsi="仿宋" w:eastAsia="仿宋" w:cs="仿宋"/>
                <w:sz w:val="24"/>
                <w:szCs w:val="24"/>
              </w:rPr>
            </w:pPr>
          </w:p>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4</w:t>
            </w:r>
          </w:p>
        </w:tc>
        <w:tc>
          <w:tcPr>
            <w:tcW w:w="921" w:type="dxa"/>
            <w:shd w:val="clear" w:color="auto" w:fill="auto"/>
            <w:vAlign w:val="center"/>
          </w:tcPr>
          <w:p>
            <w:pPr>
              <w:overflowPunct w:val="0"/>
              <w:adjustRightInd w:val="0"/>
              <w:spacing w:line="360" w:lineRule="exact"/>
              <w:jc w:val="left"/>
              <w:rPr>
                <w:rFonts w:hint="eastAsia" w:ascii="仿宋" w:hAnsi="仿宋" w:eastAsia="仿宋" w:cs="仿宋"/>
                <w:sz w:val="24"/>
                <w:szCs w:val="24"/>
              </w:rPr>
            </w:pPr>
          </w:p>
          <w:p>
            <w:pPr>
              <w:overflowPunct w:val="0"/>
              <w:adjustRightInd w:val="0"/>
              <w:spacing w:line="360" w:lineRule="exact"/>
              <w:jc w:val="left"/>
              <w:rPr>
                <w:rFonts w:hint="eastAsia" w:ascii="仿宋" w:hAnsi="仿宋" w:eastAsia="仿宋" w:cs="仿宋"/>
                <w:sz w:val="24"/>
                <w:szCs w:val="24"/>
              </w:rPr>
            </w:pPr>
          </w:p>
          <w:p>
            <w:pPr>
              <w:overflowPunct w:val="0"/>
              <w:adjustRightInd w:val="0"/>
              <w:spacing w:line="360" w:lineRule="exact"/>
              <w:jc w:val="left"/>
              <w:rPr>
                <w:rFonts w:hint="eastAsia" w:ascii="仿宋" w:hAnsi="仿宋" w:eastAsia="仿宋" w:cs="仿宋"/>
                <w:sz w:val="24"/>
                <w:szCs w:val="24"/>
              </w:rPr>
            </w:pPr>
          </w:p>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文献检索与论文写作</w:t>
            </w:r>
          </w:p>
        </w:tc>
        <w:tc>
          <w:tcPr>
            <w:tcW w:w="2985"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3705" w:type="dxa"/>
            <w:vAlign w:val="center"/>
          </w:tcPr>
          <w:p>
            <w:pPr>
              <w:overflowPunct w:val="0"/>
              <w:adjustRightInd w:val="0"/>
              <w:spacing w:line="360" w:lineRule="exact"/>
              <w:jc w:val="left"/>
              <w:rPr>
                <w:rFonts w:hint="eastAsia" w:ascii="仿宋" w:hAnsi="仿宋" w:eastAsia="仿宋" w:cs="仿宋"/>
                <w:sz w:val="24"/>
                <w:szCs w:val="24"/>
              </w:rPr>
            </w:pPr>
            <w:r>
              <w:rPr>
                <w:rFonts w:hint="eastAsia" w:ascii="仿宋" w:hAnsi="仿宋" w:eastAsia="仿宋" w:cs="仿宋"/>
                <w:sz w:val="24"/>
                <w:szCs w:val="24"/>
              </w:rPr>
              <w:t>文献信息基础知识掌握，中国期刊全文数据库，引文检索的特点和要求，科技论文的格式，科技论文的规范表达，综述论文写作要点，科技论文写作要点，本科毕业论文的写作与答辩，本科毕业论文的基本要求，毕业论文的写作规范，毕业论文的答辩。</w:t>
            </w:r>
          </w:p>
        </w:tc>
        <w:tc>
          <w:tcPr>
            <w:tcW w:w="2495"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讲授法系统介绍文献检索的基本原理、方法和技巧，以及论文写作的基本规范和流程。并进行实践操作，通过具体的文献检索和论文写作实践，让学生掌握文献检索工具和数据库的使用方法，以及论文的选题、撰写、修改和投稿等技能。</w:t>
            </w:r>
          </w:p>
        </w:tc>
      </w:tr>
    </w:tbl>
    <w:p>
      <w:pPr>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（三）第二课堂</w:t>
      </w:r>
    </w:p>
    <w:p>
      <w:pPr>
        <w:overflowPunct w:val="0"/>
        <w:adjustRightInd w:val="0"/>
        <w:spacing w:line="520" w:lineRule="exact"/>
        <w:ind w:firstLine="640" w:firstLineChars="200"/>
        <w:outlineLvl w:val="0"/>
        <w:rPr>
          <w:rFonts w:hint="eastAsia" w:ascii="黑体" w:hAnsi="黑体" w:eastAsia="黑体"/>
          <w:sz w:val="32"/>
          <w:szCs w:val="32"/>
        </w:rPr>
      </w:pPr>
      <w:r>
        <w:rPr>
          <w:rFonts w:hint="eastAsia" w:ascii="仿宋_GB2312" w:hAnsi="仿宋" w:eastAsia="仿宋_GB2312" w:cs="仿宋"/>
          <w:sz w:val="32"/>
          <w:szCs w:val="32"/>
        </w:rPr>
        <w:t>第二课堂包括思想成长、社会实践与志愿服务、文艺体育、工作履历、科技学术和创新创业、专业技能特长等其他各类课程及活动。</w:t>
      </w:r>
    </w:p>
    <w:p>
      <w:pPr>
        <w:overflowPunct w:val="0"/>
        <w:adjustRightInd w:val="0"/>
        <w:spacing w:line="520" w:lineRule="exact"/>
        <w:ind w:firstLine="640" w:firstLineChars="200"/>
        <w:outlineLvl w:val="0"/>
        <w:rPr>
          <w:rFonts w:hint="eastAsia" w:ascii="黑体" w:hAnsi="黑体" w:eastAsia="黑体"/>
          <w:sz w:val="32"/>
          <w:szCs w:val="32"/>
        </w:rPr>
      </w:pPr>
      <w:r>
        <w:rPr>
          <w:rFonts w:ascii="黑体" w:hAnsi="黑体" w:eastAsia="黑体"/>
          <w:sz w:val="32"/>
          <w:szCs w:val="32"/>
        </w:rPr>
        <w:t>七、教学进程总体安排</w:t>
      </w:r>
    </w:p>
    <w:p>
      <w:pPr>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（一）教学时间安排</w:t>
      </w:r>
    </w:p>
    <w:p>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本专业总周数为120周。其中，校内教学共76周，校外教学共 31周，复习考试共6周，机动共7周。教学安排可根据具体情况经教务科研处审批后作适当调整。 </w:t>
      </w:r>
    </w:p>
    <w:p>
      <w:pPr>
        <w:spacing w:line="520" w:lineRule="exact"/>
        <w:ind w:firstLine="640" w:firstLineChars="200"/>
        <w:jc w:val="center"/>
        <w:rPr>
          <w:rFonts w:hint="eastAsia" w:ascii="仿宋_GB2312" w:hAnsi="仿宋_GB2312" w:eastAsia="仿宋_GB2312" w:cs="仿宋_GB2312"/>
          <w:sz w:val="32"/>
          <w:szCs w:val="32"/>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 xml:space="preserve">7 </w:t>
      </w:r>
      <w:r>
        <w:rPr>
          <w:rFonts w:hint="eastAsia" w:ascii="仿宋_GB2312" w:hAnsi="仿宋_GB2312" w:eastAsia="仿宋_GB2312" w:cs="仿宋_GB2312"/>
          <w:sz w:val="32"/>
          <w:szCs w:val="32"/>
        </w:rPr>
        <w:t>电子商务专业教学时间安排表</w:t>
      </w:r>
    </w:p>
    <w:tbl>
      <w:tblPr>
        <w:tblStyle w:val="7"/>
        <w:tblW w:w="9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6"/>
        <w:gridCol w:w="1594"/>
        <w:gridCol w:w="1225"/>
        <w:gridCol w:w="1185"/>
        <w:gridCol w:w="1140"/>
        <w:gridCol w:w="112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jc w:val="center"/>
        </w:trPr>
        <w:tc>
          <w:tcPr>
            <w:tcW w:w="3400" w:type="dxa"/>
            <w:gridSpan w:val="2"/>
            <w:noWrap w:val="0"/>
            <w:vAlign w:val="center"/>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4"/>
                <w:szCs w:val="24"/>
                <w:highlight w:val="none"/>
                <w:vertAlign w:val="baseline"/>
                <w:lang w:eastAsia="zh-CN"/>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mc:AlternateContent>
                <mc:Choice Requires="wpsCustomData">
                  <wpsCustomData:diagonalParaType/>
                </mc:Choice>
              </mc:AlternateContent>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学年</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4"/>
                <w:szCs w:val="24"/>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mc:AlternateContent>
                <mc:Choice Requires="wpsCustomData">
                  <wpsCustomData:diagonalParaType/>
                </mc:Choice>
              </mc:AlternateContent>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周数</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both"/>
              <w:textAlignment w:val="auto"/>
              <w:rPr>
                <w:rFonts w:hint="eastAsia" w:ascii="仿宋" w:hAnsi="仿宋" w:eastAsia="仿宋" w:cs="仿宋"/>
                <w:color w:val="auto"/>
                <w:sz w:val="24"/>
                <w:szCs w:val="24"/>
                <w:highlight w:val="none"/>
                <w:vertAlign w:val="baseli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both"/>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内容</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校内</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教学</w:t>
            </w: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校外</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教学</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考试</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机动</w:t>
            </w: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第一学年</w:t>
            </w:r>
          </w:p>
        </w:tc>
        <w:tc>
          <w:tcPr>
            <w:tcW w:w="159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18</w:t>
            </w: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0</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59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18</w:t>
            </w: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0</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第二学年</w:t>
            </w:r>
          </w:p>
        </w:tc>
        <w:tc>
          <w:tcPr>
            <w:tcW w:w="159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3</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18</w:t>
            </w: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0</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59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4</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18</w:t>
            </w: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0</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第三学年</w:t>
            </w:r>
          </w:p>
        </w:tc>
        <w:tc>
          <w:tcPr>
            <w:tcW w:w="159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5</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4</w:t>
            </w: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14</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59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6</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0</w:t>
            </w: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17</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w:t>
            </w: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合计</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120</w:t>
            </w:r>
          </w:p>
        </w:tc>
      </w:tr>
    </w:tbl>
    <w:p>
      <w:pPr>
        <w:spacing w:line="520" w:lineRule="exact"/>
        <w:ind w:firstLine="640" w:firstLineChars="200"/>
        <w:rPr>
          <w:rFonts w:hint="eastAsia" w:ascii="楷体" w:hAnsi="楷体" w:eastAsia="楷体" w:cs="楷体"/>
          <w:sz w:val="32"/>
          <w:szCs w:val="32"/>
        </w:rPr>
      </w:pPr>
    </w:p>
    <w:p>
      <w:pPr>
        <w:spacing w:line="520" w:lineRule="exact"/>
        <w:ind w:firstLine="640" w:firstLineChars="200"/>
        <w:rPr>
          <w:rFonts w:hint="eastAsia" w:ascii="楷体" w:hAnsi="楷体" w:eastAsia="楷体" w:cs="楷体"/>
          <w:bCs/>
          <w:sz w:val="32"/>
          <w:szCs w:val="32"/>
        </w:rPr>
      </w:pPr>
      <w:r>
        <w:rPr>
          <w:rFonts w:hint="eastAsia" w:ascii="楷体" w:hAnsi="楷体" w:eastAsia="楷体" w:cs="楷体"/>
          <w:sz w:val="32"/>
          <w:szCs w:val="32"/>
        </w:rPr>
        <w:t>（二）</w:t>
      </w:r>
      <w:r>
        <w:rPr>
          <w:rFonts w:hint="eastAsia" w:ascii="楷体" w:hAnsi="楷体" w:eastAsia="楷体" w:cs="楷体"/>
          <w:bCs/>
          <w:sz w:val="32"/>
          <w:szCs w:val="32"/>
        </w:rPr>
        <w:t>课程结构与学时、学分分配</w:t>
      </w:r>
    </w:p>
    <w:p>
      <w:pPr>
        <w:spacing w:line="520" w:lineRule="exact"/>
        <w:ind w:firstLine="640" w:firstLineChars="200"/>
        <w:rPr>
          <w:rFonts w:hint="eastAsia" w:ascii="仿宋_GB2312" w:hAnsi="仿宋" w:eastAsia="仿宋_GB2312" w:cs="仿宋_GB2312"/>
          <w:sz w:val="32"/>
          <w:szCs w:val="32"/>
        </w:rPr>
      </w:pPr>
      <w:r>
        <w:rPr>
          <w:rFonts w:hint="eastAsia" w:ascii="仿宋_GB2312" w:hAnsi="仿宋_GB2312" w:eastAsia="仿宋_GB2312" w:cs="仿宋_GB2312"/>
          <w:bCs/>
          <w:sz w:val="32"/>
          <w:szCs w:val="32"/>
        </w:rPr>
        <w:t>本专业教学总学时为</w:t>
      </w:r>
      <w:r>
        <w:rPr>
          <w:rFonts w:hint="eastAsia" w:ascii="仿宋_GB2312" w:hAnsi="仿宋_GB2312" w:eastAsia="仿宋_GB2312" w:cs="仿宋_GB2312"/>
          <w:spacing w:val="-2"/>
          <w:sz w:val="32"/>
          <w:szCs w:val="32"/>
          <w:lang w:val="en-US" w:eastAsia="zh-CN"/>
        </w:rPr>
        <w:t>3062</w:t>
      </w:r>
      <w:r>
        <w:rPr>
          <w:rFonts w:hint="eastAsia" w:ascii="仿宋_GB2312" w:hAnsi="仿宋_GB2312" w:eastAsia="仿宋_GB2312" w:cs="仿宋_GB2312"/>
          <w:bCs/>
          <w:sz w:val="32"/>
          <w:szCs w:val="32"/>
        </w:rPr>
        <w:t>学时。其中理论教学</w:t>
      </w:r>
      <w:r>
        <w:rPr>
          <w:rFonts w:hint="eastAsia" w:ascii="仿宋_GB2312" w:hAnsi="仿宋_GB2312" w:eastAsia="仿宋_GB2312" w:cs="仿宋_GB2312"/>
          <w:spacing w:val="-2"/>
          <w:sz w:val="32"/>
          <w:szCs w:val="32"/>
          <w:lang w:val="en-US" w:eastAsia="zh-CN"/>
        </w:rPr>
        <w:t>1398</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lang w:val="en-US" w:eastAsia="zh-CN"/>
        </w:rPr>
        <w:t>45.66</w:t>
      </w:r>
      <w:r>
        <w:rPr>
          <w:rFonts w:hint="eastAsia" w:ascii="仿宋_GB2312" w:hAnsi="仿宋_GB2312" w:eastAsia="仿宋_GB2312" w:cs="仿宋_GB2312"/>
          <w:bCs/>
          <w:sz w:val="32"/>
          <w:szCs w:val="32"/>
        </w:rPr>
        <w:t xml:space="preserve"> %；实践教学</w:t>
      </w:r>
      <w:r>
        <w:rPr>
          <w:rFonts w:hint="eastAsia" w:ascii="仿宋_GB2312" w:hAnsi="仿宋_GB2312" w:eastAsia="仿宋_GB2312" w:cs="仿宋_GB2312"/>
          <w:spacing w:val="-2"/>
          <w:sz w:val="32"/>
          <w:szCs w:val="32"/>
          <w:lang w:val="en-US" w:eastAsia="zh-CN"/>
        </w:rPr>
        <w:t>1664</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lang w:val="en-US" w:eastAsia="zh-CN"/>
        </w:rPr>
        <w:t>54.34</w:t>
      </w:r>
      <w:r>
        <w:rPr>
          <w:rFonts w:hint="eastAsia" w:ascii="仿宋_GB2312" w:hAnsi="仿宋_GB2312" w:eastAsia="仿宋_GB2312" w:cs="仿宋_GB2312"/>
          <w:bCs/>
          <w:sz w:val="32"/>
          <w:szCs w:val="32"/>
        </w:rPr>
        <w:t xml:space="preserve"> %，其中岗位实习累计时间6个月。公共基础课</w:t>
      </w:r>
      <w:r>
        <w:rPr>
          <w:rFonts w:hint="eastAsia" w:ascii="仿宋_GB2312" w:hAnsi="仿宋_GB2312" w:eastAsia="仿宋_GB2312" w:cs="仿宋_GB2312"/>
          <w:spacing w:val="-2"/>
          <w:sz w:val="32"/>
          <w:szCs w:val="32"/>
          <w:lang w:val="en-US" w:eastAsia="zh-CN"/>
        </w:rPr>
        <w:t>974</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lang w:val="en-US" w:eastAsia="zh-CN"/>
        </w:rPr>
        <w:t>31.9</w:t>
      </w:r>
      <w:r>
        <w:rPr>
          <w:rFonts w:hint="eastAsia" w:ascii="仿宋_GB2312" w:hAnsi="仿宋_GB2312" w:eastAsia="仿宋_GB2312" w:cs="仿宋_GB2312"/>
          <w:bCs/>
          <w:sz w:val="32"/>
          <w:szCs w:val="32"/>
        </w:rPr>
        <w:t xml:space="preserve"> %；选修课</w:t>
      </w:r>
      <w:r>
        <w:rPr>
          <w:rFonts w:hint="eastAsia" w:ascii="仿宋_GB2312" w:hAnsi="仿宋_GB2312" w:eastAsia="仿宋_GB2312" w:cs="仿宋_GB2312"/>
          <w:spacing w:val="-2"/>
          <w:sz w:val="32"/>
          <w:szCs w:val="32"/>
          <w:lang w:val="en-US" w:eastAsia="zh-CN"/>
        </w:rPr>
        <w:t>324</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rPr>
        <w:t>1</w:t>
      </w:r>
      <w:r>
        <w:rPr>
          <w:rFonts w:hint="eastAsia" w:ascii="仿宋_GB2312" w:hAnsi="仿宋_GB2312" w:eastAsia="仿宋_GB2312" w:cs="仿宋_GB2312"/>
          <w:spacing w:val="-2"/>
          <w:sz w:val="32"/>
          <w:szCs w:val="32"/>
          <w:lang w:val="en-US" w:eastAsia="zh-CN"/>
        </w:rPr>
        <w:t>0.6</w:t>
      </w:r>
      <w:r>
        <w:rPr>
          <w:rFonts w:hint="eastAsia" w:ascii="仿宋_GB2312" w:hAnsi="仿宋_GB2312" w:eastAsia="仿宋_GB2312" w:cs="仿宋_GB2312"/>
          <w:bCs/>
          <w:sz w:val="32"/>
          <w:szCs w:val="32"/>
        </w:rPr>
        <w:t xml:space="preserve">%。          </w:t>
      </w:r>
    </w:p>
    <w:p>
      <w:pPr>
        <w:spacing w:line="520" w:lineRule="exact"/>
        <w:jc w:val="center"/>
        <w:rPr>
          <w:rFonts w:hint="eastAsia" w:ascii="仿宋_GB2312" w:hAnsi="仿宋_GB2312" w:eastAsia="仿宋_GB2312" w:cs="仿宋_GB2312"/>
          <w:spacing w:val="-2"/>
          <w:sz w:val="32"/>
          <w:szCs w:val="32"/>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 xml:space="preserve">8 </w:t>
      </w:r>
      <w:r>
        <w:rPr>
          <w:rFonts w:hint="eastAsia" w:ascii="仿宋_GB2312" w:hAnsi="仿宋_GB2312" w:eastAsia="仿宋_GB2312" w:cs="仿宋_GB2312"/>
          <w:bCs/>
          <w:sz w:val="32"/>
          <w:szCs w:val="32"/>
        </w:rPr>
        <w:t>电子商务</w:t>
      </w:r>
      <w:r>
        <w:rPr>
          <w:rFonts w:hint="eastAsia" w:ascii="仿宋_GB2312" w:hAnsi="仿宋_GB2312" w:eastAsia="仿宋_GB2312" w:cs="仿宋_GB2312"/>
          <w:spacing w:val="-2"/>
          <w:sz w:val="32"/>
          <w:szCs w:val="32"/>
        </w:rPr>
        <w:t>专业课程学时、学分分配表</w:t>
      </w:r>
    </w:p>
    <w:p>
      <w:pPr>
        <w:spacing w:line="520" w:lineRule="exact"/>
        <w:jc w:val="center"/>
        <w:rPr>
          <w:rFonts w:hint="eastAsia" w:ascii="仿宋_GB2312" w:hAnsi="仿宋_GB2312" w:eastAsia="仿宋_GB2312" w:cs="仿宋_GB2312"/>
          <w:spacing w:val="-2"/>
          <w:sz w:val="32"/>
          <w:szCs w:val="32"/>
        </w:rPr>
      </w:pPr>
    </w:p>
    <w:p>
      <w:pPr>
        <w:spacing w:line="520" w:lineRule="exact"/>
        <w:jc w:val="center"/>
        <w:rPr>
          <w:rFonts w:hint="eastAsia" w:ascii="仿宋_GB2312" w:hAnsi="仿宋_GB2312" w:eastAsia="仿宋_GB2312" w:cs="仿宋_GB2312"/>
          <w:spacing w:val="-2"/>
          <w:sz w:val="32"/>
          <w:szCs w:val="32"/>
        </w:rPr>
      </w:pPr>
    </w:p>
    <w:p>
      <w:pPr>
        <w:spacing w:line="520" w:lineRule="exact"/>
        <w:jc w:val="center"/>
        <w:rPr>
          <w:rFonts w:hint="eastAsia" w:ascii="仿宋_GB2312" w:hAnsi="仿宋_GB2312" w:eastAsia="仿宋_GB2312" w:cs="仿宋_GB2312"/>
          <w:spacing w:val="-2"/>
          <w:sz w:val="32"/>
          <w:szCs w:val="32"/>
        </w:rPr>
      </w:pPr>
    </w:p>
    <w:tbl>
      <w:tblPr>
        <w:tblStyle w:val="6"/>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35"/>
        <w:gridCol w:w="1080"/>
        <w:gridCol w:w="696"/>
        <w:gridCol w:w="1122"/>
        <w:gridCol w:w="1449"/>
        <w:gridCol w:w="1063"/>
        <w:gridCol w:w="1063"/>
        <w:gridCol w:w="1540"/>
        <w:gridCol w:w="847"/>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jc w:val="center"/>
        </w:trPr>
        <w:tc>
          <w:tcPr>
            <w:tcW w:w="1915" w:type="dxa"/>
            <w:gridSpan w:val="2"/>
            <w:vMerge w:val="restar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课程类别</w:t>
            </w:r>
          </w:p>
        </w:tc>
        <w:tc>
          <w:tcPr>
            <w:tcW w:w="696" w:type="dxa"/>
            <w:vMerge w:val="restar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课程性质</w:t>
            </w:r>
          </w:p>
        </w:tc>
        <w:tc>
          <w:tcPr>
            <w:tcW w:w="1122" w:type="dxa"/>
            <w:vMerge w:val="restar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学分</w:t>
            </w:r>
          </w:p>
        </w:tc>
        <w:tc>
          <w:tcPr>
            <w:tcW w:w="1449" w:type="dxa"/>
            <w:vMerge w:val="restar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占专业总学分比例</w:t>
            </w:r>
          </w:p>
        </w:tc>
        <w:tc>
          <w:tcPr>
            <w:tcW w:w="5843" w:type="dxa"/>
            <w:gridSpan w:val="5"/>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 xml:space="preserve">                         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315" w:hRule="atLeast"/>
          <w:jc w:val="center"/>
        </w:trPr>
        <w:tc>
          <w:tcPr>
            <w:tcW w:w="1915" w:type="dxa"/>
            <w:gridSpan w:val="2"/>
            <w:vMerge w:val="continue"/>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696" w:type="dxa"/>
            <w:vMerge w:val="continue"/>
            <w:shd w:val="clear" w:color="auto" w:fill="auto"/>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1122" w:type="dxa"/>
            <w:vMerge w:val="continue"/>
            <w:shd w:val="clear" w:color="auto" w:fill="auto"/>
            <w:noWrap/>
            <w:vAlign w:val="center"/>
          </w:tcPr>
          <w:p>
            <w:pPr>
              <w:jc w:val="left"/>
              <w:rPr>
                <w:rFonts w:hint="eastAsia" w:asciiTheme="minorEastAsia" w:hAnsiTheme="minorEastAsia" w:eastAsiaTheme="minorEastAsia" w:cstheme="minorEastAsia"/>
                <w:i w:val="0"/>
                <w:iCs w:val="0"/>
                <w:color w:val="000000"/>
                <w:sz w:val="24"/>
                <w:szCs w:val="24"/>
                <w:u w:val="none"/>
              </w:rPr>
            </w:pPr>
          </w:p>
        </w:tc>
        <w:tc>
          <w:tcPr>
            <w:tcW w:w="1449" w:type="dxa"/>
            <w:vMerge w:val="continue"/>
            <w:shd w:val="clear" w:color="auto" w:fill="auto"/>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1063" w:type="dxa"/>
            <w:vMerge w:val="restart"/>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合计</w:t>
            </w:r>
          </w:p>
        </w:tc>
        <w:tc>
          <w:tcPr>
            <w:tcW w:w="2603" w:type="dxa"/>
            <w:gridSpan w:val="2"/>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理论教学</w:t>
            </w:r>
          </w:p>
        </w:tc>
        <w:tc>
          <w:tcPr>
            <w:tcW w:w="2177" w:type="dxa"/>
            <w:gridSpan w:val="2"/>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实践教学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0" w:hRule="atLeast"/>
          <w:jc w:val="center"/>
        </w:trPr>
        <w:tc>
          <w:tcPr>
            <w:tcW w:w="1915" w:type="dxa"/>
            <w:gridSpan w:val="2"/>
            <w:vMerge w:val="continue"/>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696" w:type="dxa"/>
            <w:vMerge w:val="continue"/>
            <w:shd w:val="clear" w:color="auto" w:fill="auto"/>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1122" w:type="dxa"/>
            <w:vMerge w:val="continue"/>
            <w:shd w:val="clear" w:color="auto" w:fill="auto"/>
            <w:noWrap/>
            <w:vAlign w:val="center"/>
          </w:tcPr>
          <w:p>
            <w:pPr>
              <w:jc w:val="left"/>
              <w:rPr>
                <w:rFonts w:hint="eastAsia" w:asciiTheme="minorEastAsia" w:hAnsiTheme="minorEastAsia" w:eastAsiaTheme="minorEastAsia" w:cstheme="minorEastAsia"/>
                <w:i w:val="0"/>
                <w:iCs w:val="0"/>
                <w:color w:val="000000"/>
                <w:sz w:val="24"/>
                <w:szCs w:val="24"/>
                <w:u w:val="none"/>
              </w:rPr>
            </w:pPr>
          </w:p>
        </w:tc>
        <w:tc>
          <w:tcPr>
            <w:tcW w:w="1449" w:type="dxa"/>
            <w:vMerge w:val="continue"/>
            <w:shd w:val="clear" w:color="auto" w:fill="auto"/>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1063" w:type="dxa"/>
            <w:vMerge w:val="continue"/>
            <w:shd w:val="clear" w:color="auto" w:fill="auto"/>
            <w:noWrap/>
            <w:vAlign w:val="center"/>
          </w:tcPr>
          <w:p>
            <w:pPr>
              <w:jc w:val="left"/>
              <w:rPr>
                <w:rFonts w:hint="eastAsia" w:asciiTheme="minorEastAsia" w:hAnsiTheme="minorEastAsia" w:eastAsiaTheme="minorEastAsia" w:cstheme="minorEastAsia"/>
                <w:i w:val="0"/>
                <w:iCs w:val="0"/>
                <w:color w:val="000000"/>
                <w:sz w:val="24"/>
                <w:szCs w:val="24"/>
                <w:u w:val="none"/>
              </w:rPr>
            </w:pPr>
          </w:p>
        </w:tc>
        <w:tc>
          <w:tcPr>
            <w:tcW w:w="1063" w:type="dxa"/>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学时</w:t>
            </w:r>
          </w:p>
        </w:tc>
        <w:tc>
          <w:tcPr>
            <w:tcW w:w="1540" w:type="dxa"/>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占专业总学时比例（%）</w:t>
            </w:r>
          </w:p>
        </w:tc>
        <w:tc>
          <w:tcPr>
            <w:tcW w:w="847" w:type="dxa"/>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学时</w:t>
            </w:r>
          </w:p>
        </w:tc>
        <w:tc>
          <w:tcPr>
            <w:tcW w:w="1330" w:type="dxa"/>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占专业总学时比例（%）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915" w:type="dxa"/>
            <w:gridSpan w:val="2"/>
            <w:vMerge w:val="restar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公共基础课</w:t>
            </w:r>
          </w:p>
        </w:tc>
        <w:tc>
          <w:tcPr>
            <w:tcW w:w="696" w:type="dxa"/>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必修</w:t>
            </w:r>
          </w:p>
        </w:tc>
        <w:tc>
          <w:tcPr>
            <w:tcW w:w="1122"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40</w:t>
            </w:r>
          </w:p>
        </w:tc>
        <w:tc>
          <w:tcPr>
            <w:tcW w:w="1449"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25%</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758</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442</w:t>
            </w:r>
          </w:p>
        </w:tc>
        <w:tc>
          <w:tcPr>
            <w:tcW w:w="154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14%</w:t>
            </w:r>
          </w:p>
        </w:tc>
        <w:tc>
          <w:tcPr>
            <w:tcW w:w="847"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316</w:t>
            </w:r>
          </w:p>
        </w:tc>
        <w:tc>
          <w:tcPr>
            <w:tcW w:w="1330"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915" w:type="dxa"/>
            <w:gridSpan w:val="2"/>
            <w:vMerge w:val="continue"/>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696" w:type="dxa"/>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选修</w:t>
            </w:r>
          </w:p>
        </w:tc>
        <w:tc>
          <w:tcPr>
            <w:tcW w:w="1122"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12</w:t>
            </w:r>
          </w:p>
        </w:tc>
        <w:tc>
          <w:tcPr>
            <w:tcW w:w="1449"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8%</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216</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144</w:t>
            </w:r>
          </w:p>
        </w:tc>
        <w:tc>
          <w:tcPr>
            <w:tcW w:w="154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5%</w:t>
            </w:r>
          </w:p>
        </w:tc>
        <w:tc>
          <w:tcPr>
            <w:tcW w:w="847"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72</w:t>
            </w:r>
          </w:p>
        </w:tc>
        <w:tc>
          <w:tcPr>
            <w:tcW w:w="1330"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300" w:hRule="atLeast"/>
          <w:jc w:val="center"/>
        </w:trPr>
        <w:tc>
          <w:tcPr>
            <w:tcW w:w="1915" w:type="dxa"/>
            <w:gridSpan w:val="2"/>
            <w:vMerge w:val="continue"/>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696" w:type="dxa"/>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小计</w:t>
            </w:r>
          </w:p>
        </w:tc>
        <w:tc>
          <w:tcPr>
            <w:tcW w:w="1122"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52</w:t>
            </w:r>
          </w:p>
        </w:tc>
        <w:tc>
          <w:tcPr>
            <w:tcW w:w="1449"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33%</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974</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586</w:t>
            </w:r>
          </w:p>
        </w:tc>
        <w:tc>
          <w:tcPr>
            <w:tcW w:w="154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19%</w:t>
            </w:r>
          </w:p>
        </w:tc>
        <w:tc>
          <w:tcPr>
            <w:tcW w:w="847"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388</w:t>
            </w:r>
          </w:p>
        </w:tc>
        <w:tc>
          <w:tcPr>
            <w:tcW w:w="1330"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5" w:type="dxa"/>
            <w:vMerge w:val="restar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专业(技能)课</w:t>
            </w:r>
          </w:p>
        </w:tc>
        <w:tc>
          <w:tcPr>
            <w:tcW w:w="1080" w:type="dxa"/>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专业基础课</w:t>
            </w:r>
          </w:p>
        </w:tc>
        <w:tc>
          <w:tcPr>
            <w:tcW w:w="696" w:type="dxa"/>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必修</w:t>
            </w:r>
          </w:p>
        </w:tc>
        <w:tc>
          <w:tcPr>
            <w:tcW w:w="1122"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38</w:t>
            </w:r>
          </w:p>
        </w:tc>
        <w:tc>
          <w:tcPr>
            <w:tcW w:w="1449"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24%</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684</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480</w:t>
            </w:r>
          </w:p>
        </w:tc>
        <w:tc>
          <w:tcPr>
            <w:tcW w:w="154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16%</w:t>
            </w:r>
          </w:p>
        </w:tc>
        <w:tc>
          <w:tcPr>
            <w:tcW w:w="847"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204</w:t>
            </w:r>
          </w:p>
        </w:tc>
        <w:tc>
          <w:tcPr>
            <w:tcW w:w="1330"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585" w:hRule="atLeast"/>
          <w:jc w:val="center"/>
        </w:trPr>
        <w:tc>
          <w:tcPr>
            <w:tcW w:w="835" w:type="dxa"/>
            <w:vMerge w:val="continue"/>
            <w:shd w:val="clear" w:color="auto" w:fill="auto"/>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1080" w:type="dxa"/>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专业核心课</w:t>
            </w:r>
          </w:p>
        </w:tc>
        <w:tc>
          <w:tcPr>
            <w:tcW w:w="696" w:type="dxa"/>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必修</w:t>
            </w:r>
          </w:p>
        </w:tc>
        <w:tc>
          <w:tcPr>
            <w:tcW w:w="1122"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34</w:t>
            </w:r>
          </w:p>
        </w:tc>
        <w:tc>
          <w:tcPr>
            <w:tcW w:w="1449"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21%</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612</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276</w:t>
            </w:r>
          </w:p>
        </w:tc>
        <w:tc>
          <w:tcPr>
            <w:tcW w:w="154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9%</w:t>
            </w:r>
          </w:p>
        </w:tc>
        <w:tc>
          <w:tcPr>
            <w:tcW w:w="847"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336</w:t>
            </w:r>
          </w:p>
        </w:tc>
        <w:tc>
          <w:tcPr>
            <w:tcW w:w="1330"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jc w:val="center"/>
        </w:trPr>
        <w:tc>
          <w:tcPr>
            <w:tcW w:w="835" w:type="dxa"/>
            <w:vMerge w:val="continue"/>
            <w:shd w:val="clear" w:color="auto" w:fill="auto"/>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1080" w:type="dxa"/>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专业实践课程</w:t>
            </w:r>
          </w:p>
        </w:tc>
        <w:tc>
          <w:tcPr>
            <w:tcW w:w="696" w:type="dxa"/>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必修</w:t>
            </w:r>
          </w:p>
        </w:tc>
        <w:tc>
          <w:tcPr>
            <w:tcW w:w="1122"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25</w:t>
            </w:r>
          </w:p>
        </w:tc>
        <w:tc>
          <w:tcPr>
            <w:tcW w:w="1449"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16%</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620</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20</w:t>
            </w:r>
          </w:p>
        </w:tc>
        <w:tc>
          <w:tcPr>
            <w:tcW w:w="154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w:t>
            </w:r>
          </w:p>
        </w:tc>
        <w:tc>
          <w:tcPr>
            <w:tcW w:w="847"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600</w:t>
            </w:r>
          </w:p>
        </w:tc>
        <w:tc>
          <w:tcPr>
            <w:tcW w:w="1330"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35" w:type="dxa"/>
            <w:vMerge w:val="continue"/>
            <w:shd w:val="clear" w:color="auto" w:fill="auto"/>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1080" w:type="dxa"/>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专业拓展课程</w:t>
            </w:r>
          </w:p>
        </w:tc>
        <w:tc>
          <w:tcPr>
            <w:tcW w:w="696" w:type="dxa"/>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选修</w:t>
            </w:r>
          </w:p>
        </w:tc>
        <w:tc>
          <w:tcPr>
            <w:tcW w:w="1122"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w:t>
            </w:r>
          </w:p>
        </w:tc>
        <w:tc>
          <w:tcPr>
            <w:tcW w:w="1449"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4%</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108</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36</w:t>
            </w:r>
          </w:p>
        </w:tc>
        <w:tc>
          <w:tcPr>
            <w:tcW w:w="154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w:t>
            </w:r>
          </w:p>
        </w:tc>
        <w:tc>
          <w:tcPr>
            <w:tcW w:w="847"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72</w:t>
            </w:r>
          </w:p>
        </w:tc>
        <w:tc>
          <w:tcPr>
            <w:tcW w:w="1330"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jc w:val="center"/>
        </w:trPr>
        <w:tc>
          <w:tcPr>
            <w:tcW w:w="835" w:type="dxa"/>
            <w:vMerge w:val="continue"/>
            <w:shd w:val="clear" w:color="auto" w:fill="auto"/>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1776" w:type="dxa"/>
            <w:gridSpan w:val="2"/>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小计</w:t>
            </w:r>
          </w:p>
        </w:tc>
        <w:tc>
          <w:tcPr>
            <w:tcW w:w="1122"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103</w:t>
            </w:r>
          </w:p>
        </w:tc>
        <w:tc>
          <w:tcPr>
            <w:tcW w:w="1449"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65%</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2024</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812</w:t>
            </w:r>
          </w:p>
        </w:tc>
        <w:tc>
          <w:tcPr>
            <w:tcW w:w="154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27%</w:t>
            </w:r>
          </w:p>
        </w:tc>
        <w:tc>
          <w:tcPr>
            <w:tcW w:w="847"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1212</w:t>
            </w:r>
          </w:p>
        </w:tc>
        <w:tc>
          <w:tcPr>
            <w:tcW w:w="1330"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jc w:val="center"/>
        </w:trPr>
        <w:tc>
          <w:tcPr>
            <w:tcW w:w="1915" w:type="dxa"/>
            <w:gridSpan w:val="2"/>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第二课堂</w:t>
            </w:r>
          </w:p>
        </w:tc>
        <w:tc>
          <w:tcPr>
            <w:tcW w:w="696" w:type="dxa"/>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必修</w:t>
            </w:r>
          </w:p>
        </w:tc>
        <w:tc>
          <w:tcPr>
            <w:tcW w:w="1122"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4</w:t>
            </w:r>
          </w:p>
        </w:tc>
        <w:tc>
          <w:tcPr>
            <w:tcW w:w="1449"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64</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0</w:t>
            </w:r>
          </w:p>
        </w:tc>
        <w:tc>
          <w:tcPr>
            <w:tcW w:w="154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0%</w:t>
            </w:r>
          </w:p>
        </w:tc>
        <w:tc>
          <w:tcPr>
            <w:tcW w:w="847"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64</w:t>
            </w:r>
          </w:p>
        </w:tc>
        <w:tc>
          <w:tcPr>
            <w:tcW w:w="1330"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300" w:hRule="atLeast"/>
          <w:jc w:val="center"/>
        </w:trPr>
        <w:tc>
          <w:tcPr>
            <w:tcW w:w="2611" w:type="dxa"/>
            <w:gridSpan w:val="3"/>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合计</w:t>
            </w:r>
          </w:p>
        </w:tc>
        <w:tc>
          <w:tcPr>
            <w:tcW w:w="1122"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159</w:t>
            </w:r>
          </w:p>
        </w:tc>
        <w:tc>
          <w:tcPr>
            <w:tcW w:w="1449"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100%</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3062</w:t>
            </w:r>
          </w:p>
        </w:tc>
        <w:tc>
          <w:tcPr>
            <w:tcW w:w="1063"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1398</w:t>
            </w:r>
          </w:p>
        </w:tc>
        <w:tc>
          <w:tcPr>
            <w:tcW w:w="154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46%</w:t>
            </w:r>
          </w:p>
        </w:tc>
        <w:tc>
          <w:tcPr>
            <w:tcW w:w="847"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1664</w:t>
            </w:r>
          </w:p>
        </w:tc>
        <w:tc>
          <w:tcPr>
            <w:tcW w:w="1330" w:type="dxa"/>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54%</w:t>
            </w:r>
          </w:p>
        </w:tc>
      </w:tr>
    </w:tbl>
    <w:p>
      <w:pPr>
        <w:overflowPunct w:val="0"/>
        <w:adjustRightInd w:val="0"/>
        <w:spacing w:line="520" w:lineRule="exact"/>
        <w:outlineLvl w:val="0"/>
        <w:rPr>
          <w:rFonts w:hint="eastAsia" w:ascii="仿宋_GB2312" w:hAnsi="仿宋_GB2312" w:eastAsia="仿宋_GB2312" w:cs="仿宋_GB2312"/>
          <w:sz w:val="32"/>
          <w:szCs w:val="32"/>
        </w:rPr>
      </w:pPr>
      <w:r>
        <w:rPr>
          <w:rFonts w:hint="eastAsia" w:ascii="楷体" w:hAnsi="楷体" w:eastAsia="楷体" w:cs="楷体"/>
          <w:sz w:val="32"/>
          <w:szCs w:val="32"/>
        </w:rPr>
        <w:t>（三）教学计划进程</w:t>
      </w:r>
    </w:p>
    <w:p>
      <w:pPr>
        <w:pStyle w:val="5"/>
        <w:shd w:val="clear" w:color="auto" w:fill="FFFFFF"/>
        <w:spacing w:beforeAutospacing="0" w:afterAutospacing="0" w:line="520" w:lineRule="exact"/>
        <w:jc w:val="center"/>
        <w:rPr>
          <w:rFonts w:hint="eastAsia" w:ascii="仿宋_GB2312" w:hAnsi="仿宋_GB2312" w:eastAsia="仿宋_GB2312" w:cs="仿宋_GB2312"/>
          <w:sz w:val="32"/>
          <w:szCs w:val="32"/>
          <w:shd w:val="clear" w:color="auto" w:fill="FFFFFF"/>
          <w:lang w:bidi="ar"/>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 xml:space="preserve">9 </w:t>
      </w:r>
      <w:r>
        <w:rPr>
          <w:rFonts w:hint="eastAsia" w:ascii="仿宋_GB2312" w:hAnsi="仿宋_GB2312" w:eastAsia="仿宋_GB2312" w:cs="仿宋_GB2312"/>
          <w:sz w:val="32"/>
          <w:szCs w:val="32"/>
          <w:shd w:val="clear" w:color="auto" w:fill="FFFFFF"/>
          <w:lang w:bidi="ar"/>
        </w:rPr>
        <w:t>电子商务专业教学计划进程安排表</w:t>
      </w:r>
    </w:p>
    <w:tbl>
      <w:tblPr>
        <w:tblStyle w:val="6"/>
        <w:tblW w:w="653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20"/>
        <w:gridCol w:w="598"/>
        <w:gridCol w:w="585"/>
        <w:gridCol w:w="569"/>
        <w:gridCol w:w="1183"/>
        <w:gridCol w:w="1561"/>
        <w:gridCol w:w="765"/>
        <w:gridCol w:w="675"/>
        <w:gridCol w:w="705"/>
        <w:gridCol w:w="582"/>
        <w:gridCol w:w="393"/>
        <w:gridCol w:w="360"/>
        <w:gridCol w:w="330"/>
        <w:gridCol w:w="345"/>
        <w:gridCol w:w="375"/>
        <w:gridCol w:w="435"/>
        <w:gridCol w:w="817"/>
        <w:gridCol w:w="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9" w:hRule="atLeast"/>
          <w:jc w:val="center"/>
        </w:trPr>
        <w:tc>
          <w:tcPr>
            <w:tcW w:w="674" w:type="pct"/>
            <w:gridSpan w:val="3"/>
            <w:vMerge w:val="restart"/>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课程类型</w:t>
            </w:r>
          </w:p>
        </w:tc>
        <w:tc>
          <w:tcPr>
            <w:tcW w:w="255" w:type="pct"/>
            <w:vMerge w:val="restar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序号</w:t>
            </w:r>
          </w:p>
        </w:tc>
        <w:tc>
          <w:tcPr>
            <w:tcW w:w="531" w:type="pct"/>
            <w:vMerge w:val="restar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课程代码</w:t>
            </w:r>
          </w:p>
        </w:tc>
        <w:tc>
          <w:tcPr>
            <w:tcW w:w="700" w:type="pct"/>
            <w:vMerge w:val="restar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课程名称</w:t>
            </w:r>
          </w:p>
        </w:tc>
        <w:tc>
          <w:tcPr>
            <w:tcW w:w="343" w:type="pct"/>
            <w:vMerge w:val="restar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学分</w:t>
            </w:r>
          </w:p>
        </w:tc>
        <w:tc>
          <w:tcPr>
            <w:tcW w:w="880" w:type="pct"/>
            <w:gridSpan w:val="3"/>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教学学时数</w:t>
            </w:r>
          </w:p>
        </w:tc>
        <w:tc>
          <w:tcPr>
            <w:tcW w:w="1004" w:type="pct"/>
            <w:gridSpan w:val="6"/>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开课学期和周学时</w:t>
            </w: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考核类型</w:t>
            </w:r>
          </w:p>
        </w:tc>
        <w:tc>
          <w:tcPr>
            <w:tcW w:w="24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674" w:type="pct"/>
            <w:gridSpan w:val="3"/>
            <w:vMerge w:val="continue"/>
            <w:shd w:val="clear" w:color="auto" w:fill="auto"/>
            <w:vAlign w:val="center"/>
          </w:tcPr>
          <w:p>
            <w:pPr>
              <w:spacing w:line="240" w:lineRule="auto"/>
              <w:jc w:val="left"/>
              <w:rPr>
                <w:rFonts w:hint="eastAsia" w:asciiTheme="minorEastAsia" w:hAnsiTheme="minorEastAsia" w:eastAsiaTheme="minorEastAsia" w:cstheme="minorEastAsia"/>
                <w:b w:val="0"/>
                <w:bCs w:val="0"/>
                <w:i w:val="0"/>
                <w:iCs w:val="0"/>
                <w:color w:val="auto"/>
                <w:sz w:val="24"/>
                <w:szCs w:val="24"/>
                <w:u w:val="none"/>
              </w:rPr>
            </w:pPr>
          </w:p>
        </w:tc>
        <w:tc>
          <w:tcPr>
            <w:tcW w:w="255"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531"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700"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合计</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理论学时</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实践学时</w:t>
            </w:r>
          </w:p>
        </w:tc>
        <w:tc>
          <w:tcPr>
            <w:tcW w:w="17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一</w:t>
            </w:r>
          </w:p>
        </w:tc>
        <w:tc>
          <w:tcPr>
            <w:tcW w:w="1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二</w:t>
            </w:r>
          </w:p>
        </w:tc>
        <w:tc>
          <w:tcPr>
            <w:tcW w:w="148"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三</w:t>
            </w:r>
          </w:p>
        </w:tc>
        <w:tc>
          <w:tcPr>
            <w:tcW w:w="154"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四</w:t>
            </w:r>
          </w:p>
        </w:tc>
        <w:tc>
          <w:tcPr>
            <w:tcW w:w="168"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五</w:t>
            </w:r>
          </w:p>
        </w:tc>
        <w:tc>
          <w:tcPr>
            <w:tcW w:w="19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六</w:t>
            </w:r>
          </w:p>
        </w:tc>
        <w:tc>
          <w:tcPr>
            <w:tcW w:w="366"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42"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4" w:hRule="atLeast"/>
          <w:jc w:val="center"/>
        </w:trPr>
        <w:tc>
          <w:tcPr>
            <w:tcW w:w="412" w:type="pct"/>
            <w:gridSpan w:val="2"/>
            <w:vMerge w:val="restar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公共基础课</w:t>
            </w:r>
          </w:p>
        </w:tc>
        <w:tc>
          <w:tcPr>
            <w:tcW w:w="262" w:type="pct"/>
            <w:vMerge w:val="restar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必修</w:t>
            </w: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10B118820</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毛泽东思想和中国特色社会主义理论体系概论</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32</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28</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176"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154"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考试</w:t>
            </w:r>
          </w:p>
        </w:tc>
        <w:tc>
          <w:tcPr>
            <w:tcW w:w="242"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10B110820</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形势与政策</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32</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32</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0</w:t>
            </w:r>
          </w:p>
        </w:tc>
        <w:tc>
          <w:tcPr>
            <w:tcW w:w="1004" w:type="pct"/>
            <w:gridSpan w:val="6"/>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1到4学期开课，每学期8学时。</w:t>
            </w: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8"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10B110520</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思想道德与法治</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48</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12</w:t>
            </w:r>
          </w:p>
        </w:tc>
        <w:tc>
          <w:tcPr>
            <w:tcW w:w="17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161"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考试</w:t>
            </w:r>
          </w:p>
        </w:tc>
        <w:tc>
          <w:tcPr>
            <w:tcW w:w="242"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4"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10B119720</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习近平新时代中国特色社会主义思想概论</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48</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48</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0</w:t>
            </w:r>
          </w:p>
        </w:tc>
        <w:tc>
          <w:tcPr>
            <w:tcW w:w="176"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16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考试</w:t>
            </w:r>
          </w:p>
        </w:tc>
        <w:tc>
          <w:tcPr>
            <w:tcW w:w="242"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10B111320</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大学体育</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108</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12</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96</w:t>
            </w:r>
          </w:p>
        </w:tc>
        <w:tc>
          <w:tcPr>
            <w:tcW w:w="17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1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148"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154"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10B111221</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军事理论</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0</w:t>
            </w:r>
          </w:p>
        </w:tc>
        <w:tc>
          <w:tcPr>
            <w:tcW w:w="17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161"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10B111222</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军事技能</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112</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0</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112</w:t>
            </w:r>
          </w:p>
        </w:tc>
        <w:tc>
          <w:tcPr>
            <w:tcW w:w="1004" w:type="pct"/>
            <w:gridSpan w:val="6"/>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第1学期，实际训练时间不少于14天</w:t>
            </w: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8</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10A119820</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大学生心理健康教育</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32</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20</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12</w:t>
            </w:r>
          </w:p>
        </w:tc>
        <w:tc>
          <w:tcPr>
            <w:tcW w:w="176"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14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9</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10A110120</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大学英语</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8</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128</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104</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24</w:t>
            </w:r>
          </w:p>
        </w:tc>
        <w:tc>
          <w:tcPr>
            <w:tcW w:w="17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1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14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考试</w:t>
            </w:r>
          </w:p>
        </w:tc>
        <w:tc>
          <w:tcPr>
            <w:tcW w:w="242"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10C111720</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计算机基础</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64</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32</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32</w:t>
            </w:r>
          </w:p>
        </w:tc>
        <w:tc>
          <w:tcPr>
            <w:tcW w:w="17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161"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top"/>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11</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10B111220</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大学生职业发展与就业指导</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38</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26</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12</w:t>
            </w:r>
          </w:p>
        </w:tc>
        <w:tc>
          <w:tcPr>
            <w:tcW w:w="17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161"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154"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top"/>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12</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10C119700</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劳动教育</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16</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12</w:t>
            </w:r>
          </w:p>
        </w:tc>
        <w:tc>
          <w:tcPr>
            <w:tcW w:w="176"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154"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13</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0"/>
                <w:rFonts w:hint="eastAsia" w:asciiTheme="minorEastAsia" w:hAnsiTheme="minorEastAsia" w:eastAsiaTheme="minorEastAsia" w:cstheme="minorEastAsia"/>
                <w:b w:val="0"/>
                <w:bCs w:val="0"/>
                <w:color w:val="auto"/>
                <w:sz w:val="24"/>
                <w:szCs w:val="24"/>
                <w:lang w:val="en-US" w:eastAsia="zh-CN" w:bidi="ar"/>
              </w:rPr>
              <w:t>10A111820</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高等数学</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64</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64</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0</w:t>
            </w:r>
          </w:p>
        </w:tc>
        <w:tc>
          <w:tcPr>
            <w:tcW w:w="176" w:type="pct"/>
            <w:shd w:val="clear" w:color="auto" w:fill="auto"/>
            <w:noWrap/>
            <w:vAlign w:val="center"/>
          </w:tcPr>
          <w:p>
            <w:pPr>
              <w:keepNext w:val="0"/>
              <w:keepLines w:val="0"/>
              <w:widowControl/>
              <w:suppressLineNumbers w:val="0"/>
              <w:spacing w:line="240" w:lineRule="auto"/>
              <w:jc w:val="right"/>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161" w:type="pct"/>
            <w:shd w:val="clear" w:color="auto" w:fill="auto"/>
            <w:noWrap/>
            <w:vAlign w:val="center"/>
          </w:tcPr>
          <w:p>
            <w:pPr>
              <w:keepNext w:val="0"/>
              <w:keepLines w:val="0"/>
              <w:widowControl/>
              <w:suppressLineNumbers w:val="0"/>
              <w:spacing w:line="240" w:lineRule="auto"/>
              <w:jc w:val="right"/>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148" w:type="pct"/>
            <w:shd w:val="clear" w:color="auto" w:fill="auto"/>
            <w:noWrap/>
            <w:vAlign w:val="center"/>
          </w:tcPr>
          <w:p>
            <w:pPr>
              <w:spacing w:line="240" w:lineRule="auto"/>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spacing w:line="240" w:lineRule="auto"/>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spacing w:line="240" w:lineRule="auto"/>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spacing w:line="240" w:lineRule="auto"/>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考试</w:t>
            </w:r>
          </w:p>
        </w:tc>
        <w:tc>
          <w:tcPr>
            <w:tcW w:w="242" w:type="pct"/>
            <w:shd w:val="clear" w:color="auto" w:fill="auto"/>
            <w:noWrap/>
            <w:vAlign w:val="center"/>
          </w:tcPr>
          <w:p>
            <w:pPr>
              <w:spacing w:line="240" w:lineRule="auto"/>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412" w:type="pct"/>
            <w:gridSpan w:val="2"/>
            <w:vMerge w:val="continue"/>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p>
        </w:tc>
        <w:tc>
          <w:tcPr>
            <w:tcW w:w="262" w:type="pct"/>
            <w:vMerge w:val="restar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选修</w:t>
            </w: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20D0005</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大学生礼仪修养</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18</w:t>
            </w:r>
          </w:p>
        </w:tc>
        <w:tc>
          <w:tcPr>
            <w:tcW w:w="1004" w:type="pct"/>
            <w:gridSpan w:val="6"/>
            <w:vMerge w:val="restar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公共选修课最低学分要求为12学分，其中要求3个学分为思政选修课学分,3个学分为国家安全教育课学分。</w:t>
            </w: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20D0006</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中国民俗剪纸技法</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18</w:t>
            </w:r>
          </w:p>
        </w:tc>
        <w:tc>
          <w:tcPr>
            <w:tcW w:w="1004" w:type="pct"/>
            <w:gridSpan w:val="6"/>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20D0007</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影视与鉴赏</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18</w:t>
            </w:r>
          </w:p>
        </w:tc>
        <w:tc>
          <w:tcPr>
            <w:tcW w:w="1004" w:type="pct"/>
            <w:gridSpan w:val="6"/>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20D0003</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人际交流与沟通</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18</w:t>
            </w:r>
          </w:p>
        </w:tc>
        <w:tc>
          <w:tcPr>
            <w:tcW w:w="1004" w:type="pct"/>
            <w:gridSpan w:val="6"/>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20D0002</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演讲与口才</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18</w:t>
            </w:r>
          </w:p>
        </w:tc>
        <w:tc>
          <w:tcPr>
            <w:tcW w:w="1004" w:type="pct"/>
            <w:gridSpan w:val="6"/>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20D0008</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创新创业教育</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18</w:t>
            </w:r>
          </w:p>
        </w:tc>
        <w:tc>
          <w:tcPr>
            <w:tcW w:w="1004" w:type="pct"/>
            <w:gridSpan w:val="6"/>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top"/>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10B119920</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中国共产党简史（限选）</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18</w:t>
            </w:r>
          </w:p>
        </w:tc>
        <w:tc>
          <w:tcPr>
            <w:tcW w:w="1004" w:type="pct"/>
            <w:gridSpan w:val="6"/>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top"/>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8</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20D9901</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改革开放简史（限选）</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18</w:t>
            </w:r>
          </w:p>
        </w:tc>
        <w:tc>
          <w:tcPr>
            <w:tcW w:w="1004" w:type="pct"/>
            <w:gridSpan w:val="6"/>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top"/>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9</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20D9902</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中华人民共和国简史（限选）</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18</w:t>
            </w:r>
          </w:p>
        </w:tc>
        <w:tc>
          <w:tcPr>
            <w:tcW w:w="1004" w:type="pct"/>
            <w:gridSpan w:val="6"/>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top"/>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20D9903</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社会主义发展简史（限选）</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18</w:t>
            </w:r>
          </w:p>
        </w:tc>
        <w:tc>
          <w:tcPr>
            <w:tcW w:w="1004" w:type="pct"/>
            <w:gridSpan w:val="6"/>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top"/>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12" w:type="pct"/>
            <w:gridSpan w:val="2"/>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11</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20D9904</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国家安全教育（限选）</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18</w:t>
            </w:r>
          </w:p>
        </w:tc>
        <w:tc>
          <w:tcPr>
            <w:tcW w:w="1004" w:type="pct"/>
            <w:gridSpan w:val="6"/>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vAlign w:val="top"/>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12" w:type="pct"/>
            <w:gridSpan w:val="2"/>
            <w:vMerge w:val="continue"/>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p>
        </w:tc>
        <w:tc>
          <w:tcPr>
            <w:tcW w:w="1749" w:type="pct"/>
            <w:gridSpan w:val="4"/>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公共必修课程学分、学时小计</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40</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758</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442</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316</w:t>
            </w:r>
          </w:p>
        </w:tc>
        <w:tc>
          <w:tcPr>
            <w:tcW w:w="176"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42"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412" w:type="pct"/>
            <w:gridSpan w:val="2"/>
            <w:vMerge w:val="continue"/>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p>
        </w:tc>
        <w:tc>
          <w:tcPr>
            <w:tcW w:w="1749" w:type="pct"/>
            <w:gridSpan w:val="4"/>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公共必修课程学分、学时占比</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25.16%</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24.76%</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14.44%</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10.32%</w:t>
            </w:r>
          </w:p>
        </w:tc>
        <w:tc>
          <w:tcPr>
            <w:tcW w:w="176"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42"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12" w:type="pct"/>
            <w:gridSpan w:val="2"/>
            <w:vMerge w:val="continue"/>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p>
        </w:tc>
        <w:tc>
          <w:tcPr>
            <w:tcW w:w="1749" w:type="pct"/>
            <w:gridSpan w:val="4"/>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公共选修课程学分、学时小计</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12</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216</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144</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176"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42"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412" w:type="pct"/>
            <w:gridSpan w:val="2"/>
            <w:vMerge w:val="continue"/>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p>
        </w:tc>
        <w:tc>
          <w:tcPr>
            <w:tcW w:w="1749" w:type="pct"/>
            <w:gridSpan w:val="4"/>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公共选修课程学分、学时占比</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7.55%</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7.05%</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4.70%</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2.35%</w:t>
            </w:r>
          </w:p>
        </w:tc>
        <w:tc>
          <w:tcPr>
            <w:tcW w:w="176"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42"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143" w:type="pct"/>
            <w:vMerge w:val="restar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专业课</w:t>
            </w:r>
          </w:p>
        </w:tc>
        <w:tc>
          <w:tcPr>
            <w:tcW w:w="268" w:type="pct"/>
            <w:vMerge w:val="restart"/>
            <w:shd w:val="clear" w:color="auto" w:fill="auto"/>
            <w:noWrap/>
            <w:vAlign w:val="center"/>
          </w:tcPr>
          <w:p>
            <w:pPr>
              <w:keepNext w:val="0"/>
              <w:keepLines w:val="0"/>
              <w:widowControl/>
              <w:suppressLineNumbers w:val="0"/>
              <w:spacing w:line="240" w:lineRule="auto"/>
              <w:jc w:val="center"/>
              <w:textAlignment w:val="center"/>
              <w:rPr>
                <w:rStyle w:val="11"/>
                <w:rFonts w:hint="eastAsia" w:asciiTheme="minorEastAsia" w:hAnsiTheme="minorEastAsia" w:eastAsiaTheme="minorEastAsia" w:cstheme="minorEastAsia"/>
                <w:b w:val="0"/>
                <w:bCs w:val="0"/>
                <w:color w:val="auto"/>
                <w:sz w:val="24"/>
                <w:szCs w:val="24"/>
                <w:lang w:val="en-US" w:eastAsia="zh-CN" w:bidi="ar"/>
              </w:rPr>
            </w:pPr>
            <w:r>
              <w:rPr>
                <w:rStyle w:val="11"/>
                <w:rFonts w:hint="eastAsia" w:asciiTheme="minorEastAsia" w:hAnsiTheme="minorEastAsia" w:eastAsiaTheme="minorEastAsia" w:cstheme="minorEastAsia"/>
                <w:b w:val="0"/>
                <w:bCs w:val="0"/>
                <w:color w:val="auto"/>
                <w:sz w:val="24"/>
                <w:szCs w:val="24"/>
                <w:lang w:val="en-US" w:eastAsia="zh-CN" w:bidi="ar"/>
              </w:rPr>
              <w:t>专业基础课</w:t>
            </w:r>
          </w:p>
        </w:tc>
        <w:tc>
          <w:tcPr>
            <w:tcW w:w="262" w:type="pct"/>
            <w:vMerge w:val="restar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1"/>
                <w:rFonts w:hint="eastAsia" w:asciiTheme="minorEastAsia" w:hAnsiTheme="minorEastAsia" w:eastAsiaTheme="minorEastAsia" w:cstheme="minorEastAsia"/>
                <w:b w:val="0"/>
                <w:bCs w:val="0"/>
                <w:color w:val="auto"/>
                <w:sz w:val="24"/>
                <w:szCs w:val="24"/>
                <w:lang w:val="en-US" w:eastAsia="zh-CN" w:bidi="ar"/>
              </w:rPr>
              <w:t>选修</w:t>
            </w: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02300B2235</w:t>
            </w:r>
          </w:p>
        </w:tc>
        <w:tc>
          <w:tcPr>
            <w:tcW w:w="700" w:type="pct"/>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商务沟通技巧</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24</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48</w:t>
            </w:r>
          </w:p>
        </w:tc>
        <w:tc>
          <w:tcPr>
            <w:tcW w:w="176"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61"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考查</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10000A2231</w:t>
            </w:r>
          </w:p>
        </w:tc>
        <w:tc>
          <w:tcPr>
            <w:tcW w:w="700" w:type="pct"/>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管理学</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0</w:t>
            </w:r>
          </w:p>
        </w:tc>
        <w:tc>
          <w:tcPr>
            <w:tcW w:w="176"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61"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考试</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10000A2232</w:t>
            </w:r>
          </w:p>
        </w:tc>
        <w:tc>
          <w:tcPr>
            <w:tcW w:w="700" w:type="pct"/>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会计学原理</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0</w:t>
            </w:r>
          </w:p>
        </w:tc>
        <w:tc>
          <w:tcPr>
            <w:tcW w:w="176"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61"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考试</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02300A2240</w:t>
            </w:r>
          </w:p>
        </w:tc>
        <w:tc>
          <w:tcPr>
            <w:tcW w:w="700" w:type="pct"/>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电子商务</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0</w:t>
            </w:r>
          </w:p>
        </w:tc>
        <w:tc>
          <w:tcPr>
            <w:tcW w:w="176"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4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考试</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02300A2254</w:t>
            </w:r>
          </w:p>
        </w:tc>
        <w:tc>
          <w:tcPr>
            <w:tcW w:w="700" w:type="pct"/>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网络消费者行为</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0</w:t>
            </w:r>
          </w:p>
        </w:tc>
        <w:tc>
          <w:tcPr>
            <w:tcW w:w="176"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4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考试</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02307B2230</w:t>
            </w:r>
          </w:p>
        </w:tc>
        <w:tc>
          <w:tcPr>
            <w:tcW w:w="700" w:type="pct"/>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商品摄影</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12</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24</w:t>
            </w:r>
          </w:p>
        </w:tc>
        <w:tc>
          <w:tcPr>
            <w:tcW w:w="176"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w:t>
            </w:r>
          </w:p>
        </w:tc>
        <w:tc>
          <w:tcPr>
            <w:tcW w:w="14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考查</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02307B2232</w:t>
            </w:r>
          </w:p>
        </w:tc>
        <w:tc>
          <w:tcPr>
            <w:tcW w:w="700" w:type="pct"/>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呼叫中心与客户服务</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48</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24</w:t>
            </w:r>
          </w:p>
        </w:tc>
        <w:tc>
          <w:tcPr>
            <w:tcW w:w="176"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54"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考试</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8</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02307B2231</w:t>
            </w:r>
          </w:p>
        </w:tc>
        <w:tc>
          <w:tcPr>
            <w:tcW w:w="700" w:type="pct"/>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进出口贸易实务</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60</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12</w:t>
            </w:r>
          </w:p>
        </w:tc>
        <w:tc>
          <w:tcPr>
            <w:tcW w:w="176"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54"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考试</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9</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02300B2255</w:t>
            </w:r>
          </w:p>
        </w:tc>
        <w:tc>
          <w:tcPr>
            <w:tcW w:w="700" w:type="pct"/>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网络广告与制作</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24</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48</w:t>
            </w:r>
          </w:p>
        </w:tc>
        <w:tc>
          <w:tcPr>
            <w:tcW w:w="176"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54"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考查</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lang w:val="en-US"/>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02307B2235</w:t>
            </w:r>
          </w:p>
        </w:tc>
        <w:tc>
          <w:tcPr>
            <w:tcW w:w="700" w:type="pct"/>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快递业务操作与管理</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24</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48</w:t>
            </w:r>
          </w:p>
        </w:tc>
        <w:tc>
          <w:tcPr>
            <w:tcW w:w="176"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考查</w:t>
            </w:r>
          </w:p>
        </w:tc>
        <w:tc>
          <w:tcPr>
            <w:tcW w:w="242" w:type="pct"/>
            <w:shd w:val="clear" w:color="auto" w:fill="auto"/>
            <w:noWrap/>
            <w:vAlign w:val="center"/>
          </w:tcPr>
          <w:p>
            <w:pPr>
              <w:spacing w:line="240" w:lineRule="auto"/>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restar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专业核心课</w:t>
            </w:r>
          </w:p>
        </w:tc>
        <w:tc>
          <w:tcPr>
            <w:tcW w:w="262" w:type="pct"/>
            <w:vMerge w:val="restar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sz w:val="24"/>
                <w:szCs w:val="24"/>
                <w:u w:val="none"/>
                <w:lang w:val="en-US" w:eastAsia="zh-CN"/>
              </w:rPr>
              <w:t>必修</w:t>
            </w: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02307B2322</w:t>
            </w:r>
          </w:p>
        </w:tc>
        <w:tc>
          <w:tcPr>
            <w:tcW w:w="700" w:type="pct"/>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网页制作</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108</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176"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6</w:t>
            </w:r>
          </w:p>
        </w:tc>
        <w:tc>
          <w:tcPr>
            <w:tcW w:w="14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考查</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02307B2323</w:t>
            </w:r>
          </w:p>
        </w:tc>
        <w:tc>
          <w:tcPr>
            <w:tcW w:w="700" w:type="pct"/>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网络营销</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60</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12</w:t>
            </w:r>
          </w:p>
        </w:tc>
        <w:tc>
          <w:tcPr>
            <w:tcW w:w="176"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54"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考试</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02307B2324</w:t>
            </w:r>
          </w:p>
        </w:tc>
        <w:tc>
          <w:tcPr>
            <w:tcW w:w="700" w:type="pct"/>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网店建设与运营</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24</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48</w:t>
            </w:r>
          </w:p>
        </w:tc>
        <w:tc>
          <w:tcPr>
            <w:tcW w:w="176"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54"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考查</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02307B2325</w:t>
            </w:r>
          </w:p>
        </w:tc>
        <w:tc>
          <w:tcPr>
            <w:tcW w:w="700" w:type="pct"/>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跨境电商</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60</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12</w:t>
            </w:r>
          </w:p>
        </w:tc>
        <w:tc>
          <w:tcPr>
            <w:tcW w:w="176"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考试</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02307B2328</w:t>
            </w:r>
          </w:p>
        </w:tc>
        <w:tc>
          <w:tcPr>
            <w:tcW w:w="700" w:type="pct"/>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新媒体营销实务</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24</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48</w:t>
            </w:r>
          </w:p>
        </w:tc>
        <w:tc>
          <w:tcPr>
            <w:tcW w:w="176"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考查</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02307B2327</w:t>
            </w:r>
          </w:p>
        </w:tc>
        <w:tc>
          <w:tcPr>
            <w:tcW w:w="700" w:type="pct"/>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电子商务案例分析</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24</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48</w:t>
            </w:r>
          </w:p>
        </w:tc>
        <w:tc>
          <w:tcPr>
            <w:tcW w:w="176"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考查</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w:t>
            </w:r>
          </w:p>
        </w:tc>
        <w:tc>
          <w:tcPr>
            <w:tcW w:w="531" w:type="pct"/>
            <w:shd w:val="clear" w:color="auto" w:fill="auto"/>
            <w:noWrap/>
            <w:vAlign w:val="center"/>
          </w:tcPr>
          <w:p>
            <w:pPr>
              <w:keepNext w:val="0"/>
              <w:keepLines w:val="0"/>
              <w:widowControl/>
              <w:suppressLineNumbers w:val="0"/>
              <w:spacing w:line="240" w:lineRule="auto"/>
              <w:jc w:val="center"/>
              <w:textAlignment w:val="center"/>
              <w:rPr>
                <w:rStyle w:val="12"/>
                <w:rFonts w:hint="eastAsia" w:asciiTheme="minorEastAsia" w:hAnsiTheme="minorEastAsia" w:eastAsiaTheme="minorEastAsia" w:cstheme="minorEastAsia"/>
                <w:b w:val="0"/>
                <w:bCs w:val="0"/>
                <w:color w:val="auto"/>
                <w:sz w:val="24"/>
                <w:szCs w:val="24"/>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02300B2256</w:t>
            </w:r>
          </w:p>
        </w:tc>
        <w:tc>
          <w:tcPr>
            <w:tcW w:w="700" w:type="pct"/>
            <w:shd w:val="clear" w:color="auto" w:fill="auto"/>
            <w:vAlign w:val="center"/>
          </w:tcPr>
          <w:p>
            <w:pPr>
              <w:keepNext w:val="0"/>
              <w:keepLines w:val="0"/>
              <w:widowControl/>
              <w:suppressLineNumbers w:val="0"/>
              <w:spacing w:line="240" w:lineRule="auto"/>
              <w:jc w:val="left"/>
              <w:textAlignment w:val="center"/>
              <w:rPr>
                <w:rStyle w:val="12"/>
                <w:rFonts w:hint="eastAsia" w:asciiTheme="minorEastAsia" w:hAnsiTheme="minorEastAsia" w:eastAsiaTheme="minorEastAsia" w:cstheme="minorEastAsia"/>
                <w:b w:val="0"/>
                <w:bCs w:val="0"/>
                <w:color w:val="auto"/>
                <w:sz w:val="24"/>
                <w:szCs w:val="24"/>
                <w:lang w:val="en-US" w:eastAsia="zh-CN" w:bidi="ar"/>
              </w:rPr>
            </w:pPr>
            <w:r>
              <w:rPr>
                <w:rStyle w:val="12"/>
                <w:rFonts w:hint="eastAsia" w:asciiTheme="minorEastAsia" w:hAnsiTheme="minorEastAsia" w:eastAsiaTheme="minorEastAsia" w:cstheme="minorEastAsia"/>
                <w:b w:val="0"/>
                <w:bCs w:val="0"/>
                <w:color w:val="auto"/>
                <w:sz w:val="24"/>
                <w:szCs w:val="24"/>
                <w:lang w:val="en-US" w:eastAsia="zh-CN" w:bidi="ar"/>
              </w:rPr>
              <w:t>商务图形图像处理</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24</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48</w:t>
            </w:r>
          </w:p>
        </w:tc>
        <w:tc>
          <w:tcPr>
            <w:tcW w:w="176"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4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Style w:val="13"/>
                <w:rFonts w:hint="eastAsia" w:asciiTheme="minorEastAsia" w:hAnsiTheme="minorEastAsia" w:eastAsiaTheme="minorEastAsia" w:cstheme="minorEastAsia"/>
                <w:sz w:val="24"/>
                <w:szCs w:val="24"/>
                <w:lang w:val="en-US" w:eastAsia="zh-CN" w:bidi="ar"/>
              </w:rPr>
            </w:pPr>
            <w:r>
              <w:rPr>
                <w:rStyle w:val="13"/>
                <w:rFonts w:hint="eastAsia" w:asciiTheme="minorEastAsia" w:hAnsiTheme="minorEastAsia" w:eastAsiaTheme="minorEastAsia" w:cstheme="minorEastAsia"/>
                <w:sz w:val="24"/>
                <w:szCs w:val="24"/>
                <w:lang w:val="en-US" w:eastAsia="zh-CN" w:bidi="ar"/>
              </w:rPr>
              <w:t>考查</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8</w:t>
            </w:r>
          </w:p>
        </w:tc>
        <w:tc>
          <w:tcPr>
            <w:tcW w:w="531" w:type="pct"/>
            <w:shd w:val="clear" w:color="auto" w:fill="auto"/>
            <w:noWrap/>
            <w:vAlign w:val="center"/>
          </w:tcPr>
          <w:p>
            <w:pPr>
              <w:keepNext w:val="0"/>
              <w:keepLines w:val="0"/>
              <w:widowControl/>
              <w:suppressLineNumbers w:val="0"/>
              <w:spacing w:line="240" w:lineRule="auto"/>
              <w:jc w:val="center"/>
              <w:textAlignment w:val="center"/>
              <w:rPr>
                <w:rStyle w:val="12"/>
                <w:rFonts w:hint="eastAsia" w:asciiTheme="minorEastAsia" w:hAnsiTheme="minorEastAsia" w:eastAsiaTheme="minorEastAsia" w:cstheme="minorEastAsia"/>
                <w:b w:val="0"/>
                <w:bCs w:val="0"/>
                <w:color w:val="auto"/>
                <w:sz w:val="24"/>
                <w:szCs w:val="24"/>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02300B2255</w:t>
            </w:r>
          </w:p>
        </w:tc>
        <w:tc>
          <w:tcPr>
            <w:tcW w:w="700" w:type="pct"/>
            <w:shd w:val="clear" w:color="auto" w:fill="auto"/>
            <w:vAlign w:val="center"/>
          </w:tcPr>
          <w:p>
            <w:pPr>
              <w:keepNext w:val="0"/>
              <w:keepLines w:val="0"/>
              <w:widowControl/>
              <w:suppressLineNumbers w:val="0"/>
              <w:spacing w:line="240" w:lineRule="auto"/>
              <w:jc w:val="left"/>
              <w:textAlignment w:val="center"/>
              <w:rPr>
                <w:rStyle w:val="12"/>
                <w:rFonts w:hint="eastAsia" w:asciiTheme="minorEastAsia" w:hAnsiTheme="minorEastAsia" w:eastAsiaTheme="minorEastAsia" w:cstheme="minorEastAsia"/>
                <w:b w:val="0"/>
                <w:bCs w:val="0"/>
                <w:color w:val="auto"/>
                <w:sz w:val="24"/>
                <w:szCs w:val="24"/>
                <w:lang w:val="en-US" w:eastAsia="zh-CN" w:bidi="ar"/>
              </w:rPr>
            </w:pPr>
            <w:r>
              <w:rPr>
                <w:rStyle w:val="12"/>
                <w:rFonts w:hint="eastAsia" w:asciiTheme="minorEastAsia" w:hAnsiTheme="minorEastAsia" w:eastAsiaTheme="minorEastAsia" w:cstheme="minorEastAsia"/>
                <w:b w:val="0"/>
                <w:bCs w:val="0"/>
                <w:color w:val="auto"/>
                <w:sz w:val="24"/>
                <w:szCs w:val="24"/>
                <w:lang w:val="en-US" w:eastAsia="zh-CN" w:bidi="ar"/>
              </w:rPr>
              <w:t>网络广告与制作</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24</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48</w:t>
            </w:r>
          </w:p>
        </w:tc>
        <w:tc>
          <w:tcPr>
            <w:tcW w:w="176"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54" w:type="pct"/>
            <w:shd w:val="clear" w:color="auto" w:fill="auto"/>
            <w:noWrap/>
            <w:vAlign w:val="center"/>
          </w:tcPr>
          <w:p>
            <w:pPr>
              <w:jc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jc w:val="center"/>
              <w:textAlignment w:val="center"/>
              <w:rPr>
                <w:rStyle w:val="13"/>
                <w:rFonts w:hint="eastAsia" w:asciiTheme="minorEastAsia" w:hAnsiTheme="minorEastAsia" w:eastAsiaTheme="minorEastAsia" w:cstheme="minorEastAsia"/>
                <w:sz w:val="24"/>
                <w:szCs w:val="24"/>
                <w:lang w:val="en-US" w:eastAsia="zh-CN" w:bidi="ar"/>
              </w:rPr>
            </w:pPr>
            <w:r>
              <w:rPr>
                <w:rStyle w:val="13"/>
                <w:rFonts w:hint="eastAsia" w:asciiTheme="minorEastAsia" w:hAnsiTheme="minorEastAsia" w:eastAsiaTheme="minorEastAsia" w:cstheme="minorEastAsia"/>
                <w:sz w:val="24"/>
                <w:szCs w:val="24"/>
                <w:lang w:val="en-US" w:eastAsia="zh-CN" w:bidi="ar"/>
              </w:rPr>
              <w:t>考查</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restar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专业实践教学环节</w:t>
            </w:r>
          </w:p>
        </w:tc>
        <w:tc>
          <w:tcPr>
            <w:tcW w:w="262" w:type="pct"/>
            <w:vMerge w:val="restar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lang w:val="en-US" w:eastAsia="zh-CN"/>
              </w:rPr>
            </w:pPr>
            <w:r>
              <w:rPr>
                <w:rFonts w:hint="eastAsia" w:asciiTheme="minorEastAsia" w:hAnsiTheme="minorEastAsia" w:eastAsiaTheme="minorEastAsia" w:cstheme="minorEastAsia"/>
                <w:b w:val="0"/>
                <w:bCs w:val="0"/>
                <w:i w:val="0"/>
                <w:iCs w:val="0"/>
                <w:color w:val="auto"/>
                <w:sz w:val="24"/>
                <w:szCs w:val="24"/>
                <w:u w:val="none"/>
                <w:lang w:val="en-US" w:eastAsia="zh-CN"/>
              </w:rPr>
              <w:t>必修</w:t>
            </w: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10B110020</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毕业设计</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80</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20</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60</w:t>
            </w:r>
          </w:p>
        </w:tc>
        <w:tc>
          <w:tcPr>
            <w:tcW w:w="176" w:type="pct"/>
            <w:shd w:val="clear" w:color="auto" w:fill="auto"/>
            <w:vAlign w:val="center"/>
          </w:tcPr>
          <w:p>
            <w:pPr>
              <w:jc w:val="both"/>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vAlign w:val="center"/>
          </w:tcPr>
          <w:p>
            <w:pPr>
              <w:jc w:val="both"/>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jc w:val="both"/>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jc w:val="both"/>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vAlign w:val="center"/>
          </w:tcPr>
          <w:p>
            <w:pPr>
              <w:keepNext w:val="0"/>
              <w:keepLines w:val="0"/>
              <w:widowControl/>
              <w:suppressLineNumbers w:val="0"/>
              <w:jc w:val="both"/>
              <w:textAlignment w:val="center"/>
              <w:rPr>
                <w:rFonts w:hint="eastAsia" w:asciiTheme="minorEastAsia" w:hAnsiTheme="minorEastAsia" w:eastAsiaTheme="minorEastAsia" w:cstheme="minorEastAsia"/>
                <w:b w:val="0"/>
                <w:bCs w:val="0"/>
                <w:i w:val="0"/>
                <w:iCs w:val="0"/>
                <w:color w:val="auto"/>
                <w:sz w:val="24"/>
                <w:szCs w:val="24"/>
                <w:u w:val="none"/>
                <w:lang w:val="en-US" w:eastAsia="zh-CN"/>
              </w:rPr>
            </w:pPr>
            <w:r>
              <w:rPr>
                <w:rFonts w:hint="eastAsia" w:asciiTheme="minorEastAsia" w:hAnsiTheme="minorEastAsia" w:eastAsiaTheme="minorEastAsia" w:cstheme="minorEastAsia"/>
                <w:b w:val="0"/>
                <w:bCs w:val="0"/>
                <w:i w:val="0"/>
                <w:iCs w:val="0"/>
                <w:color w:val="auto"/>
                <w:sz w:val="24"/>
                <w:szCs w:val="24"/>
                <w:u w:val="none"/>
                <w:lang w:val="en-US" w:eastAsia="zh-CN"/>
              </w:rPr>
              <w:t>20</w:t>
            </w:r>
          </w:p>
        </w:tc>
        <w:tc>
          <w:tcPr>
            <w:tcW w:w="195" w:type="pct"/>
            <w:shd w:val="clear" w:color="auto" w:fill="auto"/>
            <w:vAlign w:val="center"/>
          </w:tcPr>
          <w:p>
            <w:pPr>
              <w:jc w:val="both"/>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考查</w:t>
            </w:r>
          </w:p>
        </w:tc>
        <w:tc>
          <w:tcPr>
            <w:tcW w:w="242" w:type="pct"/>
            <w:shd w:val="clear" w:color="auto" w:fill="auto"/>
            <w:noWrap/>
            <w:vAlign w:val="center"/>
          </w:tcPr>
          <w:p>
            <w:pPr>
              <w:spacing w:line="240" w:lineRule="auto"/>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10C112120</w:t>
            </w:r>
          </w:p>
        </w:tc>
        <w:tc>
          <w:tcPr>
            <w:tcW w:w="700"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岗位实习</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20</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540</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0</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540</w:t>
            </w:r>
          </w:p>
        </w:tc>
        <w:tc>
          <w:tcPr>
            <w:tcW w:w="176"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jc w:val="center"/>
              <w:rPr>
                <w:rFonts w:hint="eastAsia" w:asciiTheme="minorEastAsia" w:hAnsiTheme="minorEastAsia" w:eastAsiaTheme="minorEastAsia" w:cstheme="minorEastAsia"/>
                <w:b w:val="0"/>
                <w:bCs w:val="0"/>
                <w:i w:val="0"/>
                <w:iCs w:val="0"/>
                <w:color w:val="auto"/>
                <w:sz w:val="24"/>
                <w:szCs w:val="24"/>
                <w:u w:val="none"/>
                <w:lang w:val="en-US" w:eastAsia="zh-CN"/>
              </w:rPr>
            </w:pPr>
            <w:r>
              <w:rPr>
                <w:rFonts w:hint="eastAsia" w:asciiTheme="minorEastAsia" w:hAnsiTheme="minorEastAsia" w:eastAsiaTheme="minorEastAsia" w:cstheme="minorEastAsia"/>
                <w:b w:val="0"/>
                <w:bCs w:val="0"/>
                <w:i w:val="0"/>
                <w:iCs w:val="0"/>
                <w:color w:val="auto"/>
                <w:sz w:val="24"/>
                <w:szCs w:val="24"/>
                <w:u w:val="none"/>
                <w:lang w:val="en-US" w:eastAsia="zh-CN"/>
              </w:rPr>
              <w:t>20</w:t>
            </w:r>
          </w:p>
        </w:tc>
        <w:tc>
          <w:tcPr>
            <w:tcW w:w="195"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lang w:val="en-US" w:eastAsia="zh-CN"/>
              </w:rPr>
            </w:pPr>
            <w:r>
              <w:rPr>
                <w:rFonts w:hint="eastAsia" w:asciiTheme="minorEastAsia" w:hAnsiTheme="minorEastAsia" w:eastAsiaTheme="minorEastAsia" w:cstheme="minorEastAsia"/>
                <w:b w:val="0"/>
                <w:bCs w:val="0"/>
                <w:i w:val="0"/>
                <w:iCs w:val="0"/>
                <w:color w:val="auto"/>
                <w:sz w:val="24"/>
                <w:szCs w:val="24"/>
                <w:u w:val="none"/>
                <w:lang w:val="en-US" w:eastAsia="zh-CN"/>
              </w:rPr>
              <w:t>20</w:t>
            </w:r>
          </w:p>
        </w:tc>
        <w:tc>
          <w:tcPr>
            <w:tcW w:w="366" w:type="pct"/>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3"/>
                <w:rFonts w:hint="eastAsia" w:asciiTheme="minorEastAsia" w:hAnsiTheme="minorEastAsia" w:eastAsiaTheme="minorEastAsia" w:cstheme="minorEastAsia"/>
                <w:sz w:val="24"/>
                <w:szCs w:val="24"/>
                <w:lang w:val="en-US" w:eastAsia="zh-CN" w:bidi="ar"/>
              </w:rPr>
              <w:t>考查</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restar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专业拓展课</w:t>
            </w:r>
          </w:p>
        </w:tc>
        <w:tc>
          <w:tcPr>
            <w:tcW w:w="262" w:type="pct"/>
            <w:vMerge w:val="restar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选修</w:t>
            </w:r>
          </w:p>
        </w:tc>
        <w:tc>
          <w:tcPr>
            <w:tcW w:w="255"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w:t>
            </w:r>
          </w:p>
        </w:tc>
        <w:tc>
          <w:tcPr>
            <w:tcW w:w="53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23D0303</w:t>
            </w:r>
          </w:p>
        </w:tc>
        <w:tc>
          <w:tcPr>
            <w:tcW w:w="700" w:type="pct"/>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经济学基础</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18</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1004" w:type="pct"/>
            <w:gridSpan w:val="6"/>
            <w:vMerge w:val="restar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专业拓展课最低学分要求为6学分</w:t>
            </w: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23D0304</w:t>
            </w:r>
          </w:p>
        </w:tc>
        <w:tc>
          <w:tcPr>
            <w:tcW w:w="700" w:type="pct"/>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公共危机管理</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18</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1004" w:type="pct"/>
            <w:gridSpan w:val="6"/>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23D0302</w:t>
            </w:r>
          </w:p>
        </w:tc>
        <w:tc>
          <w:tcPr>
            <w:tcW w:w="700" w:type="pct"/>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农村电商</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18</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1004" w:type="pct"/>
            <w:gridSpan w:val="6"/>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8"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62"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55"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53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23D0301</w:t>
            </w:r>
          </w:p>
        </w:tc>
        <w:tc>
          <w:tcPr>
            <w:tcW w:w="700" w:type="pct"/>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Style w:val="12"/>
                <w:rFonts w:hint="eastAsia" w:asciiTheme="minorEastAsia" w:hAnsiTheme="minorEastAsia" w:eastAsiaTheme="minorEastAsia" w:cstheme="minorEastAsia"/>
                <w:b w:val="0"/>
                <w:bCs w:val="0"/>
                <w:color w:val="auto"/>
                <w:sz w:val="24"/>
                <w:szCs w:val="24"/>
                <w:lang w:val="en-US" w:eastAsia="zh-CN" w:bidi="ar"/>
              </w:rPr>
              <w:t>文献检索与论文写作</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54</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18</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1004" w:type="pct"/>
            <w:gridSpan w:val="6"/>
            <w:vMerge w:val="continue"/>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noWrap/>
            <w:vAlign w:val="center"/>
          </w:tcPr>
          <w:p>
            <w:pPr>
              <w:spacing w:line="240" w:lineRule="auto"/>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018" w:type="pct"/>
            <w:gridSpan w:val="5"/>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专业必修课程学分、学时小计</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97</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1916</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776</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1140</w:t>
            </w:r>
          </w:p>
        </w:tc>
        <w:tc>
          <w:tcPr>
            <w:tcW w:w="17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42"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018" w:type="pct"/>
            <w:gridSpan w:val="5"/>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专业必修课程学分、学时占比</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61.01%</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62.57%</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25.34%</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37.23%</w:t>
            </w:r>
          </w:p>
        </w:tc>
        <w:tc>
          <w:tcPr>
            <w:tcW w:w="176"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42"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9"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018" w:type="pct"/>
            <w:gridSpan w:val="5"/>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专业拓展课程学分、学时小计</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108</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36</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72</w:t>
            </w:r>
          </w:p>
        </w:tc>
        <w:tc>
          <w:tcPr>
            <w:tcW w:w="17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42"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43" w:type="pct"/>
            <w:vMerge w:val="continue"/>
            <w:shd w:val="clear" w:color="auto" w:fill="auto"/>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018" w:type="pct"/>
            <w:gridSpan w:val="5"/>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专业选修课程学分、学时占比</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3.77%</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3.53%</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1.18%</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2.35%</w:t>
            </w:r>
          </w:p>
        </w:tc>
        <w:tc>
          <w:tcPr>
            <w:tcW w:w="176"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42"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412" w:type="pct"/>
            <w:gridSpan w:val="2"/>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kern w:val="0"/>
                <w:sz w:val="24"/>
                <w:szCs w:val="24"/>
                <w:u w:val="none"/>
                <w:lang w:val="en-US" w:eastAsia="zh-CN" w:bidi="ar"/>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其他教育活动</w:t>
            </w:r>
          </w:p>
        </w:tc>
        <w:tc>
          <w:tcPr>
            <w:tcW w:w="26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必修</w:t>
            </w:r>
          </w:p>
        </w:tc>
        <w:tc>
          <w:tcPr>
            <w:tcW w:w="1487" w:type="pct"/>
            <w:gridSpan w:val="3"/>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第二课堂</w:t>
            </w:r>
          </w:p>
        </w:tc>
        <w:tc>
          <w:tcPr>
            <w:tcW w:w="343"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4</w:t>
            </w:r>
          </w:p>
        </w:tc>
        <w:tc>
          <w:tcPr>
            <w:tcW w:w="302"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64</w:t>
            </w:r>
          </w:p>
        </w:tc>
        <w:tc>
          <w:tcPr>
            <w:tcW w:w="316"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0</w:t>
            </w:r>
          </w:p>
        </w:tc>
        <w:tc>
          <w:tcPr>
            <w:tcW w:w="261" w:type="pct"/>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64</w:t>
            </w:r>
          </w:p>
        </w:tc>
        <w:tc>
          <w:tcPr>
            <w:tcW w:w="1004" w:type="pct"/>
            <w:gridSpan w:val="6"/>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此学分为毕业资格学分</w:t>
            </w:r>
          </w:p>
        </w:tc>
        <w:tc>
          <w:tcPr>
            <w:tcW w:w="36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考查</w:t>
            </w:r>
          </w:p>
        </w:tc>
        <w:tc>
          <w:tcPr>
            <w:tcW w:w="242" w:type="pct"/>
            <w:shd w:val="clear" w:color="auto" w:fill="auto"/>
            <w:noWrap/>
            <w:vAlign w:val="center"/>
          </w:tcPr>
          <w:p>
            <w:pPr>
              <w:spacing w:line="240" w:lineRule="auto"/>
              <w:rPr>
                <w:rFonts w:hint="eastAsia" w:asciiTheme="minorEastAsia" w:hAnsiTheme="minorEastAsia" w:eastAsiaTheme="minorEastAsia" w:cstheme="minorEastAsia"/>
                <w:b w:val="0"/>
                <w:bCs w:val="0"/>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161" w:type="pct"/>
            <w:gridSpan w:val="6"/>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总学分、学时合计</w:t>
            </w:r>
          </w:p>
        </w:tc>
        <w:tc>
          <w:tcPr>
            <w:tcW w:w="343"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159</w:t>
            </w:r>
          </w:p>
        </w:tc>
        <w:tc>
          <w:tcPr>
            <w:tcW w:w="302"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3062</w:t>
            </w:r>
          </w:p>
        </w:tc>
        <w:tc>
          <w:tcPr>
            <w:tcW w:w="316"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1398</w:t>
            </w:r>
          </w:p>
        </w:tc>
        <w:tc>
          <w:tcPr>
            <w:tcW w:w="261" w:type="pct"/>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val="0"/>
                <w:i w:val="0"/>
                <w:iCs w:val="0"/>
                <w:color w:val="auto"/>
                <w:sz w:val="24"/>
                <w:szCs w:val="24"/>
                <w:u w:val="none"/>
              </w:rPr>
            </w:pPr>
            <w:r>
              <w:rPr>
                <w:rFonts w:hint="eastAsia" w:asciiTheme="minorEastAsia" w:hAnsiTheme="minorEastAsia" w:eastAsiaTheme="minorEastAsia" w:cstheme="minorEastAsia"/>
                <w:b w:val="0"/>
                <w:bCs w:val="0"/>
                <w:i w:val="0"/>
                <w:iCs w:val="0"/>
                <w:color w:val="auto"/>
                <w:kern w:val="0"/>
                <w:sz w:val="24"/>
                <w:szCs w:val="24"/>
                <w:u w:val="none"/>
                <w:lang w:val="en-US" w:eastAsia="zh-CN" w:bidi="ar"/>
              </w:rPr>
              <w:t>1664</w:t>
            </w:r>
          </w:p>
        </w:tc>
        <w:tc>
          <w:tcPr>
            <w:tcW w:w="176"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61"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48"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54"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68"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195" w:type="pct"/>
            <w:shd w:val="clear" w:color="auto" w:fill="auto"/>
            <w:noWrap/>
            <w:vAlign w:val="center"/>
          </w:tcPr>
          <w:p>
            <w:pPr>
              <w:spacing w:line="240" w:lineRule="auto"/>
              <w:jc w:val="both"/>
              <w:rPr>
                <w:rFonts w:hint="eastAsia" w:asciiTheme="minorEastAsia" w:hAnsiTheme="minorEastAsia" w:eastAsiaTheme="minorEastAsia" w:cstheme="minorEastAsia"/>
                <w:b w:val="0"/>
                <w:bCs w:val="0"/>
                <w:i w:val="0"/>
                <w:iCs w:val="0"/>
                <w:color w:val="auto"/>
                <w:sz w:val="24"/>
                <w:szCs w:val="24"/>
                <w:u w:val="none"/>
              </w:rPr>
            </w:pPr>
          </w:p>
        </w:tc>
        <w:tc>
          <w:tcPr>
            <w:tcW w:w="366" w:type="pct"/>
            <w:shd w:val="clear" w:color="auto" w:fill="auto"/>
            <w:noWrap/>
            <w:vAlign w:val="center"/>
          </w:tcPr>
          <w:p>
            <w:pPr>
              <w:spacing w:line="240" w:lineRule="auto"/>
              <w:jc w:val="center"/>
              <w:rPr>
                <w:rFonts w:hint="eastAsia" w:asciiTheme="minorEastAsia" w:hAnsiTheme="minorEastAsia" w:eastAsiaTheme="minorEastAsia" w:cstheme="minorEastAsia"/>
                <w:b w:val="0"/>
                <w:bCs w:val="0"/>
                <w:i w:val="0"/>
                <w:iCs w:val="0"/>
                <w:color w:val="auto"/>
                <w:sz w:val="24"/>
                <w:szCs w:val="24"/>
                <w:u w:val="none"/>
              </w:rPr>
            </w:pPr>
          </w:p>
        </w:tc>
        <w:tc>
          <w:tcPr>
            <w:tcW w:w="242" w:type="pct"/>
            <w:shd w:val="clear" w:color="auto" w:fill="auto"/>
            <w:noWrap/>
            <w:vAlign w:val="center"/>
          </w:tcPr>
          <w:p>
            <w:pPr>
              <w:spacing w:line="240" w:lineRule="auto"/>
              <w:rPr>
                <w:rFonts w:hint="eastAsia" w:asciiTheme="minorEastAsia" w:hAnsiTheme="minorEastAsia" w:eastAsiaTheme="minorEastAsia" w:cstheme="minorEastAsia"/>
                <w:b w:val="0"/>
                <w:bCs w:val="0"/>
                <w:i w:val="0"/>
                <w:iCs w:val="0"/>
                <w:color w:val="auto"/>
                <w:sz w:val="24"/>
                <w:szCs w:val="24"/>
                <w:u w:val="none"/>
              </w:rPr>
            </w:pPr>
          </w:p>
        </w:tc>
      </w:tr>
    </w:tbl>
    <w:p>
      <w:pPr>
        <w:widowControl/>
        <w:ind w:firstLine="640" w:firstLineChars="200"/>
        <w:jc w:val="left"/>
        <w:rPr>
          <w:rFonts w:hint="eastAsia" w:ascii="黑体" w:hAnsi="黑体" w:eastAsia="黑体" w:cs="黑体"/>
          <w:sz w:val="32"/>
          <w:szCs w:val="32"/>
        </w:rPr>
      </w:pPr>
      <w:r>
        <w:rPr>
          <w:rFonts w:hint="eastAsia" w:ascii="黑体" w:hAnsi="黑体" w:eastAsia="黑体" w:cs="黑体"/>
          <w:sz w:val="32"/>
          <w:szCs w:val="32"/>
        </w:rPr>
        <w:t>八、实施保障</w:t>
      </w:r>
    </w:p>
    <w:p>
      <w:pPr>
        <w:overflowPunct w:val="0"/>
        <w:adjustRightInd w:val="0"/>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（一）师资队伍</w:t>
      </w:r>
    </w:p>
    <w:p>
      <w:pPr>
        <w:overflowPunct w:val="0"/>
        <w:adjustRightInd w:val="0"/>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1.队伍结构</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专任教师队伍的知识、职称、年龄结构合理，有良好的合作精神和梯队结构。学生数与本专业专任教师数比例不高于 </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∶1，具有承担专业核心课程教学任务的专业教师不少于4人，其中，具有高级以上专业技术职务的不少于1人，“双师型”教师不少于2人。</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专业教师团队现有专任教师</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人，获取职称人数为1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人。其中副高及以上职称</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人，中级职称</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人，初级职称</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人。具有研究生学位教师</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2.专任教师</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任教师应具有高校教师资格;有理想信念、有道德情操、有扎实学识、有仁爱之心;具有电子商务等相关专业本科及以上学历;具有扎实的本专业相关理论功底和实践能力;具有较强信息化教学能力，能够开展课程教学改革和科学研究;有每5年累计不少于6个月的企业实践经历。</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3.专业带头人</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带头人原则上应具有副高及以上职称，能够较好地把握国内外电子商务行业、专业发展，能广泛联系行业企业，了解行业企业对本专业人才的需求实际，教学设计、专业研究能力强，组织开展教科研工作能力强，在本区域或本领域具有一定的专业影响力。本专业带头人为庞英连，副教授职称，负责本专业的规划与建设、主持专业人才培养方案、课程标准的制定与修订、教材、专业教学标准、专业认证体系的建设工作、负责本专业教学改革和实践技能培养方案的制定等工作。</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兼职教师</w:t>
      </w:r>
    </w:p>
    <w:p>
      <w:pPr>
        <w:overflowPunct w:val="0"/>
        <w:adjustRightInd w:val="0"/>
        <w:spacing w:line="52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overflowPunct w:val="0"/>
        <w:adjustRightInd w:val="0"/>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（二）教学设施</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教学设施主要包括能够满足正常的课程教学、实习实训所需的专业教室、校内实训室和校外实训基地等。</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1.专业教室要求</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学校为该专业配备公共教室（配备有多媒体设施）、多媒体教室等，满足理论教学要求。</w:t>
      </w:r>
    </w:p>
    <w:p>
      <w:pPr>
        <w:overflowPunct w:val="0"/>
        <w:adjustRightInd w:val="0"/>
        <w:spacing w:line="52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sz w:val="32"/>
          <w:szCs w:val="32"/>
        </w:rPr>
        <w:t>配有黑（白）板、多媒体计算机、投影设备、音响设备，安装应急照明装置并保持良好状态，符合紧急疏散要求，标志明显，逃生通道畅通无阻。</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校内实训资源</w:t>
      </w:r>
    </w:p>
    <w:p>
      <w:pPr>
        <w:numPr>
          <w:ilvl w:val="0"/>
          <w:numId w:val="0"/>
        </w:numPr>
        <w:overflowPunct w:val="0"/>
        <w:adjustRightInd w:val="0"/>
        <w:spacing w:line="520" w:lineRule="exact"/>
        <w:jc w:val="center"/>
        <w:rPr>
          <w:rFonts w:hint="eastAsia" w:ascii="仿宋_GB2312" w:hAnsi="仿宋_GB2312" w:eastAsia="仿宋_GB2312" w:cs="仿宋_GB2312"/>
          <w:kern w:val="0"/>
          <w:sz w:val="32"/>
          <w:szCs w:val="32"/>
        </w:rPr>
      </w:pPr>
      <w:r>
        <w:rPr>
          <w:rFonts w:hint="eastAsia" w:ascii="仿宋_GB2312" w:hAnsi="仿宋" w:eastAsia="仿宋_GB2312" w:cs="仿宋_GB2312"/>
          <w:sz w:val="32"/>
          <w:szCs w:val="32"/>
        </w:rPr>
        <w:t>表1</w:t>
      </w:r>
      <w:r>
        <w:rPr>
          <w:rFonts w:hint="eastAsia" w:ascii="仿宋_GB2312" w:hAnsi="仿宋" w:eastAsia="仿宋_GB2312" w:cs="仿宋_GB2312"/>
          <w:sz w:val="32"/>
          <w:szCs w:val="32"/>
          <w:lang w:val="en-US" w:eastAsia="zh-CN"/>
        </w:rPr>
        <w:t xml:space="preserve">0 </w:t>
      </w:r>
      <w:r>
        <w:rPr>
          <w:rFonts w:hint="eastAsia" w:ascii="仿宋_GB2312" w:hAnsi="仿宋_GB2312" w:eastAsia="仿宋_GB2312" w:cs="仿宋_GB2312"/>
          <w:kern w:val="0"/>
          <w:sz w:val="32"/>
          <w:szCs w:val="32"/>
        </w:rPr>
        <w:t>电子商务专业校内实训资源列表</w:t>
      </w:r>
    </w:p>
    <w:tbl>
      <w:tblPr>
        <w:tblStyle w:val="7"/>
        <w:tblW w:w="10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0"/>
        <w:gridCol w:w="1554"/>
        <w:gridCol w:w="2580"/>
        <w:gridCol w:w="2661"/>
        <w:gridCol w:w="1700"/>
        <w:gridCol w:w="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550"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1554"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实验实训室名称</w:t>
            </w:r>
          </w:p>
        </w:tc>
        <w:tc>
          <w:tcPr>
            <w:tcW w:w="2580"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实训适用课程</w:t>
            </w:r>
          </w:p>
        </w:tc>
        <w:tc>
          <w:tcPr>
            <w:tcW w:w="266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实训项目</w:t>
            </w:r>
          </w:p>
        </w:tc>
        <w:tc>
          <w:tcPr>
            <w:tcW w:w="1700"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主要设备名称及配置数量</w:t>
            </w:r>
          </w:p>
        </w:tc>
        <w:tc>
          <w:tcPr>
            <w:tcW w:w="994"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1554" w:type="dxa"/>
            <w:vAlign w:val="center"/>
          </w:tcPr>
          <w:p>
            <w:pPr>
              <w:overflowPunct w:val="0"/>
              <w:adjustRightInd w:val="0"/>
              <w:spacing w:line="240" w:lineRule="auto"/>
              <w:rPr>
                <w:rFonts w:hint="eastAsia" w:ascii="仿宋" w:hAnsi="仿宋" w:eastAsia="仿宋" w:cs="仿宋"/>
                <w:sz w:val="24"/>
                <w:szCs w:val="24"/>
              </w:rPr>
            </w:pPr>
            <w:r>
              <w:rPr>
                <w:rFonts w:hint="eastAsia" w:ascii="仿宋" w:hAnsi="仿宋" w:eastAsia="仿宋" w:cs="仿宋"/>
                <w:sz w:val="24"/>
                <w:szCs w:val="24"/>
              </w:rPr>
              <w:t>电子商务模拟实训室</w:t>
            </w:r>
          </w:p>
        </w:tc>
        <w:tc>
          <w:tcPr>
            <w:tcW w:w="2580" w:type="dxa"/>
            <w:vAlign w:val="center"/>
          </w:tcPr>
          <w:p>
            <w:pPr>
              <w:overflowPunct w:val="0"/>
              <w:adjustRightInd w:val="0"/>
              <w:spacing w:line="240" w:lineRule="auto"/>
              <w:rPr>
                <w:rFonts w:hint="eastAsia" w:ascii="仿宋" w:hAnsi="仿宋" w:eastAsia="仿宋" w:cs="仿宋"/>
                <w:sz w:val="24"/>
                <w:szCs w:val="24"/>
              </w:rPr>
            </w:pPr>
            <w:r>
              <w:rPr>
                <w:rFonts w:hint="eastAsia" w:ascii="仿宋" w:hAnsi="仿宋" w:eastAsia="仿宋" w:cs="仿宋"/>
                <w:sz w:val="24"/>
                <w:szCs w:val="24"/>
              </w:rPr>
              <w:t>商务图形图像处理、呼叫中心与客户服务、进出口贸易实务</w:t>
            </w:r>
          </w:p>
        </w:tc>
        <w:tc>
          <w:tcPr>
            <w:tcW w:w="2661" w:type="dxa"/>
            <w:vAlign w:val="center"/>
          </w:tcPr>
          <w:p>
            <w:pPr>
              <w:overflowPunct w:val="0"/>
              <w:adjustRightInd w:val="0"/>
              <w:spacing w:line="240" w:lineRule="auto"/>
              <w:rPr>
                <w:rFonts w:hint="eastAsia" w:ascii="仿宋" w:hAnsi="仿宋" w:eastAsia="仿宋" w:cs="仿宋"/>
                <w:sz w:val="24"/>
                <w:szCs w:val="24"/>
              </w:rPr>
            </w:pPr>
            <w:r>
              <w:rPr>
                <w:rFonts w:hint="eastAsia" w:ascii="仿宋" w:hAnsi="仿宋" w:eastAsia="仿宋" w:cs="仿宋"/>
                <w:sz w:val="24"/>
                <w:szCs w:val="24"/>
              </w:rPr>
              <w:t>模拟创建和管理电子商务企业、进行电子商务交易、市场分析</w:t>
            </w:r>
          </w:p>
        </w:tc>
        <w:tc>
          <w:tcPr>
            <w:tcW w:w="1700"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微型计算机60台</w:t>
            </w:r>
          </w:p>
        </w:tc>
        <w:tc>
          <w:tcPr>
            <w:tcW w:w="994"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1554" w:type="dxa"/>
            <w:vAlign w:val="center"/>
          </w:tcPr>
          <w:p>
            <w:pPr>
              <w:overflowPunct w:val="0"/>
              <w:adjustRightInd w:val="0"/>
              <w:spacing w:line="240" w:lineRule="auto"/>
              <w:rPr>
                <w:rFonts w:hint="eastAsia" w:ascii="仿宋" w:hAnsi="仿宋" w:eastAsia="仿宋" w:cs="仿宋"/>
                <w:sz w:val="24"/>
                <w:szCs w:val="24"/>
              </w:rPr>
            </w:pPr>
            <w:r>
              <w:rPr>
                <w:rFonts w:hint="eastAsia" w:ascii="仿宋" w:hAnsi="仿宋" w:eastAsia="仿宋" w:cs="仿宋"/>
                <w:sz w:val="24"/>
                <w:szCs w:val="24"/>
              </w:rPr>
              <w:t>会计电算化实训室</w:t>
            </w:r>
          </w:p>
        </w:tc>
        <w:tc>
          <w:tcPr>
            <w:tcW w:w="2580" w:type="dxa"/>
            <w:vAlign w:val="center"/>
          </w:tcPr>
          <w:p>
            <w:pPr>
              <w:overflowPunct w:val="0"/>
              <w:adjustRightInd w:val="0"/>
              <w:spacing w:line="240" w:lineRule="auto"/>
              <w:rPr>
                <w:rFonts w:hint="eastAsia" w:ascii="仿宋" w:hAnsi="仿宋" w:eastAsia="仿宋" w:cs="仿宋"/>
                <w:sz w:val="24"/>
                <w:szCs w:val="24"/>
              </w:rPr>
            </w:pPr>
            <w:r>
              <w:rPr>
                <w:rFonts w:hint="eastAsia" w:ascii="仿宋" w:hAnsi="仿宋" w:eastAsia="仿宋" w:cs="仿宋"/>
                <w:sz w:val="24"/>
                <w:szCs w:val="24"/>
              </w:rPr>
              <w:t>会计学原理</w:t>
            </w:r>
          </w:p>
        </w:tc>
        <w:tc>
          <w:tcPr>
            <w:tcW w:w="2661" w:type="dxa"/>
            <w:vAlign w:val="center"/>
          </w:tcPr>
          <w:p>
            <w:pPr>
              <w:overflowPunct w:val="0"/>
              <w:adjustRightInd w:val="0"/>
              <w:spacing w:line="240" w:lineRule="auto"/>
              <w:rPr>
                <w:rFonts w:hint="eastAsia" w:ascii="仿宋" w:hAnsi="仿宋" w:eastAsia="仿宋" w:cs="仿宋"/>
                <w:sz w:val="24"/>
                <w:szCs w:val="24"/>
              </w:rPr>
            </w:pPr>
            <w:r>
              <w:rPr>
                <w:rFonts w:hint="eastAsia" w:ascii="仿宋" w:hAnsi="仿宋" w:eastAsia="仿宋" w:cs="仿宋"/>
                <w:sz w:val="24"/>
                <w:szCs w:val="24"/>
              </w:rPr>
              <w:t>会计软件操作、财务报表编制、财务分析</w:t>
            </w:r>
          </w:p>
        </w:tc>
        <w:tc>
          <w:tcPr>
            <w:tcW w:w="1700"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微型计算机60台</w:t>
            </w:r>
          </w:p>
        </w:tc>
        <w:tc>
          <w:tcPr>
            <w:tcW w:w="994"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550"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1554" w:type="dxa"/>
            <w:vAlign w:val="center"/>
          </w:tcPr>
          <w:p>
            <w:pPr>
              <w:overflowPunct w:val="0"/>
              <w:adjustRightInd w:val="0"/>
              <w:spacing w:line="240" w:lineRule="auto"/>
              <w:rPr>
                <w:rFonts w:hint="eastAsia" w:ascii="仿宋" w:hAnsi="仿宋" w:eastAsia="仿宋" w:cs="仿宋"/>
                <w:sz w:val="24"/>
                <w:szCs w:val="24"/>
              </w:rPr>
            </w:pPr>
            <w:r>
              <w:rPr>
                <w:rFonts w:hint="eastAsia" w:ascii="仿宋" w:hAnsi="仿宋" w:eastAsia="仿宋" w:cs="仿宋"/>
                <w:sz w:val="24"/>
                <w:szCs w:val="24"/>
              </w:rPr>
              <w:t>计算机实验中心</w:t>
            </w:r>
          </w:p>
        </w:tc>
        <w:tc>
          <w:tcPr>
            <w:tcW w:w="2580" w:type="dxa"/>
            <w:vAlign w:val="center"/>
          </w:tcPr>
          <w:p>
            <w:pPr>
              <w:overflowPunct w:val="0"/>
              <w:adjustRightInd w:val="0"/>
              <w:spacing w:line="240" w:lineRule="auto"/>
              <w:rPr>
                <w:rFonts w:hint="eastAsia" w:ascii="仿宋" w:hAnsi="仿宋" w:eastAsia="仿宋" w:cs="仿宋"/>
                <w:sz w:val="24"/>
                <w:szCs w:val="24"/>
              </w:rPr>
            </w:pPr>
            <w:r>
              <w:rPr>
                <w:rFonts w:hint="eastAsia" w:ascii="仿宋" w:hAnsi="仿宋" w:eastAsia="仿宋" w:cs="仿宋"/>
                <w:sz w:val="24"/>
                <w:szCs w:val="24"/>
                <w:lang w:eastAsia="zh-CN"/>
              </w:rPr>
              <w:t>网</w:t>
            </w:r>
            <w:r>
              <w:rPr>
                <w:rFonts w:hint="eastAsia" w:ascii="仿宋" w:hAnsi="仿宋" w:eastAsia="仿宋" w:cs="仿宋"/>
                <w:sz w:val="24"/>
                <w:szCs w:val="24"/>
              </w:rPr>
              <w:t>络广告与制作、商务动画制作、快递业务操作与管理</w:t>
            </w:r>
            <w:r>
              <w:rPr>
                <w:rFonts w:hint="eastAsia" w:ascii="仿宋" w:hAnsi="仿宋" w:eastAsia="仿宋" w:cs="仿宋"/>
                <w:sz w:val="24"/>
                <w:szCs w:val="24"/>
                <w:lang w:eastAsia="zh-CN"/>
              </w:rPr>
              <w:t>、</w:t>
            </w:r>
            <w:r>
              <w:rPr>
                <w:rFonts w:hint="eastAsia" w:ascii="仿宋" w:hAnsi="仿宋" w:eastAsia="仿宋" w:cs="仿宋"/>
                <w:sz w:val="24"/>
                <w:szCs w:val="24"/>
              </w:rPr>
              <w:t>网页制作</w:t>
            </w:r>
          </w:p>
        </w:tc>
        <w:tc>
          <w:tcPr>
            <w:tcW w:w="2661" w:type="dxa"/>
            <w:vAlign w:val="center"/>
          </w:tcPr>
          <w:p>
            <w:pPr>
              <w:overflowPunct w:val="0"/>
              <w:adjustRightInd w:val="0"/>
              <w:spacing w:line="240" w:lineRule="auto"/>
              <w:rPr>
                <w:rFonts w:hint="eastAsia" w:ascii="仿宋" w:hAnsi="仿宋" w:eastAsia="仿宋" w:cs="仿宋"/>
                <w:sz w:val="24"/>
                <w:szCs w:val="24"/>
              </w:rPr>
            </w:pPr>
            <w:r>
              <w:rPr>
                <w:rFonts w:hint="eastAsia" w:ascii="仿宋" w:hAnsi="仿宋" w:eastAsia="仿宋" w:cs="仿宋"/>
                <w:sz w:val="24"/>
                <w:szCs w:val="24"/>
              </w:rPr>
              <w:t>网页设计、网站开发、广告创意、广告投放</w:t>
            </w:r>
          </w:p>
        </w:tc>
        <w:tc>
          <w:tcPr>
            <w:tcW w:w="1700"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微型计算机60台</w:t>
            </w:r>
          </w:p>
        </w:tc>
        <w:tc>
          <w:tcPr>
            <w:tcW w:w="994"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4</w:t>
            </w:r>
          </w:p>
        </w:tc>
        <w:tc>
          <w:tcPr>
            <w:tcW w:w="1554" w:type="dxa"/>
            <w:vAlign w:val="center"/>
          </w:tcPr>
          <w:p>
            <w:pPr>
              <w:overflowPunct w:val="0"/>
              <w:adjustRightInd w:val="0"/>
              <w:spacing w:line="240" w:lineRule="auto"/>
              <w:rPr>
                <w:rFonts w:hint="eastAsia" w:ascii="仿宋" w:hAnsi="仿宋" w:eastAsia="仿宋" w:cs="仿宋"/>
                <w:sz w:val="24"/>
                <w:szCs w:val="24"/>
              </w:rPr>
            </w:pPr>
            <w:r>
              <w:rPr>
                <w:rFonts w:hint="eastAsia" w:ascii="仿宋" w:hAnsi="仿宋" w:eastAsia="仿宋" w:cs="仿宋"/>
                <w:sz w:val="24"/>
                <w:szCs w:val="24"/>
              </w:rPr>
              <w:t>新媒体实训中心</w:t>
            </w:r>
          </w:p>
        </w:tc>
        <w:tc>
          <w:tcPr>
            <w:tcW w:w="2580" w:type="dxa"/>
            <w:vAlign w:val="center"/>
          </w:tcPr>
          <w:p>
            <w:pPr>
              <w:overflowPunct w:val="0"/>
              <w:adjustRightInd w:val="0"/>
              <w:spacing w:line="240" w:lineRule="auto"/>
              <w:rPr>
                <w:rFonts w:hint="eastAsia" w:ascii="仿宋" w:hAnsi="仿宋" w:eastAsia="仿宋" w:cs="仿宋"/>
                <w:sz w:val="24"/>
                <w:szCs w:val="24"/>
              </w:rPr>
            </w:pPr>
            <w:r>
              <w:rPr>
                <w:rFonts w:hint="eastAsia" w:ascii="仿宋" w:hAnsi="仿宋" w:eastAsia="仿宋" w:cs="仿宋"/>
                <w:sz w:val="24"/>
                <w:szCs w:val="24"/>
              </w:rPr>
              <w:t>新媒体营销实务、电子商务案例分析</w:t>
            </w:r>
            <w:r>
              <w:rPr>
                <w:rFonts w:hint="eastAsia" w:ascii="仿宋" w:hAnsi="仿宋" w:eastAsia="仿宋" w:cs="仿宋"/>
                <w:sz w:val="24"/>
                <w:szCs w:val="24"/>
                <w:lang w:eastAsia="zh-CN"/>
              </w:rPr>
              <w:t>、</w:t>
            </w:r>
            <w:r>
              <w:rPr>
                <w:rFonts w:hint="eastAsia" w:ascii="仿宋" w:hAnsi="仿宋" w:eastAsia="仿宋" w:cs="仿宋"/>
                <w:sz w:val="24"/>
                <w:szCs w:val="24"/>
              </w:rPr>
              <w:t>网店建设与运营</w:t>
            </w:r>
          </w:p>
        </w:tc>
        <w:tc>
          <w:tcPr>
            <w:tcW w:w="2661" w:type="dxa"/>
            <w:vAlign w:val="center"/>
          </w:tcPr>
          <w:p>
            <w:pPr>
              <w:overflowPunct w:val="0"/>
              <w:adjustRightInd w:val="0"/>
              <w:spacing w:line="240" w:lineRule="auto"/>
              <w:rPr>
                <w:rFonts w:hint="eastAsia" w:ascii="仿宋" w:hAnsi="仿宋" w:eastAsia="仿宋" w:cs="仿宋"/>
                <w:sz w:val="24"/>
                <w:szCs w:val="24"/>
              </w:rPr>
            </w:pPr>
            <w:r>
              <w:rPr>
                <w:rFonts w:hint="eastAsia" w:ascii="仿宋" w:hAnsi="仿宋" w:eastAsia="仿宋" w:cs="仿宋"/>
                <w:sz w:val="24"/>
                <w:szCs w:val="24"/>
              </w:rPr>
              <w:t>直播策划、直播技术操作、直播内容创作、直播销售技巧</w:t>
            </w:r>
          </w:p>
        </w:tc>
        <w:tc>
          <w:tcPr>
            <w:tcW w:w="1700"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直播系统1套</w:t>
            </w:r>
          </w:p>
        </w:tc>
        <w:tc>
          <w:tcPr>
            <w:tcW w:w="994"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70</w:t>
            </w:r>
          </w:p>
        </w:tc>
      </w:tr>
    </w:tbl>
    <w:p>
      <w:pPr>
        <w:pStyle w:val="2"/>
        <w:widowControl/>
        <w:spacing w:before="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（1）校外实训基地基本要求</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具有稳定的校外实训基地2个以上;能够开展网店运营、网店美工、直播营销等实训活动;实训设施齐备，实训岗位、实训指导教师确定，实训管理及实施规章制度齐全。</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（2）学生实习基地基本要求</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习基地2个以上;能提供网店运营、网店客服等相关实习岗位，能涵盖当前相关产业的主流技术，可接纳一定规模的学生实习;能够配备相应数量的指导教师对学生实习进行指导和管理;有保证实习生日常工作、学习、生活的规章制度，有安全、保险保障。</w:t>
      </w:r>
    </w:p>
    <w:p>
      <w:pPr>
        <w:overflowPunct w:val="0"/>
        <w:adjustRightInd w:val="0"/>
        <w:spacing w:line="520" w:lineRule="exact"/>
        <w:ind w:firstLine="640" w:firstLineChars="200"/>
        <w:jc w:val="center"/>
        <w:rPr>
          <w:rFonts w:hint="eastAsia" w:ascii="仿宋" w:hAnsi="仿宋" w:eastAsia="仿宋" w:cs="仿宋"/>
          <w:sz w:val="32"/>
          <w:szCs w:val="32"/>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1</w:t>
      </w:r>
      <w:r>
        <w:rPr>
          <w:rFonts w:hint="eastAsia" w:ascii="仿宋_GB2312" w:hAnsi="仿宋" w:eastAsia="仿宋_GB2312" w:cs="仿宋_GB2312"/>
          <w:sz w:val="32"/>
          <w:szCs w:val="32"/>
        </w:rPr>
        <w:t>1</w:t>
      </w:r>
      <w:r>
        <w:rPr>
          <w:rFonts w:hint="eastAsia" w:ascii="仿宋_GB2312" w:hAnsi="仿宋" w:eastAsia="仿宋_GB2312" w:cs="仿宋_GB2312"/>
          <w:sz w:val="32"/>
          <w:szCs w:val="32"/>
          <w:lang w:val="en-US" w:eastAsia="zh-CN"/>
        </w:rPr>
        <w:t xml:space="preserve"> </w:t>
      </w:r>
      <w:r>
        <w:rPr>
          <w:rFonts w:hint="eastAsia" w:ascii="仿宋_GB2312" w:hAnsi="仿宋_GB2312" w:eastAsia="仿宋_GB2312" w:cs="仿宋_GB2312"/>
          <w:sz w:val="32"/>
          <w:szCs w:val="32"/>
        </w:rPr>
        <w:t>电子商务专业校外实习基地一览表</w:t>
      </w:r>
    </w:p>
    <w:tbl>
      <w:tblPr>
        <w:tblStyle w:val="7"/>
        <w:tblW w:w="100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
        <w:gridCol w:w="2246"/>
        <w:gridCol w:w="2931"/>
        <w:gridCol w:w="1311"/>
        <w:gridCol w:w="1275"/>
        <w:gridCol w:w="1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246"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校外实习基地名称</w:t>
            </w:r>
          </w:p>
        </w:tc>
        <w:tc>
          <w:tcPr>
            <w:tcW w:w="293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合作企业名称</w:t>
            </w:r>
          </w:p>
        </w:tc>
        <w:tc>
          <w:tcPr>
            <w:tcW w:w="131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用途</w:t>
            </w:r>
          </w:p>
        </w:tc>
        <w:tc>
          <w:tcPr>
            <w:tcW w:w="1275"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合作深度要求</w:t>
            </w:r>
          </w:p>
        </w:tc>
        <w:tc>
          <w:tcPr>
            <w:tcW w:w="133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246"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广西工程职业学院电子商务专业校外实习基地</w:t>
            </w:r>
          </w:p>
        </w:tc>
        <w:tc>
          <w:tcPr>
            <w:tcW w:w="293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广西壮言淘电子商务有限公司</w:t>
            </w:r>
          </w:p>
        </w:tc>
        <w:tc>
          <w:tcPr>
            <w:tcW w:w="131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岗位</w:t>
            </w:r>
          </w:p>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实习</w:t>
            </w:r>
          </w:p>
        </w:tc>
        <w:tc>
          <w:tcPr>
            <w:tcW w:w="1275"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深度</w:t>
            </w:r>
          </w:p>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合作</w:t>
            </w:r>
          </w:p>
        </w:tc>
        <w:tc>
          <w:tcPr>
            <w:tcW w:w="1331" w:type="dxa"/>
            <w:vAlign w:val="center"/>
          </w:tcPr>
          <w:p>
            <w:pPr>
              <w:overflowPunct w:val="0"/>
              <w:adjustRightInd w:val="0"/>
              <w:spacing w:line="240" w:lineRule="auto"/>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246"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广西工程职业学院电子商务专业校外实习基地</w:t>
            </w:r>
          </w:p>
        </w:tc>
        <w:tc>
          <w:tcPr>
            <w:tcW w:w="293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平果鸿仁传媒科技有限公司</w:t>
            </w:r>
          </w:p>
        </w:tc>
        <w:tc>
          <w:tcPr>
            <w:tcW w:w="131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岗位</w:t>
            </w:r>
          </w:p>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实习</w:t>
            </w:r>
          </w:p>
        </w:tc>
        <w:tc>
          <w:tcPr>
            <w:tcW w:w="1275"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深度</w:t>
            </w:r>
          </w:p>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合作</w:t>
            </w:r>
          </w:p>
        </w:tc>
        <w:tc>
          <w:tcPr>
            <w:tcW w:w="133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246"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广西工程职业学院电子商务专业校外实习基地</w:t>
            </w:r>
          </w:p>
        </w:tc>
        <w:tc>
          <w:tcPr>
            <w:tcW w:w="293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广西平果庆源电子科技有限责任公司</w:t>
            </w:r>
          </w:p>
        </w:tc>
        <w:tc>
          <w:tcPr>
            <w:tcW w:w="131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岗位</w:t>
            </w:r>
          </w:p>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实习</w:t>
            </w:r>
          </w:p>
        </w:tc>
        <w:tc>
          <w:tcPr>
            <w:tcW w:w="1275"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深度</w:t>
            </w:r>
          </w:p>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合作</w:t>
            </w:r>
          </w:p>
        </w:tc>
        <w:tc>
          <w:tcPr>
            <w:tcW w:w="133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overflowPunct w:val="0"/>
              <w:adjustRightIn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2246"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广西工程职业学院电子商务专业校外实习基地</w:t>
            </w:r>
          </w:p>
        </w:tc>
        <w:tc>
          <w:tcPr>
            <w:tcW w:w="293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广西友爱传媒科技有限公司</w:t>
            </w:r>
          </w:p>
        </w:tc>
        <w:tc>
          <w:tcPr>
            <w:tcW w:w="131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岗位</w:t>
            </w:r>
          </w:p>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实习</w:t>
            </w:r>
          </w:p>
        </w:tc>
        <w:tc>
          <w:tcPr>
            <w:tcW w:w="1275"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深度</w:t>
            </w:r>
          </w:p>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合作</w:t>
            </w:r>
          </w:p>
        </w:tc>
        <w:tc>
          <w:tcPr>
            <w:tcW w:w="1331" w:type="dxa"/>
            <w:vAlign w:val="center"/>
          </w:tcPr>
          <w:p>
            <w:pPr>
              <w:overflowPunct w:val="0"/>
              <w:adjustRightInd w:val="0"/>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overflowPunct w:val="0"/>
              <w:adjustRightInd w:val="0"/>
              <w:spacing w:line="240" w:lineRule="auto"/>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5</w:t>
            </w:r>
          </w:p>
        </w:tc>
        <w:tc>
          <w:tcPr>
            <w:tcW w:w="2246"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广西工程职业学院电子商务专业校外实习基地</w:t>
            </w:r>
          </w:p>
        </w:tc>
        <w:tc>
          <w:tcPr>
            <w:tcW w:w="293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平果亿鑫国际家居有限公司</w:t>
            </w:r>
          </w:p>
        </w:tc>
        <w:tc>
          <w:tcPr>
            <w:tcW w:w="131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岗位</w:t>
            </w:r>
          </w:p>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实习</w:t>
            </w:r>
          </w:p>
        </w:tc>
        <w:tc>
          <w:tcPr>
            <w:tcW w:w="1275"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深度</w:t>
            </w:r>
          </w:p>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rPr>
              <w:t>合作</w:t>
            </w:r>
          </w:p>
        </w:tc>
        <w:tc>
          <w:tcPr>
            <w:tcW w:w="1331" w:type="dxa"/>
            <w:vAlign w:val="center"/>
          </w:tcPr>
          <w:p>
            <w:pPr>
              <w:overflowPunct w:val="0"/>
              <w:adjustRightInd w:val="0"/>
              <w:spacing w:line="240" w:lineRule="auto"/>
              <w:jc w:val="center"/>
              <w:rPr>
                <w:rFonts w:hint="eastAsia" w:ascii="仿宋" w:hAnsi="仿宋" w:eastAsia="仿宋" w:cs="仿宋"/>
                <w:sz w:val="24"/>
                <w:szCs w:val="24"/>
              </w:rPr>
            </w:pPr>
            <w:r>
              <w:rPr>
                <w:rFonts w:hint="eastAsia" w:ascii="仿宋" w:hAnsi="仿宋" w:eastAsia="仿宋" w:cs="仿宋"/>
                <w:sz w:val="24"/>
                <w:szCs w:val="24"/>
                <w:lang w:val="en-US" w:eastAsia="zh-CN"/>
              </w:rPr>
              <w:t>50</w:t>
            </w:r>
          </w:p>
        </w:tc>
      </w:tr>
    </w:tbl>
    <w:p>
      <w:pPr>
        <w:overflowPunct w:val="0"/>
        <w:adjustRightInd w:val="0"/>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（三）教学资源</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教学资源主要包括能满足学生专业学习、教师专业教学研究和教学实施所需的教材、图书文献及数字教学资源等。</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1.教材选用基本要求</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选用近五年内出版的高职高专国家级规划教材、自治区级规划教材、高职高专类出版教材。</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2.图书文献配备基本要求</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图书文献配备能满足人才培养、专业建设、教科研等工作的需要，方便师生查询、借阅。专业类文献主要包括：电子商务相关行业政策法规、行业标准、技术规范与服务相关专业类图书和实务案例类图书。专业图书资料（含电子图书）不低于500册，5种以上电子商务、农村电商、跨境电商、直播电商等类专业学术期刊，并能保持每年更新。</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3.数字教学资源配置基本要求</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pPr>
        <w:overflowPunct w:val="0"/>
        <w:adjustRightInd w:val="0"/>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（四）教学方法</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ascii="仿宋_GB2312" w:hAnsi="仿宋_GB2312" w:eastAsia="仿宋_GB2312" w:cs="仿宋_GB2312"/>
          <w:sz w:val="32"/>
          <w:szCs w:val="32"/>
        </w:rPr>
        <w:t>根据不同课程的性质</w:t>
      </w:r>
      <w:r>
        <w:rPr>
          <w:rFonts w:hint="eastAsia" w:ascii="仿宋_GB2312" w:hAnsi="仿宋_GB2312" w:eastAsia="仿宋_GB2312" w:cs="仿宋_GB2312"/>
          <w:sz w:val="32"/>
          <w:szCs w:val="32"/>
        </w:rPr>
        <w:t>特点</w:t>
      </w:r>
      <w:r>
        <w:rPr>
          <w:rFonts w:ascii="仿宋_GB2312" w:hAnsi="仿宋_GB2312" w:eastAsia="仿宋_GB2312" w:cs="仿宋_GB2312"/>
          <w:sz w:val="32"/>
          <w:szCs w:val="32"/>
        </w:rPr>
        <w:t>，在保留传统讲授法、演示法、讨论法、问答法、案例分析法等的基础上</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应充分利用信息化教学资源，尽量将项目驱动法、探究式教学、翻转课堂等新型教学模式及方法引入课堂，遵循“学生为主体，教师为主导”的原则，积极探索多种教学方法。</w:t>
      </w:r>
    </w:p>
    <w:p>
      <w:pPr>
        <w:overflowPunct w:val="0"/>
        <w:adjustRightInd w:val="0"/>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（五）学习评价</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1.课程考核方法</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课程成绩评定根据学生参与度、作业质量、实训效果与期末考核等项目确定不同比例进行综合评定，评定标准如下：</w:t>
      </w:r>
    </w:p>
    <w:p>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（一）A类课程成绩构成（纯理论）</w:t>
      </w:r>
    </w:p>
    <w:p>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课程总成绩=期末卷面考试成绩（50%）+平时过程性考核成绩（50%)</w:t>
      </w:r>
    </w:p>
    <w:p>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（二）B类课程成绩构成（理论+实践）</w:t>
      </w:r>
    </w:p>
    <w:p>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课程总成绩=理论部分期末卷面考试成绩（40%)+技能成绩（30%）+平时过程性考核成绩（30%)。</w:t>
      </w:r>
    </w:p>
    <w:p>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（三）C类课程成绩构成(纯实践）</w:t>
      </w:r>
    </w:p>
    <w:p>
      <w:pPr>
        <w:autoSpaceDE w:val="0"/>
        <w:autoSpaceDN w:val="0"/>
        <w:adjustRightInd w:val="0"/>
        <w:snapToGrid w:val="0"/>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课程总成绩=技能成绩（50%）+平时过程性考核成绩（50%)</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2.教学评价方式</w:t>
      </w:r>
    </w:p>
    <w:p>
      <w:pPr>
        <w:overflowPunct w:val="0"/>
        <w:adjustRightInd w:val="0"/>
        <w:spacing w:line="520" w:lineRule="exact"/>
        <w:ind w:firstLine="640" w:firstLineChars="200"/>
        <w:rPr>
          <w:rFonts w:hint="eastAsia" w:ascii="楷体" w:hAnsi="楷体" w:eastAsia="楷体" w:cs="楷体"/>
          <w:sz w:val="32"/>
          <w:szCs w:val="32"/>
        </w:rPr>
      </w:pPr>
      <w:r>
        <w:rPr>
          <w:rFonts w:hint="eastAsia" w:ascii="仿宋_GB2312" w:hAnsi="仿宋_GB2312" w:eastAsia="仿宋_GB2312" w:cs="仿宋_GB2312"/>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pPr>
        <w:overflowPunct w:val="0"/>
        <w:adjustRightInd w:val="0"/>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（六）质量管理</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3.建立毕业生跟踪反馈机制及社会评价机制，并对生源情况、在校生学业水平、毕业生就业情况等进行分析，定期评价人才培养质量和培养目标达成情况。</w:t>
      </w:r>
    </w:p>
    <w:p>
      <w:pPr>
        <w:overflowPunct w:val="0"/>
        <w:adjustRightInd w:val="0"/>
        <w:spacing w:line="520" w:lineRule="exact"/>
        <w:ind w:firstLine="640" w:firstLineChars="200"/>
        <w:rPr>
          <w:rFonts w:hint="eastAsia" w:ascii="黑体" w:hAnsi="黑体" w:eastAsia="黑体" w:cs="黑体"/>
          <w:sz w:val="32"/>
          <w:szCs w:val="32"/>
        </w:rPr>
      </w:pPr>
      <w:r>
        <w:rPr>
          <w:rFonts w:hint="eastAsia" w:ascii="仿宋_GB2312" w:hAnsi="仿宋_GB2312" w:eastAsia="仿宋_GB2312" w:cs="仿宋_GB2312"/>
          <w:sz w:val="32"/>
          <w:szCs w:val="32"/>
        </w:rPr>
        <w:t>4.充分利用评价分析结果有效改进专业教学，持续提高 人才培养质量。</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九、毕业要求</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学生必须具备以下条件，方可毕业：</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（一）满足修业年限的要求：标准修业年限为3年，弹性学分有效修业年限为</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-5年。</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（二）满足学分要求：至少取得159 学分，其中，必修课学分1</w:t>
      </w:r>
      <w:r>
        <w:rPr>
          <w:rFonts w:hint="eastAsia" w:ascii="仿宋_GB2312" w:hAnsi="仿宋_GB2312" w:eastAsia="仿宋_GB2312" w:cs="仿宋_GB2312"/>
          <w:sz w:val="32"/>
          <w:szCs w:val="32"/>
          <w:lang w:val="en-US" w:eastAsia="zh-CN"/>
        </w:rPr>
        <w:t>41</w:t>
      </w:r>
      <w:r>
        <w:rPr>
          <w:rFonts w:hint="eastAsia" w:ascii="仿宋_GB2312" w:hAnsi="仿宋_GB2312" w:eastAsia="仿宋_GB2312" w:cs="仿宋_GB2312"/>
          <w:sz w:val="32"/>
          <w:szCs w:val="32"/>
        </w:rPr>
        <w:t>学分，公共选修课不低于12 学分，专业选修课不少于6 学分，达到专业培养目标和培养规格要求。</w:t>
      </w:r>
    </w:p>
    <w:p>
      <w:pPr>
        <w:overflowPunct w:val="0"/>
        <w:adjustRightInd w:val="0"/>
        <w:spacing w:line="520" w:lineRule="exact"/>
        <w:ind w:firstLine="640" w:firstLineChars="200"/>
        <w:rPr>
          <w:rFonts w:hint="eastAsia" w:ascii="黑体" w:hAnsi="黑体" w:eastAsia="黑体" w:cs="黑体"/>
          <w:sz w:val="32"/>
          <w:szCs w:val="32"/>
        </w:rPr>
      </w:pPr>
      <w:r>
        <w:rPr>
          <w:rFonts w:hint="eastAsia" w:ascii="仿宋_GB2312" w:hAnsi="仿宋_GB2312" w:eastAsia="仿宋_GB2312" w:cs="仿宋_GB2312"/>
          <w:sz w:val="32"/>
          <w:szCs w:val="32"/>
        </w:rPr>
        <w:t>（三）符合学生学籍管理的其它规定。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003D58"/>
    <w:multiLevelType w:val="singleLevel"/>
    <w:tmpl w:val="86003D58"/>
    <w:lvl w:ilvl="0" w:tentative="0">
      <w:start w:val="1"/>
      <w:numFmt w:val="decimal"/>
      <w:lvlText w:val="(%1)"/>
      <w:lvlJc w:val="left"/>
      <w:pPr>
        <w:tabs>
          <w:tab w:val="left" w:pos="312"/>
        </w:tabs>
      </w:pPr>
    </w:lvl>
  </w:abstractNum>
  <w:abstractNum w:abstractNumId="1">
    <w:nsid w:val="11F83F46"/>
    <w:multiLevelType w:val="singleLevel"/>
    <w:tmpl w:val="11F83F46"/>
    <w:lvl w:ilvl="0" w:tentative="0">
      <w:start w:val="1"/>
      <w:numFmt w:val="decimal"/>
      <w:suff w:val="nothing"/>
      <w:lvlText w:val="（%1）"/>
      <w:lvlJc w:val="left"/>
    </w:lvl>
  </w:abstractNum>
  <w:abstractNum w:abstractNumId="2">
    <w:nsid w:val="70D44B35"/>
    <w:multiLevelType w:val="singleLevel"/>
    <w:tmpl w:val="70D44B35"/>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OGJjODFkNGM5MjgwZDkwN2FmYTNkYjNhMTY3YTEifQ=="/>
  </w:docVars>
  <w:rsids>
    <w:rsidRoot w:val="004107F6"/>
    <w:rsid w:val="001307CB"/>
    <w:rsid w:val="00262FCE"/>
    <w:rsid w:val="00401A0D"/>
    <w:rsid w:val="004107F6"/>
    <w:rsid w:val="00464F21"/>
    <w:rsid w:val="00493D71"/>
    <w:rsid w:val="0079082C"/>
    <w:rsid w:val="00854484"/>
    <w:rsid w:val="008C0291"/>
    <w:rsid w:val="00CA2929"/>
    <w:rsid w:val="00D536DF"/>
    <w:rsid w:val="00ED3E11"/>
    <w:rsid w:val="01341807"/>
    <w:rsid w:val="02857950"/>
    <w:rsid w:val="02DB0B53"/>
    <w:rsid w:val="034C0838"/>
    <w:rsid w:val="04E96E53"/>
    <w:rsid w:val="051223C4"/>
    <w:rsid w:val="079A15C4"/>
    <w:rsid w:val="0B691060"/>
    <w:rsid w:val="103842CE"/>
    <w:rsid w:val="12365A29"/>
    <w:rsid w:val="168A5D63"/>
    <w:rsid w:val="1A3C79D4"/>
    <w:rsid w:val="1A506086"/>
    <w:rsid w:val="1BF21CD7"/>
    <w:rsid w:val="1C424716"/>
    <w:rsid w:val="1D1B7A94"/>
    <w:rsid w:val="1F031699"/>
    <w:rsid w:val="20675BB9"/>
    <w:rsid w:val="238217DF"/>
    <w:rsid w:val="2D931CB6"/>
    <w:rsid w:val="2FF946C3"/>
    <w:rsid w:val="33484B1B"/>
    <w:rsid w:val="361A589F"/>
    <w:rsid w:val="36757117"/>
    <w:rsid w:val="368B4C44"/>
    <w:rsid w:val="374E1CFE"/>
    <w:rsid w:val="39877BF0"/>
    <w:rsid w:val="3BC04AAD"/>
    <w:rsid w:val="3D281454"/>
    <w:rsid w:val="3D9F76BF"/>
    <w:rsid w:val="3DAF37AD"/>
    <w:rsid w:val="40BB2DD0"/>
    <w:rsid w:val="44490887"/>
    <w:rsid w:val="48B560EA"/>
    <w:rsid w:val="4C077224"/>
    <w:rsid w:val="4D1841DA"/>
    <w:rsid w:val="4DE02E75"/>
    <w:rsid w:val="4DF93514"/>
    <w:rsid w:val="504B06F5"/>
    <w:rsid w:val="53526E3E"/>
    <w:rsid w:val="541D1B22"/>
    <w:rsid w:val="5AE0330A"/>
    <w:rsid w:val="5B137EF8"/>
    <w:rsid w:val="5BD80C3B"/>
    <w:rsid w:val="5BF44FB4"/>
    <w:rsid w:val="61FD5A74"/>
    <w:rsid w:val="658B3F8C"/>
    <w:rsid w:val="65AB2B63"/>
    <w:rsid w:val="6653662B"/>
    <w:rsid w:val="67B90B06"/>
    <w:rsid w:val="68206CA0"/>
    <w:rsid w:val="68325439"/>
    <w:rsid w:val="68AD18F8"/>
    <w:rsid w:val="6C844476"/>
    <w:rsid w:val="6F0209B1"/>
    <w:rsid w:val="76766876"/>
    <w:rsid w:val="76D742D7"/>
    <w:rsid w:val="796D563B"/>
    <w:rsid w:val="798A1E71"/>
    <w:rsid w:val="7AF763CB"/>
    <w:rsid w:val="7B034037"/>
    <w:rsid w:val="7C1A33AD"/>
    <w:rsid w:val="7E2E4E3D"/>
    <w:rsid w:val="7E3C1FE1"/>
    <w:rsid w:val="7E447ABB"/>
    <w:rsid w:val="7F800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脚 字符"/>
    <w:basedOn w:val="8"/>
    <w:link w:val="3"/>
    <w:qFormat/>
    <w:uiPriority w:val="0"/>
    <w:rPr>
      <w:kern w:val="2"/>
      <w:sz w:val="18"/>
      <w:szCs w:val="18"/>
    </w:rPr>
  </w:style>
  <w:style w:type="character" w:customStyle="1" w:styleId="10">
    <w:name w:val="font01"/>
    <w:basedOn w:val="8"/>
    <w:qFormat/>
    <w:uiPriority w:val="0"/>
    <w:rPr>
      <w:rFonts w:hint="eastAsia" w:ascii="宋体" w:hAnsi="宋体" w:eastAsia="宋体" w:cs="宋体"/>
      <w:color w:val="000000"/>
      <w:sz w:val="22"/>
      <w:szCs w:val="22"/>
      <w:u w:val="none"/>
    </w:rPr>
  </w:style>
  <w:style w:type="character" w:customStyle="1" w:styleId="11">
    <w:name w:val="font71"/>
    <w:basedOn w:val="8"/>
    <w:qFormat/>
    <w:uiPriority w:val="0"/>
    <w:rPr>
      <w:rFonts w:hint="eastAsia" w:ascii="宋体" w:hAnsi="宋体" w:eastAsia="宋体" w:cs="宋体"/>
      <w:b/>
      <w:bCs/>
      <w:color w:val="000000"/>
      <w:sz w:val="21"/>
      <w:szCs w:val="21"/>
      <w:u w:val="none"/>
    </w:rPr>
  </w:style>
  <w:style w:type="character" w:customStyle="1" w:styleId="12">
    <w:name w:val="font81"/>
    <w:basedOn w:val="8"/>
    <w:qFormat/>
    <w:uiPriority w:val="0"/>
    <w:rPr>
      <w:rFonts w:hint="eastAsia" w:ascii="宋体" w:hAnsi="宋体" w:eastAsia="宋体" w:cs="宋体"/>
      <w:color w:val="000000"/>
      <w:sz w:val="21"/>
      <w:szCs w:val="21"/>
      <w:u w:val="none"/>
    </w:rPr>
  </w:style>
  <w:style w:type="character" w:customStyle="1" w:styleId="13">
    <w:name w:val="font11"/>
    <w:basedOn w:val="8"/>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16056</Words>
  <Characters>16194</Characters>
  <Lines>173</Lines>
  <Paragraphs>48</Paragraphs>
  <TotalTime>1</TotalTime>
  <ScaleCrop>false</ScaleCrop>
  <LinksUpToDate>false</LinksUpToDate>
  <CharactersWithSpaces>16249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Administrator</cp:lastModifiedBy>
  <cp:lastPrinted>2024-09-18T02:55:00Z</cp:lastPrinted>
  <dcterms:modified xsi:type="dcterms:W3CDTF">2025-03-05T01:21:38Z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D31F8D10557B4684AF3F33C7E0264604_13</vt:lpwstr>
  </property>
  <property fmtid="{D5CDD505-2E9C-101B-9397-08002B2CF9AE}" pid="4" name="KSOTemplateDocerSaveRecord">
    <vt:lpwstr>eyJoZGlkIjoiNjBlZmRmZWMwYTE0MmU0YzhjMDk1MmM2OWEwY2JiMTQiLCJ1c2VySWQiOiI2NTkyOTgzMjEifQ==</vt:lpwstr>
  </property>
</Properties>
</file>