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both"/>
        <w:rPr>
          <w:rFonts w:hint="eastAsia" w:ascii="仿宋" w:hAnsi="仿宋" w:eastAsia="仿宋"/>
          <w:color w:val="FF0000"/>
          <w:szCs w:val="32"/>
          <w:highlight w:val="none"/>
        </w:rPr>
      </w:pPr>
    </w:p>
    <w:p>
      <w:pPr>
        <w:overflowPunct w:val="0"/>
        <w:adjustRightInd w:val="0"/>
        <w:snapToGrid w:val="0"/>
        <w:jc w:val="center"/>
        <w:rPr>
          <w:rFonts w:hint="eastAsia" w:ascii="仿宋" w:hAnsi="仿宋" w:eastAsia="仿宋"/>
          <w:color w:val="FF0000"/>
          <w:szCs w:val="32"/>
          <w:highlight w:val="none"/>
        </w:rPr>
      </w:pPr>
    </w:p>
    <w:p>
      <w:pPr>
        <w:overflowPunct w:val="0"/>
        <w:adjustRightInd w:val="0"/>
        <w:snapToGrid w:val="0"/>
        <w:jc w:val="center"/>
        <w:rPr>
          <w:rFonts w:hint="eastAsia" w:ascii="仿宋" w:hAnsi="仿宋" w:eastAsia="仿宋"/>
          <w:color w:val="FF0000"/>
          <w:szCs w:val="32"/>
          <w:highlight w:val="none"/>
        </w:rPr>
      </w:pPr>
    </w:p>
    <w:p>
      <w:pPr>
        <w:overflowPunct w:val="0"/>
        <w:adjustRightInd w:val="0"/>
        <w:snapToGrid w:val="0"/>
        <w:jc w:val="center"/>
        <w:rPr>
          <w:rFonts w:ascii="仿宋" w:hAnsi="仿宋" w:eastAsia="仿宋"/>
          <w:color w:val="FF0000"/>
          <w:szCs w:val="32"/>
          <w:highlight w:val="none"/>
        </w:rPr>
      </w:pPr>
      <w:r>
        <w:rPr>
          <w:rFonts w:hint="eastAsia" w:ascii="仿宋" w:hAnsi="仿宋" w:eastAsia="仿宋"/>
          <w:color w:val="FF0000"/>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5"/>
                    <a:stretch>
                      <a:fillRect/>
                    </a:stretch>
                  </pic:blipFill>
                  <pic:spPr>
                    <a:xfrm>
                      <a:off x="0" y="0"/>
                      <a:ext cx="1760220" cy="1760220"/>
                    </a:xfrm>
                    <a:prstGeom prst="rect">
                      <a:avLst/>
                    </a:prstGeom>
                    <a:noFill/>
                    <a:ln>
                      <a:noFill/>
                    </a:ln>
                  </pic:spPr>
                </pic:pic>
              </a:graphicData>
            </a:graphic>
          </wp:inline>
        </w:drawing>
      </w:r>
    </w:p>
    <w:p>
      <w:pPr>
        <w:overflowPunct w:val="0"/>
        <w:adjustRightInd w:val="0"/>
        <w:snapToGrid w:val="0"/>
        <w:jc w:val="center"/>
        <w:rPr>
          <w:rFonts w:ascii="仿宋" w:hAnsi="仿宋" w:eastAsia="仿宋"/>
          <w:color w:val="FF0000"/>
          <w:szCs w:val="32"/>
          <w:highlight w:val="none"/>
        </w:rPr>
      </w:pPr>
    </w:p>
    <w:p>
      <w:pPr>
        <w:overflowPunct w:val="0"/>
        <w:adjustRightInd w:val="0"/>
        <w:snapToGrid w:val="0"/>
        <w:rPr>
          <w:rFonts w:ascii="华文新魏" w:hAnsi="仿宋" w:eastAsia="华文新魏"/>
          <w:b/>
          <w:color w:val="auto"/>
          <w:sz w:val="100"/>
          <w:szCs w:val="100"/>
        </w:rPr>
      </w:pPr>
      <w:r>
        <w:rPr>
          <w:rFonts w:hint="eastAsia" w:ascii="华文新魏" w:hAnsi="仿宋" w:eastAsia="华文新魏"/>
          <w:b/>
          <w:color w:val="auto"/>
          <w:sz w:val="100"/>
          <w:szCs w:val="100"/>
        </w:rPr>
        <w:t>广西工程职业学院</w:t>
      </w: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widowControl/>
        <w:overflowPunct w:val="0"/>
        <w:adjustRightInd w:val="0"/>
        <w:snapToGrid w:val="0"/>
        <w:spacing w:after="160"/>
        <w:jc w:val="center"/>
        <w:rPr>
          <w:rFonts w:hint="eastAsia" w:ascii="黑体" w:hAnsi="黑体" w:eastAsia="黑体" w:cs="黑体"/>
          <w:b/>
          <w:bCs/>
          <w:color w:val="auto"/>
          <w:kern w:val="0"/>
          <w:sz w:val="52"/>
          <w:szCs w:val="52"/>
        </w:rPr>
      </w:pPr>
      <w:r>
        <w:rPr>
          <w:rFonts w:hint="eastAsia" w:ascii="黑体" w:hAnsi="黑体" w:eastAsia="黑体" w:cs="黑体"/>
          <w:b/>
          <w:bCs/>
          <w:color w:val="auto"/>
          <w:kern w:val="0"/>
          <w:sz w:val="52"/>
          <w:szCs w:val="52"/>
          <w:lang w:eastAsia="zh-CN"/>
        </w:rPr>
        <w:t>202</w:t>
      </w:r>
      <w:r>
        <w:rPr>
          <w:rFonts w:hint="eastAsia" w:ascii="黑体" w:hAnsi="黑体" w:eastAsia="黑体" w:cs="黑体"/>
          <w:b/>
          <w:bCs/>
          <w:color w:val="auto"/>
          <w:kern w:val="0"/>
          <w:sz w:val="52"/>
          <w:szCs w:val="52"/>
          <w:lang w:val="en-US" w:eastAsia="zh-CN"/>
        </w:rPr>
        <w:t>4</w:t>
      </w:r>
      <w:r>
        <w:rPr>
          <w:rFonts w:hint="eastAsia" w:ascii="黑体" w:hAnsi="黑体" w:eastAsia="黑体" w:cs="黑体"/>
          <w:b/>
          <w:bCs/>
          <w:color w:val="auto"/>
          <w:kern w:val="0"/>
          <w:sz w:val="52"/>
          <w:szCs w:val="52"/>
        </w:rPr>
        <w:t>级</w:t>
      </w:r>
      <w:r>
        <w:rPr>
          <w:rFonts w:hint="eastAsia" w:ascii="黑体" w:hAnsi="黑体" w:eastAsia="黑体" w:cs="黑体"/>
          <w:b/>
          <w:bCs/>
          <w:color w:val="auto"/>
          <w:kern w:val="0"/>
          <w:sz w:val="52"/>
          <w:szCs w:val="52"/>
          <w:lang w:val="en-US" w:eastAsia="zh-CN"/>
        </w:rPr>
        <w:t>现代物业管理</w:t>
      </w:r>
      <w:r>
        <w:rPr>
          <w:rFonts w:hint="eastAsia" w:ascii="黑体" w:hAnsi="黑体" w:eastAsia="黑体" w:cs="黑体"/>
          <w:b/>
          <w:bCs/>
          <w:color w:val="auto"/>
          <w:kern w:val="0"/>
          <w:sz w:val="52"/>
          <w:szCs w:val="52"/>
        </w:rPr>
        <w:t>专业</w:t>
      </w:r>
    </w:p>
    <w:p>
      <w:pPr>
        <w:widowControl/>
        <w:overflowPunct w:val="0"/>
        <w:adjustRightInd w:val="0"/>
        <w:snapToGrid w:val="0"/>
        <w:spacing w:after="160"/>
        <w:jc w:val="center"/>
        <w:rPr>
          <w:rFonts w:hint="eastAsia" w:ascii="黑体" w:hAnsi="黑体" w:eastAsia="黑体" w:cs="黑体"/>
          <w:b/>
          <w:bCs/>
          <w:color w:val="auto"/>
          <w:kern w:val="0"/>
          <w:sz w:val="52"/>
          <w:szCs w:val="52"/>
          <w:lang w:val="en-US" w:eastAsia="zh-CN"/>
        </w:rPr>
        <w:sectPr>
          <w:headerReference r:id="rId3" w:type="default"/>
          <w:pgSz w:w="11906" w:h="16838"/>
          <w:pgMar w:top="1417" w:right="1417" w:bottom="1417" w:left="1984" w:header="851" w:footer="992" w:gutter="0"/>
          <w:pgNumType w:fmt="decimal" w:start="1"/>
          <w:cols w:space="425" w:num="1"/>
          <w:docGrid w:type="lines" w:linePitch="312" w:charSpace="0"/>
        </w:sectPr>
      </w:pPr>
      <w:r>
        <w:rPr>
          <w:rFonts w:hint="eastAsia" w:ascii="黑体" w:hAnsi="黑体" w:eastAsia="黑体" w:cs="黑体"/>
          <w:b/>
          <w:bCs/>
          <w:color w:val="auto"/>
          <w:kern w:val="0"/>
          <w:sz w:val="52"/>
          <w:szCs w:val="52"/>
        </w:rPr>
        <w:t>人才培养</w:t>
      </w:r>
      <w:r>
        <w:rPr>
          <w:rFonts w:hint="eastAsia" w:ascii="黑体" w:hAnsi="黑体" w:eastAsia="黑体" w:cs="黑体"/>
          <w:b/>
          <w:bCs/>
          <w:color w:val="auto"/>
          <w:kern w:val="0"/>
          <w:sz w:val="52"/>
          <w:szCs w:val="52"/>
          <w:lang w:val="en-US" w:eastAsia="zh-CN"/>
        </w:rPr>
        <w:t>方案</w:t>
      </w:r>
    </w:p>
    <w:p>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rPr>
        <w:t>现代物业管理专业人才培养方案</w:t>
      </w:r>
    </w:p>
    <w:p>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仿宋" w:hAnsi="仿宋" w:eastAsia="仿宋"/>
          <w:color w:val="auto"/>
          <w:szCs w:val="32"/>
          <w:highlight w:val="none"/>
        </w:rPr>
      </w:pP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val="en-US" w:eastAsia="zh-CN"/>
        </w:rPr>
        <w:t>一、</w:t>
      </w:r>
      <w:r>
        <w:rPr>
          <w:rFonts w:hint="eastAsia" w:ascii="黑体" w:hAnsi="黑体" w:eastAsia="黑体" w:cs="黑体"/>
          <w:b w:val="0"/>
          <w:bCs w:val="0"/>
          <w:color w:val="auto"/>
          <w:sz w:val="32"/>
          <w:szCs w:val="32"/>
          <w:highlight w:val="none"/>
        </w:rPr>
        <w:t>专业名称及代码</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专业名称：现代物业管理</w:t>
      </w:r>
      <w:r>
        <w:rPr>
          <w:rFonts w:hint="eastAsia" w:ascii="仿宋_GB2312" w:hAnsi="仿宋_GB2312" w:eastAsia="仿宋_GB2312" w:cs="仿宋_GB2312"/>
          <w:b w:val="0"/>
          <w:bCs w:val="0"/>
          <w:color w:val="auto"/>
          <w:sz w:val="32"/>
          <w:szCs w:val="32"/>
          <w:highlight w:val="none"/>
          <w:lang w:val="en-US" w:eastAsia="zh-CN"/>
        </w:rPr>
        <w:t>专业</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专业代码：440703</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二、入学要求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left"/>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普通高级中学毕业、中等职业学校毕业或具备同等学力。</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三、修业年限</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标准修业年限为3年，弹性学分有效修业年限为</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-5年。</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四、职业面向</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表1 现代物业管理专业职业岗位分析表</w:t>
      </w:r>
    </w:p>
    <w:p>
      <w:pPr>
        <w:overflowPunct w:val="0"/>
        <w:adjustRightInd w:val="0"/>
        <w:ind w:firstLine="420" w:firstLineChars="200"/>
        <w:rPr>
          <w:rFonts w:ascii="仿宋" w:hAnsi="仿宋" w:eastAsia="仿宋"/>
          <w:color w:val="FF0000"/>
          <w:sz w:val="24"/>
          <w:highlight w:val="none"/>
        </w:rPr>
      </w:pPr>
      <w:r>
        <w:rPr>
          <w:rFonts w:hint="eastAsia" w:ascii="仿宋" w:hAnsi="仿宋" w:eastAsia="仿宋"/>
          <w:color w:val="FF0000"/>
          <w:szCs w:val="32"/>
          <w:highlight w:val="none"/>
        </w:rPr>
        <w:t xml:space="preserve">      </w:t>
      </w:r>
    </w:p>
    <w:tbl>
      <w:tblPr>
        <w:tblStyle w:val="6"/>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5"/>
        <w:gridCol w:w="1452"/>
        <w:gridCol w:w="1097"/>
        <w:gridCol w:w="2136"/>
        <w:gridCol w:w="1611"/>
        <w:gridCol w:w="1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所属专业大类（代码）</w:t>
            </w:r>
          </w:p>
        </w:tc>
        <w:tc>
          <w:tcPr>
            <w:tcW w:w="15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所属专业类（代码）</w:t>
            </w:r>
          </w:p>
        </w:tc>
        <w:tc>
          <w:tcPr>
            <w:tcW w:w="11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对应行业</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（代码）</w:t>
            </w:r>
          </w:p>
        </w:tc>
        <w:tc>
          <w:tcPr>
            <w:tcW w:w="157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主要职业类别（代码）</w:t>
            </w:r>
          </w:p>
        </w:tc>
        <w:tc>
          <w:tcPr>
            <w:tcW w:w="17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主要岗位类别（或技术领域）</w:t>
            </w:r>
          </w:p>
        </w:tc>
        <w:tc>
          <w:tcPr>
            <w:tcW w:w="22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6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土木建筑类</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w:t>
            </w:r>
          </w:p>
        </w:tc>
        <w:tc>
          <w:tcPr>
            <w:tcW w:w="15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房地产类</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（4407）</w:t>
            </w:r>
          </w:p>
        </w:tc>
        <w:tc>
          <w:tcPr>
            <w:tcW w:w="11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房地产业</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（70）</w:t>
            </w:r>
          </w:p>
        </w:tc>
        <w:tc>
          <w:tcPr>
            <w:tcW w:w="157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物业管理员（4-06-01-01）；</w:t>
            </w:r>
          </w:p>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物业经营管理人员（2-06-07-10）；</w:t>
            </w:r>
          </w:p>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客户服务管理员（4-07-02-03）；管理咨询专业人员（2-06-07-08）。</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宋体" w:hAnsi="宋体" w:eastAsia="宋体" w:cs="宋体"/>
                <w:color w:val="auto"/>
                <w:sz w:val="24"/>
                <w:szCs w:val="24"/>
                <w:highlight w:val="none"/>
              </w:rPr>
            </w:pPr>
          </w:p>
        </w:tc>
        <w:tc>
          <w:tcPr>
            <w:tcW w:w="17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物业设施设备主管；物业客户服务与主管；物业空间维</w:t>
            </w:r>
            <w:r>
              <w:rPr>
                <w:rFonts w:hint="eastAsia" w:ascii="宋体" w:hAnsi="宋体" w:cs="宋体"/>
                <w:color w:val="auto"/>
                <w:sz w:val="24"/>
                <w:szCs w:val="24"/>
                <w:highlight w:val="none"/>
                <w:lang w:eastAsia="zh-CN"/>
              </w:rPr>
              <w:t>护</w:t>
            </w:r>
            <w:r>
              <w:rPr>
                <w:rFonts w:hint="eastAsia" w:ascii="宋体" w:hAnsi="宋体" w:eastAsia="宋体" w:cs="宋体"/>
                <w:color w:val="auto"/>
                <w:sz w:val="24"/>
                <w:szCs w:val="24"/>
                <w:highlight w:val="none"/>
              </w:rPr>
              <w:t>与营造管理主管；物业服务咨询员；物业资产经营主管。</w:t>
            </w:r>
          </w:p>
        </w:tc>
        <w:tc>
          <w:tcPr>
            <w:tcW w:w="22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物业从业人员岗位证书；物业行业项目经济职业资格证书；助理营销职业资格证；商业管理员资格证；物业管理经理证；物业管理员</w:t>
            </w:r>
            <w:r>
              <w:rPr>
                <w:rFonts w:hint="eastAsia" w:ascii="宋体" w:hAnsi="宋体" w:eastAsia="宋体" w:cs="宋体"/>
                <w:color w:val="auto"/>
                <w:sz w:val="24"/>
                <w:szCs w:val="24"/>
                <w:highlight w:val="none"/>
                <w:lang w:eastAsia="zh-CN"/>
              </w:rPr>
              <w:t>。</w:t>
            </w:r>
          </w:p>
        </w:tc>
      </w:tr>
    </w:tbl>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五、培养目标与培养规格</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（一）培养目标</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本专业培养理想信念坚定，德、智、体、美、劳全面发展，具有一定的科学文化水平，良好的人文素养、职业道德和创新意识，精益求精的工匠精神，较强的就业能力和可持续发展的能力，掌握本专业知识和技术技能</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面向房地产业的物业管理员、物业经营管理专业人员、客户服务管理员、管理咨询专业人员职业群（或技术技能领域) , 能够从事物业设施设备管理、物业空间维护与营造管理、物业客户服务 、物业资产经营和物业服务咨询工作的高素质技术技能人才。</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（二）培养规格</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本专业毕业生应在素质、知识和能力等方面达到以下要求：</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1.素质</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（1）坚定拥护中国共产党领导和我国社会主义制度，在习近平新时代中国特色社会主义思想指引下，践行社会主义核心价值观，具有深厚的爱国情感和中华民族自豪感。</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（2）崇尚宪法、遵法守纪、崇德向善、诚实守信、尊重生命、热爱劳动，履行道德准则和行为规范，具有社会责任感和社会参与意识。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（3）具有质量意识、环保意识、安全意识、信息素养、工匠精神、创新思维。</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（4）勇于奋斗、乐观向上，具有自我管理能力、职业生涯规划的意识，有较强的集体意识和团队合作精神。</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（5）具有健康的体魄、心理和健全的人格，掌握基本运动知识和1—2项运动技能，养成良好的健身与卫生习惯，以及良好的行为习惯。</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（6）具有一定的审美和人文素养，能够形成1—2项艺术特长或爱好。</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rPr>
        <w:t>）掌握必备的思想政治理论、科学文化基础知识和中华优秀传统文化知识、经济管理与市场营销知识。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）熟悉与本专业相关的法律法规以及环境保护</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安全消防、文明生产、支付与安全等知识。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rPr>
        <w:t>）掌握物业设施管理与维护知识。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)掌握物业空间维护与营造知识。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rPr>
        <w:t>)掌握物业资产经营知识。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rPr>
        <w:t>)掌握客户服务知识。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7</w:t>
      </w:r>
      <w:r>
        <w:rPr>
          <w:rFonts w:hint="eastAsia" w:ascii="仿宋_GB2312" w:hAnsi="仿宋_GB2312" w:eastAsia="仿宋_GB2312" w:cs="仿宋_GB2312"/>
          <w:b w:val="0"/>
          <w:bCs w:val="0"/>
          <w:color w:val="auto"/>
          <w:sz w:val="32"/>
          <w:szCs w:val="32"/>
          <w:highlight w:val="none"/>
        </w:rPr>
        <w:t>)熟悉现代信息技术应用知识。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8</w:t>
      </w:r>
      <w:r>
        <w:rPr>
          <w:rFonts w:hint="eastAsia" w:ascii="仿宋_GB2312" w:hAnsi="仿宋_GB2312" w:eastAsia="仿宋_GB2312" w:cs="仿宋_GB2312"/>
          <w:b w:val="0"/>
          <w:bCs w:val="0"/>
          <w:color w:val="auto"/>
          <w:sz w:val="32"/>
          <w:szCs w:val="32"/>
          <w:highlight w:val="none"/>
        </w:rPr>
        <w:t>)了解传统文化、文学、艺术、历史、风俗礼仪</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中外建筑文化等方面的基础知识。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具有探究学习、终身学习、分析问题和解决问题的能力。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具有良好的语言、文字表达能力和沟通能力。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（3）具有运用现代技术进行物业设施管理的组织管理能力。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（4）具有智慧城区、智慧园区、智慧住宅小区管理与运维能力。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（5）具有大型公共建筑、高层建筑、综合体等现代物业设施管理与运维能力。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（6）具有物业设施承接查验与客户人住服务等专业能力。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（7）具有物业管理法律法规运用能力。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（8）具有资料收集、报告撰写、文档制作能力。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课程设置及要求</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主要包括公共基础课程和专业（技能）课程。</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一</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公共基础课程</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0" w:name="_Toc90734974"/>
      <w:r>
        <w:rPr>
          <w:rFonts w:hint="eastAsia" w:ascii="仿宋_GB2312" w:hAnsi="仿宋_GB2312" w:eastAsia="仿宋_GB2312" w:cs="仿宋_GB2312"/>
          <w:b w:val="0"/>
          <w:bCs w:val="0"/>
          <w:color w:val="auto"/>
          <w:sz w:val="32"/>
          <w:szCs w:val="32"/>
          <w:highlight w:val="none"/>
          <w:lang w:eastAsia="zh-CN"/>
        </w:rPr>
        <w:t>按照教育部要求设置公共基础必修选修课程，</w:t>
      </w:r>
      <w:r>
        <w:rPr>
          <w:rFonts w:hint="eastAsia" w:ascii="仿宋_GB2312" w:hAnsi="仿宋_GB2312" w:eastAsia="仿宋_GB2312" w:cs="仿宋_GB2312"/>
          <w:b w:val="0"/>
          <w:bCs w:val="0"/>
          <w:color w:val="auto"/>
          <w:sz w:val="32"/>
          <w:szCs w:val="32"/>
          <w:highlight w:val="none"/>
        </w:rPr>
        <w:t>公共基础</w:t>
      </w: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0"/>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军事理论及军事技能</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、劳动教育。</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公共基础</w:t>
      </w: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大学生礼仪修养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人际交流与沟通</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演讲与口才</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lang w:val="en-US" w:eastAsia="zh-CN"/>
        </w:rPr>
        <w:t>语文</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2 </w:t>
      </w:r>
      <w:r>
        <w:rPr>
          <w:rFonts w:hint="eastAsia" w:ascii="仿宋_GB2312" w:hAnsi="仿宋_GB2312" w:eastAsia="仿宋_GB2312" w:cs="仿宋_GB2312"/>
          <w:b w:val="0"/>
          <w:bCs w:val="0"/>
          <w:color w:val="auto"/>
          <w:sz w:val="32"/>
          <w:szCs w:val="32"/>
          <w:highlight w:val="none"/>
        </w:rPr>
        <w:t>公共基础课程描述表</w:t>
      </w:r>
    </w:p>
    <w:tbl>
      <w:tblPr>
        <w:tblStyle w:val="5"/>
        <w:tblW w:w="10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7"/>
        <w:gridCol w:w="783"/>
        <w:gridCol w:w="3330"/>
        <w:gridCol w:w="3106"/>
        <w:gridCol w:w="3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17" w:type="dxa"/>
            <w:vAlign w:val="center"/>
          </w:tcPr>
          <w:p>
            <w:pPr>
              <w:spacing w:line="360" w:lineRule="exact"/>
              <w:jc w:val="center"/>
              <w:rPr>
                <w:rFonts w:hint="eastAsia" w:ascii="仿宋" w:hAnsi="仿宋" w:eastAsia="仿宋" w:cs="仿宋"/>
                <w:sz w:val="24"/>
              </w:rPr>
            </w:pPr>
            <w:bookmarkStart w:id="1" w:name="_Toc90734979"/>
            <w:bookmarkStart w:id="2" w:name="_Toc2022"/>
            <w:r>
              <w:rPr>
                <w:rFonts w:hint="eastAsia" w:ascii="仿宋" w:hAnsi="仿宋" w:eastAsia="仿宋" w:cs="仿宋"/>
                <w:sz w:val="24"/>
              </w:rPr>
              <w:t>序号</w:t>
            </w:r>
            <w:bookmarkEnd w:id="1"/>
            <w:bookmarkEnd w:id="2"/>
          </w:p>
        </w:tc>
        <w:tc>
          <w:tcPr>
            <w:tcW w:w="783" w:type="dxa"/>
            <w:vAlign w:val="center"/>
          </w:tcPr>
          <w:p>
            <w:pPr>
              <w:spacing w:line="360" w:lineRule="exact"/>
              <w:jc w:val="center"/>
              <w:rPr>
                <w:rFonts w:hint="eastAsia" w:ascii="仿宋" w:hAnsi="仿宋" w:eastAsia="仿宋" w:cs="仿宋"/>
                <w:sz w:val="24"/>
              </w:rPr>
            </w:pPr>
            <w:bookmarkStart w:id="3" w:name="_Toc2635"/>
            <w:bookmarkStart w:id="4" w:name="_Toc90734980"/>
            <w:r>
              <w:rPr>
                <w:rFonts w:hint="eastAsia" w:ascii="仿宋" w:hAnsi="仿宋" w:eastAsia="仿宋" w:cs="仿宋"/>
                <w:sz w:val="24"/>
              </w:rPr>
              <w:t>课程名称</w:t>
            </w:r>
            <w:bookmarkEnd w:id="3"/>
            <w:bookmarkEnd w:id="4"/>
          </w:p>
        </w:tc>
        <w:tc>
          <w:tcPr>
            <w:tcW w:w="3330" w:type="dxa"/>
            <w:vAlign w:val="center"/>
          </w:tcPr>
          <w:p>
            <w:pPr>
              <w:spacing w:line="360" w:lineRule="exact"/>
              <w:jc w:val="center"/>
              <w:rPr>
                <w:rFonts w:hint="eastAsia" w:ascii="仿宋" w:hAnsi="仿宋" w:eastAsia="仿宋" w:cs="仿宋"/>
                <w:sz w:val="24"/>
              </w:rPr>
            </w:pPr>
            <w:bookmarkStart w:id="5" w:name="_Toc24608"/>
            <w:bookmarkStart w:id="6" w:name="_Toc90734981"/>
            <w:r>
              <w:rPr>
                <w:rFonts w:hint="eastAsia" w:ascii="仿宋" w:hAnsi="仿宋" w:eastAsia="仿宋" w:cs="仿宋"/>
                <w:sz w:val="24"/>
              </w:rPr>
              <w:t>课程教学目标</w:t>
            </w:r>
            <w:bookmarkEnd w:id="5"/>
            <w:bookmarkEnd w:id="6"/>
          </w:p>
        </w:tc>
        <w:tc>
          <w:tcPr>
            <w:tcW w:w="3106" w:type="dxa"/>
            <w:vAlign w:val="center"/>
          </w:tcPr>
          <w:p>
            <w:pPr>
              <w:spacing w:line="360" w:lineRule="exact"/>
              <w:jc w:val="center"/>
              <w:rPr>
                <w:rFonts w:hint="eastAsia" w:ascii="仿宋" w:hAnsi="仿宋" w:eastAsia="仿宋" w:cs="仿宋"/>
                <w:sz w:val="24"/>
              </w:rPr>
            </w:pPr>
            <w:bookmarkStart w:id="7" w:name="_Toc90734982"/>
            <w:bookmarkStart w:id="8" w:name="_Toc23051"/>
            <w:r>
              <w:rPr>
                <w:rFonts w:hint="eastAsia" w:ascii="仿宋" w:hAnsi="仿宋" w:eastAsia="仿宋" w:cs="仿宋"/>
                <w:sz w:val="24"/>
              </w:rPr>
              <w:t>课程教学内容</w:t>
            </w:r>
            <w:bookmarkEnd w:id="7"/>
            <w:bookmarkEnd w:id="8"/>
          </w:p>
        </w:tc>
        <w:tc>
          <w:tcPr>
            <w:tcW w:w="3011"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1</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思想道德与法治</w:t>
            </w:r>
          </w:p>
        </w:tc>
        <w:tc>
          <w:tcPr>
            <w:tcW w:w="3330" w:type="dxa"/>
            <w:vAlign w:val="center"/>
          </w:tcPr>
          <w:p>
            <w:pPr>
              <w:spacing w:line="360" w:lineRule="exact"/>
              <w:rPr>
                <w:rFonts w:hint="eastAsia" w:ascii="仿宋" w:hAnsi="仿宋" w:eastAsia="仿宋" w:cs="仿宋"/>
                <w:sz w:val="24"/>
              </w:rPr>
            </w:pPr>
            <w:r>
              <w:rPr>
                <w:rFonts w:hint="eastAsia" w:ascii="仿宋" w:hAnsi="仿宋" w:eastAsia="仿宋" w:cs="仿宋"/>
                <w:sz w:val="24"/>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3106" w:type="dxa"/>
            <w:vAlign w:val="center"/>
          </w:tcPr>
          <w:p>
            <w:pPr>
              <w:spacing w:line="36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p>
            <w:pPr>
              <w:spacing w:line="360" w:lineRule="exact"/>
              <w:rPr>
                <w:rFonts w:hint="eastAsia" w:ascii="仿宋" w:hAnsi="仿宋" w:eastAsia="仿宋" w:cs="仿宋"/>
                <w:sz w:val="24"/>
                <w:shd w:val="clear" w:color="auto" w:fill="FFFFFF"/>
              </w:rPr>
            </w:pPr>
          </w:p>
        </w:tc>
        <w:tc>
          <w:tcPr>
            <w:tcW w:w="3011" w:type="dxa"/>
            <w:vAlign w:val="center"/>
          </w:tcPr>
          <w:p>
            <w:pPr>
              <w:spacing w:line="360" w:lineRule="exact"/>
              <w:rPr>
                <w:rFonts w:hint="eastAsia" w:ascii="仿宋" w:hAnsi="仿宋" w:eastAsia="仿宋" w:cs="仿宋"/>
                <w:sz w:val="24"/>
                <w:shd w:val="clear" w:color="auto" w:fill="FFFFFF"/>
              </w:rPr>
            </w:pPr>
            <w:r>
              <w:rPr>
                <w:rFonts w:hint="eastAsia" w:ascii="仿宋" w:hAnsi="仿宋" w:eastAsia="仿宋" w:cs="仿宋"/>
                <w:sz w:val="24"/>
                <w:szCs w:val="24"/>
                <w:shd w:val="clear" w:color="auto" w:fill="FFFFFF"/>
              </w:rPr>
              <w:t>通</w:t>
            </w:r>
            <w:r>
              <w:rPr>
                <w:rFonts w:hint="eastAsia" w:ascii="仿宋" w:hAnsi="仿宋" w:eastAsia="仿宋" w:cs="仿宋"/>
                <w:sz w:val="24"/>
                <w:szCs w:val="24"/>
                <w:shd w:val="clear" w:color="auto" w:fill="FFFFFF"/>
                <w:lang w:val="en-US" w:eastAsia="zh-CN"/>
              </w:rPr>
              <w:t>过</w:t>
            </w:r>
            <w:r>
              <w:rPr>
                <w:rFonts w:hint="eastAsia" w:ascii="仿宋" w:hAnsi="仿宋" w:eastAsia="仿宋" w:cs="仿宋"/>
                <w:sz w:val="24"/>
                <w:szCs w:val="24"/>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2</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毛泽东思想和中国特色社会主义理论体系概论</w:t>
            </w:r>
          </w:p>
        </w:tc>
        <w:tc>
          <w:tcPr>
            <w:tcW w:w="3330" w:type="dxa"/>
            <w:vAlign w:val="center"/>
          </w:tcPr>
          <w:p>
            <w:pPr>
              <w:spacing w:line="360" w:lineRule="exact"/>
              <w:rPr>
                <w:rFonts w:hint="eastAsia" w:ascii="仿宋" w:hAnsi="仿宋" w:eastAsia="仿宋" w:cs="仿宋"/>
                <w:sz w:val="24"/>
              </w:rPr>
            </w:pPr>
            <w:r>
              <w:rPr>
                <w:rFonts w:hint="eastAsia" w:ascii="仿宋" w:hAnsi="仿宋" w:eastAsia="仿宋" w:cs="仿宋"/>
                <w:sz w:val="24"/>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3106" w:type="dxa"/>
            <w:vAlign w:val="center"/>
          </w:tcPr>
          <w:p>
            <w:pPr>
              <w:spacing w:line="360" w:lineRule="exact"/>
              <w:rPr>
                <w:rFonts w:hint="eastAsia" w:ascii="仿宋" w:hAnsi="仿宋" w:eastAsia="仿宋" w:cs="仿宋"/>
                <w:sz w:val="24"/>
              </w:rPr>
            </w:pPr>
            <w:r>
              <w:rPr>
                <w:rFonts w:hint="eastAsia" w:ascii="仿宋" w:hAnsi="仿宋" w:eastAsia="仿宋" w:cs="仿宋"/>
                <w:sz w:val="24"/>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3011" w:type="dxa"/>
            <w:vAlign w:val="center"/>
          </w:tcPr>
          <w:p>
            <w:pPr>
              <w:spacing w:line="360" w:lineRule="exact"/>
              <w:rPr>
                <w:rFonts w:hint="eastAsia" w:ascii="仿宋" w:hAnsi="仿宋" w:eastAsia="仿宋" w:cs="仿宋"/>
                <w:sz w:val="24"/>
              </w:rPr>
            </w:pPr>
            <w:r>
              <w:rPr>
                <w:rFonts w:hint="eastAsia" w:ascii="仿宋" w:hAnsi="仿宋" w:eastAsia="仿宋" w:cs="仿宋"/>
                <w:sz w:val="24"/>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3</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形势与政策</w:t>
            </w:r>
          </w:p>
        </w:tc>
        <w:tc>
          <w:tcPr>
            <w:tcW w:w="3330" w:type="dxa"/>
            <w:vAlign w:val="center"/>
          </w:tcPr>
          <w:p>
            <w:pPr>
              <w:spacing w:line="360" w:lineRule="exact"/>
              <w:rPr>
                <w:rFonts w:hint="eastAsia" w:ascii="仿宋" w:hAnsi="仿宋" w:eastAsia="仿宋" w:cs="仿宋"/>
                <w:sz w:val="24"/>
              </w:rPr>
            </w:pPr>
            <w:r>
              <w:rPr>
                <w:rFonts w:hint="eastAsia" w:ascii="仿宋" w:hAnsi="仿宋" w:eastAsia="仿宋" w:cs="仿宋"/>
                <w:sz w:val="24"/>
              </w:rPr>
              <w:t>帮助学生全面、准确地了解国内外形势发展的新动态、新特点和新趋势，引导学生深入学习贯彻党和国家的方针政策，增强学生的国家意识和社会责任感，提高学生的综合素质和社会适应能力。</w:t>
            </w:r>
          </w:p>
        </w:tc>
        <w:tc>
          <w:tcPr>
            <w:tcW w:w="3106" w:type="dxa"/>
            <w:vAlign w:val="center"/>
          </w:tcPr>
          <w:p>
            <w:pPr>
              <w:spacing w:line="360" w:lineRule="exact"/>
              <w:rPr>
                <w:rFonts w:hint="eastAsia" w:ascii="仿宋" w:hAnsi="仿宋" w:eastAsia="仿宋" w:cs="仿宋"/>
                <w:sz w:val="24"/>
              </w:rPr>
            </w:pPr>
            <w:r>
              <w:rPr>
                <w:rFonts w:hint="eastAsia" w:ascii="仿宋" w:hAnsi="仿宋" w:eastAsia="仿宋" w:cs="仿宋"/>
                <w:sz w:val="24"/>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3011" w:type="dxa"/>
            <w:vAlign w:val="center"/>
          </w:tcPr>
          <w:p>
            <w:pPr>
              <w:spacing w:line="360" w:lineRule="exact"/>
              <w:rPr>
                <w:rFonts w:hint="eastAsia" w:ascii="仿宋" w:hAnsi="仿宋" w:eastAsia="仿宋" w:cs="仿宋"/>
                <w:sz w:val="24"/>
              </w:rPr>
            </w:pPr>
            <w:r>
              <w:rPr>
                <w:rFonts w:hint="eastAsia" w:ascii="仿宋" w:hAnsi="仿宋" w:eastAsia="仿宋" w:cs="仿宋"/>
                <w:sz w:val="24"/>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4</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习近平新时代中国特色社会主义思想概论</w:t>
            </w:r>
          </w:p>
        </w:tc>
        <w:tc>
          <w:tcPr>
            <w:tcW w:w="3330" w:type="dxa"/>
            <w:vAlign w:val="center"/>
          </w:tcPr>
          <w:p>
            <w:pPr>
              <w:spacing w:line="360" w:lineRule="exact"/>
              <w:rPr>
                <w:rFonts w:hint="eastAsia" w:ascii="仿宋" w:hAnsi="仿宋" w:eastAsia="仿宋" w:cs="仿宋"/>
                <w:sz w:val="24"/>
              </w:rPr>
            </w:pPr>
            <w:r>
              <w:rPr>
                <w:rFonts w:hint="eastAsia" w:ascii="仿宋" w:hAnsi="仿宋" w:eastAsia="仿宋" w:cs="仿宋"/>
                <w:sz w:val="24"/>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pPr>
              <w:spacing w:line="360" w:lineRule="exact"/>
              <w:rPr>
                <w:rFonts w:hint="eastAsia" w:ascii="仿宋" w:hAnsi="仿宋" w:eastAsia="仿宋" w:cs="仿宋"/>
                <w:sz w:val="24"/>
              </w:rPr>
            </w:pPr>
          </w:p>
        </w:tc>
        <w:tc>
          <w:tcPr>
            <w:tcW w:w="3106" w:type="dxa"/>
            <w:vAlign w:val="center"/>
          </w:tcPr>
          <w:p>
            <w:pPr>
              <w:spacing w:line="360" w:lineRule="exact"/>
              <w:rPr>
                <w:rFonts w:hint="eastAsia" w:ascii="仿宋" w:hAnsi="仿宋" w:eastAsia="仿宋" w:cs="仿宋"/>
                <w:sz w:val="24"/>
              </w:rPr>
            </w:pPr>
            <w:r>
              <w:rPr>
                <w:rFonts w:hint="eastAsia" w:ascii="仿宋" w:hAnsi="仿宋" w:eastAsia="仿宋" w:cs="仿宋"/>
                <w:sz w:val="24"/>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3011" w:type="dxa"/>
            <w:vAlign w:val="center"/>
          </w:tcPr>
          <w:p>
            <w:pPr>
              <w:spacing w:line="360" w:lineRule="exact"/>
              <w:rPr>
                <w:rFonts w:hint="eastAsia" w:ascii="仿宋" w:hAnsi="仿宋" w:eastAsia="仿宋" w:cs="仿宋"/>
                <w:sz w:val="24"/>
              </w:rPr>
            </w:pPr>
            <w:r>
              <w:rPr>
                <w:rFonts w:hint="eastAsia" w:ascii="仿宋" w:hAnsi="仿宋" w:eastAsia="仿宋" w:cs="仿宋"/>
                <w:sz w:val="24"/>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5</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大学体育</w:t>
            </w:r>
          </w:p>
        </w:tc>
        <w:tc>
          <w:tcPr>
            <w:tcW w:w="3330" w:type="dxa"/>
            <w:vAlign w:val="center"/>
          </w:tcPr>
          <w:p>
            <w:pPr>
              <w:spacing w:line="36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旨在培养学生的体育兴趣，增强其身体素质，提高运动技能，并通过体育运动促进身心健康发展，为未来的学习和生活打下坚实的健康基础。</w:t>
            </w:r>
          </w:p>
          <w:p>
            <w:pPr>
              <w:spacing w:line="360" w:lineRule="exact"/>
              <w:rPr>
                <w:rFonts w:hint="eastAsia" w:ascii="仿宋" w:hAnsi="仿宋" w:eastAsia="仿宋" w:cs="仿宋"/>
                <w:sz w:val="24"/>
                <w:shd w:val="clear" w:color="auto" w:fill="FFFFFF"/>
              </w:rPr>
            </w:pPr>
          </w:p>
        </w:tc>
        <w:tc>
          <w:tcPr>
            <w:tcW w:w="3106" w:type="dxa"/>
            <w:vAlign w:val="center"/>
          </w:tcPr>
          <w:p>
            <w:pPr>
              <w:spacing w:line="360" w:lineRule="exact"/>
              <w:rPr>
                <w:rFonts w:hint="eastAsia" w:ascii="仿宋" w:hAnsi="仿宋" w:eastAsia="仿宋" w:cs="仿宋"/>
                <w:sz w:val="24"/>
              </w:rPr>
            </w:pPr>
            <w:r>
              <w:rPr>
                <w:rFonts w:hint="eastAsia" w:ascii="仿宋" w:hAnsi="仿宋" w:eastAsia="仿宋" w:cs="仿宋"/>
                <w:sz w:val="24"/>
                <w:shd w:val="clear" w:color="auto" w:fill="FFFFFF"/>
              </w:rPr>
              <w:t>内容涵盖体育基础理论知识、实践技能训练、身体素质训练和心理健康教育等方面。</w:t>
            </w:r>
          </w:p>
        </w:tc>
        <w:tc>
          <w:tcPr>
            <w:tcW w:w="3011" w:type="dxa"/>
            <w:vAlign w:val="center"/>
          </w:tcPr>
          <w:p>
            <w:pPr>
              <w:spacing w:line="36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循序渐进，由浅入深，逐步提高学生的体育技能；注重示范指导，通过示范动作带动学生的学习兴趣；强化实践训练，让学生通过实际操作掌握体育技能。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6</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军事理论及军事技能</w:t>
            </w:r>
          </w:p>
        </w:tc>
        <w:tc>
          <w:tcPr>
            <w:tcW w:w="3330" w:type="dxa"/>
            <w:vAlign w:val="center"/>
          </w:tcPr>
          <w:p>
            <w:pPr>
              <w:spacing w:line="36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旨在让学生了解基本的军事理论知识，掌握基本的军事技能，增强国家安全意识和国防观念，培养爱国主义精神，为培养合格公民和后备军事人才打下基础。</w:t>
            </w:r>
          </w:p>
          <w:p>
            <w:pPr>
              <w:spacing w:line="360" w:lineRule="exact"/>
              <w:rPr>
                <w:rFonts w:hint="eastAsia" w:ascii="仿宋" w:hAnsi="仿宋" w:eastAsia="仿宋" w:cs="仿宋"/>
                <w:sz w:val="24"/>
                <w:shd w:val="clear" w:color="auto" w:fill="FFFFFF"/>
              </w:rPr>
            </w:pPr>
          </w:p>
        </w:tc>
        <w:tc>
          <w:tcPr>
            <w:tcW w:w="3106" w:type="dxa"/>
            <w:vAlign w:val="center"/>
          </w:tcPr>
          <w:p>
            <w:pPr>
              <w:spacing w:line="36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课程内容包括军事基础知识、国家安全形势分析、军事技能训练等。</w:t>
            </w:r>
          </w:p>
          <w:p>
            <w:pPr>
              <w:spacing w:line="360" w:lineRule="exact"/>
              <w:rPr>
                <w:rFonts w:hint="eastAsia" w:ascii="仿宋" w:hAnsi="仿宋" w:eastAsia="仿宋" w:cs="仿宋"/>
                <w:sz w:val="24"/>
                <w:shd w:val="clear" w:color="auto" w:fill="FFFFFF"/>
              </w:rPr>
            </w:pPr>
          </w:p>
        </w:tc>
        <w:tc>
          <w:tcPr>
            <w:tcW w:w="3011" w:type="dxa"/>
            <w:vAlign w:val="center"/>
          </w:tcPr>
          <w:p>
            <w:pPr>
              <w:spacing w:line="36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7</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大学生心理健康教育</w:t>
            </w:r>
          </w:p>
        </w:tc>
        <w:tc>
          <w:tcPr>
            <w:tcW w:w="3330" w:type="dxa"/>
            <w:vAlign w:val="center"/>
          </w:tcPr>
          <w:p>
            <w:pPr>
              <w:spacing w:line="36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旨在帮助学生建立正确的心理健康观念，提高心理素质，增强心理调适能力，预防和解决心理问题，促进个人全面发展，为未来的学习和生活奠定坚实的心理基础。</w:t>
            </w:r>
          </w:p>
          <w:p>
            <w:pPr>
              <w:spacing w:line="360" w:lineRule="exact"/>
              <w:rPr>
                <w:rFonts w:hint="eastAsia" w:ascii="仿宋" w:hAnsi="仿宋" w:eastAsia="仿宋" w:cs="仿宋"/>
                <w:sz w:val="24"/>
                <w:shd w:val="clear" w:color="auto" w:fill="FFFFFF"/>
              </w:rPr>
            </w:pPr>
          </w:p>
        </w:tc>
        <w:tc>
          <w:tcPr>
            <w:tcW w:w="3106" w:type="dxa"/>
            <w:vAlign w:val="center"/>
          </w:tcPr>
          <w:p>
            <w:pPr>
              <w:spacing w:line="36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课程内容涵盖了心理学基础知识、自我认知与情绪管理、人际关系处理、学业与职业规划、心理健康维护与危机应对等方面。</w:t>
            </w:r>
          </w:p>
        </w:tc>
        <w:tc>
          <w:tcPr>
            <w:tcW w:w="3011" w:type="dxa"/>
            <w:vAlign w:val="center"/>
          </w:tcPr>
          <w:p>
            <w:pPr>
              <w:spacing w:line="36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要注重理论联系实际，注重培养学生实际应用能力；既有心理知识的传授，心理活动的体验，还有心理调适技能的训练等。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0"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8</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大学英语</w:t>
            </w:r>
          </w:p>
        </w:tc>
        <w:tc>
          <w:tcPr>
            <w:tcW w:w="3330" w:type="dxa"/>
            <w:vAlign w:val="center"/>
          </w:tcPr>
          <w:p>
            <w:pPr>
              <w:spacing w:line="36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培养学生具备基本的英语听、说、读、写、译能力，增强其跨文化交际意识和沟通能力，同时提高其综合素养，为未来的学术、职业和国际交流做好准备。</w:t>
            </w:r>
          </w:p>
        </w:tc>
        <w:tc>
          <w:tcPr>
            <w:tcW w:w="3106" w:type="dxa"/>
            <w:vAlign w:val="center"/>
          </w:tcPr>
          <w:p>
            <w:pPr>
              <w:spacing w:line="36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课程内容主要包括英语语言知识、语言技能和文化知识。具体涵盖词汇、语法、听力理解、口语表达、阅读理解、写作技巧和跨文化交际等方面的知识与技能。</w:t>
            </w:r>
          </w:p>
        </w:tc>
        <w:tc>
          <w:tcPr>
            <w:tcW w:w="3011" w:type="dxa"/>
            <w:vAlign w:val="center"/>
          </w:tcPr>
          <w:p>
            <w:pPr>
              <w:spacing w:line="36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视听说部分加强对听说能力的培养和训练；读写部分加强对文章的理解和运用，引导学生提高全面理解整篇文章的能力。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9</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高等数学</w:t>
            </w:r>
          </w:p>
        </w:tc>
        <w:tc>
          <w:tcPr>
            <w:tcW w:w="3330" w:type="dxa"/>
            <w:vAlign w:val="center"/>
          </w:tcPr>
          <w:p>
            <w:pPr>
              <w:spacing w:line="36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培养学生的数学逻辑思维、抽象思维和问题解决能力，使其掌握高等数学的基本概念和方法，为后续的学术研究、工程应用以及科学探索打下坚实的数学基础。</w:t>
            </w:r>
          </w:p>
          <w:p>
            <w:pPr>
              <w:spacing w:line="360" w:lineRule="exact"/>
              <w:rPr>
                <w:rFonts w:hint="eastAsia" w:ascii="仿宋" w:hAnsi="仿宋" w:eastAsia="仿宋" w:cs="仿宋"/>
                <w:sz w:val="24"/>
                <w:shd w:val="clear" w:color="auto" w:fill="FFFFFF"/>
              </w:rPr>
            </w:pPr>
          </w:p>
        </w:tc>
        <w:tc>
          <w:tcPr>
            <w:tcW w:w="3106" w:type="dxa"/>
            <w:vAlign w:val="center"/>
          </w:tcPr>
          <w:p>
            <w:pPr>
              <w:spacing w:line="36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课程内容包括函数、极限与连续、一元函数微积分、多元微积分、级数、常微分方程等。</w:t>
            </w:r>
          </w:p>
        </w:tc>
        <w:tc>
          <w:tcPr>
            <w:tcW w:w="3011" w:type="dxa"/>
            <w:vAlign w:val="center"/>
          </w:tcPr>
          <w:p>
            <w:pPr>
              <w:spacing w:line="36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根据教学内容，结合学情分析以及教学重点、难点突破等，采用混合式教学模式，综合运用讲授法、案例教学法、启发式教学法、练习法教学方法。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10</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计算机基础</w:t>
            </w:r>
          </w:p>
        </w:tc>
        <w:tc>
          <w:tcPr>
            <w:tcW w:w="3330" w:type="dxa"/>
            <w:vAlign w:val="center"/>
          </w:tcPr>
          <w:p>
            <w:pPr>
              <w:spacing w:line="360" w:lineRule="exact"/>
              <w:rPr>
                <w:rFonts w:hint="eastAsia" w:ascii="仿宋" w:hAnsi="仿宋" w:eastAsia="仿宋" w:cs="仿宋"/>
                <w:sz w:val="24"/>
              </w:rPr>
            </w:pPr>
            <w:r>
              <w:rPr>
                <w:rFonts w:hint="eastAsia" w:ascii="仿宋" w:hAnsi="仿宋" w:eastAsia="仿宋" w:cs="仿宋"/>
                <w:sz w:val="24"/>
              </w:rPr>
              <w:t>让学生掌握计算机的基本概念和操作技能，培养其利用计算机解决实际问题的能力，为其未来的学习和工作提供必要的计算机技能支持。</w:t>
            </w:r>
          </w:p>
        </w:tc>
        <w:tc>
          <w:tcPr>
            <w:tcW w:w="3106" w:type="dxa"/>
            <w:vAlign w:val="center"/>
          </w:tcPr>
          <w:p>
            <w:pPr>
              <w:spacing w:line="360" w:lineRule="exact"/>
              <w:rPr>
                <w:rFonts w:hint="eastAsia" w:ascii="仿宋" w:hAnsi="仿宋" w:eastAsia="仿宋" w:cs="仿宋"/>
                <w:sz w:val="24"/>
              </w:rPr>
            </w:pPr>
            <w:r>
              <w:rPr>
                <w:rFonts w:hint="eastAsia" w:ascii="仿宋" w:hAnsi="仿宋" w:eastAsia="仿宋" w:cs="仿宋"/>
                <w:sz w:val="24"/>
              </w:rPr>
              <w:t>课程内容涵盖计算机基础知识、操作系统、办公软件应用、网络基础等方面。</w:t>
            </w:r>
          </w:p>
        </w:tc>
        <w:tc>
          <w:tcPr>
            <w:tcW w:w="3011" w:type="dxa"/>
            <w:vAlign w:val="center"/>
          </w:tcPr>
          <w:p>
            <w:pPr>
              <w:spacing w:line="360" w:lineRule="exact"/>
              <w:rPr>
                <w:rFonts w:hint="eastAsia" w:ascii="仿宋" w:hAnsi="仿宋" w:eastAsia="仿宋" w:cs="仿宋"/>
                <w:sz w:val="24"/>
              </w:rPr>
            </w:pPr>
            <w:r>
              <w:rPr>
                <w:rFonts w:hint="eastAsia" w:ascii="仿宋" w:hAnsi="仿宋" w:eastAsia="仿宋" w:cs="仿宋"/>
                <w:sz w:val="24"/>
              </w:rPr>
              <w:t>注重实践操作，加强实际操作练习。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11</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大学生职业发展与就业指导</w:t>
            </w:r>
          </w:p>
        </w:tc>
        <w:tc>
          <w:tcPr>
            <w:tcW w:w="3330" w:type="dxa"/>
            <w:vAlign w:val="center"/>
          </w:tcPr>
          <w:p>
            <w:pPr>
              <w:spacing w:line="360" w:lineRule="exact"/>
              <w:rPr>
                <w:rFonts w:hint="eastAsia" w:ascii="仿宋" w:hAnsi="仿宋" w:eastAsia="仿宋" w:cs="仿宋"/>
                <w:sz w:val="24"/>
              </w:rPr>
            </w:pPr>
            <w:r>
              <w:rPr>
                <w:rFonts w:hint="eastAsia" w:ascii="仿宋" w:hAnsi="仿宋" w:eastAsia="仿宋" w:cs="仿宋"/>
                <w:sz w:val="24"/>
              </w:rPr>
              <w:t>帮助学生明确职业方向，提升就业竞争力，培养创业意识，以及提供个性化的职业规划指导，为未来的职业生涯发展奠定坚实基础。</w:t>
            </w:r>
          </w:p>
        </w:tc>
        <w:tc>
          <w:tcPr>
            <w:tcW w:w="3106" w:type="dxa"/>
            <w:vAlign w:val="center"/>
          </w:tcPr>
          <w:p>
            <w:pPr>
              <w:spacing w:line="360" w:lineRule="exact"/>
              <w:rPr>
                <w:rFonts w:hint="eastAsia" w:ascii="仿宋" w:hAnsi="仿宋" w:eastAsia="仿宋" w:cs="仿宋"/>
                <w:sz w:val="24"/>
              </w:rPr>
            </w:pPr>
            <w:r>
              <w:rPr>
                <w:rFonts w:hint="eastAsia" w:ascii="仿宋" w:hAnsi="仿宋" w:eastAsia="仿宋" w:cs="仿宋"/>
                <w:sz w:val="24"/>
              </w:rPr>
              <w:t>课程内容包括自我认知与职业定位、就业市场分析、求职技巧与方法、职业生涯规划、创业基础知识等。</w:t>
            </w:r>
          </w:p>
        </w:tc>
        <w:tc>
          <w:tcPr>
            <w:tcW w:w="3011" w:type="dxa"/>
            <w:vAlign w:val="center"/>
          </w:tcPr>
          <w:p>
            <w:pPr>
              <w:spacing w:line="360" w:lineRule="exact"/>
              <w:rPr>
                <w:rFonts w:hint="eastAsia" w:ascii="仿宋" w:hAnsi="仿宋" w:eastAsia="仿宋" w:cs="仿宋"/>
                <w:sz w:val="24"/>
              </w:rPr>
            </w:pPr>
            <w:r>
              <w:rPr>
                <w:rFonts w:hint="eastAsia" w:ascii="仿宋" w:hAnsi="仿宋" w:eastAsia="仿宋" w:cs="仿宋"/>
                <w:sz w:val="24"/>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12</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劳动教育</w:t>
            </w:r>
          </w:p>
        </w:tc>
        <w:tc>
          <w:tcPr>
            <w:tcW w:w="3330" w:type="dxa"/>
            <w:vAlign w:val="center"/>
          </w:tcPr>
          <w:p>
            <w:pPr>
              <w:spacing w:line="360" w:lineRule="exact"/>
              <w:rPr>
                <w:rFonts w:hint="eastAsia" w:ascii="仿宋" w:hAnsi="仿宋" w:eastAsia="仿宋" w:cs="仿宋"/>
                <w:sz w:val="24"/>
              </w:rPr>
            </w:pPr>
            <w:r>
              <w:rPr>
                <w:rFonts w:hint="eastAsia" w:ascii="仿宋" w:hAnsi="仿宋" w:eastAsia="仿宋" w:cs="仿宋"/>
                <w:sz w:val="24"/>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3106" w:type="dxa"/>
            <w:vAlign w:val="center"/>
          </w:tcPr>
          <w:p>
            <w:pPr>
              <w:spacing w:line="360" w:lineRule="exact"/>
              <w:rPr>
                <w:rFonts w:hint="eastAsia" w:ascii="仿宋" w:hAnsi="仿宋" w:eastAsia="仿宋" w:cs="仿宋"/>
                <w:sz w:val="24"/>
              </w:rPr>
            </w:pPr>
            <w:r>
              <w:rPr>
                <w:rFonts w:hint="eastAsia" w:ascii="仿宋" w:hAnsi="仿宋" w:eastAsia="仿宋" w:cs="仿宋"/>
                <w:sz w:val="24"/>
              </w:rPr>
              <w:t>以实习实训课为主要载体开展劳动教育，包含劳动精神、劳模精神、工匠精神专题教育。</w:t>
            </w:r>
          </w:p>
        </w:tc>
        <w:tc>
          <w:tcPr>
            <w:tcW w:w="3011" w:type="dxa"/>
            <w:vAlign w:val="center"/>
          </w:tcPr>
          <w:p>
            <w:pPr>
              <w:spacing w:line="360" w:lineRule="exact"/>
              <w:rPr>
                <w:rFonts w:hint="eastAsia" w:ascii="仿宋" w:hAnsi="仿宋" w:eastAsia="仿宋" w:cs="仿宋"/>
                <w:sz w:val="24"/>
              </w:rPr>
            </w:pPr>
            <w:r>
              <w:rPr>
                <w:rFonts w:hint="eastAsia" w:ascii="仿宋" w:hAnsi="仿宋" w:eastAsia="仿宋" w:cs="仿宋"/>
                <w:sz w:val="24"/>
              </w:rPr>
              <w:t>注重围绕创新创业，结合学科和专业积极开展实习实训、专业服务、社会实践、勤工助学等，重视新知识、新技术、新工艺、新方法应用，创造性地解决实际问题。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13</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大学生礼仪修养</w:t>
            </w:r>
          </w:p>
        </w:tc>
        <w:tc>
          <w:tcPr>
            <w:tcW w:w="3330" w:type="dxa"/>
            <w:vAlign w:val="center"/>
          </w:tcPr>
          <w:p>
            <w:pPr>
              <w:spacing w:line="360" w:lineRule="exact"/>
              <w:rPr>
                <w:rFonts w:hint="eastAsia" w:ascii="仿宋" w:hAnsi="仿宋" w:eastAsia="仿宋" w:cs="仿宋"/>
                <w:sz w:val="24"/>
              </w:rPr>
            </w:pPr>
            <w:r>
              <w:rPr>
                <w:rFonts w:hint="eastAsia" w:ascii="仿宋" w:hAnsi="仿宋" w:eastAsia="仿宋" w:cs="仿宋"/>
                <w:sz w:val="24"/>
              </w:rPr>
              <w:t>培养学生具备优雅得体的社交礼仪，提高其人际交往能力和社会适应能力，为未来的职业生涯和个人发展打下良好的社交基础。</w:t>
            </w:r>
          </w:p>
        </w:tc>
        <w:tc>
          <w:tcPr>
            <w:tcW w:w="3106" w:type="dxa"/>
            <w:vAlign w:val="center"/>
          </w:tcPr>
          <w:p>
            <w:pPr>
              <w:spacing w:line="360" w:lineRule="exact"/>
              <w:rPr>
                <w:rFonts w:hint="eastAsia" w:ascii="仿宋" w:hAnsi="仿宋" w:eastAsia="仿宋" w:cs="仿宋"/>
                <w:sz w:val="24"/>
              </w:rPr>
            </w:pPr>
            <w:r>
              <w:rPr>
                <w:rFonts w:hint="eastAsia" w:ascii="仿宋" w:hAnsi="仿宋" w:eastAsia="仿宋" w:cs="仿宋"/>
                <w:sz w:val="24"/>
              </w:rPr>
              <w:t>课程涵盖仪表仪态、日常社交礼仪、商务礼仪、公共礼仪、国际礼仪等方面。</w:t>
            </w:r>
          </w:p>
        </w:tc>
        <w:tc>
          <w:tcPr>
            <w:tcW w:w="3011" w:type="dxa"/>
            <w:vAlign w:val="center"/>
          </w:tcPr>
          <w:p>
            <w:pPr>
              <w:spacing w:line="360" w:lineRule="exact"/>
              <w:rPr>
                <w:rFonts w:hint="eastAsia" w:ascii="仿宋" w:hAnsi="仿宋" w:eastAsia="仿宋" w:cs="仿宋"/>
                <w:sz w:val="24"/>
              </w:rPr>
            </w:pPr>
            <w:r>
              <w:rPr>
                <w:rFonts w:hint="eastAsia" w:ascii="仿宋" w:hAnsi="仿宋" w:eastAsia="仿宋" w:cs="仿宋"/>
                <w:sz w:val="24"/>
                <w:shd w:val="clear" w:color="auto" w:fill="FFFFFF"/>
              </w:rPr>
              <w:t>注重礼仪示范指导，通过礼仪示范动作带动学生的学习兴趣；强化礼仪实践训练，让学生通过礼仪实际操作掌握礼仪技能。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14</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中国民俗剪纸技法</w:t>
            </w:r>
          </w:p>
        </w:tc>
        <w:tc>
          <w:tcPr>
            <w:tcW w:w="3330" w:type="dxa"/>
            <w:vAlign w:val="center"/>
          </w:tcPr>
          <w:p>
            <w:pPr>
              <w:spacing w:line="360" w:lineRule="exact"/>
              <w:rPr>
                <w:rFonts w:hint="eastAsia" w:ascii="仿宋" w:hAnsi="仿宋" w:eastAsia="仿宋" w:cs="仿宋"/>
                <w:sz w:val="24"/>
              </w:rPr>
            </w:pPr>
            <w:r>
              <w:rPr>
                <w:rFonts w:hint="eastAsia" w:ascii="仿宋" w:hAnsi="仿宋" w:eastAsia="仿宋" w:cs="仿宋"/>
                <w:sz w:val="24"/>
              </w:rPr>
              <w:t>传承和弘扬中华传统文化，让学生掌握基本的剪纸技法和创作思维，培养其创意实践能力，并增进对中国传统民间艺术的了解与欣赏。</w:t>
            </w:r>
          </w:p>
          <w:p>
            <w:pPr>
              <w:spacing w:line="360" w:lineRule="exact"/>
              <w:rPr>
                <w:rFonts w:hint="eastAsia" w:ascii="仿宋" w:hAnsi="仿宋" w:eastAsia="仿宋" w:cs="仿宋"/>
                <w:sz w:val="24"/>
              </w:rPr>
            </w:pPr>
          </w:p>
        </w:tc>
        <w:tc>
          <w:tcPr>
            <w:tcW w:w="3106" w:type="dxa"/>
            <w:vAlign w:val="center"/>
          </w:tcPr>
          <w:p>
            <w:pPr>
              <w:spacing w:line="360" w:lineRule="exact"/>
              <w:rPr>
                <w:rFonts w:hint="eastAsia" w:ascii="仿宋" w:hAnsi="仿宋" w:eastAsia="仿宋" w:cs="仿宋"/>
                <w:sz w:val="24"/>
              </w:rPr>
            </w:pPr>
            <w:r>
              <w:rPr>
                <w:rFonts w:hint="eastAsia" w:ascii="仿宋" w:hAnsi="仿宋" w:eastAsia="仿宋" w:cs="仿宋"/>
                <w:sz w:val="24"/>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3011" w:type="dxa"/>
            <w:vAlign w:val="center"/>
          </w:tcPr>
          <w:p>
            <w:pPr>
              <w:spacing w:line="360" w:lineRule="exact"/>
              <w:rPr>
                <w:rFonts w:hint="eastAsia" w:ascii="仿宋" w:hAnsi="仿宋" w:eastAsia="仿宋" w:cs="仿宋"/>
                <w:sz w:val="24"/>
              </w:rPr>
            </w:pPr>
            <w:r>
              <w:rPr>
                <w:rFonts w:hint="eastAsia" w:ascii="仿宋" w:hAnsi="仿宋" w:eastAsia="仿宋" w:cs="仿宋"/>
                <w:sz w:val="24"/>
              </w:rPr>
              <w:t>通过示范教学，直观的了解剪纸的技法和要领，通过剪纸创作，提高剪纸技能。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15</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影视与鉴赏</w:t>
            </w:r>
          </w:p>
        </w:tc>
        <w:tc>
          <w:tcPr>
            <w:tcW w:w="3330" w:type="dxa"/>
            <w:vAlign w:val="center"/>
          </w:tcPr>
          <w:p>
            <w:pPr>
              <w:spacing w:line="360" w:lineRule="exact"/>
              <w:rPr>
                <w:rFonts w:hint="eastAsia" w:ascii="仿宋" w:hAnsi="仿宋" w:eastAsia="仿宋" w:cs="仿宋"/>
                <w:sz w:val="24"/>
              </w:rPr>
            </w:pPr>
            <w:r>
              <w:rPr>
                <w:rFonts w:hint="eastAsia" w:ascii="仿宋" w:hAnsi="仿宋" w:eastAsia="仿宋" w:cs="仿宋"/>
                <w:sz w:val="24"/>
              </w:rPr>
              <w:t>培养学生具备对影视作品的基本鉴赏能力，理解影视艺术的内涵与特点，提高审美水平，同时引导学生思考影视作品所反映的社会、文化和人性问题，促进批判性思维的形成。</w:t>
            </w:r>
          </w:p>
          <w:p>
            <w:pPr>
              <w:spacing w:line="360" w:lineRule="exact"/>
              <w:rPr>
                <w:rFonts w:hint="eastAsia" w:ascii="仿宋" w:hAnsi="仿宋" w:eastAsia="仿宋" w:cs="仿宋"/>
                <w:sz w:val="24"/>
              </w:rPr>
            </w:pPr>
          </w:p>
        </w:tc>
        <w:tc>
          <w:tcPr>
            <w:tcW w:w="3106" w:type="dxa"/>
            <w:vAlign w:val="center"/>
          </w:tcPr>
          <w:p>
            <w:pPr>
              <w:spacing w:line="360" w:lineRule="exact"/>
              <w:rPr>
                <w:rFonts w:hint="eastAsia" w:ascii="仿宋" w:hAnsi="仿宋" w:eastAsia="仿宋" w:cs="仿宋"/>
                <w:sz w:val="24"/>
              </w:rPr>
            </w:pPr>
            <w:r>
              <w:rPr>
                <w:rFonts w:hint="eastAsia" w:ascii="仿宋" w:hAnsi="仿宋" w:eastAsia="仿宋" w:cs="仿宋"/>
                <w:sz w:val="24"/>
              </w:rPr>
              <w:t>课程内容涵盖影视作品分析、影视艺术理论、影视史论等方面。</w:t>
            </w:r>
          </w:p>
        </w:tc>
        <w:tc>
          <w:tcPr>
            <w:tcW w:w="3011" w:type="dxa"/>
            <w:vAlign w:val="center"/>
          </w:tcPr>
          <w:p>
            <w:pPr>
              <w:spacing w:line="360" w:lineRule="exact"/>
              <w:rPr>
                <w:rFonts w:hint="eastAsia" w:ascii="仿宋" w:hAnsi="仿宋" w:eastAsia="仿宋" w:cs="仿宋"/>
                <w:sz w:val="24"/>
              </w:rPr>
            </w:pPr>
            <w:r>
              <w:rPr>
                <w:rFonts w:hint="eastAsia" w:ascii="仿宋" w:hAnsi="仿宋" w:eastAsia="仿宋" w:cs="仿宋"/>
                <w:sz w:val="24"/>
              </w:rPr>
              <w:t>利用启发诱导提升、优秀案例赏析、项目分组讨论等教学方法，引导学生主动思索，参与创新来达成有效提升学习效果目标。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16</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人际交流与沟通</w:t>
            </w:r>
          </w:p>
        </w:tc>
        <w:tc>
          <w:tcPr>
            <w:tcW w:w="3330" w:type="dxa"/>
            <w:vAlign w:val="center"/>
          </w:tcPr>
          <w:p>
            <w:pPr>
              <w:spacing w:line="360" w:lineRule="exact"/>
              <w:rPr>
                <w:rFonts w:hint="eastAsia" w:ascii="仿宋" w:hAnsi="仿宋" w:eastAsia="仿宋" w:cs="仿宋"/>
                <w:sz w:val="24"/>
              </w:rPr>
            </w:pPr>
            <w:r>
              <w:rPr>
                <w:rFonts w:hint="eastAsia" w:ascii="仿宋" w:hAnsi="仿宋" w:eastAsia="仿宋" w:cs="仿宋"/>
                <w:sz w:val="24"/>
              </w:rPr>
              <w:t>课程旨在帮助学生掌握有效的人际沟通技巧，提升其在工作、学习和日常生活中的沟通能力，以更好地建立和维护人际关系，实现有效合作与问题解决。</w:t>
            </w:r>
          </w:p>
          <w:p>
            <w:pPr>
              <w:spacing w:line="360" w:lineRule="exact"/>
              <w:rPr>
                <w:rFonts w:hint="eastAsia" w:ascii="仿宋" w:hAnsi="仿宋" w:eastAsia="仿宋" w:cs="仿宋"/>
                <w:sz w:val="24"/>
              </w:rPr>
            </w:pPr>
          </w:p>
        </w:tc>
        <w:tc>
          <w:tcPr>
            <w:tcW w:w="3106" w:type="dxa"/>
            <w:vAlign w:val="center"/>
          </w:tcPr>
          <w:p>
            <w:pPr>
              <w:spacing w:line="360" w:lineRule="exact"/>
              <w:rPr>
                <w:rFonts w:hint="eastAsia" w:ascii="仿宋" w:hAnsi="仿宋" w:eastAsia="仿宋" w:cs="仿宋"/>
                <w:sz w:val="24"/>
              </w:rPr>
            </w:pPr>
            <w:r>
              <w:rPr>
                <w:rFonts w:hint="eastAsia" w:ascii="仿宋" w:hAnsi="仿宋" w:eastAsia="仿宋" w:cs="仿宋"/>
                <w:sz w:val="24"/>
              </w:rPr>
              <w:t>课程内容包括沟通基础理论、沟通技巧、冲突处理、团队合作等方面。</w:t>
            </w:r>
          </w:p>
        </w:tc>
        <w:tc>
          <w:tcPr>
            <w:tcW w:w="3011" w:type="dxa"/>
            <w:vAlign w:val="center"/>
          </w:tcPr>
          <w:p>
            <w:pPr>
              <w:spacing w:line="360" w:lineRule="exact"/>
              <w:rPr>
                <w:rFonts w:hint="eastAsia" w:ascii="仿宋" w:hAnsi="仿宋" w:eastAsia="仿宋" w:cs="仿宋"/>
                <w:sz w:val="24"/>
              </w:rPr>
            </w:pPr>
            <w:r>
              <w:rPr>
                <w:rFonts w:hint="eastAsia" w:ascii="仿宋" w:hAnsi="仿宋" w:eastAsia="仿宋" w:cs="仿宋"/>
                <w:sz w:val="24"/>
              </w:rPr>
              <w:t>通过案例引导、深度解析，情景模拟，角色扮演，媒体演示，专项实践，让学生达到掌握知识技能目的。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17</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演讲与口才</w:t>
            </w:r>
          </w:p>
        </w:tc>
        <w:tc>
          <w:tcPr>
            <w:tcW w:w="3330" w:type="dxa"/>
            <w:vAlign w:val="center"/>
          </w:tcPr>
          <w:p>
            <w:pPr>
              <w:spacing w:line="360" w:lineRule="exact"/>
              <w:rPr>
                <w:rFonts w:hint="eastAsia" w:ascii="仿宋" w:hAnsi="仿宋" w:eastAsia="仿宋" w:cs="仿宋"/>
                <w:sz w:val="24"/>
              </w:rPr>
            </w:pPr>
            <w:r>
              <w:rPr>
                <w:rFonts w:hint="eastAsia" w:ascii="仿宋" w:hAnsi="仿宋" w:eastAsia="仿宋" w:cs="仿宋"/>
                <w:sz w:val="24"/>
              </w:rPr>
              <w:t>培养学生的口头表达能力，使其具备清晰、准确、有逻辑的语言表达能力，同时增强学生的自信心和应变能力，为未来的公众演讲和职场沟通打下坚实基础。</w:t>
            </w:r>
          </w:p>
          <w:p>
            <w:pPr>
              <w:spacing w:line="360" w:lineRule="exact"/>
              <w:rPr>
                <w:rFonts w:hint="eastAsia" w:ascii="仿宋" w:hAnsi="仿宋" w:eastAsia="仿宋" w:cs="仿宋"/>
                <w:sz w:val="24"/>
              </w:rPr>
            </w:pPr>
          </w:p>
        </w:tc>
        <w:tc>
          <w:tcPr>
            <w:tcW w:w="3106" w:type="dxa"/>
            <w:vAlign w:val="center"/>
          </w:tcPr>
          <w:p>
            <w:pPr>
              <w:spacing w:line="360" w:lineRule="exact"/>
              <w:rPr>
                <w:rFonts w:hint="eastAsia" w:ascii="仿宋" w:hAnsi="仿宋" w:eastAsia="仿宋" w:cs="仿宋"/>
                <w:sz w:val="24"/>
              </w:rPr>
            </w:pPr>
            <w:r>
              <w:rPr>
                <w:rFonts w:hint="eastAsia" w:ascii="仿宋" w:hAnsi="仿宋" w:eastAsia="仿宋" w:cs="仿宋"/>
                <w:sz w:val="24"/>
              </w:rPr>
              <w:t>课程内容包括演讲基础理论、演讲技巧、口才训练、实践演练等方面。学生将学习演讲的基本结构、语言技巧、肢体语言以及应对紧张情绪的方法。</w:t>
            </w:r>
          </w:p>
        </w:tc>
        <w:tc>
          <w:tcPr>
            <w:tcW w:w="3011" w:type="dxa"/>
            <w:vAlign w:val="center"/>
          </w:tcPr>
          <w:p>
            <w:pPr>
              <w:spacing w:line="360" w:lineRule="exact"/>
              <w:rPr>
                <w:rFonts w:hint="eastAsia" w:ascii="仿宋" w:hAnsi="仿宋" w:eastAsia="仿宋" w:cs="仿宋"/>
                <w:sz w:val="24"/>
              </w:rPr>
            </w:pPr>
            <w:r>
              <w:rPr>
                <w:rFonts w:hint="eastAsia" w:ascii="仿宋" w:hAnsi="仿宋" w:eastAsia="仿宋" w:cs="仿宋"/>
                <w:sz w:val="24"/>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18</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创新创业教育</w:t>
            </w:r>
          </w:p>
        </w:tc>
        <w:tc>
          <w:tcPr>
            <w:tcW w:w="3330" w:type="dxa"/>
            <w:vAlign w:val="center"/>
          </w:tcPr>
          <w:p>
            <w:pPr>
              <w:spacing w:line="360" w:lineRule="exact"/>
              <w:rPr>
                <w:rFonts w:hint="eastAsia" w:ascii="仿宋" w:hAnsi="仿宋" w:eastAsia="仿宋" w:cs="仿宋"/>
                <w:sz w:val="24"/>
              </w:rPr>
            </w:pPr>
            <w:r>
              <w:rPr>
                <w:rFonts w:hint="eastAsia" w:ascii="仿宋" w:hAnsi="仿宋" w:eastAsia="仿宋" w:cs="仿宋"/>
                <w:sz w:val="24"/>
              </w:rPr>
              <w:t>培养学生的创新思维、创业意识和创业能力，让学生了解创业的基本知识和流程，掌握创业所需的基本技能，为未来的创业实践或职业发展打下坚实基础。</w:t>
            </w:r>
          </w:p>
          <w:p>
            <w:pPr>
              <w:spacing w:line="360" w:lineRule="exact"/>
              <w:rPr>
                <w:rFonts w:hint="eastAsia" w:ascii="仿宋" w:hAnsi="仿宋" w:eastAsia="仿宋" w:cs="仿宋"/>
                <w:sz w:val="24"/>
              </w:rPr>
            </w:pPr>
          </w:p>
        </w:tc>
        <w:tc>
          <w:tcPr>
            <w:tcW w:w="3106" w:type="dxa"/>
            <w:vAlign w:val="center"/>
          </w:tcPr>
          <w:p>
            <w:pPr>
              <w:spacing w:line="360" w:lineRule="exact"/>
              <w:rPr>
                <w:rFonts w:hint="eastAsia" w:ascii="仿宋" w:hAnsi="仿宋" w:eastAsia="仿宋" w:cs="仿宋"/>
                <w:sz w:val="24"/>
              </w:rPr>
            </w:pPr>
            <w:r>
              <w:rPr>
                <w:rFonts w:hint="eastAsia" w:ascii="仿宋" w:hAnsi="仿宋" w:eastAsia="仿宋" w:cs="仿宋"/>
                <w:sz w:val="24"/>
              </w:rPr>
              <w:t>课程内容涵盖创新思维培养、创业理念引导、市场调研分析、商业模式构建、团队建设与管理、创业计划书撰写、资金筹措与投资等方面。</w:t>
            </w:r>
          </w:p>
        </w:tc>
        <w:tc>
          <w:tcPr>
            <w:tcW w:w="3011" w:type="dxa"/>
            <w:vAlign w:val="center"/>
          </w:tcPr>
          <w:p>
            <w:pPr>
              <w:spacing w:line="360" w:lineRule="exact"/>
              <w:rPr>
                <w:rFonts w:hint="eastAsia" w:ascii="仿宋" w:hAnsi="仿宋" w:eastAsia="仿宋" w:cs="仿宋"/>
                <w:sz w:val="24"/>
              </w:rPr>
            </w:pPr>
            <w:r>
              <w:rPr>
                <w:rFonts w:hint="eastAsia" w:ascii="仿宋" w:hAnsi="仿宋" w:eastAsia="仿宋" w:cs="仿宋"/>
                <w:sz w:val="24"/>
                <w:shd w:val="clear" w:color="auto" w:fill="FFFFFF"/>
              </w:rPr>
              <w:t>理</w:t>
            </w:r>
            <w:r>
              <w:rPr>
                <w:rFonts w:hint="eastAsia" w:ascii="仿宋" w:hAnsi="仿宋" w:eastAsia="仿宋" w:cs="仿宋"/>
                <w:sz w:val="24"/>
              </w:rPr>
              <w:t>论讲授与案例分析相结合、小组讨论与角色体验相结合、经验传授与创业实践相结合，把知识传授、思想碰撞和实践体验有机统一起来，调动学生学习的积极性、主动性和创造性，不断提高教学质量和水平。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19</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中国共产党简史</w:t>
            </w:r>
          </w:p>
        </w:tc>
        <w:tc>
          <w:tcPr>
            <w:tcW w:w="3330" w:type="dxa"/>
            <w:vAlign w:val="center"/>
          </w:tcPr>
          <w:p>
            <w:pPr>
              <w:spacing w:line="360" w:lineRule="exact"/>
              <w:rPr>
                <w:rFonts w:hint="eastAsia" w:ascii="仿宋" w:hAnsi="仿宋" w:eastAsia="仿宋" w:cs="仿宋"/>
                <w:sz w:val="24"/>
              </w:rPr>
            </w:pPr>
            <w:r>
              <w:rPr>
                <w:rFonts w:hint="eastAsia" w:ascii="仿宋" w:hAnsi="仿宋" w:eastAsia="仿宋" w:cs="仿宋"/>
                <w:sz w:val="24"/>
              </w:rPr>
              <w:t>中国共产党简史课程的目的是让学生了解中国共产党的光辉历程、伟大成就和宝贵经验，加深对中国特色社会主义道路、理论、制度、文化的认识，增强对党的信仰和对中国特色社会主义的信念。</w:t>
            </w:r>
          </w:p>
          <w:p>
            <w:pPr>
              <w:spacing w:line="360" w:lineRule="exact"/>
              <w:rPr>
                <w:rFonts w:hint="eastAsia" w:ascii="仿宋" w:hAnsi="仿宋" w:eastAsia="仿宋" w:cs="仿宋"/>
                <w:sz w:val="24"/>
              </w:rPr>
            </w:pPr>
          </w:p>
        </w:tc>
        <w:tc>
          <w:tcPr>
            <w:tcW w:w="3106" w:type="dxa"/>
            <w:vAlign w:val="center"/>
          </w:tcPr>
          <w:p>
            <w:pPr>
              <w:spacing w:line="360" w:lineRule="exact"/>
              <w:rPr>
                <w:rFonts w:hint="eastAsia" w:ascii="仿宋" w:hAnsi="仿宋" w:eastAsia="仿宋" w:cs="仿宋"/>
                <w:sz w:val="24"/>
              </w:rPr>
            </w:pPr>
            <w:r>
              <w:rPr>
                <w:rFonts w:hint="eastAsia" w:ascii="仿宋" w:hAnsi="仿宋" w:eastAsia="仿宋" w:cs="仿宋"/>
                <w:sz w:val="24"/>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pPr>
              <w:spacing w:line="360" w:lineRule="exact"/>
              <w:rPr>
                <w:rFonts w:hint="eastAsia" w:ascii="仿宋" w:hAnsi="仿宋" w:eastAsia="仿宋" w:cs="仿宋"/>
                <w:sz w:val="24"/>
              </w:rPr>
            </w:pPr>
          </w:p>
        </w:tc>
        <w:tc>
          <w:tcPr>
            <w:tcW w:w="3011" w:type="dxa"/>
            <w:vAlign w:val="center"/>
          </w:tcPr>
          <w:p>
            <w:pPr>
              <w:spacing w:line="360" w:lineRule="exact"/>
              <w:rPr>
                <w:rFonts w:hint="eastAsia" w:ascii="仿宋" w:hAnsi="仿宋" w:eastAsia="仿宋" w:cs="仿宋"/>
                <w:sz w:val="24"/>
              </w:rPr>
            </w:pPr>
            <w:r>
              <w:rPr>
                <w:rFonts w:hint="eastAsia" w:ascii="仿宋" w:hAnsi="仿宋" w:eastAsia="仿宋" w:cs="仿宋"/>
                <w:sz w:val="24"/>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20</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改革开放简史</w:t>
            </w:r>
          </w:p>
        </w:tc>
        <w:tc>
          <w:tcPr>
            <w:tcW w:w="3330" w:type="dxa"/>
            <w:vAlign w:val="center"/>
          </w:tcPr>
          <w:p>
            <w:pPr>
              <w:spacing w:line="360" w:lineRule="exact"/>
              <w:rPr>
                <w:rFonts w:hint="eastAsia" w:ascii="仿宋" w:hAnsi="仿宋" w:eastAsia="仿宋" w:cs="仿宋"/>
                <w:sz w:val="24"/>
              </w:rPr>
            </w:pPr>
            <w:r>
              <w:rPr>
                <w:rFonts w:hint="eastAsia" w:ascii="仿宋" w:hAnsi="仿宋" w:eastAsia="仿宋" w:cs="仿宋"/>
                <w:sz w:val="24"/>
              </w:rPr>
              <w:t>让学生全面了解改革开放的历史背景、进程和成就，深刻理解改革开放对中国现代化建设的深远影响，增强对中国特色社会主义道路、理论、制度、文化的自信。</w:t>
            </w:r>
          </w:p>
          <w:p>
            <w:pPr>
              <w:spacing w:line="360" w:lineRule="exact"/>
              <w:rPr>
                <w:rFonts w:hint="eastAsia" w:ascii="仿宋" w:hAnsi="仿宋" w:eastAsia="仿宋" w:cs="仿宋"/>
                <w:sz w:val="24"/>
              </w:rPr>
            </w:pPr>
          </w:p>
        </w:tc>
        <w:tc>
          <w:tcPr>
            <w:tcW w:w="3106" w:type="dxa"/>
            <w:vAlign w:val="center"/>
          </w:tcPr>
          <w:p>
            <w:pPr>
              <w:spacing w:line="360" w:lineRule="exact"/>
              <w:rPr>
                <w:rFonts w:hint="eastAsia" w:ascii="仿宋" w:hAnsi="仿宋" w:eastAsia="仿宋" w:cs="仿宋"/>
                <w:sz w:val="24"/>
              </w:rPr>
            </w:pPr>
            <w:r>
              <w:rPr>
                <w:rFonts w:hint="eastAsia" w:ascii="仿宋" w:hAnsi="仿宋" w:eastAsia="仿宋" w:cs="仿宋"/>
                <w:sz w:val="24"/>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3011" w:type="dxa"/>
            <w:vAlign w:val="center"/>
          </w:tcPr>
          <w:p>
            <w:pPr>
              <w:spacing w:line="360" w:lineRule="exact"/>
              <w:rPr>
                <w:rFonts w:hint="eastAsia" w:ascii="仿宋" w:hAnsi="仿宋" w:eastAsia="仿宋" w:cs="仿宋"/>
                <w:sz w:val="24"/>
              </w:rPr>
            </w:pPr>
            <w:r>
              <w:rPr>
                <w:rFonts w:hint="eastAsia" w:ascii="仿宋" w:hAnsi="仿宋" w:eastAsia="仿宋" w:cs="仿宋"/>
                <w:sz w:val="24"/>
              </w:rPr>
              <w:t>通过专题讲授法、情境教学法，让学生能够系统把握中国改革开放事业的辉煌成就、重大贡献、重要经验和深刻启示。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21</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中华人民共和国简史</w:t>
            </w:r>
          </w:p>
        </w:tc>
        <w:tc>
          <w:tcPr>
            <w:tcW w:w="3330" w:type="dxa"/>
            <w:vAlign w:val="center"/>
          </w:tcPr>
          <w:p>
            <w:pPr>
              <w:spacing w:line="360" w:lineRule="exact"/>
              <w:rPr>
                <w:rFonts w:hint="eastAsia" w:ascii="仿宋" w:hAnsi="仿宋" w:eastAsia="仿宋" w:cs="仿宋"/>
                <w:sz w:val="24"/>
              </w:rPr>
            </w:pPr>
            <w:r>
              <w:rPr>
                <w:rFonts w:hint="eastAsia" w:ascii="仿宋" w:hAnsi="仿宋" w:eastAsia="仿宋" w:cs="仿宋"/>
                <w:sz w:val="24"/>
              </w:rPr>
              <w:t>让学生全面了解中华人民共和国从成立至今的历史进程、主要成就和基本经验，加深对中国特色社会主义道路、理论、制度、文化的认识，增强国家认同感和民族自豪感。</w:t>
            </w:r>
          </w:p>
          <w:p>
            <w:pPr>
              <w:spacing w:line="360" w:lineRule="exact"/>
              <w:rPr>
                <w:rFonts w:hint="eastAsia" w:ascii="仿宋" w:hAnsi="仿宋" w:eastAsia="仿宋" w:cs="仿宋"/>
                <w:sz w:val="24"/>
              </w:rPr>
            </w:pPr>
          </w:p>
          <w:p>
            <w:pPr>
              <w:spacing w:line="360" w:lineRule="exact"/>
              <w:rPr>
                <w:rFonts w:hint="eastAsia" w:ascii="仿宋" w:hAnsi="仿宋" w:eastAsia="仿宋" w:cs="仿宋"/>
                <w:sz w:val="24"/>
              </w:rPr>
            </w:pPr>
          </w:p>
        </w:tc>
        <w:tc>
          <w:tcPr>
            <w:tcW w:w="3106" w:type="dxa"/>
            <w:vAlign w:val="center"/>
          </w:tcPr>
          <w:p>
            <w:pPr>
              <w:spacing w:line="360" w:lineRule="exact"/>
              <w:rPr>
                <w:rFonts w:hint="eastAsia" w:ascii="仿宋" w:hAnsi="仿宋" w:eastAsia="仿宋" w:cs="仿宋"/>
                <w:sz w:val="24"/>
              </w:rPr>
            </w:pPr>
            <w:r>
              <w:rPr>
                <w:rFonts w:hint="eastAsia" w:ascii="仿宋" w:hAnsi="仿宋" w:eastAsia="仿宋" w:cs="仿宋"/>
                <w:sz w:val="24"/>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3011" w:type="dxa"/>
            <w:vAlign w:val="center"/>
          </w:tcPr>
          <w:p>
            <w:pPr>
              <w:spacing w:line="360" w:lineRule="exact"/>
              <w:rPr>
                <w:rFonts w:hint="eastAsia" w:ascii="仿宋" w:hAnsi="仿宋" w:eastAsia="仿宋" w:cs="仿宋"/>
                <w:sz w:val="24"/>
              </w:rPr>
            </w:pPr>
            <w:r>
              <w:rPr>
                <w:rFonts w:hint="eastAsia" w:ascii="仿宋" w:hAnsi="仿宋" w:eastAsia="仿宋" w:cs="仿宋"/>
                <w:sz w:val="24"/>
              </w:rPr>
              <w:t>通过课堂讲解、案例分析、小组讨论、模拟实践等方式，促进学生进一步增强民族自尊心、自信心和自豪感,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22</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社会主义发展简史</w:t>
            </w:r>
          </w:p>
        </w:tc>
        <w:tc>
          <w:tcPr>
            <w:tcW w:w="3330" w:type="dxa"/>
            <w:vAlign w:val="center"/>
          </w:tcPr>
          <w:p>
            <w:pPr>
              <w:spacing w:line="360" w:lineRule="exact"/>
              <w:rPr>
                <w:rFonts w:hint="eastAsia" w:ascii="仿宋" w:hAnsi="仿宋" w:eastAsia="仿宋" w:cs="仿宋"/>
                <w:sz w:val="24"/>
              </w:rPr>
            </w:pPr>
            <w:r>
              <w:rPr>
                <w:rFonts w:hint="eastAsia" w:ascii="仿宋" w:hAnsi="仿宋" w:eastAsia="仿宋" w:cs="仿宋"/>
                <w:sz w:val="24"/>
              </w:rPr>
              <w:t>让学生全面了解社会主义思想和实践的历史演变，深入理解社会主义的基本原则和核心价值，认识社会主义在不同国家和时期的发展与挑战，从而增强对社会主义制度的认识与信心。</w:t>
            </w:r>
          </w:p>
          <w:p>
            <w:pPr>
              <w:spacing w:line="360" w:lineRule="exact"/>
              <w:rPr>
                <w:rFonts w:hint="eastAsia" w:ascii="仿宋" w:hAnsi="仿宋" w:eastAsia="仿宋" w:cs="仿宋"/>
                <w:sz w:val="24"/>
              </w:rPr>
            </w:pPr>
          </w:p>
          <w:p>
            <w:pPr>
              <w:spacing w:line="360" w:lineRule="exact"/>
              <w:rPr>
                <w:rFonts w:hint="eastAsia" w:ascii="仿宋" w:hAnsi="仿宋" w:eastAsia="仿宋" w:cs="仿宋"/>
                <w:sz w:val="24"/>
              </w:rPr>
            </w:pPr>
          </w:p>
        </w:tc>
        <w:tc>
          <w:tcPr>
            <w:tcW w:w="3106" w:type="dxa"/>
            <w:vAlign w:val="center"/>
          </w:tcPr>
          <w:p>
            <w:pPr>
              <w:spacing w:line="360" w:lineRule="exact"/>
              <w:rPr>
                <w:rFonts w:hint="eastAsia" w:ascii="仿宋" w:hAnsi="仿宋" w:eastAsia="仿宋" w:cs="仿宋"/>
                <w:sz w:val="24"/>
              </w:rPr>
            </w:pPr>
            <w:r>
              <w:rPr>
                <w:rFonts w:hint="eastAsia" w:ascii="仿宋" w:hAnsi="仿宋" w:eastAsia="仿宋" w:cs="仿宋"/>
                <w:sz w:val="24"/>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3011" w:type="dxa"/>
            <w:vAlign w:val="center"/>
          </w:tcPr>
          <w:p>
            <w:pPr>
              <w:spacing w:line="360" w:lineRule="exact"/>
              <w:rPr>
                <w:rFonts w:hint="eastAsia" w:ascii="仿宋" w:hAnsi="仿宋" w:eastAsia="仿宋" w:cs="仿宋"/>
                <w:sz w:val="24"/>
              </w:rPr>
            </w:pPr>
            <w:r>
              <w:rPr>
                <w:rFonts w:hint="eastAsia" w:ascii="仿宋" w:hAnsi="仿宋" w:eastAsia="仿宋" w:cs="仿宋"/>
                <w:sz w:val="24"/>
              </w:rPr>
              <w:t>通过文本解读法、故事穿插法、存疑追问法等方式，帮助学生掌握关于当代社会主义的基本知识，以更深刻的视角理解认识当代中国社会，强化共产主义世界观。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23</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国家安全教育</w:t>
            </w:r>
          </w:p>
        </w:tc>
        <w:tc>
          <w:tcPr>
            <w:tcW w:w="3330" w:type="dxa"/>
            <w:vAlign w:val="center"/>
          </w:tcPr>
          <w:p>
            <w:pPr>
              <w:spacing w:line="360" w:lineRule="exact"/>
              <w:rPr>
                <w:rFonts w:hint="eastAsia" w:ascii="仿宋" w:hAnsi="仿宋" w:eastAsia="仿宋" w:cs="仿宋"/>
                <w:sz w:val="24"/>
              </w:rPr>
            </w:pPr>
            <w:r>
              <w:rPr>
                <w:rFonts w:hint="eastAsia" w:ascii="仿宋" w:hAnsi="仿宋" w:eastAsia="仿宋" w:cs="仿宋"/>
                <w:sz w:val="24"/>
              </w:rPr>
              <w:t>让学生系统掌握总体国家安全观的</w:t>
            </w:r>
            <w:r>
              <w:rPr>
                <w:rFonts w:hint="eastAsia" w:ascii="仿宋" w:hAnsi="仿宋" w:eastAsia="仿宋" w:cs="仿宋"/>
                <w:sz w:val="24"/>
                <w:lang w:val="en-US" w:eastAsia="zh-CN"/>
              </w:rPr>
              <w:t>内涵</w:t>
            </w:r>
            <w:r>
              <w:rPr>
                <w:rFonts w:hint="eastAsia" w:ascii="仿宋" w:hAnsi="仿宋" w:eastAsia="仿宋" w:cs="仿宋"/>
                <w:sz w:val="24"/>
              </w:rPr>
              <w:t>和精神实质，理解中国特色国家安全体系，树立国家安全底线思维，将国家安全意识转化为自觉行动，强化责任担当。</w:t>
            </w:r>
          </w:p>
        </w:tc>
        <w:tc>
          <w:tcPr>
            <w:tcW w:w="3106" w:type="dxa"/>
            <w:vAlign w:val="center"/>
          </w:tcPr>
          <w:p>
            <w:pPr>
              <w:spacing w:line="360" w:lineRule="exact"/>
              <w:rPr>
                <w:rFonts w:hint="eastAsia" w:ascii="仿宋" w:hAnsi="仿宋" w:eastAsia="仿宋" w:cs="仿宋"/>
                <w:sz w:val="24"/>
                <w:lang w:eastAsia="zh-CN"/>
              </w:rPr>
            </w:pPr>
            <w:r>
              <w:rPr>
                <w:rFonts w:hint="eastAsia" w:ascii="仿宋" w:hAnsi="仿宋" w:eastAsia="仿宋" w:cs="仿宋"/>
                <w:sz w:val="24"/>
              </w:rPr>
              <w:t>政治安全、国土安全、军事安全、经济安全、文化安全、社会安全、科技安全、网络安全、生态安全、资源安全、核安全、海外利益安全、新型领域安全</w:t>
            </w:r>
            <w:r>
              <w:rPr>
                <w:rFonts w:hint="eastAsia" w:ascii="仿宋" w:hAnsi="仿宋" w:eastAsia="仿宋" w:cs="仿宋"/>
                <w:sz w:val="24"/>
                <w:lang w:eastAsia="zh-CN"/>
              </w:rPr>
              <w:t>。</w:t>
            </w:r>
          </w:p>
        </w:tc>
        <w:tc>
          <w:tcPr>
            <w:tcW w:w="3011" w:type="dxa"/>
            <w:vAlign w:val="center"/>
          </w:tcPr>
          <w:p>
            <w:pPr>
              <w:spacing w:line="360" w:lineRule="exact"/>
              <w:rPr>
                <w:rFonts w:hint="eastAsia" w:ascii="仿宋" w:hAnsi="仿宋" w:eastAsia="仿宋" w:cs="仿宋"/>
                <w:sz w:val="24"/>
              </w:rPr>
            </w:pPr>
            <w:r>
              <w:rPr>
                <w:rFonts w:hint="eastAsia" w:ascii="仿宋" w:hAnsi="仿宋" w:eastAsia="仿宋" w:cs="仿宋"/>
                <w:sz w:val="24"/>
              </w:rPr>
              <w:t>通过组织讲座、参观、调研、体验式、实践活动等方式，进行案例分析、实地考察、访谈探究、行动反思，积极引导学生自主参与、体验感悟。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6" w:hRule="atLeast"/>
          <w:jc w:val="center"/>
        </w:trPr>
        <w:tc>
          <w:tcPr>
            <w:tcW w:w="517"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24</w:t>
            </w:r>
          </w:p>
        </w:tc>
        <w:tc>
          <w:tcPr>
            <w:tcW w:w="783"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语文</w:t>
            </w:r>
          </w:p>
        </w:tc>
        <w:tc>
          <w:tcPr>
            <w:tcW w:w="3330" w:type="dxa"/>
            <w:vAlign w:val="center"/>
          </w:tcPr>
          <w:p>
            <w:pPr>
              <w:spacing w:line="360" w:lineRule="exact"/>
              <w:rPr>
                <w:rFonts w:hint="eastAsia" w:ascii="仿宋" w:hAnsi="仿宋" w:eastAsia="仿宋" w:cs="仿宋"/>
                <w:sz w:val="24"/>
              </w:rPr>
            </w:pPr>
            <w:r>
              <w:rPr>
                <w:rFonts w:hint="eastAsia" w:ascii="仿宋" w:hAnsi="仿宋" w:eastAsia="仿宋" w:cs="仿宋"/>
                <w:sz w:val="24"/>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3106" w:type="dxa"/>
            <w:vAlign w:val="center"/>
          </w:tcPr>
          <w:p>
            <w:pPr>
              <w:spacing w:line="360" w:lineRule="exact"/>
              <w:rPr>
                <w:rFonts w:hint="eastAsia" w:ascii="仿宋" w:hAnsi="仿宋" w:eastAsia="仿宋" w:cs="仿宋"/>
                <w:sz w:val="24"/>
              </w:rPr>
            </w:pPr>
            <w:r>
              <w:rPr>
                <w:rFonts w:hint="eastAsia" w:ascii="仿宋" w:hAnsi="仿宋" w:eastAsia="仿宋" w:cs="仿宋"/>
                <w:sz w:val="24"/>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3011" w:type="dxa"/>
            <w:vAlign w:val="center"/>
          </w:tcPr>
          <w:p>
            <w:pPr>
              <w:spacing w:line="360" w:lineRule="exact"/>
              <w:rPr>
                <w:rFonts w:hint="eastAsia" w:ascii="仿宋" w:hAnsi="仿宋" w:eastAsia="仿宋" w:cs="仿宋"/>
                <w:sz w:val="24"/>
              </w:rPr>
            </w:pPr>
            <w:r>
              <w:rPr>
                <w:rFonts w:hint="eastAsia" w:ascii="仿宋" w:hAnsi="仿宋" w:eastAsia="仿宋" w:cs="仿宋"/>
                <w:sz w:val="24"/>
              </w:rPr>
              <w:t>通过多媒体教学设备展示文学作品的相关图片、视频和音频资料，帮助学生更好理解作品。其次组织课堂讨论、小组合作等教学活动，鼓励学生积极参与，培养其合作意识和创新能力。</w:t>
            </w:r>
          </w:p>
        </w:tc>
      </w:tr>
    </w:tbl>
    <w:p>
      <w:pPr>
        <w:pStyle w:val="2"/>
        <w:pageBreakBefore w:val="0"/>
        <w:widowControl/>
        <w:kinsoku/>
        <w:wordWrap/>
        <w:topLinePunct w:val="0"/>
        <w:autoSpaceDE/>
        <w:autoSpaceDN/>
        <w:bidi w:val="0"/>
        <w:snapToGrid/>
        <w:spacing w:before="0" w:line="520" w:lineRule="exact"/>
        <w:ind w:firstLine="640" w:firstLineChars="200"/>
        <w:jc w:val="left"/>
        <w:textAlignment w:val="auto"/>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（二）专业（技能）课程</w:t>
      </w:r>
    </w:p>
    <w:p>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专业（技能）课程包括专业基础课程、专业核心课程、专业拓展课程，并涵盖有关实践性教学环节。</w:t>
      </w:r>
    </w:p>
    <w:p>
      <w:pPr>
        <w:pageBreakBefore w:val="0"/>
        <w:numPr>
          <w:ilvl w:val="0"/>
          <w:numId w:val="0"/>
        </w:numPr>
        <w:kinsoku/>
        <w:wordWrap/>
        <w:overflowPunct w:val="0"/>
        <w:topLinePunct w:val="0"/>
        <w:autoSpaceDE/>
        <w:autoSpaceDN/>
        <w:bidi w:val="0"/>
        <w:adjustRightInd w:val="0"/>
        <w:snapToGrid/>
        <w:spacing w:line="520" w:lineRule="exact"/>
        <w:ind w:firstLine="960" w:firstLineChars="300"/>
        <w:textAlignment w:val="auto"/>
        <w:rPr>
          <w:rFonts w:hint="eastAsia" w:ascii="仿宋_GB2312" w:hAnsi="仿宋_GB2312" w:eastAsia="仿宋_GB2312" w:cs="仿宋_GB2312"/>
          <w:color w:val="auto"/>
          <w:kern w:val="2"/>
          <w:sz w:val="32"/>
          <w:szCs w:val="32"/>
          <w:lang w:val="en-US" w:eastAsia="zh-CN" w:bidi="ar-SA"/>
        </w:rPr>
      </w:pPr>
      <w:bookmarkStart w:id="9" w:name="_Toc90734975"/>
      <w:r>
        <w:rPr>
          <w:rFonts w:hint="eastAsia" w:ascii="仿宋_GB2312" w:hAnsi="仿宋_GB2312" w:eastAsia="仿宋_GB2312" w:cs="仿宋_GB2312"/>
          <w:color w:val="auto"/>
          <w:kern w:val="2"/>
          <w:sz w:val="32"/>
          <w:szCs w:val="32"/>
          <w:lang w:val="en-US" w:eastAsia="zh-CN" w:bidi="ar-SA"/>
        </w:rPr>
        <w:t>1.专业基础课程：</w:t>
      </w:r>
      <w:bookmarkEnd w:id="9"/>
    </w:p>
    <w:p>
      <w:pPr>
        <w:pageBreakBefore w:val="0"/>
        <w:numPr>
          <w:ilvl w:val="0"/>
          <w:numId w:val="0"/>
        </w:numPr>
        <w:kinsoku/>
        <w:wordWrap/>
        <w:overflowPunct w:val="0"/>
        <w:topLinePunct w:val="0"/>
        <w:autoSpaceDE/>
        <w:autoSpaceDN/>
        <w:bidi w:val="0"/>
        <w:adjustRightInd w:val="0"/>
        <w:snapToGrid/>
        <w:spacing w:line="520" w:lineRule="exact"/>
        <w:textAlignment w:val="auto"/>
        <w:rPr>
          <w:rFonts w:hint="eastAsia" w:ascii="仿宋" w:hAnsi="仿宋" w:eastAsia="仿宋" w:cs="仿宋"/>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 xml:space="preserve">     专业基础课是为后续专业课程学习打基础的课程。  包括：物业管理概论、房屋构造与维护管理、管理学、管理心理学、社区服务与管理、物业档案管理、物业安全管理与服务、物业应用文写作、公共关系学等课</w:t>
      </w:r>
      <w:r>
        <w:rPr>
          <w:rFonts w:hint="eastAsia" w:ascii="仿宋_GB2312" w:hAnsi="仿宋_GB2312" w:eastAsia="仿宋_GB2312" w:cs="仿宋_GB2312"/>
          <w:color w:val="auto"/>
          <w:spacing w:val="-4"/>
          <w:sz w:val="32"/>
          <w:szCs w:val="32"/>
        </w:rPr>
        <w:t>程</w:t>
      </w:r>
      <w:r>
        <w:rPr>
          <w:rFonts w:hint="eastAsia" w:ascii="仿宋_GB2312" w:hAnsi="仿宋_GB2312" w:eastAsia="仿宋_GB2312" w:cs="仿宋_GB2312"/>
          <w:color w:val="auto"/>
          <w:spacing w:val="-4"/>
          <w:sz w:val="32"/>
          <w:szCs w:val="32"/>
          <w:lang w:eastAsia="zh-CN"/>
        </w:rPr>
        <w:t>。</w:t>
      </w:r>
    </w:p>
    <w:p>
      <w:pPr>
        <w:pageBreakBefore w:val="0"/>
        <w:numPr>
          <w:ilvl w:val="0"/>
          <w:numId w:val="0"/>
        </w:numPr>
        <w:kinsoku/>
        <w:wordWrap/>
        <w:overflowPunct w:val="0"/>
        <w:topLinePunct w:val="0"/>
        <w:autoSpaceDE/>
        <w:autoSpaceDN/>
        <w:bidi w:val="0"/>
        <w:adjustRightInd w:val="0"/>
        <w:snapToGrid/>
        <w:spacing w:line="520" w:lineRule="exact"/>
        <w:ind w:firstLine="2880" w:firstLineChars="9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3 </w:t>
      </w:r>
      <w:r>
        <w:rPr>
          <w:rFonts w:hint="eastAsia" w:ascii="仿宋_GB2312" w:hAnsi="仿宋_GB2312" w:eastAsia="仿宋_GB2312" w:cs="仿宋_GB2312"/>
          <w:color w:val="auto"/>
          <w:kern w:val="2"/>
          <w:sz w:val="32"/>
          <w:szCs w:val="32"/>
          <w:lang w:val="en-US" w:eastAsia="zh-CN" w:bidi="ar-SA"/>
        </w:rPr>
        <w:t>专业基础课程描述表</w:t>
      </w:r>
    </w:p>
    <w:tbl>
      <w:tblPr>
        <w:tblStyle w:val="6"/>
        <w:tblW w:w="10545" w:type="dxa"/>
        <w:tblInd w:w="-9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900"/>
        <w:gridCol w:w="3547"/>
        <w:gridCol w:w="2691"/>
        <w:gridCol w:w="2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序号</w:t>
            </w:r>
          </w:p>
        </w:tc>
        <w:tc>
          <w:tcPr>
            <w:tcW w:w="9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课程名称</w:t>
            </w:r>
          </w:p>
        </w:tc>
        <w:tc>
          <w:tcPr>
            <w:tcW w:w="354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课程教学目标</w:t>
            </w:r>
          </w:p>
        </w:tc>
        <w:tc>
          <w:tcPr>
            <w:tcW w:w="26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课程教学内容</w:t>
            </w:r>
          </w:p>
        </w:tc>
        <w:tc>
          <w:tcPr>
            <w:tcW w:w="274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6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9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物业管理概论</w:t>
            </w:r>
          </w:p>
        </w:tc>
        <w:tc>
          <w:tcPr>
            <w:tcW w:w="354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了解物业管理的基本知识、技能；了解物业管理服务的主要内容、各类型物业管理；了解业主、业主委员会、物业管理公司三者之间的关系；掌握房屋维修、设备管理的基本技能和知识；理解企业形象设计与ISO9000质量体系。</w:t>
            </w:r>
          </w:p>
        </w:tc>
        <w:tc>
          <w:tcPr>
            <w:tcW w:w="26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掌握物业管理企业；物业服务与管理的实施过程；物业管理法规概论</w:t>
            </w:r>
          </w:p>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物业管理实务。</w:t>
            </w:r>
          </w:p>
        </w:tc>
        <w:tc>
          <w:tcPr>
            <w:tcW w:w="274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通过多媒体教学设备展示物业管理的相关图片、视频和音频资料，帮助学生更好理解作品。其次组织课堂讨论、小组合作等教学活动，鼓励学生积极参与，培养其合作意识和创新能力。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0" w:hRule="atLeast"/>
        </w:trPr>
        <w:tc>
          <w:tcPr>
            <w:tcW w:w="66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9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房屋构造与维护管理</w:t>
            </w:r>
          </w:p>
        </w:tc>
        <w:tc>
          <w:tcPr>
            <w:tcW w:w="354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理解物业管理的基本概念；掌握建筑的构成要素及分类原理:.掌握建筑物的分类、等级和标准;了解物业管理质量认证体系；掌握物业管理公司团队建设基本方法。</w:t>
            </w:r>
          </w:p>
        </w:tc>
        <w:tc>
          <w:tcPr>
            <w:tcW w:w="26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认知房屋建筑；了解房屋建筑物的构造组成；</w:t>
            </w:r>
          </w:p>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掌握基础与地下室的构造；掌握墙体构造；</w:t>
            </w:r>
          </w:p>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掌握楼地层构造；掌握楼梯的构造；掌握门窗的构造；认识房屋维护管理；掌握房屋基础的维护与加固。</w:t>
            </w:r>
          </w:p>
        </w:tc>
        <w:tc>
          <w:tcPr>
            <w:tcW w:w="274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66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9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管理学</w:t>
            </w:r>
          </w:p>
        </w:tc>
        <w:tc>
          <w:tcPr>
            <w:tcW w:w="354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正确理解管理的涵义,掌握管理学所涉及的核心概念与理论;了解管理活动的产生、管理思想的演进及其主要理论流派;掌握管理四大职能即计划、组织、领导、控制的基本原则、内容及技术方法;认识企业文化的涵义、功能及其塑造途径。</w:t>
            </w:r>
          </w:p>
        </w:tc>
        <w:tc>
          <w:tcPr>
            <w:tcW w:w="26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掌握管理与管理学；</w:t>
            </w:r>
          </w:p>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管理理论的演化；组织的概论；计划工作概述；决策在管理中的战略；</w:t>
            </w:r>
          </w:p>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领导艺术；激励。</w:t>
            </w:r>
          </w:p>
        </w:tc>
        <w:tc>
          <w:tcPr>
            <w:tcW w:w="274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通过多媒体教学设备展示管理学的相关图片、视频和音频资料，帮助学生更好理解内容。其次组织课堂讨论、小组合作等教学活动，鼓励学生积极参与，培养其合作意识和创新能力。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66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9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管理心理学</w:t>
            </w:r>
          </w:p>
        </w:tc>
        <w:tc>
          <w:tcPr>
            <w:tcW w:w="354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掌握管理心理学的概念、研究对象、理论基础和研究方法；熟知社会认知的影响因素，掌握社会认知偏差的心理效应；熟知气质、性格、能力理论对管理实践的指导意义；了解价值观、态度与行为的关系；了解个体行为的一般规律，熟知需要、动机与行为的关系，掌握激励理论；</w:t>
            </w:r>
          </w:p>
        </w:tc>
        <w:tc>
          <w:tcPr>
            <w:tcW w:w="26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掌握管理心理学的理论基础；社会认知与管理；个性与管理</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；价值观、态度与管理</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；激励与管理；群体心理与管理；领导心理与管理；员工心理健康与管理；员工心理健康与管理。</w:t>
            </w:r>
          </w:p>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p>
        </w:tc>
        <w:tc>
          <w:tcPr>
            <w:tcW w:w="274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通过多媒体教学设备管理心理学的相关图片、视频和音频资料，帮助学生更好理解管理心理学的基础知识。其次组织课堂讨论、小组合作等教学活动，鼓励学生积极参与，培养其合作意识和创新能力。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bookmarkStart w:id="10" w:name="_Toc90734977"/>
            <w:r>
              <w:rPr>
                <w:rFonts w:hint="eastAsia" w:ascii="仿宋" w:hAnsi="仿宋" w:eastAsia="仿宋" w:cs="仿宋"/>
                <w:color w:val="auto"/>
                <w:sz w:val="24"/>
                <w:szCs w:val="24"/>
                <w:highlight w:val="none"/>
                <w:lang w:val="en-US" w:eastAsia="zh-CN"/>
              </w:rPr>
              <w:t>5</w:t>
            </w:r>
          </w:p>
        </w:tc>
        <w:tc>
          <w:tcPr>
            <w:tcW w:w="9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社区服务与管理</w:t>
            </w:r>
          </w:p>
        </w:tc>
        <w:tc>
          <w:tcPr>
            <w:tcW w:w="354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掌握社区服务的基本理论和基本方法。明确服务实务中的工作策略、工作方法、工作方式和主要特点；了解并基本掌握社区调解、弱势群体服务的特点和基本技能，并结合相关案例进行分析、研究；结合相应的实践教学，培养学生在社区服务方面的应用能力。</w:t>
            </w:r>
          </w:p>
        </w:tc>
        <w:tc>
          <w:tcPr>
            <w:tcW w:w="26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掌握社区服务；社区活动的组织与实施；社区人民调解；社区弱势群体的福利服务；社区特殊人群的福利服务；社区便民利民服务；社区社会保障服务；.社区家政服务；社区再就业服务；社区信息服务</w:t>
            </w:r>
          </w:p>
        </w:tc>
        <w:tc>
          <w:tcPr>
            <w:tcW w:w="274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9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物业档案管理</w:t>
            </w:r>
          </w:p>
        </w:tc>
        <w:tc>
          <w:tcPr>
            <w:tcW w:w="354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对学习物业管理专业的兴趣，其次夯实专业基础、履行岗位能力、为今后的就业打下坚实的基础。了解物业档案管理的基础知识；理解物业档案管理的基本工作原理；熟练掌握物业档案管理与维护的知识；能解决物业档案管理的基本问题。</w:t>
            </w:r>
          </w:p>
        </w:tc>
        <w:tc>
          <w:tcPr>
            <w:tcW w:w="26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掌握业主档案管理，物业项目档案的管理，物业档案管理的程序，物业档案整理的具体实施</w:t>
            </w:r>
          </w:p>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，物业管理立卷类别。</w:t>
            </w:r>
          </w:p>
        </w:tc>
        <w:tc>
          <w:tcPr>
            <w:tcW w:w="274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9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物业安全管理与服务</w:t>
            </w:r>
          </w:p>
        </w:tc>
        <w:tc>
          <w:tcPr>
            <w:tcW w:w="354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对学习物业管理专业的兴趣，其次夯实专业基础、履行岗位能力、为今后的就业打下坚实的基础。了解物业档案管理的基础知识；理解物业档案管理的基本工作原理；熟练掌握物业档案管理与维护的知识；能解决物业档案管理的基本问题。</w:t>
            </w:r>
          </w:p>
        </w:tc>
        <w:tc>
          <w:tcPr>
            <w:tcW w:w="2691"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掌握业主档案管理，物业项目档案的管理，物业档案管理的程序，物业档案整理的具体实施</w:t>
            </w:r>
          </w:p>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，物业管理立卷类别。</w:t>
            </w:r>
          </w:p>
        </w:tc>
        <w:tc>
          <w:tcPr>
            <w:tcW w:w="2741"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9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物业应用文写作</w:t>
            </w:r>
          </w:p>
        </w:tc>
        <w:tc>
          <w:tcPr>
            <w:tcW w:w="354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提高高职学生的写作能力、写作水平和人文素养，使学生掌握应用写作的基本知识，包括写作常识、文种知识，让学生掌握应用写作基础知识和应用文常识；明确服务实务中的工作策略、工作方法、工作方式和主要特点；了解并熟悉若干主要文体的写作格式、写作要求；通过阅读例文和瑕疵文案分析，掌握常用文种的写作方法和写作技巧，写出比较规范的常用的应用文章</w:t>
            </w:r>
          </w:p>
        </w:tc>
        <w:tc>
          <w:tcPr>
            <w:tcW w:w="2691"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掌握写作过程的要旨与资料；写作过程的构造与语言；物业管理公事文书；物业管理事务文书；物业管理条例规章文书；物业管理论文类文书。</w:t>
            </w:r>
          </w:p>
        </w:tc>
        <w:tc>
          <w:tcPr>
            <w:tcW w:w="2741"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通过多媒体教学设备管理心理学的相关图片、视频和音频资料以及课堂上的演练，帮助学生更好理解物业应用文写作。其次组织课堂讨论、小组合作等教学活动，鼓励学生积极参与，培养其合作意识和创新能力。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66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w:t>
            </w:r>
          </w:p>
        </w:tc>
        <w:tc>
          <w:tcPr>
            <w:tcW w:w="9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公共关系学</w:t>
            </w:r>
          </w:p>
        </w:tc>
        <w:tc>
          <w:tcPr>
            <w:tcW w:w="354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培养具有管理学、经济学和公共关系学的基本理论和基本知识；熟悉项目管理在国内外的发展过程、现状和趋势；熟练掌握社会调查方法和技能及社会统计方法。</w:t>
            </w:r>
          </w:p>
        </w:tc>
        <w:tc>
          <w:tcPr>
            <w:tcW w:w="2691"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掌握公共关系准备知识；公共关系人员素质能力；公共关系调查</w:t>
            </w:r>
          </w:p>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公共关系策划；公共关系信息传播；公共关系专题活动；危机公关；公关礼仪。</w:t>
            </w:r>
          </w:p>
        </w:tc>
        <w:tc>
          <w:tcPr>
            <w:tcW w:w="2741"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在教学中主要采用讲授法、讨论法、案例教学法、练习法，以充分调动学生进行思考，激发学生主动性和参与性，增加学生在课堂中的获得感，提高教学实效。</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专业核心课程：</w:t>
      </w:r>
      <w:bookmarkEnd w:id="10"/>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专业核心课是面向客户服务、空间营造管理、设备设施管理、经营管理、数字化 管理等岗位（群），结合物业管理员、客户服务管理员、智能楼宇管理员、管理咨询专业人员、物业经营管理专业人员的就业岗位，建立现代物业管理专业核心课程，培养学生物业管理等方面的能力。包括物业财务管理、物业信息管理、物业设备管理、物业环境管理、物业管理综合服务与案例分析、物业管理法规、物业管理招投标、物业服务礼仪等课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4 </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val="en-US" w:eastAsia="zh-CN"/>
        </w:rPr>
        <w:t>核心</w:t>
      </w:r>
      <w:r>
        <w:rPr>
          <w:rFonts w:hint="eastAsia" w:ascii="仿宋_GB2312" w:hAnsi="仿宋_GB2312" w:eastAsia="仿宋_GB2312" w:cs="仿宋_GB2312"/>
          <w:color w:val="auto"/>
          <w:sz w:val="32"/>
          <w:szCs w:val="32"/>
        </w:rPr>
        <w:t>课程描述表</w:t>
      </w:r>
    </w:p>
    <w:tbl>
      <w:tblPr>
        <w:tblStyle w:val="6"/>
        <w:tblW w:w="10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4"/>
        <w:gridCol w:w="911"/>
        <w:gridCol w:w="3306"/>
        <w:gridCol w:w="3283"/>
        <w:gridCol w:w="2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序号</w:t>
            </w:r>
          </w:p>
        </w:tc>
        <w:tc>
          <w:tcPr>
            <w:tcW w:w="91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课程名称</w:t>
            </w:r>
          </w:p>
        </w:tc>
        <w:tc>
          <w:tcPr>
            <w:tcW w:w="330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课程教学目标</w:t>
            </w:r>
          </w:p>
        </w:tc>
        <w:tc>
          <w:tcPr>
            <w:tcW w:w="328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课程教学内容</w:t>
            </w:r>
          </w:p>
        </w:tc>
        <w:tc>
          <w:tcPr>
            <w:tcW w:w="256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91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物业财务管理</w:t>
            </w:r>
          </w:p>
        </w:tc>
        <w:tc>
          <w:tcPr>
            <w:tcW w:w="3306"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掌握物业财务管理基础理论，熟练掌握物业财务管理基本技能和实际操作方法。</w:t>
            </w:r>
          </w:p>
        </w:tc>
        <w:tc>
          <w:tcPr>
            <w:tcW w:w="3283"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了解财务管理机构设置与管理体制，理解资金的筹措与使用、财务管理机构的管理制度、财务核算方法，掌握物业管理资金来源和物业管理费用的构成。</w:t>
            </w:r>
          </w:p>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p>
        </w:tc>
        <w:tc>
          <w:tcPr>
            <w:tcW w:w="2564"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通过多媒体教学设备展示文学作品的相关图片、视频和音频资料，帮助学生更好理解作品。其次组织课堂讨论、小组合作等教学活动，鼓励学生积极参与，培养其合作意识和创新能力。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91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物业信息管理</w:t>
            </w:r>
          </w:p>
        </w:tc>
        <w:tc>
          <w:tcPr>
            <w:tcW w:w="3306"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通过课程学习，培养学员的物业信息管理意识，加强自身的素质修养，提高实际工作能力。</w:t>
            </w:r>
          </w:p>
        </w:tc>
        <w:tc>
          <w:tcPr>
            <w:tcW w:w="3283"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掌握物业信息管理的基本概念和一般模式；掌握物业信息系统分析的方法和要素；掌握不同物业信息管理的特点；掌握物业信息管理系统操作。</w:t>
            </w:r>
          </w:p>
        </w:tc>
        <w:tc>
          <w:tcPr>
            <w:tcW w:w="2564"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91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物业设备管理</w:t>
            </w:r>
          </w:p>
        </w:tc>
        <w:tc>
          <w:tcPr>
            <w:tcW w:w="3306"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熟练掌握给排水工程中主要设备、管材以及附件的种类、特点、功能以及安装施工要求；熟练掌握供暖工程中主要设备、管材以及附件的种类、特点、功能以及安装施工要求；熟练掌握通风空调工程中主要设备、管材以及附件的种类、特点、功能以及安装施工要求。</w:t>
            </w:r>
          </w:p>
        </w:tc>
        <w:tc>
          <w:tcPr>
            <w:tcW w:w="3283"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掌握建筑生活、消防、热水系统的分类、系统的组成以及主要的给水方式；建筑排水系统的分类、组成。给排水工程常用的设备、管材以及附件；卫生器具的安装；给排水管道的布置与敷设。</w:t>
            </w:r>
          </w:p>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p>
        </w:tc>
        <w:tc>
          <w:tcPr>
            <w:tcW w:w="2564"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91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物业环境管理</w:t>
            </w:r>
          </w:p>
        </w:tc>
        <w:tc>
          <w:tcPr>
            <w:tcW w:w="3306"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通过对本课程的学习，学生应达到物业管理员职业标准的相关要求，形成相应的职业能力，如:能按环境卫生耍求管理物业区域、能检查口常清洁卫生工作，会简单的绿化养护和园艺布置、能建立绿化档案等。</w:t>
            </w:r>
          </w:p>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p>
        </w:tc>
        <w:tc>
          <w:tcPr>
            <w:tcW w:w="3283"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课程内容包括:物业环境管理基础知识导入、保洁管理、绿化管理、 治安环境管理、消防管理、车辆道路管理6个学习情境，同时针对学习情境，共用II个实训项目。通过实训让学生感受真实的工作过程，促使学生对理论知识的灵活运用。</w:t>
            </w:r>
          </w:p>
        </w:tc>
        <w:tc>
          <w:tcPr>
            <w:tcW w:w="2564"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91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物业管理综合服务与案例分析</w:t>
            </w:r>
          </w:p>
        </w:tc>
        <w:tc>
          <w:tcPr>
            <w:tcW w:w="3306"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结合国家劳动与人力资源社会保障部物业管理职业资格标准，实现对职业能力的培养(专业知识的掌握:专业实践能力的培养:从业人员职业素质的培养:认真、耐心、诚实、守法、客观、公正)。把培养学生专业认识、提高“有所侧重”的专业知识和技能、掌握高职教育的学习方法、培养物业管理行业从业人员职业素养作为课程目标。</w:t>
            </w:r>
          </w:p>
        </w:tc>
        <w:tc>
          <w:tcPr>
            <w:tcW w:w="3283"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分为基础知识篇、案例分析篇和实训思考篇三大模块:基础知识篇主要提供的是物业管理异议与纠纷的成因与类型、物业管理异议与纠纷的处理技巧及处理程序等知识:案例分析篇通过叙述具体案例，并对案例进行系统分析，提供相关的法规制度:实训思考篇提供了相当数量的案例及提示，以训练学生解决物业管理实践中各类问题的实际能力。</w:t>
            </w:r>
          </w:p>
        </w:tc>
        <w:tc>
          <w:tcPr>
            <w:tcW w:w="2564"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通过案例引导、深度解析，情景模拟，角色扮演，媒体演示，专项实践，让学生达到掌握知识技能目的。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91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物业管理法律法规</w:t>
            </w:r>
          </w:p>
        </w:tc>
        <w:tc>
          <w:tcPr>
            <w:tcW w:w="3306"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理解物业管理与物业管理立法;掌握物业管理条例；物权法；掌握侵权责任法；掌握城市房地产管理法；了解物业管理中的合同应用。</w:t>
            </w:r>
          </w:p>
        </w:tc>
        <w:tc>
          <w:tcPr>
            <w:tcW w:w="3283"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物业管理与物业管理立法；物业管理条例；物权法；侵权责任法；城市房地产管理法；物业管理中的合同应用。</w:t>
            </w:r>
          </w:p>
        </w:tc>
        <w:tc>
          <w:tcPr>
            <w:tcW w:w="256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理论讲授与案例分析以及小组讨论相结合，把知识传授、思想碰撞有机统一起来，调动学生学习的积极性、主动性和创造性，不断提高教学质量和水平。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4"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7</w:t>
            </w:r>
          </w:p>
        </w:tc>
        <w:tc>
          <w:tcPr>
            <w:tcW w:w="911"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物业管理招投标</w:t>
            </w:r>
          </w:p>
        </w:tc>
        <w:tc>
          <w:tcPr>
            <w:tcW w:w="3306"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掌握物业管理领域的基础知识、基本要求与操作程序。能够了解掌握物业管理招标与投标的程序、招标文件的编写、招标文件的制作、投标报价等相关理论和实物。</w:t>
            </w:r>
          </w:p>
        </w:tc>
        <w:tc>
          <w:tcPr>
            <w:tcW w:w="3283"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物业管理招标投标市场现状及相关政策法规，</w:t>
            </w:r>
          </w:p>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物业管理招标投标的概念，物业管理招标投标的条件和程序，投标文件，物业管理方案的制订，物业管理招投标活动中的开标，评标与定标。</w:t>
            </w:r>
          </w:p>
        </w:tc>
        <w:tc>
          <w:tcPr>
            <w:tcW w:w="2564"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4"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8</w:t>
            </w:r>
          </w:p>
        </w:tc>
        <w:tc>
          <w:tcPr>
            <w:tcW w:w="911"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物业服务礼仪</w:t>
            </w:r>
          </w:p>
        </w:tc>
        <w:tc>
          <w:tcPr>
            <w:tcW w:w="3306"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熟悉物业服务礼仪的基础知识；掌握服务礼仪的基本原理和方法；了解物业服务礼仪的基本特征和内涵。具有自主学习新技术、新知识的能力；具有较强的语言表达能力和人际沟通能力；具有小组团结、协作能力。</w:t>
            </w:r>
          </w:p>
        </w:tc>
        <w:tc>
          <w:tcPr>
            <w:tcW w:w="3283"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掌握仪容与形象服务；餐饮与娱乐休闲礼仪；物业社交礼仪；认知物业礼仪；沟通礼仪；服务礼仪；国际礼仪与我国部分少数民族礼俗。</w:t>
            </w:r>
          </w:p>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kern w:val="2"/>
                <w:sz w:val="24"/>
                <w:szCs w:val="24"/>
                <w:highlight w:val="none"/>
                <w:lang w:val="en-US" w:eastAsia="zh-CN" w:bidi="ar-SA"/>
              </w:rPr>
            </w:pPr>
          </w:p>
        </w:tc>
        <w:tc>
          <w:tcPr>
            <w:tcW w:w="2564"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注重礼仪示范指导，通过礼仪示范动作带动学生的学习兴趣；强化礼仪实践训练，让学生通过礼仪实际操作掌握礼仪技能。</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主要实践性课程：毕业设计、</w:t>
      </w:r>
      <w:r>
        <w:rPr>
          <w:rFonts w:hint="eastAsia" w:ascii="仿宋_GB2312" w:hAnsi="仿宋_GB2312" w:eastAsia="仿宋_GB2312" w:cs="仿宋_GB2312"/>
          <w:color w:val="auto"/>
          <w:sz w:val="32"/>
          <w:szCs w:val="32"/>
          <w:lang w:eastAsia="zh-CN"/>
        </w:rPr>
        <w:t>岗位实习</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5 </w:t>
      </w:r>
      <w:r>
        <w:rPr>
          <w:rFonts w:hint="eastAsia" w:ascii="仿宋_GB2312" w:hAnsi="仿宋_GB2312" w:eastAsia="仿宋_GB2312" w:cs="仿宋_GB2312"/>
          <w:color w:val="auto"/>
          <w:sz w:val="32"/>
          <w:szCs w:val="32"/>
        </w:rPr>
        <w:t>主要实践课程描述表</w:t>
      </w:r>
    </w:p>
    <w:tbl>
      <w:tblPr>
        <w:tblStyle w:val="6"/>
        <w:tblW w:w="104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1"/>
        <w:gridCol w:w="850"/>
        <w:gridCol w:w="4267"/>
        <w:gridCol w:w="1959"/>
        <w:gridCol w:w="27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序号</w:t>
            </w:r>
          </w:p>
        </w:tc>
        <w:tc>
          <w:tcPr>
            <w:tcW w:w="85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课程名称</w:t>
            </w:r>
          </w:p>
        </w:tc>
        <w:tc>
          <w:tcPr>
            <w:tcW w:w="426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课程教学目标</w:t>
            </w:r>
          </w:p>
        </w:tc>
        <w:tc>
          <w:tcPr>
            <w:tcW w:w="195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课程教学内容</w:t>
            </w:r>
          </w:p>
        </w:tc>
        <w:tc>
          <w:tcPr>
            <w:tcW w:w="272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85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毕业</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设计</w:t>
            </w:r>
          </w:p>
        </w:tc>
        <w:tc>
          <w:tcPr>
            <w:tcW w:w="426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旨在培养学生的开发和设计能力，提高综合运用所学知识和技能去分析、解决实际问题的能力。使学生对所学过的基础理论和专业知识进行全面、系统地回顾和总结，通过对具体题目的分析，使理论与实践相结合，巩固和发展所学理论知识，掌握正确的思维方法和基本技能，提高学生独立思考能力、利用计算机解决实际问题的能力及操作水平，促进学生建立严谨的科学态度和工作作风。</w:t>
            </w:r>
          </w:p>
        </w:tc>
        <w:tc>
          <w:tcPr>
            <w:tcW w:w="1959"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选题和资料收集；分析和计划；开题报告；撰写初稿；修改定稿；答辩</w:t>
            </w:r>
          </w:p>
        </w:tc>
        <w:tc>
          <w:tcPr>
            <w:tcW w:w="2724"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通过理论讲解、参观、调研、体验式、实践活动等方式，进行案例分析、实地考察、访谈探究、行动反思，积极引导学生自主思考、自主书写。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85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岗位</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实习</w:t>
            </w:r>
          </w:p>
        </w:tc>
        <w:tc>
          <w:tcPr>
            <w:tcW w:w="426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通过岗位实习，培养学生吃苦耐劳、团结合作的精神品质和正确处事原则，进一步增强学生实际操作能力、专业应用能力和岗位适应能力，并取得用人单位正式聘用。</w:t>
            </w:r>
          </w:p>
        </w:tc>
        <w:tc>
          <w:tcPr>
            <w:tcW w:w="1959"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物业管理员岗位实习、客户服务管理员岗位实习、智能楼宇管理员岗位实习、管理咨询专业人员岗位实习</w:t>
            </w:r>
          </w:p>
        </w:tc>
        <w:tc>
          <w:tcPr>
            <w:tcW w:w="2724"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实习课程不仅注重学生专业技能的培养，还强调创新能力的培养，注重实践操作，加强实际操作能力。通过实习，学生可以明晰社会对本专业人才的需要，明确提升知识与技能的努力方向，强化认识能力、动手能力、创新能力，为今后的工作打下坚实的基础。</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rPr>
      </w:pPr>
      <w:bookmarkStart w:id="11" w:name="_Toc90734991"/>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eastAsia="zh-CN"/>
        </w:rPr>
        <w:t>拓展</w:t>
      </w:r>
      <w:r>
        <w:rPr>
          <w:rFonts w:hint="eastAsia" w:ascii="仿宋_GB2312" w:hAnsi="仿宋_GB2312" w:eastAsia="仿宋_GB2312" w:cs="仿宋_GB2312"/>
          <w:color w:val="auto"/>
          <w:sz w:val="32"/>
          <w:szCs w:val="32"/>
        </w:rPr>
        <w:t>课程：</w:t>
      </w:r>
      <w:bookmarkEnd w:id="11"/>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sz w:val="32"/>
          <w:szCs w:val="32"/>
        </w:rPr>
        <w:t>专业拓展课程是按照岗位迁移，根据</w:t>
      </w:r>
      <w:r>
        <w:rPr>
          <w:rFonts w:hint="eastAsia" w:ascii="仿宋_GB2312" w:hAnsi="仿宋_GB2312" w:eastAsia="仿宋_GB2312" w:cs="仿宋_GB2312"/>
          <w:color w:val="auto"/>
          <w:spacing w:val="-2"/>
          <w:sz w:val="32"/>
          <w:szCs w:val="32"/>
        </w:rPr>
        <w:t>现代物业管理</w:t>
      </w:r>
      <w:r>
        <w:rPr>
          <w:rFonts w:hint="eastAsia" w:ascii="仿宋_GB2312" w:hAnsi="仿宋_GB2312" w:eastAsia="仿宋_GB2312" w:cs="仿宋_GB2312"/>
          <w:color w:val="auto"/>
          <w:spacing w:val="-2"/>
          <w:sz w:val="32"/>
          <w:szCs w:val="32"/>
          <w:lang w:eastAsia="zh-CN"/>
        </w:rPr>
        <w:t>行业</w:t>
      </w:r>
      <w:r>
        <w:rPr>
          <w:rFonts w:hint="eastAsia" w:ascii="仿宋_GB2312" w:hAnsi="仿宋_GB2312" w:eastAsia="仿宋_GB2312" w:cs="仿宋_GB2312"/>
          <w:color w:val="auto"/>
          <w:sz w:val="32"/>
          <w:szCs w:val="32"/>
        </w:rPr>
        <w:t>发展的趋势，依据企业用人需求调研，企业对</w:t>
      </w:r>
      <w:r>
        <w:rPr>
          <w:rFonts w:hint="eastAsia" w:ascii="仿宋_GB2312" w:hAnsi="仿宋_GB2312" w:eastAsia="仿宋_GB2312" w:cs="仿宋_GB2312"/>
          <w:color w:val="auto"/>
          <w:spacing w:val="-2"/>
          <w:sz w:val="32"/>
          <w:szCs w:val="32"/>
          <w:lang w:val="en-US" w:eastAsia="zh-CN"/>
        </w:rPr>
        <w:t>物业管理</w:t>
      </w:r>
      <w:r>
        <w:rPr>
          <w:rFonts w:hint="eastAsia" w:ascii="仿宋_GB2312" w:hAnsi="仿宋_GB2312" w:eastAsia="仿宋_GB2312" w:cs="仿宋_GB2312"/>
          <w:color w:val="auto"/>
          <w:sz w:val="32"/>
          <w:szCs w:val="32"/>
        </w:rPr>
        <w:t>等方面日益增加的需求，建立了</w:t>
      </w:r>
      <w:r>
        <w:rPr>
          <w:rFonts w:hint="eastAsia" w:ascii="仿宋_GB2312" w:hAnsi="仿宋_GB2312" w:eastAsia="仿宋_GB2312" w:cs="仿宋_GB2312"/>
          <w:color w:val="auto"/>
          <w:spacing w:val="-2"/>
          <w:sz w:val="32"/>
          <w:szCs w:val="32"/>
        </w:rPr>
        <w:t>现代</w:t>
      </w:r>
      <w:r>
        <w:rPr>
          <w:rFonts w:hint="eastAsia" w:ascii="仿宋_GB2312" w:hAnsi="仿宋_GB2312" w:eastAsia="仿宋_GB2312" w:cs="仿宋_GB2312"/>
          <w:color w:val="auto"/>
          <w:spacing w:val="-2"/>
          <w:sz w:val="32"/>
          <w:szCs w:val="32"/>
          <w:lang w:val="en-US" w:eastAsia="zh-CN"/>
        </w:rPr>
        <w:t>物业管理</w:t>
      </w:r>
      <w:r>
        <w:rPr>
          <w:rFonts w:hint="eastAsia" w:ascii="仿宋_GB2312" w:hAnsi="仿宋_GB2312" w:eastAsia="仿宋_GB2312" w:cs="仿宋_GB2312"/>
          <w:color w:val="auto"/>
          <w:sz w:val="32"/>
          <w:szCs w:val="32"/>
        </w:rPr>
        <w:t>专业拓展课，并将辅修方向课程纳入其中。由</w:t>
      </w:r>
      <w:r>
        <w:rPr>
          <w:rFonts w:hint="eastAsia" w:ascii="仿宋_GB2312" w:hAnsi="仿宋_GB2312" w:eastAsia="仿宋_GB2312" w:cs="仿宋_GB2312"/>
          <w:color w:val="auto"/>
          <w:spacing w:val="-4"/>
          <w:sz w:val="32"/>
          <w:szCs w:val="32"/>
        </w:rPr>
        <w:t>工程制图</w:t>
      </w:r>
      <w:r>
        <w:rPr>
          <w:rFonts w:hint="eastAsia" w:ascii="仿宋_GB2312" w:hAnsi="仿宋_GB2312" w:eastAsia="仿宋_GB2312" w:cs="仿宋_GB2312"/>
          <w:color w:val="auto"/>
          <w:spacing w:val="-4"/>
          <w:sz w:val="32"/>
          <w:szCs w:val="32"/>
          <w:lang w:eastAsia="zh-CN"/>
        </w:rPr>
        <w:t>、工程建设法规、计算机辅助设计（CAD）、文献检索与论文写作</w:t>
      </w:r>
      <w:r>
        <w:rPr>
          <w:rFonts w:hint="eastAsia" w:ascii="仿宋_GB2312" w:hAnsi="仿宋_GB2312" w:eastAsia="仿宋_GB2312" w:cs="仿宋_GB2312"/>
          <w:color w:val="auto"/>
          <w:sz w:val="32"/>
          <w:szCs w:val="32"/>
        </w:rPr>
        <w:t>等课程构成专业拓展课。</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6 </w:t>
      </w:r>
      <w:r>
        <w:rPr>
          <w:rFonts w:hint="eastAsia" w:ascii="仿宋_GB2312" w:hAnsi="仿宋_GB2312" w:eastAsia="仿宋_GB2312" w:cs="仿宋_GB2312"/>
          <w:color w:val="auto"/>
          <w:sz w:val="32"/>
          <w:szCs w:val="32"/>
          <w:lang w:val="en-US" w:eastAsia="zh-CN"/>
        </w:rPr>
        <w:t>专业拓展课程描述表</w:t>
      </w:r>
    </w:p>
    <w:tbl>
      <w:tblPr>
        <w:tblStyle w:val="6"/>
        <w:tblW w:w="10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3"/>
        <w:gridCol w:w="1219"/>
        <w:gridCol w:w="3176"/>
        <w:gridCol w:w="2393"/>
        <w:gridCol w:w="2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序号</w:t>
            </w:r>
          </w:p>
        </w:tc>
        <w:tc>
          <w:tcPr>
            <w:tcW w:w="121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课程名称</w:t>
            </w:r>
          </w:p>
        </w:tc>
        <w:tc>
          <w:tcPr>
            <w:tcW w:w="317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课程教学目标</w:t>
            </w:r>
          </w:p>
        </w:tc>
        <w:tc>
          <w:tcPr>
            <w:tcW w:w="239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课程教学内容</w:t>
            </w:r>
          </w:p>
        </w:tc>
        <w:tc>
          <w:tcPr>
            <w:tcW w:w="2532"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21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工程制图</w:t>
            </w:r>
          </w:p>
        </w:tc>
        <w:tc>
          <w:tcPr>
            <w:tcW w:w="3176"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培育使用投影的方法用二维平面图形表达三维空间形状的能力。培育绘制(徒手画图、尺规画图和计算机画图)和阅读机械工程图样的能力。培育空间想象能力和构想能力。</w:t>
            </w:r>
          </w:p>
        </w:tc>
        <w:tc>
          <w:tcPr>
            <w:tcW w:w="2393"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主要内容包括制图的基础知识、视图投影原理、组合体三视图、轴测投影、机械制图、电气工程图、化工制图、计算机绘图等。</w:t>
            </w:r>
          </w:p>
        </w:tc>
        <w:tc>
          <w:tcPr>
            <w:tcW w:w="2532"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注重实践操作，加强实际操作练习。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21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工程建设</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法规</w:t>
            </w:r>
          </w:p>
        </w:tc>
        <w:tc>
          <w:tcPr>
            <w:tcW w:w="3176"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了解建设法规的概念和表现形式，掌握建设法规的调整对象及特征。</w:t>
            </w:r>
          </w:p>
        </w:tc>
        <w:tc>
          <w:tcPr>
            <w:tcW w:w="2393"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工程建设法规的概念；工程建设法规的调整对象；工程建设法规的使用范围。</w:t>
            </w:r>
          </w:p>
        </w:tc>
        <w:tc>
          <w:tcPr>
            <w:tcW w:w="2532"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在教学中主要采用讲授法、讨论法、查阅法，以充分调动学生进行思考，激发学生主动性和参与性，增加学生在课堂中的获得感，提高教学实效。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0" w:hRule="atLeast"/>
          <w:jc w:val="center"/>
        </w:trPr>
        <w:tc>
          <w:tcPr>
            <w:tcW w:w="88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21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计算机辅助设计（CAD）</w:t>
            </w:r>
          </w:p>
        </w:tc>
        <w:tc>
          <w:tcPr>
            <w:tcW w:w="3176"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了解计算机辅助设计软件的发展历程、计算机辅助设计软件的功能和绘图要求，而且能学会计算机辅助设计软件的基本绘图方法和绘图技巧，具备应用计算机辅助设计软件绘制零件图和装配图的基本能力。</w:t>
            </w:r>
          </w:p>
        </w:tc>
        <w:tc>
          <w:tcPr>
            <w:tcW w:w="2393"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掌握计算机绘图环境、绘图与编辑命令，图形显示控制、文字输入和图形编辑辅助绘图工具及目标查询特性修改与夹点编辑。</w:t>
            </w:r>
          </w:p>
        </w:tc>
        <w:tc>
          <w:tcPr>
            <w:tcW w:w="2532"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注重实践操作，加强实际操作练习。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21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文献检索与论文写作</w:t>
            </w:r>
          </w:p>
        </w:tc>
        <w:tc>
          <w:tcPr>
            <w:tcW w:w="3176"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掌握各种文献特点与分布，传统文献检索工具的编排组织规则和使用方法，电子文献检索技术，国内外著名的题录、文摘或索引数据库、引文数据库、全文数据库的特点及使用方法，文献的合理使用，学术论文的写作规范、撰写方法以及投稿技巧等。</w:t>
            </w:r>
          </w:p>
        </w:tc>
        <w:tc>
          <w:tcPr>
            <w:tcW w:w="2393"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了解文献检索和论文的相互关系和重要意义；掌握文献概念、属性和；分类，掌握文献信息检；索的含义、类型和基本；原理，掌握文献信息检</w:t>
            </w:r>
          </w:p>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索的途径、方法和步骤；掌握中文全文数据库；的检索方法。</w:t>
            </w:r>
          </w:p>
        </w:tc>
        <w:tc>
          <w:tcPr>
            <w:tcW w:w="2532"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在教学中主要采用讲授法、讨论法、查阅法，以充分调动学生进行思考，激发学生主动性和参与性，增加学生在课堂中的获得感，提高教学实效。</w:t>
            </w:r>
          </w:p>
        </w:tc>
      </w:tr>
    </w:tbl>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（三）第二课堂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lang w:val="en-US" w:eastAsia="zh-CN"/>
        </w:rPr>
        <w:t>第二课堂包括思想成长、社会实践与志愿服务、文艺体育、工作履历、科技学术和创新创业、专业技能特长等其他各类课程及活动。</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color w:val="auto"/>
          <w:sz w:val="32"/>
          <w:szCs w:val="32"/>
          <w:highlight w:val="none"/>
        </w:rPr>
      </w:pPr>
      <w:r>
        <w:rPr>
          <w:rFonts w:ascii="黑体" w:hAnsi="黑体" w:eastAsia="黑体"/>
          <w:color w:val="auto"/>
          <w:sz w:val="32"/>
          <w:szCs w:val="32"/>
          <w:highlight w:val="none"/>
        </w:rPr>
        <w:t>七、教学进程总体安排</w:t>
      </w:r>
    </w:p>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（一）教学时间安排</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lang w:val="en-US" w:eastAsia="zh-CN"/>
        </w:rPr>
        <w:t>本专业总周数为120周。其中，校内教学共76周，校外教学共 31周，复习考试共6周，机动共7周。教学安排可根据具体情况经教务科研处审批后作适当调整。</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kinsoku/>
        <w:wordWrap/>
        <w:topLinePunct w:val="0"/>
        <w:autoSpaceDE/>
        <w:autoSpaceDN/>
        <w:bidi w:val="0"/>
        <w:snapToGrid/>
        <w:spacing w:line="520" w:lineRule="exact"/>
        <w:ind w:firstLine="640" w:firstLineChars="200"/>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现代物业管理专业教学时间安排表</w:t>
      </w:r>
    </w:p>
    <w:tbl>
      <w:tblPr>
        <w:tblStyle w:val="6"/>
        <w:tblW w:w="0" w:type="auto"/>
        <w:tblInd w:w="-1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1205"/>
        <w:gridCol w:w="1216"/>
        <w:gridCol w:w="1216"/>
        <w:gridCol w:w="1216"/>
        <w:gridCol w:w="1216"/>
        <w:gridCol w:w="1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2571"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pPr>
              <w:keepNext w:val="0"/>
              <w:keepLines w:val="0"/>
              <w:pageBreakBefore w:val="0"/>
              <w:widowControl w:val="0"/>
              <w:kinsoku/>
              <w:wordWrap/>
              <w:topLinePunct w:val="0"/>
              <w:autoSpaceDE/>
              <w:autoSpaceDN/>
              <w:bidi w:val="0"/>
              <w:snapToGrid w:val="0"/>
              <w:spacing w:line="240" w:lineRule="auto"/>
              <w:textAlignment w:val="auto"/>
              <w:rPr>
                <w:rFonts w:hint="eastAsia" w:ascii="楷体" w:hAnsi="楷体" w:eastAsia="楷体" w:cs="楷体"/>
                <w:color w:val="auto"/>
                <w:sz w:val="24"/>
                <w:szCs w:val="24"/>
                <w:highlight w:val="none"/>
                <w:vertAlign w:val="baseline"/>
                <w:lang w:eastAsia="zh-CN"/>
              </w:rPr>
            </w:pPr>
          </w:p>
          <w:p>
            <w:pPr>
              <w:keepNext w:val="0"/>
              <w:keepLines w:val="0"/>
              <w:pageBreakBefore w:val="0"/>
              <w:widowControl w:val="0"/>
              <w:kinsoku/>
              <w:wordWrap/>
              <w:topLinePunct w:val="0"/>
              <w:autoSpaceDE/>
              <w:autoSpaceDN/>
              <w:bidi w:val="0"/>
              <w:snapToGrid w:val="0"/>
              <w:spacing w:line="240" w:lineRule="auto"/>
              <w:textAlignment w:val="auto"/>
              <mc:AlternateContent>
                <mc:Choice Requires="wpsCustomData">
                  <wpsCustomData:diagonalParaType/>
                </mc:Choice>
              </mc:AlternateContent>
              <w:rPr>
                <w:rFonts w:hint="eastAsia" w:ascii="楷体" w:hAnsi="楷体" w:eastAsia="楷体" w:cs="楷体"/>
                <w:color w:val="auto"/>
                <w:sz w:val="24"/>
                <w:szCs w:val="24"/>
                <w:highlight w:val="none"/>
                <w:vertAlign w:val="baseline"/>
                <w:lang w:eastAsia="zh-CN"/>
              </w:rPr>
            </w:pPr>
            <w:r>
              <w:rPr>
                <w:rFonts w:hint="eastAsia" w:ascii="楷体" w:hAnsi="楷体" w:eastAsia="楷体" w:cs="楷体"/>
                <w:color w:val="auto"/>
                <w:sz w:val="24"/>
                <w:szCs w:val="24"/>
                <w:highlight w:val="none"/>
                <w:vertAlign w:val="baseline"/>
                <w:lang w:eastAsia="zh-CN"/>
              </w:rPr>
              <w:t>学年</w:t>
            </w:r>
          </w:p>
          <w:p>
            <w:pPr>
              <w:keepNext w:val="0"/>
              <w:keepLines w:val="0"/>
              <w:pageBreakBefore w:val="0"/>
              <w:widowControl w:val="0"/>
              <w:kinsoku/>
              <w:wordWrap/>
              <w:topLinePunct w:val="0"/>
              <w:autoSpaceDE/>
              <w:autoSpaceDN/>
              <w:bidi w:val="0"/>
              <w:snapToGrid w:val="0"/>
              <w:spacing w:line="240" w:lineRule="auto"/>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topLinePunct w:val="0"/>
              <w:autoSpaceDE/>
              <w:autoSpaceDN/>
              <w:bidi w:val="0"/>
              <w:snapToGrid w:val="0"/>
              <w:spacing w:line="240" w:lineRule="auto"/>
              <w:ind w:firstLine="480" w:firstLineChars="200"/>
              <w:textAlignment w:val="auto"/>
              <mc:AlternateContent>
                <mc:Choice Requires="wpsCustomData">
                  <wpsCustomData:diagonalParaType/>
                </mc:Choice>
              </mc:AlternateContent>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周数</w:t>
            </w:r>
          </w:p>
          <w:p>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lang w:eastAsia="zh-CN"/>
              </w:rPr>
            </w:pPr>
            <w:r>
              <w:rPr>
                <w:rFonts w:hint="eastAsia" w:ascii="楷体" w:hAnsi="楷体" w:eastAsia="楷体" w:cs="楷体"/>
                <w:color w:val="auto"/>
                <w:sz w:val="24"/>
                <w:szCs w:val="24"/>
                <w:highlight w:val="none"/>
                <w:vertAlign w:val="baseline"/>
                <w:lang w:eastAsia="zh-CN"/>
              </w:rPr>
              <w:t>内容</w:t>
            </w:r>
          </w:p>
        </w:tc>
        <w:tc>
          <w:tcPr>
            <w:tcW w:w="1216" w:type="dxa"/>
            <w:noWrap w:val="0"/>
            <w:vAlign w:val="center"/>
          </w:tcPr>
          <w:p>
            <w:pPr>
              <w:keepNext w:val="0"/>
              <w:keepLines w:val="0"/>
              <w:pageBreakBefore w:val="0"/>
              <w:widowControl w:val="0"/>
              <w:kinsoku/>
              <w:wordWrap/>
              <w:topLinePunct w:val="0"/>
              <w:autoSpaceDE/>
              <w:autoSpaceDN/>
              <w:bidi w:val="0"/>
              <w:snapToGrid/>
              <w:spacing w:line="520" w:lineRule="exact"/>
              <w:jc w:val="center"/>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校内教学</w:t>
            </w:r>
          </w:p>
        </w:tc>
        <w:tc>
          <w:tcPr>
            <w:tcW w:w="1216" w:type="dxa"/>
            <w:noWrap w:val="0"/>
            <w:vAlign w:val="center"/>
          </w:tcPr>
          <w:p>
            <w:pPr>
              <w:keepNext w:val="0"/>
              <w:keepLines w:val="0"/>
              <w:pageBreakBefore w:val="0"/>
              <w:widowControl w:val="0"/>
              <w:kinsoku/>
              <w:wordWrap/>
              <w:topLinePunct w:val="0"/>
              <w:autoSpaceDE/>
              <w:autoSpaceDN/>
              <w:bidi w:val="0"/>
              <w:snapToGrid/>
              <w:spacing w:line="520" w:lineRule="exact"/>
              <w:jc w:val="center"/>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校外教学</w:t>
            </w:r>
          </w:p>
        </w:tc>
        <w:tc>
          <w:tcPr>
            <w:tcW w:w="1216" w:type="dxa"/>
            <w:noWrap w:val="0"/>
            <w:vAlign w:val="center"/>
          </w:tcPr>
          <w:p>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考试</w:t>
            </w:r>
          </w:p>
        </w:tc>
        <w:tc>
          <w:tcPr>
            <w:tcW w:w="1216" w:type="dxa"/>
            <w:noWrap w:val="0"/>
            <w:vAlign w:val="center"/>
          </w:tcPr>
          <w:p>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机动</w:t>
            </w:r>
          </w:p>
        </w:tc>
        <w:tc>
          <w:tcPr>
            <w:tcW w:w="1231" w:type="dxa"/>
            <w:noWrap w:val="0"/>
            <w:vAlign w:val="center"/>
          </w:tcPr>
          <w:p>
            <w:pPr>
              <w:keepNext w:val="0"/>
              <w:keepLines w:val="0"/>
              <w:pageBreakBefore w:val="0"/>
              <w:widowControl w:val="0"/>
              <w:kinsoku/>
              <w:wordWrap/>
              <w:topLinePunct w:val="0"/>
              <w:autoSpaceDE/>
              <w:autoSpaceDN/>
              <w:bidi w:val="0"/>
              <w:snapToGrid/>
              <w:spacing w:line="520" w:lineRule="exact"/>
              <w:jc w:val="center"/>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restart"/>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第一学年</w:t>
            </w:r>
          </w:p>
        </w:tc>
        <w:tc>
          <w:tcPr>
            <w:tcW w:w="1205"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continue"/>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rPr>
            </w:pPr>
          </w:p>
        </w:tc>
        <w:tc>
          <w:tcPr>
            <w:tcW w:w="1205"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restart"/>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第二学年</w:t>
            </w:r>
          </w:p>
        </w:tc>
        <w:tc>
          <w:tcPr>
            <w:tcW w:w="1205"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3</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continue"/>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rPr>
            </w:pPr>
          </w:p>
        </w:tc>
        <w:tc>
          <w:tcPr>
            <w:tcW w:w="1205"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4</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restart"/>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第三学年</w:t>
            </w:r>
          </w:p>
        </w:tc>
        <w:tc>
          <w:tcPr>
            <w:tcW w:w="1205"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5</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4</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14</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continue"/>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rPr>
            </w:pPr>
          </w:p>
        </w:tc>
        <w:tc>
          <w:tcPr>
            <w:tcW w:w="1205"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6</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17</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w:t>
            </w:r>
          </w:p>
        </w:tc>
        <w:tc>
          <w:tcPr>
            <w:tcW w:w="1231"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1" w:type="dxa"/>
            <w:gridSpan w:val="2"/>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合计</w:t>
            </w: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rPr>
            </w:pP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rPr>
            </w:pP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rPr>
            </w:pPr>
          </w:p>
        </w:tc>
        <w:tc>
          <w:tcPr>
            <w:tcW w:w="1216"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eastAsia" w:ascii="楷体" w:hAnsi="楷体" w:eastAsia="楷体" w:cs="楷体"/>
                <w:color w:val="auto"/>
                <w:sz w:val="24"/>
                <w:szCs w:val="24"/>
                <w:highlight w:val="none"/>
                <w:vertAlign w:val="baseline"/>
              </w:rPr>
            </w:pPr>
          </w:p>
        </w:tc>
        <w:tc>
          <w:tcPr>
            <w:tcW w:w="1231" w:type="dxa"/>
            <w:noWrap w:val="0"/>
            <w:vAlign w:val="top"/>
          </w:tcPr>
          <w:p>
            <w:pPr>
              <w:keepNext w:val="0"/>
              <w:keepLines w:val="0"/>
              <w:pageBreakBefore w:val="0"/>
              <w:widowControl w:val="0"/>
              <w:kinsoku/>
              <w:wordWrap/>
              <w:topLinePunct w:val="0"/>
              <w:autoSpaceDE/>
              <w:autoSpaceDN/>
              <w:bidi w:val="0"/>
              <w:snapToGrid/>
              <w:spacing w:line="5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120</w:t>
            </w:r>
          </w:p>
        </w:tc>
      </w:tr>
    </w:tbl>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bCs/>
          <w:color w:val="auto"/>
          <w:sz w:val="32"/>
          <w:szCs w:val="32"/>
          <w:highlight w:val="none"/>
          <w:lang w:eastAsia="zh-CN"/>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二</w:t>
      </w:r>
      <w:r>
        <w:rPr>
          <w:rFonts w:hint="eastAsia" w:ascii="楷体" w:hAnsi="楷体" w:eastAsia="楷体" w:cs="楷体"/>
          <w:color w:val="auto"/>
          <w:sz w:val="32"/>
          <w:szCs w:val="32"/>
          <w:highlight w:val="none"/>
        </w:rPr>
        <w:t>）</w:t>
      </w:r>
      <w:r>
        <w:rPr>
          <w:rFonts w:hint="eastAsia" w:ascii="楷体" w:hAnsi="楷体" w:eastAsia="楷体" w:cs="楷体"/>
          <w:bCs/>
          <w:color w:val="auto"/>
          <w:sz w:val="32"/>
          <w:szCs w:val="32"/>
          <w:highlight w:val="none"/>
        </w:rPr>
        <w:t>课程结构与学</w:t>
      </w:r>
      <w:r>
        <w:rPr>
          <w:rFonts w:hint="eastAsia" w:ascii="楷体" w:hAnsi="楷体" w:eastAsia="楷体" w:cs="楷体"/>
          <w:bCs/>
          <w:color w:val="auto"/>
          <w:sz w:val="32"/>
          <w:szCs w:val="32"/>
          <w:highlight w:val="none"/>
          <w:lang w:eastAsia="zh-CN"/>
        </w:rPr>
        <w:t>时、学分分配</w:t>
      </w:r>
    </w:p>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eastAsia="zh-CN"/>
        </w:rPr>
        <w:t>本专业教学总学时为</w:t>
      </w:r>
      <w:r>
        <w:rPr>
          <w:rFonts w:hint="eastAsia" w:ascii="仿宋_GB2312" w:hAnsi="仿宋_GB2312" w:eastAsia="仿宋_GB2312" w:cs="仿宋_GB2312"/>
          <w:color w:val="auto"/>
          <w:spacing w:val="-2"/>
          <w:sz w:val="32"/>
          <w:szCs w:val="32"/>
          <w:lang w:val="en-US" w:eastAsia="zh-CN"/>
        </w:rPr>
        <w:t>2990</w:t>
      </w:r>
      <w:r>
        <w:rPr>
          <w:rFonts w:hint="eastAsia" w:ascii="仿宋_GB2312" w:hAnsi="仿宋_GB2312" w:eastAsia="仿宋_GB2312" w:cs="仿宋_GB2312"/>
          <w:bCs/>
          <w:color w:val="auto"/>
          <w:sz w:val="32"/>
          <w:szCs w:val="32"/>
          <w:highlight w:val="none"/>
          <w:lang w:eastAsia="zh-CN"/>
        </w:rPr>
        <w:t>学时。其中理论教学</w:t>
      </w:r>
      <w:r>
        <w:rPr>
          <w:rFonts w:hint="eastAsia" w:ascii="仿宋_GB2312" w:hAnsi="仿宋_GB2312" w:eastAsia="仿宋_GB2312" w:cs="仿宋_GB2312"/>
          <w:color w:val="auto"/>
          <w:spacing w:val="-2"/>
          <w:sz w:val="32"/>
          <w:szCs w:val="32"/>
          <w:lang w:val="en-US" w:eastAsia="zh-CN"/>
        </w:rPr>
        <w:t>1466</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color w:val="auto"/>
          <w:spacing w:val="-2"/>
          <w:sz w:val="32"/>
          <w:szCs w:val="32"/>
          <w:lang w:val="en-US" w:eastAsia="zh-CN"/>
        </w:rPr>
        <w:t>49.03</w:t>
      </w:r>
      <w:r>
        <w:rPr>
          <w:rFonts w:hint="eastAsia" w:ascii="仿宋_GB2312" w:hAnsi="仿宋_GB2312" w:eastAsia="仿宋_GB2312" w:cs="仿宋_GB2312"/>
          <w:bCs/>
          <w:color w:val="auto"/>
          <w:sz w:val="32"/>
          <w:szCs w:val="32"/>
          <w:highlight w:val="none"/>
          <w:lang w:eastAsia="zh-CN"/>
        </w:rPr>
        <w:t>%；实践教学</w:t>
      </w:r>
      <w:r>
        <w:rPr>
          <w:rFonts w:hint="eastAsia" w:ascii="仿宋_GB2312" w:hAnsi="仿宋_GB2312" w:eastAsia="仿宋_GB2312" w:cs="仿宋_GB2312"/>
          <w:bCs/>
          <w:color w:val="auto"/>
          <w:sz w:val="32"/>
          <w:szCs w:val="32"/>
          <w:highlight w:val="none"/>
          <w:lang w:val="en-US" w:eastAsia="zh-CN"/>
        </w:rPr>
        <w:t>1524</w:t>
      </w:r>
      <w:r>
        <w:rPr>
          <w:rFonts w:hint="eastAsia" w:ascii="仿宋_GB2312" w:hAnsi="仿宋_GB2312" w:eastAsia="仿宋_GB2312" w:cs="仿宋_GB2312"/>
          <w:bCs/>
          <w:color w:val="auto"/>
          <w:sz w:val="32"/>
          <w:szCs w:val="32"/>
          <w:highlight w:val="none"/>
          <w:lang w:eastAsia="zh-CN"/>
        </w:rPr>
        <w:t xml:space="preserve"> 学时，占</w:t>
      </w:r>
      <w:r>
        <w:rPr>
          <w:rFonts w:hint="eastAsia" w:ascii="仿宋_GB2312" w:hAnsi="仿宋_GB2312" w:eastAsia="仿宋_GB2312" w:cs="仿宋_GB2312"/>
          <w:color w:val="auto"/>
          <w:spacing w:val="-2"/>
          <w:sz w:val="32"/>
          <w:szCs w:val="32"/>
          <w:lang w:val="en-US" w:eastAsia="zh-CN"/>
        </w:rPr>
        <w:t>50.97</w:t>
      </w:r>
      <w:r>
        <w:rPr>
          <w:rFonts w:hint="eastAsia" w:ascii="仿宋_GB2312" w:hAnsi="仿宋_GB2312" w:eastAsia="仿宋_GB2312" w:cs="仿宋_GB2312"/>
          <w:bCs/>
          <w:color w:val="auto"/>
          <w:sz w:val="32"/>
          <w:szCs w:val="32"/>
          <w:highlight w:val="none"/>
          <w:lang w:val="en-US" w:eastAsia="zh-CN"/>
        </w:rPr>
        <w:t>%，其中岗位实习累计时间6个月。</w:t>
      </w:r>
      <w:r>
        <w:rPr>
          <w:rFonts w:hint="eastAsia" w:ascii="仿宋_GB2312" w:hAnsi="仿宋_GB2312" w:eastAsia="仿宋_GB2312" w:cs="仿宋_GB2312"/>
          <w:bCs/>
          <w:color w:val="auto"/>
          <w:sz w:val="32"/>
          <w:szCs w:val="32"/>
          <w:highlight w:val="none"/>
          <w:lang w:eastAsia="zh-CN"/>
        </w:rPr>
        <w:t>公共</w:t>
      </w:r>
      <w:bookmarkStart w:id="12" w:name="_GoBack"/>
      <w:bookmarkEnd w:id="12"/>
      <w:r>
        <w:rPr>
          <w:rFonts w:hint="eastAsia" w:ascii="仿宋_GB2312" w:hAnsi="仿宋_GB2312" w:eastAsia="仿宋_GB2312" w:cs="仿宋_GB2312"/>
          <w:bCs/>
          <w:color w:val="auto"/>
          <w:sz w:val="32"/>
          <w:szCs w:val="32"/>
          <w:highlight w:val="none"/>
          <w:lang w:eastAsia="zh-CN"/>
        </w:rPr>
        <w:t>基础课</w:t>
      </w:r>
      <w:r>
        <w:rPr>
          <w:rFonts w:hint="eastAsia" w:ascii="仿宋_GB2312" w:hAnsi="仿宋_GB2312" w:eastAsia="仿宋_GB2312" w:cs="仿宋_GB2312"/>
          <w:bCs/>
          <w:color w:val="auto"/>
          <w:sz w:val="32"/>
          <w:szCs w:val="32"/>
          <w:highlight w:val="none"/>
          <w:lang w:val="en-US" w:eastAsia="zh-CN"/>
        </w:rPr>
        <w:t>974</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bCs/>
          <w:color w:val="auto"/>
          <w:sz w:val="32"/>
          <w:szCs w:val="32"/>
          <w:highlight w:val="none"/>
          <w:lang w:val="en-US" w:eastAsia="zh-CN"/>
        </w:rPr>
        <w:t>32.6</w:t>
      </w:r>
      <w:r>
        <w:rPr>
          <w:rFonts w:hint="eastAsia" w:ascii="仿宋_GB2312" w:hAnsi="仿宋_GB2312" w:eastAsia="仿宋_GB2312" w:cs="仿宋_GB2312"/>
          <w:bCs/>
          <w:color w:val="auto"/>
          <w:sz w:val="32"/>
          <w:szCs w:val="32"/>
          <w:highlight w:val="none"/>
          <w:lang w:eastAsia="zh-CN"/>
        </w:rPr>
        <w:t>%；选修课</w:t>
      </w:r>
      <w:r>
        <w:rPr>
          <w:rFonts w:hint="eastAsia" w:ascii="仿宋_GB2312" w:hAnsi="仿宋_GB2312" w:eastAsia="仿宋_GB2312" w:cs="仿宋_GB2312"/>
          <w:bCs/>
          <w:color w:val="auto"/>
          <w:sz w:val="32"/>
          <w:szCs w:val="32"/>
          <w:highlight w:val="none"/>
          <w:lang w:val="en-US" w:eastAsia="zh-CN"/>
        </w:rPr>
        <w:t>324</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bCs/>
          <w:color w:val="auto"/>
          <w:sz w:val="32"/>
          <w:szCs w:val="32"/>
          <w:highlight w:val="none"/>
          <w:lang w:val="en-US" w:eastAsia="zh-CN"/>
        </w:rPr>
        <w:t>10.8</w:t>
      </w:r>
      <w:r>
        <w:rPr>
          <w:rFonts w:hint="eastAsia" w:ascii="仿宋_GB2312" w:hAnsi="仿宋_GB2312" w:eastAsia="仿宋_GB2312" w:cs="仿宋_GB2312"/>
          <w:bCs/>
          <w:color w:val="auto"/>
          <w:sz w:val="32"/>
          <w:szCs w:val="32"/>
          <w:highlight w:val="none"/>
          <w:lang w:eastAsia="zh-CN"/>
        </w:rPr>
        <w:t xml:space="preserve"> %。</w:t>
      </w:r>
      <w:r>
        <w:rPr>
          <w:rFonts w:hint="eastAsia" w:ascii="仿宋_GB2312" w:hAnsi="仿宋_GB2312" w:eastAsia="仿宋_GB2312" w:cs="仿宋_GB2312"/>
          <w:bCs/>
          <w:color w:val="auto"/>
          <w:sz w:val="32"/>
          <w:szCs w:val="32"/>
          <w:highlight w:val="none"/>
          <w:lang w:val="en-US" w:eastAsia="zh-CN"/>
        </w:rPr>
        <w:t xml:space="preserve">           </w:t>
      </w:r>
    </w:p>
    <w:p>
      <w:pPr>
        <w:keepNext w:val="0"/>
        <w:keepLines w:val="0"/>
        <w:pageBreakBefore w:val="0"/>
        <w:widowControl w:val="0"/>
        <w:kinsoku/>
        <w:wordWrap/>
        <w:topLinePunct w:val="0"/>
        <w:autoSpaceDE/>
        <w:autoSpaceDN/>
        <w:bidi w:val="0"/>
        <w:snapToGrid/>
        <w:spacing w:line="520" w:lineRule="exact"/>
        <w:jc w:val="center"/>
        <w:textAlignment w:val="auto"/>
        <w:rPr>
          <w:rFonts w:hint="eastAsia" w:ascii="楷体" w:hAnsi="楷体" w:eastAsia="楷体" w:cs="楷体"/>
          <w:bCs/>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8</w:t>
      </w:r>
      <w:r>
        <w:rPr>
          <w:rFonts w:hint="eastAsia" w:ascii="仿宋_GB2312" w:hAnsi="仿宋_GB2312" w:eastAsia="仿宋_GB2312" w:cs="仿宋_GB2312"/>
          <w:color w:val="auto"/>
          <w:sz w:val="32"/>
          <w:szCs w:val="32"/>
          <w:highlight w:val="none"/>
          <w:shd w:val="clear" w:color="auto" w:fill="FFFFFF"/>
          <w:lang w:eastAsia="zh-CN" w:bidi="ar"/>
        </w:rPr>
        <w:t>现代物业管理</w:t>
      </w:r>
      <w:r>
        <w:rPr>
          <w:rFonts w:hint="eastAsia" w:ascii="仿宋_GB2312" w:hAnsi="仿宋_GB2312" w:eastAsia="仿宋_GB2312" w:cs="仿宋_GB2312"/>
          <w:color w:val="auto"/>
          <w:spacing w:val="-2"/>
          <w:sz w:val="32"/>
          <w:szCs w:val="32"/>
          <w:lang w:eastAsia="zh-CN"/>
        </w:rPr>
        <w:t>专业课程学时、学分分配表</w:t>
      </w:r>
    </w:p>
    <w:tbl>
      <w:tblPr>
        <w:tblStyle w:val="5"/>
        <w:tblW w:w="5971"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7"/>
        <w:gridCol w:w="1710"/>
        <w:gridCol w:w="765"/>
        <w:gridCol w:w="843"/>
        <w:gridCol w:w="1290"/>
        <w:gridCol w:w="698"/>
        <w:gridCol w:w="919"/>
        <w:gridCol w:w="1198"/>
        <w:gridCol w:w="782"/>
        <w:gridCol w:w="1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19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课程类别</w:t>
            </w:r>
          </w:p>
        </w:tc>
        <w:tc>
          <w:tcPr>
            <w:tcW w:w="3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课程性质</w:t>
            </w:r>
          </w:p>
        </w:tc>
        <w:tc>
          <w:tcPr>
            <w:tcW w:w="41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学分</w:t>
            </w:r>
          </w:p>
        </w:tc>
        <w:tc>
          <w:tcPr>
            <w:tcW w:w="6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占专业总学分比例</w:t>
            </w:r>
          </w:p>
        </w:tc>
        <w:tc>
          <w:tcPr>
            <w:tcW w:w="237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19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3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41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rPr>
                <w:rFonts w:hint="eastAsia" w:asciiTheme="minorEastAsia" w:hAnsiTheme="minorEastAsia" w:eastAsiaTheme="minorEastAsia" w:cstheme="minorEastAsia"/>
                <w:i w:val="0"/>
                <w:iCs w:val="0"/>
                <w:color w:val="auto"/>
                <w:sz w:val="24"/>
                <w:szCs w:val="24"/>
                <w:u w:val="none"/>
              </w:rPr>
            </w:pPr>
          </w:p>
        </w:tc>
        <w:tc>
          <w:tcPr>
            <w:tcW w:w="6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合计</w:t>
            </w:r>
          </w:p>
        </w:tc>
        <w:tc>
          <w:tcPr>
            <w:tcW w:w="104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理论教学</w:t>
            </w:r>
          </w:p>
        </w:tc>
        <w:tc>
          <w:tcPr>
            <w:tcW w:w="99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实践教学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atLeast"/>
          <w:jc w:val="center"/>
        </w:trPr>
        <w:tc>
          <w:tcPr>
            <w:tcW w:w="119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3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41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rPr>
                <w:rFonts w:hint="eastAsia" w:asciiTheme="minorEastAsia" w:hAnsiTheme="minorEastAsia" w:eastAsiaTheme="minorEastAsia" w:cstheme="minorEastAsia"/>
                <w:i w:val="0"/>
                <w:iCs w:val="0"/>
                <w:color w:val="auto"/>
                <w:sz w:val="24"/>
                <w:szCs w:val="24"/>
                <w:u w:val="none"/>
              </w:rPr>
            </w:pPr>
          </w:p>
        </w:tc>
        <w:tc>
          <w:tcPr>
            <w:tcW w:w="6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rPr>
                <w:rFonts w:hint="eastAsia" w:asciiTheme="minorEastAsia" w:hAnsiTheme="minorEastAsia" w:eastAsiaTheme="minorEastAsia" w:cstheme="minorEastAsia"/>
                <w:i w:val="0"/>
                <w:iCs w:val="0"/>
                <w:color w:val="auto"/>
                <w:sz w:val="24"/>
                <w:szCs w:val="24"/>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学时</w:t>
            </w:r>
          </w:p>
        </w:tc>
        <w:tc>
          <w:tcPr>
            <w:tcW w:w="5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占专业总学时比例（%）</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学时</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占专业总学时比例（%）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19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公共基础课</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必修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40</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26%</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758</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442</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316</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19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选修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12</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8%</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216</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144</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5%</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72</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19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小计</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52</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34%</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974</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586</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20%</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388</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jc w:val="center"/>
        </w:trPr>
        <w:tc>
          <w:tcPr>
            <w:tcW w:w="3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专业(技能)课</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专业基础课</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必修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lang w:val="en-US"/>
              </w:rPr>
            </w:pPr>
            <w:r>
              <w:rPr>
                <w:rFonts w:hint="eastAsia" w:ascii="宋体" w:hAnsi="宋体" w:eastAsia="宋体" w:cs="宋体"/>
                <w:i w:val="0"/>
                <w:color w:val="000000"/>
                <w:kern w:val="0"/>
                <w:sz w:val="24"/>
                <w:szCs w:val="24"/>
                <w:u w:val="none"/>
                <w:lang w:val="en-US" w:eastAsia="zh-CN" w:bidi="ar"/>
              </w:rPr>
              <w:t>36</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23%</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lang w:val="en-US"/>
              </w:rPr>
            </w:pPr>
            <w:r>
              <w:rPr>
                <w:rFonts w:hint="eastAsia" w:ascii="宋体" w:hAnsi="宋体" w:eastAsia="宋体" w:cs="宋体"/>
                <w:i w:val="0"/>
                <w:color w:val="000000"/>
                <w:kern w:val="0"/>
                <w:sz w:val="24"/>
                <w:szCs w:val="24"/>
                <w:u w:val="none"/>
                <w:lang w:val="en-US" w:eastAsia="zh-CN" w:bidi="ar"/>
              </w:rPr>
              <w:t>648</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lang w:val="en-US"/>
              </w:rPr>
            </w:pPr>
            <w:r>
              <w:rPr>
                <w:rFonts w:hint="eastAsia" w:ascii="宋体" w:hAnsi="宋体" w:eastAsia="宋体" w:cs="宋体"/>
                <w:i w:val="0"/>
                <w:color w:val="000000"/>
                <w:kern w:val="0"/>
                <w:sz w:val="24"/>
                <w:szCs w:val="24"/>
                <w:u w:val="none"/>
                <w:lang w:val="en-US" w:eastAsia="zh-CN" w:bidi="ar"/>
              </w:rPr>
              <w:t>480</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16%</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lang w:val="en-US"/>
              </w:rPr>
            </w:pPr>
            <w:r>
              <w:rPr>
                <w:rFonts w:hint="eastAsia" w:ascii="宋体" w:hAnsi="宋体" w:eastAsia="宋体" w:cs="宋体"/>
                <w:i w:val="0"/>
                <w:color w:val="000000"/>
                <w:kern w:val="0"/>
                <w:sz w:val="24"/>
                <w:szCs w:val="24"/>
                <w:u w:val="none"/>
                <w:lang w:val="en-US" w:eastAsia="zh-CN" w:bidi="ar"/>
              </w:rPr>
              <w:t>168</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专业核心课</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必修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lang w:val="en-US"/>
              </w:rPr>
            </w:pPr>
            <w:r>
              <w:rPr>
                <w:rFonts w:hint="eastAsia" w:ascii="宋体" w:hAnsi="宋体" w:eastAsia="宋体" w:cs="宋体"/>
                <w:i w:val="0"/>
                <w:color w:val="000000"/>
                <w:kern w:val="0"/>
                <w:sz w:val="24"/>
                <w:szCs w:val="24"/>
                <w:u w:val="none"/>
                <w:lang w:val="en-US" w:eastAsia="zh-CN" w:bidi="ar"/>
              </w:rPr>
              <w:t>32</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21%</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lang w:val="en-US"/>
              </w:rPr>
            </w:pPr>
            <w:r>
              <w:rPr>
                <w:rFonts w:hint="eastAsia" w:ascii="宋体" w:hAnsi="宋体" w:eastAsia="宋体" w:cs="宋体"/>
                <w:i w:val="0"/>
                <w:color w:val="000000"/>
                <w:kern w:val="0"/>
                <w:sz w:val="24"/>
                <w:szCs w:val="24"/>
                <w:u w:val="none"/>
                <w:lang w:val="en-US" w:eastAsia="zh-CN" w:bidi="ar"/>
              </w:rPr>
              <w:t>576</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lang w:val="en-US"/>
              </w:rPr>
            </w:pPr>
            <w:r>
              <w:rPr>
                <w:rFonts w:hint="eastAsia" w:ascii="宋体" w:hAnsi="宋体" w:eastAsia="宋体" w:cs="宋体"/>
                <w:i w:val="0"/>
                <w:color w:val="000000"/>
                <w:kern w:val="0"/>
                <w:sz w:val="24"/>
                <w:szCs w:val="24"/>
                <w:u w:val="none"/>
                <w:lang w:val="en-US" w:eastAsia="zh-CN" w:bidi="ar"/>
              </w:rPr>
              <w:t>344</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12%</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lang w:val="en-US"/>
              </w:rPr>
            </w:pPr>
            <w:r>
              <w:rPr>
                <w:rFonts w:hint="eastAsia" w:ascii="宋体" w:hAnsi="宋体" w:eastAsia="宋体" w:cs="宋体"/>
                <w:i w:val="0"/>
                <w:color w:val="000000"/>
                <w:kern w:val="0"/>
                <w:sz w:val="24"/>
                <w:szCs w:val="24"/>
                <w:u w:val="none"/>
                <w:lang w:val="en-US" w:eastAsia="zh-CN" w:bidi="ar"/>
              </w:rPr>
              <w:t>232</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专业实践课程</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必修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25</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16%</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620</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20</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600</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专业拓展课程</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选修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6</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4%</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108</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36</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72</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12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小计</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99</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64%</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1952</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880</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29%</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1072</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1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第二课堂</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必修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3%</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64</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0</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0%</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64</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57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合计</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155</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2990</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1466</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49%</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1524</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51%</w:t>
            </w:r>
          </w:p>
        </w:tc>
      </w:tr>
    </w:tbl>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三</w:t>
      </w:r>
      <w:r>
        <w:rPr>
          <w:rFonts w:hint="eastAsia" w:ascii="楷体" w:hAnsi="楷体" w:eastAsia="楷体" w:cs="楷体"/>
          <w:color w:val="auto"/>
          <w:sz w:val="32"/>
          <w:szCs w:val="32"/>
          <w:highlight w:val="none"/>
        </w:rPr>
        <w:t>）教学计划进程</w:t>
      </w:r>
    </w:p>
    <w:p>
      <w:pPr>
        <w:pStyle w:val="4"/>
        <w:widowControl/>
        <w:shd w:val="clear" w:color="auto" w:fill="FFFFFF"/>
        <w:spacing w:beforeAutospacing="0" w:afterAutospacing="0" w:line="520" w:lineRule="exact"/>
        <w:jc w:val="center"/>
        <w:rPr>
          <w:rFonts w:hint="eastAsia" w:ascii="仿宋_GB2312" w:hAnsi="仿宋_GB2312" w:eastAsia="仿宋_GB2312" w:cs="仿宋_GB2312"/>
          <w:color w:val="auto"/>
          <w:sz w:val="32"/>
          <w:szCs w:val="32"/>
          <w:highlight w:val="none"/>
          <w:shd w:val="clear" w:color="auto" w:fill="FFFFFF"/>
          <w:lang w:bidi="ar"/>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9 </w:t>
      </w:r>
      <w:r>
        <w:rPr>
          <w:rFonts w:hint="eastAsia" w:ascii="仿宋_GB2312" w:hAnsi="仿宋_GB2312" w:eastAsia="仿宋_GB2312" w:cs="仿宋_GB2312"/>
          <w:color w:val="auto"/>
          <w:sz w:val="32"/>
          <w:szCs w:val="32"/>
          <w:highlight w:val="none"/>
          <w:shd w:val="clear" w:color="auto" w:fill="FFFFFF"/>
          <w:lang w:bidi="ar"/>
        </w:rPr>
        <w:t>现代物业管理</w:t>
      </w:r>
      <w:r>
        <w:rPr>
          <w:rFonts w:hint="eastAsia" w:ascii="仿宋_GB2312" w:hAnsi="仿宋_GB2312" w:eastAsia="仿宋_GB2312" w:cs="仿宋_GB2312"/>
          <w:color w:val="auto"/>
          <w:sz w:val="32"/>
          <w:szCs w:val="32"/>
          <w:highlight w:val="none"/>
          <w:shd w:val="clear" w:color="auto" w:fill="FFFFFF"/>
          <w:lang w:eastAsia="zh-CN" w:bidi="ar"/>
        </w:rPr>
        <w:t>专业</w:t>
      </w:r>
      <w:r>
        <w:rPr>
          <w:rFonts w:hint="eastAsia" w:ascii="仿宋_GB2312" w:hAnsi="仿宋_GB2312" w:eastAsia="仿宋_GB2312" w:cs="仿宋_GB2312"/>
          <w:color w:val="auto"/>
          <w:sz w:val="32"/>
          <w:szCs w:val="32"/>
          <w:highlight w:val="none"/>
          <w:shd w:val="clear" w:color="auto" w:fill="FFFFFF"/>
          <w:lang w:bidi="ar"/>
        </w:rPr>
        <w:t>教学计划进程安排表</w:t>
      </w:r>
    </w:p>
    <w:tbl>
      <w:tblPr>
        <w:tblStyle w:val="5"/>
        <w:tblW w:w="620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441"/>
        <w:gridCol w:w="429"/>
        <w:gridCol w:w="570"/>
        <w:gridCol w:w="435"/>
        <w:gridCol w:w="945"/>
        <w:gridCol w:w="1305"/>
        <w:gridCol w:w="548"/>
        <w:gridCol w:w="548"/>
        <w:gridCol w:w="548"/>
        <w:gridCol w:w="552"/>
        <w:gridCol w:w="438"/>
        <w:gridCol w:w="484"/>
        <w:gridCol w:w="516"/>
        <w:gridCol w:w="417"/>
        <w:gridCol w:w="500"/>
        <w:gridCol w:w="609"/>
        <w:gridCol w:w="645"/>
        <w:gridCol w:w="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696" w:type="pct"/>
            <w:gridSpan w:val="3"/>
            <w:vMerge w:val="restar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课程类型</w:t>
            </w:r>
          </w:p>
        </w:tc>
        <w:tc>
          <w:tcPr>
            <w:tcW w:w="210"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序号</w:t>
            </w:r>
          </w:p>
        </w:tc>
        <w:tc>
          <w:tcPr>
            <w:tcW w:w="456"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课程代码</w:t>
            </w:r>
          </w:p>
        </w:tc>
        <w:tc>
          <w:tcPr>
            <w:tcW w:w="630"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课程名称</w:t>
            </w:r>
          </w:p>
        </w:tc>
        <w:tc>
          <w:tcPr>
            <w:tcW w:w="264"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学分</w:t>
            </w:r>
          </w:p>
        </w:tc>
        <w:tc>
          <w:tcPr>
            <w:tcW w:w="796" w:type="pct"/>
            <w:gridSpan w:val="3"/>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教学学时数</w:t>
            </w:r>
          </w:p>
        </w:tc>
        <w:tc>
          <w:tcPr>
            <w:tcW w:w="1432" w:type="pct"/>
            <w:gridSpan w:val="6"/>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开课学期和周学时</w:t>
            </w:r>
          </w:p>
        </w:tc>
        <w:tc>
          <w:tcPr>
            <w:tcW w:w="311"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考核类型</w:t>
            </w:r>
          </w:p>
        </w:tc>
        <w:tc>
          <w:tcPr>
            <w:tcW w:w="199"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696" w:type="pct"/>
            <w:gridSpan w:val="3"/>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val="0"/>
                <w:i w:val="0"/>
                <w:color w:val="000000"/>
                <w:sz w:val="18"/>
                <w:szCs w:val="18"/>
                <w:u w:val="none"/>
              </w:rPr>
            </w:pPr>
          </w:p>
        </w:tc>
        <w:tc>
          <w:tcPr>
            <w:tcW w:w="21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45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63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6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796" w:type="pct"/>
            <w:gridSpan w:val="3"/>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1432"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199"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696" w:type="pct"/>
            <w:gridSpan w:val="3"/>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val="0"/>
                <w:i w:val="0"/>
                <w:color w:val="000000"/>
                <w:sz w:val="18"/>
                <w:szCs w:val="18"/>
                <w:u w:val="none"/>
              </w:rPr>
            </w:pPr>
          </w:p>
        </w:tc>
        <w:tc>
          <w:tcPr>
            <w:tcW w:w="21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45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63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6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合计</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理论学时</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实践学时</w:t>
            </w:r>
          </w:p>
        </w:tc>
        <w:tc>
          <w:tcPr>
            <w:tcW w:w="2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一</w:t>
            </w:r>
          </w:p>
        </w:tc>
        <w:tc>
          <w:tcPr>
            <w:tcW w:w="233"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二</w:t>
            </w:r>
          </w:p>
        </w:tc>
        <w:tc>
          <w:tcPr>
            <w:tcW w:w="24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三</w:t>
            </w:r>
          </w:p>
        </w:tc>
        <w:tc>
          <w:tcPr>
            <w:tcW w:w="20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四</w:t>
            </w:r>
          </w:p>
        </w:tc>
        <w:tc>
          <w:tcPr>
            <w:tcW w:w="24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五</w:t>
            </w:r>
          </w:p>
        </w:tc>
        <w:tc>
          <w:tcPr>
            <w:tcW w:w="29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六</w:t>
            </w:r>
          </w:p>
        </w:tc>
        <w:tc>
          <w:tcPr>
            <w:tcW w:w="31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19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5" w:hRule="atLeast"/>
          <w:jc w:val="center"/>
        </w:trPr>
        <w:tc>
          <w:tcPr>
            <w:tcW w:w="420" w:type="pct"/>
            <w:gridSpan w:val="2"/>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公共基础课</w:t>
            </w:r>
          </w:p>
        </w:tc>
        <w:tc>
          <w:tcPr>
            <w:tcW w:w="275"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必修</w:t>
            </w: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10B118820</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毛泽东思想和中国特色社会主义理论体系概论</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28</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21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w:t>
            </w:r>
          </w:p>
        </w:tc>
        <w:tc>
          <w:tcPr>
            <w:tcW w:w="20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考试</w:t>
            </w:r>
          </w:p>
        </w:tc>
        <w:tc>
          <w:tcPr>
            <w:tcW w:w="19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10B110820</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形势与政策</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32</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0</w:t>
            </w:r>
          </w:p>
        </w:tc>
        <w:tc>
          <w:tcPr>
            <w:tcW w:w="1432" w:type="pct"/>
            <w:gridSpan w:val="6"/>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1到4学期开课，每学期8学时。</w:t>
            </w: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10B110520</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思想道德与法治</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48</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12</w:t>
            </w:r>
          </w:p>
        </w:tc>
        <w:tc>
          <w:tcPr>
            <w:tcW w:w="2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23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考试</w:t>
            </w:r>
          </w:p>
        </w:tc>
        <w:tc>
          <w:tcPr>
            <w:tcW w:w="19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10B119720</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习近平新时代中国特色社会主义思想概论</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48</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48</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0</w:t>
            </w:r>
          </w:p>
        </w:tc>
        <w:tc>
          <w:tcPr>
            <w:tcW w:w="21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24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考试</w:t>
            </w:r>
          </w:p>
        </w:tc>
        <w:tc>
          <w:tcPr>
            <w:tcW w:w="19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5</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10B111320</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大学体育</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6</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108</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12</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96</w:t>
            </w:r>
          </w:p>
        </w:tc>
        <w:tc>
          <w:tcPr>
            <w:tcW w:w="2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w:t>
            </w:r>
          </w:p>
        </w:tc>
        <w:tc>
          <w:tcPr>
            <w:tcW w:w="233"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w:t>
            </w:r>
          </w:p>
        </w:tc>
        <w:tc>
          <w:tcPr>
            <w:tcW w:w="24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w:t>
            </w: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6</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10B111221</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军事理论</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0</w:t>
            </w:r>
          </w:p>
        </w:tc>
        <w:tc>
          <w:tcPr>
            <w:tcW w:w="2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w:t>
            </w:r>
          </w:p>
        </w:tc>
        <w:tc>
          <w:tcPr>
            <w:tcW w:w="23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10B111222</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军事技能</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112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0</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112</w:t>
            </w:r>
          </w:p>
        </w:tc>
        <w:tc>
          <w:tcPr>
            <w:tcW w:w="1432" w:type="pct"/>
            <w:gridSpan w:val="6"/>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第1学期，实际训练时间不少于14天</w:t>
            </w: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8</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10A119820</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大学生心理健康教育</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20</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12</w:t>
            </w:r>
          </w:p>
        </w:tc>
        <w:tc>
          <w:tcPr>
            <w:tcW w:w="21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w:t>
            </w:r>
          </w:p>
        </w:tc>
        <w:tc>
          <w:tcPr>
            <w:tcW w:w="24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9</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10A110120</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大学英语</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8</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128</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104</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24</w:t>
            </w:r>
          </w:p>
        </w:tc>
        <w:tc>
          <w:tcPr>
            <w:tcW w:w="2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233"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24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考试</w:t>
            </w:r>
          </w:p>
        </w:tc>
        <w:tc>
          <w:tcPr>
            <w:tcW w:w="19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10C111720</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计算机基础</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64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32</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32</w:t>
            </w:r>
          </w:p>
        </w:tc>
        <w:tc>
          <w:tcPr>
            <w:tcW w:w="2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23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11</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10B111220</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大学生职业发展与就业指导</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38</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26</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12</w:t>
            </w:r>
          </w:p>
        </w:tc>
        <w:tc>
          <w:tcPr>
            <w:tcW w:w="2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w:t>
            </w:r>
          </w:p>
        </w:tc>
        <w:tc>
          <w:tcPr>
            <w:tcW w:w="23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w:t>
            </w:r>
          </w:p>
        </w:tc>
        <w:tc>
          <w:tcPr>
            <w:tcW w:w="20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12</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10C119700</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劳动教育</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16</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12</w:t>
            </w:r>
          </w:p>
        </w:tc>
        <w:tc>
          <w:tcPr>
            <w:tcW w:w="21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w:t>
            </w:r>
          </w:p>
        </w:tc>
        <w:tc>
          <w:tcPr>
            <w:tcW w:w="20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13</w:t>
            </w:r>
          </w:p>
        </w:tc>
        <w:tc>
          <w:tcPr>
            <w:tcW w:w="45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10A111820</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高等数学</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64</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64</w:t>
            </w:r>
          </w:p>
        </w:tc>
        <w:tc>
          <w:tcPr>
            <w:tcW w:w="26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0</w:t>
            </w:r>
          </w:p>
        </w:tc>
        <w:tc>
          <w:tcPr>
            <w:tcW w:w="211" w:type="pct"/>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w:t>
            </w:r>
          </w:p>
        </w:tc>
        <w:tc>
          <w:tcPr>
            <w:tcW w:w="233" w:type="pct"/>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w:t>
            </w:r>
          </w:p>
        </w:tc>
        <w:tc>
          <w:tcPr>
            <w:tcW w:w="249"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考试</w:t>
            </w:r>
          </w:p>
        </w:tc>
        <w:tc>
          <w:tcPr>
            <w:tcW w:w="199"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选修</w:t>
            </w: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20D0005</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大学生礼仪修养</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54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18</w:t>
            </w:r>
          </w:p>
        </w:tc>
        <w:tc>
          <w:tcPr>
            <w:tcW w:w="1432" w:type="pct"/>
            <w:gridSpan w:val="6"/>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公共选修课最低学分要求为12学分，其中要求3个学分为思政选修课学分,3个学分为国家安全教育课学分。</w:t>
            </w: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20D0006</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中国民俗剪纸技法</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54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18</w:t>
            </w:r>
          </w:p>
        </w:tc>
        <w:tc>
          <w:tcPr>
            <w:tcW w:w="1432"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20D0007</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影视与鉴赏</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54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18</w:t>
            </w:r>
          </w:p>
        </w:tc>
        <w:tc>
          <w:tcPr>
            <w:tcW w:w="1432"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20D0003</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人际交流与沟通</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54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18</w:t>
            </w:r>
          </w:p>
        </w:tc>
        <w:tc>
          <w:tcPr>
            <w:tcW w:w="1432"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5</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20D0002</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演讲与口才</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54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18</w:t>
            </w:r>
          </w:p>
        </w:tc>
        <w:tc>
          <w:tcPr>
            <w:tcW w:w="1432"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6</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20D0008</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创新创业教育</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54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18</w:t>
            </w:r>
          </w:p>
        </w:tc>
        <w:tc>
          <w:tcPr>
            <w:tcW w:w="1432"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w:t>
            </w:r>
          </w:p>
        </w:tc>
        <w:tc>
          <w:tcPr>
            <w:tcW w:w="45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10B119920</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中国共产党简史（限选）</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54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18</w:t>
            </w:r>
          </w:p>
        </w:tc>
        <w:tc>
          <w:tcPr>
            <w:tcW w:w="1432"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8</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20D9901</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改革开放简史（限选）</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54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18</w:t>
            </w:r>
          </w:p>
        </w:tc>
        <w:tc>
          <w:tcPr>
            <w:tcW w:w="1432"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9</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20D9902</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中华人民共和国简史（限选）</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54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18</w:t>
            </w:r>
          </w:p>
        </w:tc>
        <w:tc>
          <w:tcPr>
            <w:tcW w:w="1432"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20D9903</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社会主义发展简史（限选）</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54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18</w:t>
            </w:r>
          </w:p>
        </w:tc>
        <w:tc>
          <w:tcPr>
            <w:tcW w:w="1432"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11</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20D9904</w:t>
            </w:r>
          </w:p>
        </w:tc>
        <w:tc>
          <w:tcPr>
            <w:tcW w:w="6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国家安全教育（限选）</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54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18</w:t>
            </w:r>
          </w:p>
        </w:tc>
        <w:tc>
          <w:tcPr>
            <w:tcW w:w="1432"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1573" w:type="pct"/>
            <w:gridSpan w:val="4"/>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公共必修课程学分、学时小计</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40</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758</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442</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316</w:t>
            </w:r>
          </w:p>
        </w:tc>
        <w:tc>
          <w:tcPr>
            <w:tcW w:w="21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199"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1573" w:type="pct"/>
            <w:gridSpan w:val="4"/>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公共必修课程学分、学时占比</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25.81%</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25.35%</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14.78%</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10.57%</w:t>
            </w:r>
          </w:p>
        </w:tc>
        <w:tc>
          <w:tcPr>
            <w:tcW w:w="21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199"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1573" w:type="pct"/>
            <w:gridSpan w:val="4"/>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公共选修课程学分、学时小计</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216</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144</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72</w:t>
            </w:r>
          </w:p>
        </w:tc>
        <w:tc>
          <w:tcPr>
            <w:tcW w:w="2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199"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2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1573" w:type="pct"/>
            <w:gridSpan w:val="4"/>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公共选修课程学分、学时占比</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7.74%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7.22%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4.82%</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2.41%</w:t>
            </w:r>
          </w:p>
        </w:tc>
        <w:tc>
          <w:tcPr>
            <w:tcW w:w="2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199"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2" w:hRule="atLeast"/>
          <w:jc w:val="center"/>
        </w:trPr>
        <w:tc>
          <w:tcPr>
            <w:tcW w:w="213"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专业课</w:t>
            </w:r>
          </w:p>
        </w:tc>
        <w:tc>
          <w:tcPr>
            <w:tcW w:w="207"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专业基础课</w:t>
            </w:r>
          </w:p>
        </w:tc>
        <w:tc>
          <w:tcPr>
            <w:tcW w:w="275" w:type="pct"/>
            <w:vMerge w:val="restar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必修</w:t>
            </w: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w:t>
            </w:r>
          </w:p>
        </w:tc>
        <w:tc>
          <w:tcPr>
            <w:tcW w:w="456" w:type="pct"/>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10A223423</w:t>
            </w:r>
          </w:p>
        </w:tc>
        <w:tc>
          <w:tcPr>
            <w:tcW w:w="630" w:type="pc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物业管理概论</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72</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72</w:t>
            </w:r>
          </w:p>
        </w:tc>
        <w:tc>
          <w:tcPr>
            <w:tcW w:w="26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0</w:t>
            </w:r>
          </w:p>
        </w:tc>
        <w:tc>
          <w:tcPr>
            <w:tcW w:w="21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23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考试</w:t>
            </w:r>
          </w:p>
        </w:tc>
        <w:tc>
          <w:tcPr>
            <w:tcW w:w="19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w:t>
            </w:r>
          </w:p>
        </w:tc>
        <w:tc>
          <w:tcPr>
            <w:tcW w:w="456" w:type="pct"/>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02301B2228</w:t>
            </w:r>
          </w:p>
        </w:tc>
        <w:tc>
          <w:tcPr>
            <w:tcW w:w="630" w:type="pc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房屋构造与维护管理</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72</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6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1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23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考试</w:t>
            </w:r>
          </w:p>
        </w:tc>
        <w:tc>
          <w:tcPr>
            <w:tcW w:w="19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w:t>
            </w:r>
          </w:p>
        </w:tc>
        <w:tc>
          <w:tcPr>
            <w:tcW w:w="456" w:type="pct"/>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kern w:val="0"/>
                <w:sz w:val="18"/>
                <w:szCs w:val="18"/>
                <w:u w:val="none"/>
                <w:lang w:val="en-US" w:eastAsia="zh-CN" w:bidi="ar"/>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10000A2231</w:t>
            </w:r>
          </w:p>
        </w:tc>
        <w:tc>
          <w:tcPr>
            <w:tcW w:w="630" w:type="pc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kern w:val="0"/>
                <w:sz w:val="18"/>
                <w:szCs w:val="18"/>
                <w:u w:val="none"/>
                <w:lang w:val="en-US" w:eastAsia="zh-CN" w:bidi="ar"/>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管理学</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72</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72</w:t>
            </w:r>
          </w:p>
        </w:tc>
        <w:tc>
          <w:tcPr>
            <w:tcW w:w="26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0</w:t>
            </w:r>
          </w:p>
        </w:tc>
        <w:tc>
          <w:tcPr>
            <w:tcW w:w="21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23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考试</w:t>
            </w:r>
          </w:p>
        </w:tc>
        <w:tc>
          <w:tcPr>
            <w:tcW w:w="19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456" w:type="pct"/>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02301A2229</w:t>
            </w:r>
          </w:p>
        </w:tc>
        <w:tc>
          <w:tcPr>
            <w:tcW w:w="630" w:type="pc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管理心理学</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72</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72</w:t>
            </w:r>
          </w:p>
        </w:tc>
        <w:tc>
          <w:tcPr>
            <w:tcW w:w="26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0</w:t>
            </w:r>
          </w:p>
        </w:tc>
        <w:tc>
          <w:tcPr>
            <w:tcW w:w="21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23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考试</w:t>
            </w:r>
          </w:p>
        </w:tc>
        <w:tc>
          <w:tcPr>
            <w:tcW w:w="19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5</w:t>
            </w:r>
          </w:p>
        </w:tc>
        <w:tc>
          <w:tcPr>
            <w:tcW w:w="456" w:type="pct"/>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02301B2230</w:t>
            </w:r>
          </w:p>
        </w:tc>
        <w:tc>
          <w:tcPr>
            <w:tcW w:w="630" w:type="pc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社区服务与管理</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72</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6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24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考试</w:t>
            </w:r>
          </w:p>
        </w:tc>
        <w:tc>
          <w:tcPr>
            <w:tcW w:w="19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6</w:t>
            </w:r>
          </w:p>
        </w:tc>
        <w:tc>
          <w:tcPr>
            <w:tcW w:w="456" w:type="pct"/>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02301B2232</w:t>
            </w:r>
          </w:p>
        </w:tc>
        <w:tc>
          <w:tcPr>
            <w:tcW w:w="630" w:type="pc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物业档案管理</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24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考试</w:t>
            </w:r>
          </w:p>
        </w:tc>
        <w:tc>
          <w:tcPr>
            <w:tcW w:w="19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w:t>
            </w:r>
          </w:p>
        </w:tc>
        <w:tc>
          <w:tcPr>
            <w:tcW w:w="456" w:type="pct"/>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02301B2233</w:t>
            </w:r>
          </w:p>
        </w:tc>
        <w:tc>
          <w:tcPr>
            <w:tcW w:w="630" w:type="pc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物业安全管理与服务</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72</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48</w:t>
            </w:r>
          </w:p>
        </w:tc>
        <w:tc>
          <w:tcPr>
            <w:tcW w:w="26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24</w:t>
            </w:r>
          </w:p>
        </w:tc>
        <w:tc>
          <w:tcPr>
            <w:tcW w:w="2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考试</w:t>
            </w:r>
          </w:p>
        </w:tc>
        <w:tc>
          <w:tcPr>
            <w:tcW w:w="19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8</w:t>
            </w:r>
          </w:p>
        </w:tc>
        <w:tc>
          <w:tcPr>
            <w:tcW w:w="456" w:type="pct"/>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02301B2235</w:t>
            </w:r>
          </w:p>
        </w:tc>
        <w:tc>
          <w:tcPr>
            <w:tcW w:w="630" w:type="pc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物业应用文写作</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24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19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9</w:t>
            </w:r>
          </w:p>
        </w:tc>
        <w:tc>
          <w:tcPr>
            <w:tcW w:w="456" w:type="pct"/>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02301A2236</w:t>
            </w:r>
          </w:p>
        </w:tc>
        <w:tc>
          <w:tcPr>
            <w:tcW w:w="630" w:type="pc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公共关系学</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72</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0</w:t>
            </w:r>
          </w:p>
        </w:tc>
        <w:tc>
          <w:tcPr>
            <w:tcW w:w="2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24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考试</w:t>
            </w:r>
          </w:p>
        </w:tc>
        <w:tc>
          <w:tcPr>
            <w:tcW w:w="199"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7" w:type="pct"/>
            <w:vMerge w:val="restar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p>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p>
        </w:tc>
        <w:tc>
          <w:tcPr>
            <w:tcW w:w="275" w:type="pct"/>
            <w:vMerge w:val="restar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b w:val="0"/>
                <w:bCs w:val="0"/>
                <w:i w:val="0"/>
                <w:color w:val="auto"/>
                <w:kern w:val="0"/>
                <w:sz w:val="18"/>
                <w:szCs w:val="18"/>
                <w:u w:val="none"/>
                <w:lang w:val="en-US" w:eastAsia="zh-CN" w:bidi="ar"/>
              </w:rPr>
              <w:t>必修</w:t>
            </w: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b w:val="0"/>
                <w:bCs w:val="0"/>
                <w:i w:val="0"/>
                <w:color w:val="auto"/>
                <w:kern w:val="0"/>
                <w:sz w:val="18"/>
                <w:szCs w:val="18"/>
                <w:u w:val="none"/>
                <w:lang w:val="en-US" w:eastAsia="zh-CN" w:bidi="ar"/>
              </w:rPr>
              <w:t>1</w:t>
            </w:r>
          </w:p>
        </w:tc>
        <w:tc>
          <w:tcPr>
            <w:tcW w:w="456" w:type="pct"/>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b w:val="0"/>
                <w:bCs w:val="0"/>
                <w:i w:val="0"/>
                <w:color w:val="auto"/>
                <w:kern w:val="0"/>
                <w:sz w:val="18"/>
                <w:szCs w:val="18"/>
                <w:u w:val="none"/>
                <w:lang w:val="en-US" w:eastAsia="zh-CN" w:bidi="ar"/>
              </w:rPr>
              <w:t>02301B2322</w:t>
            </w:r>
          </w:p>
        </w:tc>
        <w:tc>
          <w:tcPr>
            <w:tcW w:w="630" w:type="pc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b w:val="0"/>
                <w:bCs w:val="0"/>
                <w:i w:val="0"/>
                <w:color w:val="auto"/>
                <w:kern w:val="0"/>
                <w:sz w:val="18"/>
                <w:szCs w:val="18"/>
                <w:u w:val="none"/>
                <w:lang w:val="en-US" w:eastAsia="zh-CN" w:bidi="ar"/>
              </w:rPr>
              <w:t>物业财务管理</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b w:val="0"/>
                <w:bCs w:val="0"/>
                <w:i w:val="0"/>
                <w:color w:val="auto"/>
                <w:kern w:val="0"/>
                <w:sz w:val="18"/>
                <w:szCs w:val="18"/>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b w:val="0"/>
                <w:bCs w:val="0"/>
                <w:i w:val="0"/>
                <w:color w:val="auto"/>
                <w:kern w:val="0"/>
                <w:sz w:val="18"/>
                <w:szCs w:val="18"/>
                <w:u w:val="none"/>
                <w:lang w:val="en-US" w:eastAsia="zh-CN" w:bidi="ar"/>
              </w:rPr>
              <w:t>72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b w:val="0"/>
                <w:bCs w:val="0"/>
                <w:i w:val="0"/>
                <w:color w:val="auto"/>
                <w:kern w:val="0"/>
                <w:sz w:val="18"/>
                <w:szCs w:val="18"/>
                <w:u w:val="none"/>
                <w:lang w:val="en-US" w:eastAsia="zh-CN" w:bidi="ar"/>
              </w:rPr>
              <w:t>48</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b w:val="0"/>
                <w:bCs w:val="0"/>
                <w:i w:val="0"/>
                <w:color w:val="auto"/>
                <w:kern w:val="0"/>
                <w:sz w:val="18"/>
                <w:szCs w:val="18"/>
                <w:u w:val="none"/>
                <w:lang w:val="en-US" w:eastAsia="zh-CN" w:bidi="ar"/>
              </w:rPr>
              <w:t>24</w:t>
            </w:r>
          </w:p>
        </w:tc>
        <w:tc>
          <w:tcPr>
            <w:tcW w:w="2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c>
          <w:tcPr>
            <w:tcW w:w="233"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i w:val="0"/>
                <w:iCs w:val="0"/>
                <w:color w:val="auto"/>
                <w:kern w:val="0"/>
                <w:sz w:val="21"/>
                <w:szCs w:val="21"/>
                <w:u w:val="none"/>
                <w:lang w:val="en-US" w:eastAsia="zh-CN" w:bidi="ar"/>
              </w:rPr>
              <w:t>4</w:t>
            </w:r>
          </w:p>
        </w:tc>
        <w:tc>
          <w:tcPr>
            <w:tcW w:w="24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c>
          <w:tcPr>
            <w:tcW w:w="24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c>
          <w:tcPr>
            <w:tcW w:w="29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i w:val="0"/>
                <w:iCs w:val="0"/>
                <w:color w:val="auto"/>
                <w:kern w:val="0"/>
                <w:sz w:val="21"/>
                <w:szCs w:val="21"/>
                <w:u w:val="none"/>
                <w:lang w:val="en-US" w:eastAsia="zh-CN" w:bidi="ar"/>
              </w:rPr>
              <w:t>考试</w:t>
            </w:r>
          </w:p>
        </w:tc>
        <w:tc>
          <w:tcPr>
            <w:tcW w:w="19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p>
        </w:tc>
        <w:tc>
          <w:tcPr>
            <w:tcW w:w="275"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b w:val="0"/>
                <w:bCs w:val="0"/>
                <w:i w:val="0"/>
                <w:color w:val="auto"/>
                <w:kern w:val="0"/>
                <w:sz w:val="18"/>
                <w:szCs w:val="18"/>
                <w:u w:val="none"/>
                <w:lang w:val="en-US" w:eastAsia="zh-CN" w:bidi="ar"/>
              </w:rPr>
              <w:t>2</w:t>
            </w:r>
          </w:p>
        </w:tc>
        <w:tc>
          <w:tcPr>
            <w:tcW w:w="456" w:type="pct"/>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b w:val="0"/>
                <w:bCs w:val="0"/>
                <w:i w:val="0"/>
                <w:color w:val="auto"/>
                <w:kern w:val="0"/>
                <w:sz w:val="18"/>
                <w:szCs w:val="18"/>
                <w:u w:val="none"/>
                <w:lang w:val="en-US" w:eastAsia="zh-CN" w:bidi="ar"/>
              </w:rPr>
              <w:t>02301B2323</w:t>
            </w:r>
          </w:p>
        </w:tc>
        <w:tc>
          <w:tcPr>
            <w:tcW w:w="630" w:type="pc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b w:val="0"/>
                <w:bCs w:val="0"/>
                <w:i w:val="0"/>
                <w:color w:val="auto"/>
                <w:kern w:val="0"/>
                <w:sz w:val="18"/>
                <w:szCs w:val="18"/>
                <w:u w:val="none"/>
                <w:lang w:val="en-US" w:eastAsia="zh-CN" w:bidi="ar"/>
              </w:rPr>
              <w:t>物业信息管理</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b w:val="0"/>
                <w:bCs w:val="0"/>
                <w:i w:val="0"/>
                <w:color w:val="auto"/>
                <w:kern w:val="0"/>
                <w:sz w:val="18"/>
                <w:szCs w:val="18"/>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b w:val="0"/>
                <w:bCs w:val="0"/>
                <w:i w:val="0"/>
                <w:color w:val="auto"/>
                <w:kern w:val="0"/>
                <w:sz w:val="18"/>
                <w:szCs w:val="18"/>
                <w:u w:val="none"/>
                <w:lang w:val="en-US" w:eastAsia="zh-CN" w:bidi="ar"/>
              </w:rPr>
              <w:t>72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b w:val="0"/>
                <w:bCs w:val="0"/>
                <w:i w:val="0"/>
                <w:color w:val="auto"/>
                <w:kern w:val="0"/>
                <w:sz w:val="18"/>
                <w:szCs w:val="18"/>
                <w:u w:val="none"/>
                <w:lang w:val="en-US" w:eastAsia="zh-CN" w:bidi="ar"/>
              </w:rPr>
              <w:t>48</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b w:val="0"/>
                <w:bCs w:val="0"/>
                <w:i w:val="0"/>
                <w:color w:val="auto"/>
                <w:kern w:val="0"/>
                <w:sz w:val="18"/>
                <w:szCs w:val="18"/>
                <w:u w:val="none"/>
                <w:lang w:val="en-US" w:eastAsia="zh-CN" w:bidi="ar"/>
              </w:rPr>
              <w:t>24</w:t>
            </w:r>
          </w:p>
        </w:tc>
        <w:tc>
          <w:tcPr>
            <w:tcW w:w="2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c>
          <w:tcPr>
            <w:tcW w:w="233"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i w:val="0"/>
                <w:iCs w:val="0"/>
                <w:color w:val="auto"/>
                <w:kern w:val="0"/>
                <w:sz w:val="21"/>
                <w:szCs w:val="21"/>
                <w:u w:val="none"/>
                <w:lang w:val="en-US" w:eastAsia="zh-CN" w:bidi="ar"/>
              </w:rPr>
              <w:t>4</w:t>
            </w:r>
          </w:p>
        </w:tc>
        <w:tc>
          <w:tcPr>
            <w:tcW w:w="24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c>
          <w:tcPr>
            <w:tcW w:w="24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c>
          <w:tcPr>
            <w:tcW w:w="29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i w:val="0"/>
                <w:iCs w:val="0"/>
                <w:color w:val="auto"/>
                <w:kern w:val="0"/>
                <w:sz w:val="21"/>
                <w:szCs w:val="21"/>
                <w:u w:val="none"/>
                <w:lang w:val="en-US" w:eastAsia="zh-CN" w:bidi="ar"/>
              </w:rPr>
              <w:t>考试</w:t>
            </w:r>
          </w:p>
        </w:tc>
        <w:tc>
          <w:tcPr>
            <w:tcW w:w="19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c>
          <w:tcPr>
            <w:tcW w:w="275"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r>
              <w:rPr>
                <w:rFonts w:hint="eastAsia" w:asciiTheme="minorEastAsia" w:hAnsiTheme="minorEastAsia" w:eastAsiaTheme="minorEastAsia" w:cstheme="minorEastAsia"/>
                <w:b w:val="0"/>
                <w:bCs w:val="0"/>
                <w:i w:val="0"/>
                <w:color w:val="auto"/>
                <w:kern w:val="0"/>
                <w:sz w:val="18"/>
                <w:szCs w:val="18"/>
                <w:u w:val="none"/>
                <w:lang w:val="en-US" w:eastAsia="zh-CN" w:bidi="ar"/>
              </w:rPr>
              <w:t>3</w:t>
            </w:r>
          </w:p>
        </w:tc>
        <w:tc>
          <w:tcPr>
            <w:tcW w:w="456" w:type="pct"/>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r>
              <w:rPr>
                <w:rFonts w:hint="eastAsia" w:asciiTheme="minorEastAsia" w:hAnsiTheme="minorEastAsia" w:eastAsiaTheme="minorEastAsia" w:cstheme="minorEastAsia"/>
                <w:b w:val="0"/>
                <w:bCs w:val="0"/>
                <w:i w:val="0"/>
                <w:color w:val="auto"/>
                <w:kern w:val="0"/>
                <w:sz w:val="18"/>
                <w:szCs w:val="18"/>
                <w:u w:val="none"/>
                <w:lang w:val="en-US" w:eastAsia="zh-CN" w:bidi="ar"/>
              </w:rPr>
              <w:t>02301B2231</w:t>
            </w:r>
          </w:p>
        </w:tc>
        <w:tc>
          <w:tcPr>
            <w:tcW w:w="630" w:type="pc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r>
              <w:rPr>
                <w:rFonts w:hint="eastAsia" w:asciiTheme="minorEastAsia" w:hAnsiTheme="minorEastAsia" w:eastAsiaTheme="minorEastAsia" w:cstheme="minorEastAsia"/>
                <w:b w:val="0"/>
                <w:bCs w:val="0"/>
                <w:i w:val="0"/>
                <w:color w:val="auto"/>
                <w:kern w:val="0"/>
                <w:sz w:val="18"/>
                <w:szCs w:val="18"/>
                <w:u w:val="none"/>
                <w:lang w:val="en-US" w:eastAsia="zh-CN" w:bidi="ar"/>
              </w:rPr>
              <w:t>物业管理招投标</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r>
              <w:rPr>
                <w:rFonts w:hint="eastAsia" w:asciiTheme="minorEastAsia" w:hAnsiTheme="minorEastAsia" w:eastAsiaTheme="minorEastAsia" w:cstheme="minorEastAsia"/>
                <w:b w:val="0"/>
                <w:bCs w:val="0"/>
                <w:i w:val="0"/>
                <w:color w:val="auto"/>
                <w:kern w:val="0"/>
                <w:sz w:val="18"/>
                <w:szCs w:val="18"/>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r>
              <w:rPr>
                <w:rFonts w:hint="eastAsia" w:asciiTheme="minorEastAsia" w:hAnsiTheme="minorEastAsia" w:eastAsiaTheme="minorEastAsia" w:cstheme="minorEastAsia"/>
                <w:b w:val="0"/>
                <w:bCs w:val="0"/>
                <w:i w:val="0"/>
                <w:color w:val="auto"/>
                <w:kern w:val="0"/>
                <w:sz w:val="18"/>
                <w:szCs w:val="18"/>
                <w:u w:val="none"/>
                <w:lang w:val="en-US" w:eastAsia="zh-CN" w:bidi="ar"/>
              </w:rPr>
              <w:t>72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r>
              <w:rPr>
                <w:rFonts w:hint="eastAsia" w:asciiTheme="minorEastAsia" w:hAnsiTheme="minorEastAsia" w:eastAsiaTheme="minorEastAsia" w:cstheme="minorEastAsia"/>
                <w:b w:val="0"/>
                <w:bCs w:val="0"/>
                <w:i w:val="0"/>
                <w:color w:val="auto"/>
                <w:kern w:val="0"/>
                <w:sz w:val="18"/>
                <w:szCs w:val="18"/>
                <w:u w:val="none"/>
                <w:lang w:val="en-US" w:eastAsia="zh-CN" w:bidi="ar"/>
              </w:rPr>
              <w:t>24</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r>
              <w:rPr>
                <w:rFonts w:hint="eastAsia" w:asciiTheme="minorEastAsia" w:hAnsiTheme="minorEastAsia" w:eastAsiaTheme="minorEastAsia" w:cstheme="minorEastAsia"/>
                <w:b w:val="0"/>
                <w:bCs w:val="0"/>
                <w:i w:val="0"/>
                <w:color w:val="auto"/>
                <w:kern w:val="0"/>
                <w:sz w:val="18"/>
                <w:szCs w:val="18"/>
                <w:u w:val="none"/>
                <w:lang w:val="en-US" w:eastAsia="zh-CN" w:bidi="ar"/>
              </w:rPr>
              <w:t>48</w:t>
            </w:r>
          </w:p>
        </w:tc>
        <w:tc>
          <w:tcPr>
            <w:tcW w:w="2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p>
        </w:tc>
        <w:tc>
          <w:tcPr>
            <w:tcW w:w="233"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4</w:t>
            </w:r>
          </w:p>
        </w:tc>
        <w:tc>
          <w:tcPr>
            <w:tcW w:w="24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p>
        </w:tc>
        <w:tc>
          <w:tcPr>
            <w:tcW w:w="24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p>
        </w:tc>
        <w:tc>
          <w:tcPr>
            <w:tcW w:w="29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考查</w:t>
            </w:r>
          </w:p>
        </w:tc>
        <w:tc>
          <w:tcPr>
            <w:tcW w:w="19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c>
          <w:tcPr>
            <w:tcW w:w="275"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r>
              <w:rPr>
                <w:rFonts w:hint="eastAsia" w:asciiTheme="minorEastAsia" w:hAnsiTheme="minorEastAsia" w:eastAsiaTheme="minorEastAsia" w:cstheme="minorEastAsia"/>
                <w:b w:val="0"/>
                <w:bCs w:val="0"/>
                <w:i w:val="0"/>
                <w:color w:val="auto"/>
                <w:kern w:val="0"/>
                <w:sz w:val="18"/>
                <w:szCs w:val="18"/>
                <w:u w:val="none"/>
                <w:lang w:val="en-US" w:eastAsia="zh-CN" w:bidi="ar"/>
              </w:rPr>
              <w:t>4</w:t>
            </w:r>
          </w:p>
        </w:tc>
        <w:tc>
          <w:tcPr>
            <w:tcW w:w="456" w:type="pct"/>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r>
              <w:rPr>
                <w:rFonts w:hint="eastAsia" w:asciiTheme="minorEastAsia" w:hAnsiTheme="minorEastAsia" w:eastAsiaTheme="minorEastAsia" w:cstheme="minorEastAsia"/>
                <w:b w:val="0"/>
                <w:bCs w:val="0"/>
                <w:i w:val="0"/>
                <w:color w:val="auto"/>
                <w:kern w:val="0"/>
                <w:sz w:val="18"/>
                <w:szCs w:val="18"/>
                <w:u w:val="none"/>
                <w:lang w:val="en-US" w:eastAsia="zh-CN" w:bidi="ar"/>
              </w:rPr>
              <w:t>02301B2234</w:t>
            </w:r>
          </w:p>
        </w:tc>
        <w:tc>
          <w:tcPr>
            <w:tcW w:w="630" w:type="pc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r>
              <w:rPr>
                <w:rFonts w:hint="eastAsia" w:asciiTheme="minorEastAsia" w:hAnsiTheme="minorEastAsia" w:eastAsiaTheme="minorEastAsia" w:cstheme="minorEastAsia"/>
                <w:b w:val="0"/>
                <w:bCs w:val="0"/>
                <w:i w:val="0"/>
                <w:color w:val="auto"/>
                <w:kern w:val="0"/>
                <w:sz w:val="18"/>
                <w:szCs w:val="18"/>
                <w:u w:val="none"/>
                <w:lang w:val="en-US" w:eastAsia="zh-CN" w:bidi="ar"/>
              </w:rPr>
              <w:t>物业服务礼仪</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r>
              <w:rPr>
                <w:rFonts w:hint="eastAsia" w:asciiTheme="minorEastAsia" w:hAnsiTheme="minorEastAsia" w:eastAsiaTheme="minorEastAsia" w:cstheme="minorEastAsia"/>
                <w:b w:val="0"/>
                <w:bCs w:val="0"/>
                <w:i w:val="0"/>
                <w:color w:val="auto"/>
                <w:kern w:val="0"/>
                <w:sz w:val="18"/>
                <w:szCs w:val="18"/>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r>
              <w:rPr>
                <w:rFonts w:hint="eastAsia" w:asciiTheme="minorEastAsia" w:hAnsiTheme="minorEastAsia" w:eastAsiaTheme="minorEastAsia" w:cstheme="minorEastAsia"/>
                <w:b w:val="0"/>
                <w:bCs w:val="0"/>
                <w:i w:val="0"/>
                <w:color w:val="auto"/>
                <w:kern w:val="0"/>
                <w:sz w:val="18"/>
                <w:szCs w:val="18"/>
                <w:u w:val="none"/>
                <w:lang w:val="en-US" w:eastAsia="zh-CN" w:bidi="ar"/>
              </w:rPr>
              <w:t>72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r>
              <w:rPr>
                <w:rFonts w:hint="eastAsia" w:asciiTheme="minorEastAsia" w:hAnsiTheme="minorEastAsia" w:eastAsiaTheme="minorEastAsia" w:cstheme="minorEastAsia"/>
                <w:b w:val="0"/>
                <w:bCs w:val="0"/>
                <w:i w:val="0"/>
                <w:color w:val="auto"/>
                <w:kern w:val="0"/>
                <w:sz w:val="18"/>
                <w:szCs w:val="18"/>
                <w:u w:val="none"/>
                <w:lang w:val="en-US" w:eastAsia="zh-CN" w:bidi="ar"/>
              </w:rPr>
              <w:t>24</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r>
              <w:rPr>
                <w:rFonts w:hint="eastAsia" w:asciiTheme="minorEastAsia" w:hAnsiTheme="minorEastAsia" w:eastAsiaTheme="minorEastAsia" w:cstheme="minorEastAsia"/>
                <w:b w:val="0"/>
                <w:bCs w:val="0"/>
                <w:i w:val="0"/>
                <w:color w:val="auto"/>
                <w:kern w:val="0"/>
                <w:sz w:val="18"/>
                <w:szCs w:val="18"/>
                <w:u w:val="none"/>
                <w:lang w:val="en-US" w:eastAsia="zh-CN" w:bidi="ar"/>
              </w:rPr>
              <w:t>48</w:t>
            </w:r>
          </w:p>
        </w:tc>
        <w:tc>
          <w:tcPr>
            <w:tcW w:w="2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p>
        </w:tc>
        <w:tc>
          <w:tcPr>
            <w:tcW w:w="23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p>
        </w:tc>
        <w:tc>
          <w:tcPr>
            <w:tcW w:w="249"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4</w:t>
            </w: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p>
        </w:tc>
        <w:tc>
          <w:tcPr>
            <w:tcW w:w="24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p>
        </w:tc>
        <w:tc>
          <w:tcPr>
            <w:tcW w:w="29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考查</w:t>
            </w:r>
          </w:p>
        </w:tc>
        <w:tc>
          <w:tcPr>
            <w:tcW w:w="19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c>
          <w:tcPr>
            <w:tcW w:w="275"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b w:val="0"/>
                <w:bCs w:val="0"/>
                <w:i w:val="0"/>
                <w:color w:val="auto"/>
                <w:kern w:val="0"/>
                <w:sz w:val="18"/>
                <w:szCs w:val="18"/>
                <w:u w:val="none"/>
                <w:lang w:val="en-US" w:eastAsia="zh-CN" w:bidi="ar"/>
              </w:rPr>
              <w:t>5</w:t>
            </w:r>
          </w:p>
        </w:tc>
        <w:tc>
          <w:tcPr>
            <w:tcW w:w="456" w:type="pct"/>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b w:val="0"/>
                <w:bCs w:val="0"/>
                <w:i w:val="0"/>
                <w:color w:val="auto"/>
                <w:kern w:val="0"/>
                <w:sz w:val="18"/>
                <w:szCs w:val="18"/>
                <w:u w:val="none"/>
                <w:lang w:val="en-US" w:eastAsia="zh-CN" w:bidi="ar"/>
              </w:rPr>
              <w:t>02301B2324</w:t>
            </w:r>
          </w:p>
        </w:tc>
        <w:tc>
          <w:tcPr>
            <w:tcW w:w="630" w:type="pc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b w:val="0"/>
                <w:bCs w:val="0"/>
                <w:i w:val="0"/>
                <w:color w:val="auto"/>
                <w:kern w:val="0"/>
                <w:sz w:val="18"/>
                <w:szCs w:val="18"/>
                <w:u w:val="none"/>
                <w:lang w:val="en-US" w:eastAsia="zh-CN" w:bidi="ar"/>
              </w:rPr>
              <w:t>物业设备管理</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b w:val="0"/>
                <w:bCs w:val="0"/>
                <w:i w:val="0"/>
                <w:color w:val="auto"/>
                <w:kern w:val="0"/>
                <w:sz w:val="18"/>
                <w:szCs w:val="18"/>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b w:val="0"/>
                <w:bCs w:val="0"/>
                <w:i w:val="0"/>
                <w:color w:val="auto"/>
                <w:kern w:val="0"/>
                <w:sz w:val="18"/>
                <w:szCs w:val="18"/>
                <w:u w:val="none"/>
                <w:lang w:val="en-US" w:eastAsia="zh-CN" w:bidi="ar"/>
              </w:rPr>
              <w:t>72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b w:val="0"/>
                <w:bCs w:val="0"/>
                <w:i w:val="0"/>
                <w:color w:val="auto"/>
                <w:kern w:val="0"/>
                <w:sz w:val="18"/>
                <w:szCs w:val="18"/>
                <w:u w:val="none"/>
                <w:lang w:val="en-US" w:eastAsia="zh-CN" w:bidi="ar"/>
              </w:rPr>
              <w:t>48</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b w:val="0"/>
                <w:bCs w:val="0"/>
                <w:i w:val="0"/>
                <w:color w:val="auto"/>
                <w:kern w:val="0"/>
                <w:sz w:val="18"/>
                <w:szCs w:val="18"/>
                <w:u w:val="none"/>
                <w:lang w:val="en-US" w:eastAsia="zh-CN" w:bidi="ar"/>
              </w:rPr>
              <w:t>24</w:t>
            </w:r>
          </w:p>
        </w:tc>
        <w:tc>
          <w:tcPr>
            <w:tcW w:w="2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c>
          <w:tcPr>
            <w:tcW w:w="23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c>
          <w:tcPr>
            <w:tcW w:w="249"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i w:val="0"/>
                <w:iCs w:val="0"/>
                <w:color w:val="auto"/>
                <w:kern w:val="0"/>
                <w:sz w:val="21"/>
                <w:szCs w:val="21"/>
                <w:u w:val="none"/>
                <w:lang w:val="en-US" w:eastAsia="zh-CN" w:bidi="ar"/>
              </w:rPr>
              <w:t>4</w:t>
            </w: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c>
          <w:tcPr>
            <w:tcW w:w="24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c>
          <w:tcPr>
            <w:tcW w:w="29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sz w:val="18"/>
                <w:szCs w:val="18"/>
                <w:u w:val="none"/>
              </w:rPr>
            </w:pPr>
            <w:r>
              <w:rPr>
                <w:rFonts w:hint="eastAsia" w:asciiTheme="minorEastAsia" w:hAnsiTheme="minorEastAsia" w:eastAsiaTheme="minorEastAsia" w:cstheme="minorEastAsia"/>
                <w:i w:val="0"/>
                <w:iCs w:val="0"/>
                <w:color w:val="auto"/>
                <w:kern w:val="0"/>
                <w:sz w:val="21"/>
                <w:szCs w:val="21"/>
                <w:u w:val="none"/>
                <w:lang w:val="en-US" w:eastAsia="zh-CN" w:bidi="ar"/>
              </w:rPr>
              <w:t>考试</w:t>
            </w:r>
          </w:p>
        </w:tc>
        <w:tc>
          <w:tcPr>
            <w:tcW w:w="19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6</w:t>
            </w:r>
          </w:p>
        </w:tc>
        <w:tc>
          <w:tcPr>
            <w:tcW w:w="456" w:type="pct"/>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02301B2325</w:t>
            </w:r>
          </w:p>
        </w:tc>
        <w:tc>
          <w:tcPr>
            <w:tcW w:w="630" w:type="pc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物业环境管理</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48</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24</w:t>
            </w:r>
          </w:p>
        </w:tc>
        <w:tc>
          <w:tcPr>
            <w:tcW w:w="2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考试</w:t>
            </w:r>
          </w:p>
        </w:tc>
        <w:tc>
          <w:tcPr>
            <w:tcW w:w="19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w:t>
            </w:r>
          </w:p>
        </w:tc>
        <w:tc>
          <w:tcPr>
            <w:tcW w:w="456" w:type="pct"/>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02301B2326</w:t>
            </w:r>
          </w:p>
        </w:tc>
        <w:tc>
          <w:tcPr>
            <w:tcW w:w="630" w:type="pc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物业管理综合服务与案例分析</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72</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48</w:t>
            </w:r>
          </w:p>
        </w:tc>
        <w:tc>
          <w:tcPr>
            <w:tcW w:w="26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24</w:t>
            </w:r>
          </w:p>
        </w:tc>
        <w:tc>
          <w:tcPr>
            <w:tcW w:w="2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24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19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8</w:t>
            </w:r>
          </w:p>
        </w:tc>
        <w:tc>
          <w:tcPr>
            <w:tcW w:w="456" w:type="pct"/>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02301B2327</w:t>
            </w:r>
          </w:p>
        </w:tc>
        <w:tc>
          <w:tcPr>
            <w:tcW w:w="630" w:type="pc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物业管理法规</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72</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56</w:t>
            </w:r>
          </w:p>
        </w:tc>
        <w:tc>
          <w:tcPr>
            <w:tcW w:w="26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16</w:t>
            </w:r>
          </w:p>
        </w:tc>
        <w:tc>
          <w:tcPr>
            <w:tcW w:w="2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24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考试</w:t>
            </w:r>
          </w:p>
        </w:tc>
        <w:tc>
          <w:tcPr>
            <w:tcW w:w="19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7"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专业实践教学环节</w:t>
            </w:r>
          </w:p>
        </w:tc>
        <w:tc>
          <w:tcPr>
            <w:tcW w:w="275"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必修</w:t>
            </w: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10B110020</w:t>
            </w:r>
          </w:p>
        </w:tc>
        <w:tc>
          <w:tcPr>
            <w:tcW w:w="630" w:type="pct"/>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毕业设计</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5</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80</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20</w:t>
            </w:r>
          </w:p>
        </w:tc>
        <w:tc>
          <w:tcPr>
            <w:tcW w:w="26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60</w:t>
            </w:r>
          </w:p>
        </w:tc>
        <w:tc>
          <w:tcPr>
            <w:tcW w:w="211" w:type="pct"/>
            <w:shd w:val="clear" w:color="auto" w:fill="auto"/>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80</w:t>
            </w:r>
          </w:p>
        </w:tc>
        <w:tc>
          <w:tcPr>
            <w:tcW w:w="294" w:type="pct"/>
            <w:shd w:val="clear" w:color="auto" w:fill="auto"/>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199"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w:t>
            </w:r>
          </w:p>
        </w:tc>
        <w:tc>
          <w:tcPr>
            <w:tcW w:w="4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10C112120</w:t>
            </w:r>
          </w:p>
        </w:tc>
        <w:tc>
          <w:tcPr>
            <w:tcW w:w="630" w:type="pct"/>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岗位实习</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20</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540</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0</w:t>
            </w:r>
          </w:p>
        </w:tc>
        <w:tc>
          <w:tcPr>
            <w:tcW w:w="26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540</w:t>
            </w:r>
          </w:p>
        </w:tc>
        <w:tc>
          <w:tcPr>
            <w:tcW w:w="2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540</w:t>
            </w:r>
          </w:p>
        </w:tc>
        <w:tc>
          <w:tcPr>
            <w:tcW w:w="31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19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7" w:type="pct"/>
            <w:vMerge w:val="restar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专业拓展课</w:t>
            </w:r>
          </w:p>
        </w:tc>
        <w:tc>
          <w:tcPr>
            <w:tcW w:w="275"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选修</w:t>
            </w: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w:t>
            </w:r>
          </w:p>
        </w:tc>
        <w:tc>
          <w:tcPr>
            <w:tcW w:w="456" w:type="pct"/>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23D0701</w:t>
            </w:r>
          </w:p>
        </w:tc>
        <w:tc>
          <w:tcPr>
            <w:tcW w:w="630" w:type="pc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工程制图</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54</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18</w:t>
            </w:r>
          </w:p>
        </w:tc>
        <w:tc>
          <w:tcPr>
            <w:tcW w:w="26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1432" w:type="pct"/>
            <w:gridSpan w:val="6"/>
            <w:vMerge w:val="restar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专业拓展课最低学分要求为6学分</w:t>
            </w: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7"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w:t>
            </w:r>
          </w:p>
        </w:tc>
        <w:tc>
          <w:tcPr>
            <w:tcW w:w="456" w:type="pct"/>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23D0702</w:t>
            </w:r>
          </w:p>
        </w:tc>
        <w:tc>
          <w:tcPr>
            <w:tcW w:w="630" w:type="pc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工程建设法规</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54</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18</w:t>
            </w:r>
          </w:p>
        </w:tc>
        <w:tc>
          <w:tcPr>
            <w:tcW w:w="26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1432" w:type="pct"/>
            <w:gridSpan w:val="6"/>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7"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w:t>
            </w:r>
          </w:p>
        </w:tc>
        <w:tc>
          <w:tcPr>
            <w:tcW w:w="456" w:type="pct"/>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23D0703</w:t>
            </w:r>
          </w:p>
        </w:tc>
        <w:tc>
          <w:tcPr>
            <w:tcW w:w="630" w:type="pc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计算机辅助设计（CAD）</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54</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18</w:t>
            </w:r>
          </w:p>
        </w:tc>
        <w:tc>
          <w:tcPr>
            <w:tcW w:w="26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1432" w:type="pct"/>
            <w:gridSpan w:val="6"/>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7"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val="0"/>
                <w:i w:val="0"/>
                <w:color w:val="000000"/>
                <w:sz w:val="18"/>
                <w:szCs w:val="18"/>
                <w:u w:val="none"/>
              </w:rPr>
            </w:pPr>
          </w:p>
        </w:tc>
        <w:tc>
          <w:tcPr>
            <w:tcW w:w="2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1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456" w:type="pc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23D0704</w:t>
            </w:r>
          </w:p>
        </w:tc>
        <w:tc>
          <w:tcPr>
            <w:tcW w:w="630" w:type="pc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文献检索与论文写作</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54</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18</w:t>
            </w:r>
          </w:p>
        </w:tc>
        <w:tc>
          <w:tcPr>
            <w:tcW w:w="26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1432" w:type="pct"/>
            <w:gridSpan w:val="6"/>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1780" w:type="pct"/>
            <w:gridSpan w:val="5"/>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专业必修课程学分、学时小计</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93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1844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844</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1000</w:t>
            </w:r>
          </w:p>
        </w:tc>
        <w:tc>
          <w:tcPr>
            <w:tcW w:w="21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199"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1780" w:type="pct"/>
            <w:gridSpan w:val="5"/>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专业必修课程学分、学时占比</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60.00%</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61.67%</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28.23%</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33.44%</w:t>
            </w:r>
          </w:p>
        </w:tc>
        <w:tc>
          <w:tcPr>
            <w:tcW w:w="21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199"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1780" w:type="pct"/>
            <w:gridSpan w:val="5"/>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专业拓展课程学分、学时小计</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6</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108</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w:t>
            </w:r>
          </w:p>
        </w:tc>
        <w:tc>
          <w:tcPr>
            <w:tcW w:w="26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72</w:t>
            </w:r>
          </w:p>
        </w:tc>
        <w:tc>
          <w:tcPr>
            <w:tcW w:w="21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199"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1780" w:type="pct"/>
            <w:gridSpan w:val="5"/>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专业拓展课程学分、学时占比</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3.87%</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3.61%</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1.20%</w:t>
            </w:r>
          </w:p>
        </w:tc>
        <w:tc>
          <w:tcPr>
            <w:tcW w:w="26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2.41%</w:t>
            </w:r>
          </w:p>
        </w:tc>
        <w:tc>
          <w:tcPr>
            <w:tcW w:w="21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199"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0" w:hRule="atLeast"/>
          <w:jc w:val="center"/>
        </w:trPr>
        <w:tc>
          <w:tcPr>
            <w:tcW w:w="420" w:type="pct"/>
            <w:gridSpan w:val="2"/>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其他教育活动</w:t>
            </w:r>
          </w:p>
        </w:tc>
        <w:tc>
          <w:tcPr>
            <w:tcW w:w="2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必修</w:t>
            </w:r>
          </w:p>
        </w:tc>
        <w:tc>
          <w:tcPr>
            <w:tcW w:w="1297" w:type="pct"/>
            <w:gridSpan w:val="3"/>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第二课堂</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64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0</w:t>
            </w:r>
          </w:p>
        </w:tc>
        <w:tc>
          <w:tcPr>
            <w:tcW w:w="2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64</w:t>
            </w:r>
          </w:p>
        </w:tc>
        <w:tc>
          <w:tcPr>
            <w:tcW w:w="1432" w:type="pct"/>
            <w:gridSpan w:val="6"/>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考查</w:t>
            </w:r>
          </w:p>
        </w:tc>
        <w:tc>
          <w:tcPr>
            <w:tcW w:w="199"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val="0"/>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994" w:type="pct"/>
            <w:gridSpan w:val="6"/>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总学分、学时合计</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155</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2990</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1466</w:t>
            </w:r>
          </w:p>
        </w:tc>
        <w:tc>
          <w:tcPr>
            <w:tcW w:w="26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1524</w:t>
            </w:r>
          </w:p>
        </w:tc>
        <w:tc>
          <w:tcPr>
            <w:tcW w:w="21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33"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49"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0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4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29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val="0"/>
                <w:i w:val="0"/>
                <w:color w:val="000000"/>
                <w:sz w:val="18"/>
                <w:szCs w:val="18"/>
                <w:u w:val="none"/>
              </w:rPr>
            </w:pPr>
          </w:p>
        </w:tc>
        <w:tc>
          <w:tcPr>
            <w:tcW w:w="31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val="0"/>
                <w:i w:val="0"/>
                <w:color w:val="000000"/>
                <w:sz w:val="18"/>
                <w:szCs w:val="18"/>
                <w:u w:val="none"/>
              </w:rPr>
            </w:pPr>
          </w:p>
        </w:tc>
        <w:tc>
          <w:tcPr>
            <w:tcW w:w="199"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val="0"/>
                <w:i w:val="0"/>
                <w:color w:val="000000"/>
                <w:sz w:val="18"/>
                <w:szCs w:val="18"/>
                <w:u w:val="none"/>
              </w:rPr>
            </w:pPr>
          </w:p>
        </w:tc>
      </w:tr>
    </w:tbl>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八、实施保障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（一）</w:t>
      </w:r>
      <w:r>
        <w:rPr>
          <w:rFonts w:hint="eastAsia" w:ascii="楷体" w:hAnsi="楷体" w:eastAsia="楷体" w:cs="楷体"/>
          <w:b w:val="0"/>
          <w:bCs w:val="0"/>
          <w:color w:val="auto"/>
          <w:sz w:val="32"/>
          <w:szCs w:val="32"/>
          <w:highlight w:val="none"/>
        </w:rPr>
        <w:t>师资队伍</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1.队伍结构</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专任教师队伍的知识、职称、年龄结构合理，有良好的合作精神和梯队结构</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 xml:space="preserve">学生数与本专业专任教师数比例不高于 </w:t>
      </w:r>
      <w:r>
        <w:rPr>
          <w:rFonts w:hint="eastAsia" w:ascii="仿宋_GB2312" w:hAnsi="仿宋_GB2312" w:eastAsia="仿宋_GB2312" w:cs="仿宋_GB2312"/>
          <w:b w:val="0"/>
          <w:bCs w:val="0"/>
          <w:color w:val="auto"/>
          <w:sz w:val="32"/>
          <w:szCs w:val="32"/>
          <w:highlight w:val="none"/>
          <w:lang w:val="en-US" w:eastAsia="zh-CN"/>
        </w:rPr>
        <w:t>25</w:t>
      </w:r>
      <w:r>
        <w:rPr>
          <w:rFonts w:hint="eastAsia" w:ascii="仿宋_GB2312" w:hAnsi="仿宋_GB2312" w:eastAsia="仿宋_GB2312" w:cs="仿宋_GB2312"/>
          <w:b w:val="0"/>
          <w:bCs w:val="0"/>
          <w:color w:val="auto"/>
          <w:sz w:val="32"/>
          <w:szCs w:val="32"/>
          <w:highlight w:val="none"/>
        </w:rPr>
        <w:t>∶1，双师素质教师占专业教师比例不低于60%，具有承担专业核心课程教学任务的专业教师不少于4人，其中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具有高级以上专业技术职务的不少于1人，“双师型”教师不少于2人</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专业教师团队现有专任教师9人，获取职称人数为5人。其中副高及以上职称1人，中级职称3人，初级职称1人。双师型专任教师1人，</w:t>
      </w:r>
      <w:r>
        <w:rPr>
          <w:rFonts w:hint="eastAsia" w:ascii="仿宋_GB2312" w:hAnsi="仿宋_GB2312" w:eastAsia="仿宋_GB2312" w:cs="仿宋_GB2312"/>
          <w:b w:val="0"/>
          <w:bCs w:val="0"/>
          <w:color w:val="auto"/>
          <w:sz w:val="32"/>
          <w:szCs w:val="32"/>
          <w:highlight w:val="none"/>
        </w:rPr>
        <w:t>具有研究生学位</w:t>
      </w:r>
      <w:r>
        <w:rPr>
          <w:rFonts w:hint="eastAsia" w:ascii="仿宋_GB2312" w:hAnsi="仿宋_GB2312" w:eastAsia="仿宋_GB2312" w:cs="仿宋_GB2312"/>
          <w:b w:val="0"/>
          <w:bCs w:val="0"/>
          <w:color w:val="auto"/>
          <w:sz w:val="32"/>
          <w:szCs w:val="32"/>
          <w:highlight w:val="none"/>
          <w:lang w:eastAsia="zh-CN"/>
        </w:rPr>
        <w:t>教师</w:t>
      </w:r>
      <w:r>
        <w:rPr>
          <w:rFonts w:hint="eastAsia" w:ascii="仿宋_GB2312" w:hAnsi="仿宋_GB2312" w:eastAsia="仿宋_GB2312" w:cs="仿宋_GB2312"/>
          <w:b w:val="0"/>
          <w:bCs w:val="0"/>
          <w:color w:val="auto"/>
          <w:sz w:val="32"/>
          <w:szCs w:val="32"/>
          <w:highlight w:val="none"/>
          <w:lang w:val="en-US" w:eastAsia="zh-CN"/>
        </w:rPr>
        <w:t>1人。</w:t>
      </w:r>
      <w:r>
        <w:rPr>
          <w:rFonts w:hint="eastAsia" w:ascii="仿宋_GB2312" w:hAnsi="仿宋_GB2312" w:eastAsia="仿宋_GB2312" w:cs="仿宋_GB2312"/>
          <w:b w:val="0"/>
          <w:bCs w:val="0"/>
          <w:color w:val="auto"/>
          <w:sz w:val="32"/>
          <w:szCs w:val="32"/>
          <w:highlight w:val="none"/>
          <w:lang w:eastAsia="zh-CN"/>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2.专任教师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专任教师应具有高校教师资格;有理想信念、有道德情操、有扎实学识、有仁爱之心;具有</w:t>
      </w:r>
      <w:r>
        <w:rPr>
          <w:rFonts w:hint="eastAsia" w:ascii="仿宋_GB2312" w:hAnsi="仿宋_GB2312" w:eastAsia="仿宋_GB2312" w:cs="仿宋_GB2312"/>
          <w:b w:val="0"/>
          <w:bCs w:val="0"/>
          <w:color w:val="auto"/>
          <w:sz w:val="32"/>
          <w:szCs w:val="32"/>
          <w:highlight w:val="none"/>
          <w:lang w:val="en-US" w:eastAsia="zh-CN"/>
        </w:rPr>
        <w:t>现代物业管理</w:t>
      </w:r>
      <w:r>
        <w:rPr>
          <w:rFonts w:hint="eastAsia" w:ascii="仿宋_GB2312" w:hAnsi="仿宋_GB2312" w:eastAsia="仿宋_GB2312" w:cs="仿宋_GB2312"/>
          <w:b w:val="0"/>
          <w:bCs w:val="0"/>
          <w:color w:val="auto"/>
          <w:sz w:val="32"/>
          <w:szCs w:val="32"/>
          <w:highlight w:val="none"/>
        </w:rPr>
        <w:t>等相关专业本科及以上学历;具有扎实的本专业相关理论功底和实践能力;具有较强信息化教学能力，能够开展课程教学改革和科学研究;有每 5 年累计不少于 6 个月的企业实践经历。</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3.专业带头人</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带头人原则上应具有副高及以上职称，能够较好地把握国内外现代物业管理行业、专业发展，能广泛联系行业企业，了解行业企业对本专业人才的需求实际，教学设计、专业研究能力强，组织开展教科研工作能力强，在本区域或本领域具有一定的专业影响力。本专业带头人为陈晓文，副高职称，负责本专业的规划与建设、主持专业人才培养方案、课程标准的制定与修订、教材、专业教学标准、专业认证体系的建设工作、负责本专业教学改革和实践技能培养方案的制定等工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4.兼职教师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二</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教学设施</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教学设施主要包括能够满足正常的课程教学、实习实训所需的专业教室、校内实训室和校外实训基地等。</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1.专业教室要求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学校为该专业配备公共教室（配备有多媒体设施）、多媒体教室等，满足理论教学要求。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配有黑（白）板、多媒体计算机、投影设备、音响设备，安装应急照明装置并保持良好状态，符合紧急疏散要求，标志明显，逃生通道畅通无阻。</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2.校内实训资源</w:t>
      </w:r>
    </w:p>
    <w:p>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b w:val="0"/>
          <w:bCs w:val="0"/>
          <w:color w:val="auto"/>
          <w:sz w:val="32"/>
          <w:szCs w:val="32"/>
          <w:highlight w:val="none"/>
        </w:rPr>
        <w:t>表1</w:t>
      </w:r>
      <w:r>
        <w:rPr>
          <w:rFonts w:hint="eastAsia" w:ascii="仿宋_GB2312" w:hAnsi="仿宋_GB2312" w:eastAsia="仿宋_GB2312" w:cs="仿宋_GB2312"/>
          <w:b w:val="0"/>
          <w:bCs w:val="0"/>
          <w:color w:val="auto"/>
          <w:sz w:val="32"/>
          <w:szCs w:val="32"/>
          <w:highlight w:val="none"/>
          <w:lang w:val="en-US" w:eastAsia="zh-CN"/>
        </w:rPr>
        <w:t>0现代物业管理</w:t>
      </w:r>
      <w:r>
        <w:rPr>
          <w:rFonts w:hint="eastAsia" w:ascii="仿宋_GB2312" w:hAnsi="仿宋_GB2312" w:eastAsia="仿宋_GB2312" w:cs="仿宋_GB2312"/>
          <w:color w:val="auto"/>
          <w:kern w:val="0"/>
          <w:sz w:val="32"/>
          <w:szCs w:val="32"/>
          <w:lang w:val="en-US" w:eastAsia="zh-CN" w:bidi="ar-SA"/>
        </w:rPr>
        <w:t>专业校内实训资源列表</w:t>
      </w:r>
    </w:p>
    <w:tbl>
      <w:tblPr>
        <w:tblStyle w:val="6"/>
        <w:tblW w:w="93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
        <w:gridCol w:w="1619"/>
        <w:gridCol w:w="1315"/>
        <w:gridCol w:w="1177"/>
        <w:gridCol w:w="3505"/>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序号</w:t>
            </w:r>
          </w:p>
        </w:tc>
        <w:tc>
          <w:tcPr>
            <w:tcW w:w="161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实验实训室名称</w:t>
            </w:r>
          </w:p>
        </w:tc>
        <w:tc>
          <w:tcPr>
            <w:tcW w:w="131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实训适用课程</w:t>
            </w:r>
          </w:p>
        </w:tc>
        <w:tc>
          <w:tcPr>
            <w:tcW w:w="117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实训项目</w:t>
            </w:r>
          </w:p>
        </w:tc>
        <w:tc>
          <w:tcPr>
            <w:tcW w:w="35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主要设备名称及配置数量</w:t>
            </w:r>
          </w:p>
        </w:tc>
        <w:tc>
          <w:tcPr>
            <w:tcW w:w="76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23" w:type="dxa"/>
            <w:vMerge w:val="restart"/>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619" w:type="dxa"/>
            <w:vMerge w:val="restart"/>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物业管理实训场</w:t>
            </w:r>
          </w:p>
        </w:tc>
        <w:tc>
          <w:tcPr>
            <w:tcW w:w="1315" w:type="dxa"/>
            <w:vMerge w:val="restart"/>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物业服务沟通与礼仪</w:t>
            </w:r>
          </w:p>
        </w:tc>
        <w:tc>
          <w:tcPr>
            <w:tcW w:w="1177" w:type="dxa"/>
            <w:vMerge w:val="restart"/>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沟通与礼仪训练</w:t>
            </w:r>
          </w:p>
        </w:tc>
        <w:tc>
          <w:tcPr>
            <w:tcW w:w="35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服务器2个</w:t>
            </w:r>
          </w:p>
        </w:tc>
        <w:tc>
          <w:tcPr>
            <w:tcW w:w="769" w:type="dxa"/>
            <w:vMerge w:val="restart"/>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61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315"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177"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35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投影设备1个</w:t>
            </w:r>
          </w:p>
        </w:tc>
        <w:tc>
          <w:tcPr>
            <w:tcW w:w="76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61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315"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177"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35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音响设备1个</w:t>
            </w:r>
          </w:p>
        </w:tc>
        <w:tc>
          <w:tcPr>
            <w:tcW w:w="76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61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315"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177"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35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配备数码相机1台</w:t>
            </w:r>
          </w:p>
        </w:tc>
        <w:tc>
          <w:tcPr>
            <w:tcW w:w="76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61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315"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177"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35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相机三脚架等摄影器材1台</w:t>
            </w:r>
          </w:p>
        </w:tc>
        <w:tc>
          <w:tcPr>
            <w:tcW w:w="76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61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315"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177"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35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互联网接入或 Wi-Fi环境1个</w:t>
            </w:r>
          </w:p>
        </w:tc>
        <w:tc>
          <w:tcPr>
            <w:tcW w:w="76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923" w:type="dxa"/>
            <w:vMerge w:val="restart"/>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619" w:type="dxa"/>
            <w:vMerge w:val="restart"/>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物业管理实训场</w:t>
            </w:r>
          </w:p>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315" w:type="dxa"/>
            <w:vMerge w:val="restart"/>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物业服务人员形体</w:t>
            </w:r>
          </w:p>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177" w:type="dxa"/>
            <w:vMerge w:val="restart"/>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物业服务人员形体训练</w:t>
            </w:r>
          </w:p>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35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服务器2个</w:t>
            </w:r>
          </w:p>
        </w:tc>
        <w:tc>
          <w:tcPr>
            <w:tcW w:w="769" w:type="dxa"/>
            <w:vMerge w:val="restart"/>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40个</w:t>
            </w:r>
          </w:p>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61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315"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177"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35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投影设备1个</w:t>
            </w:r>
          </w:p>
        </w:tc>
        <w:tc>
          <w:tcPr>
            <w:tcW w:w="76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61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315"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177"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35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音响设备1个</w:t>
            </w:r>
          </w:p>
        </w:tc>
        <w:tc>
          <w:tcPr>
            <w:tcW w:w="76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61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315"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177"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35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配备数码相机1台</w:t>
            </w:r>
          </w:p>
        </w:tc>
        <w:tc>
          <w:tcPr>
            <w:tcW w:w="76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61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315"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177"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35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相机三脚架等摄影器材1台</w:t>
            </w:r>
          </w:p>
        </w:tc>
        <w:tc>
          <w:tcPr>
            <w:tcW w:w="76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61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315"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177"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35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互联网接入或 Wi-Fi环境1个</w:t>
            </w:r>
          </w:p>
        </w:tc>
        <w:tc>
          <w:tcPr>
            <w:tcW w:w="76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Merge w:val="restart"/>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619" w:type="dxa"/>
            <w:vMerge w:val="restart"/>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物业管理实训场</w:t>
            </w:r>
          </w:p>
        </w:tc>
        <w:tc>
          <w:tcPr>
            <w:tcW w:w="1315" w:type="dxa"/>
            <w:vMerge w:val="restart"/>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语言</w:t>
            </w:r>
          </w:p>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训练</w:t>
            </w:r>
          </w:p>
        </w:tc>
        <w:tc>
          <w:tcPr>
            <w:tcW w:w="1177" w:type="dxa"/>
            <w:vMerge w:val="restart"/>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语言</w:t>
            </w:r>
          </w:p>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训练</w:t>
            </w:r>
          </w:p>
        </w:tc>
        <w:tc>
          <w:tcPr>
            <w:tcW w:w="35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服务器2个</w:t>
            </w:r>
          </w:p>
        </w:tc>
        <w:tc>
          <w:tcPr>
            <w:tcW w:w="769" w:type="dxa"/>
            <w:vMerge w:val="restart"/>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61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315"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177"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35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投影设备1个</w:t>
            </w:r>
          </w:p>
        </w:tc>
        <w:tc>
          <w:tcPr>
            <w:tcW w:w="76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61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315"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177"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35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音响设备1个</w:t>
            </w:r>
          </w:p>
        </w:tc>
        <w:tc>
          <w:tcPr>
            <w:tcW w:w="76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61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315"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177"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35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配备数码相机1台</w:t>
            </w:r>
          </w:p>
        </w:tc>
        <w:tc>
          <w:tcPr>
            <w:tcW w:w="76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61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315"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177"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35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相机三脚架等摄影器材1台</w:t>
            </w:r>
          </w:p>
        </w:tc>
        <w:tc>
          <w:tcPr>
            <w:tcW w:w="76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61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315"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1177"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c>
          <w:tcPr>
            <w:tcW w:w="35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互联网接入或 Wi-Fi环境1个</w:t>
            </w:r>
          </w:p>
        </w:tc>
        <w:tc>
          <w:tcPr>
            <w:tcW w:w="769" w:type="dxa"/>
            <w:vMerge w:val="continue"/>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val="en-US" w:eastAsia="zh-CN"/>
              </w:rPr>
            </w:pPr>
          </w:p>
        </w:tc>
      </w:tr>
    </w:tbl>
    <w:p>
      <w:pPr>
        <w:pStyle w:val="2"/>
        <w:pageBreakBefore w:val="0"/>
        <w:widowControl/>
        <w:numPr>
          <w:ilvl w:val="0"/>
          <w:numId w:val="0"/>
        </w:numPr>
        <w:kinsoku/>
        <w:wordWrap/>
        <w:topLinePunct w:val="0"/>
        <w:autoSpaceDE/>
        <w:autoSpaceDN/>
        <w:bidi w:val="0"/>
        <w:snapToGrid/>
        <w:spacing w:before="0" w:line="52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3.校外实训资源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（1）校外实训基地基本要求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具有稳定的校外实训基地2个以上;能够开展物业客户服务技巧等实训活动;实训设施齐备，实训岗位、实训指导教师确定，实训管理及实施规章制度齐全。</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（2）学生实习基地基本要求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具有稳定的校外实习基地2个以上;能提供物业管理等相关实习岗位，能涵盖当前相关产业的主流技术，可接纳一定规模的学生实习;能够配备相应数量的指导教师对学生实习进行指导和管理;有保证实习生日常工作、学习、生活的规章制度，有安全、保险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jc w:val="center"/>
        <w:textAlignment w:val="auto"/>
        <w:rPr>
          <w:rFonts w:hint="eastAsia" w:ascii="仿宋" w:hAnsi="仿宋" w:eastAsia="仿宋" w:cs="仿宋"/>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表1</w:t>
      </w:r>
      <w:r>
        <w:rPr>
          <w:rFonts w:hint="eastAsia" w:ascii="仿宋_GB2312" w:hAnsi="仿宋_GB2312" w:eastAsia="仿宋_GB2312" w:cs="仿宋_GB2312"/>
          <w:b w:val="0"/>
          <w:bCs w:val="0"/>
          <w:color w:val="auto"/>
          <w:sz w:val="32"/>
          <w:szCs w:val="32"/>
          <w:highlight w:val="none"/>
          <w:lang w:val="en-US" w:eastAsia="zh-CN"/>
        </w:rPr>
        <w:t>1 现代物业管理专业校外实习基地一览表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
        <w:gridCol w:w="2188"/>
        <w:gridCol w:w="1420"/>
        <w:gridCol w:w="1280"/>
        <w:gridCol w:w="1295"/>
        <w:gridCol w:w="1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序号</w:t>
            </w:r>
          </w:p>
        </w:tc>
        <w:tc>
          <w:tcPr>
            <w:tcW w:w="218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校外实习基地</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名称</w:t>
            </w:r>
          </w:p>
        </w:tc>
        <w:tc>
          <w:tcPr>
            <w:tcW w:w="14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合作企业</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名称</w:t>
            </w:r>
          </w:p>
        </w:tc>
        <w:tc>
          <w:tcPr>
            <w:tcW w:w="128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用途</w:t>
            </w:r>
          </w:p>
        </w:tc>
        <w:tc>
          <w:tcPr>
            <w:tcW w:w="129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合作深度</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要求</w:t>
            </w:r>
          </w:p>
        </w:tc>
        <w:tc>
          <w:tcPr>
            <w:tcW w:w="14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接纳学生</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1</w:t>
            </w:r>
          </w:p>
        </w:tc>
        <w:tc>
          <w:tcPr>
            <w:tcW w:w="218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color w:val="auto"/>
                <w:sz w:val="24"/>
                <w:szCs w:val="24"/>
                <w:highlight w:val="none"/>
                <w:shd w:val="clear" w:color="auto" w:fill="FFFFFF"/>
                <w:lang w:bidi="ar"/>
              </w:rPr>
              <w:t>现代物业管理</w:t>
            </w:r>
            <w:r>
              <w:rPr>
                <w:rFonts w:hint="eastAsia" w:ascii="仿宋" w:hAnsi="仿宋" w:eastAsia="仿宋" w:cs="仿宋"/>
                <w:b w:val="0"/>
                <w:bCs w:val="0"/>
                <w:color w:val="auto"/>
                <w:sz w:val="24"/>
                <w:szCs w:val="24"/>
                <w:highlight w:val="none"/>
                <w:lang w:val="en-US" w:eastAsia="zh-CN"/>
              </w:rPr>
              <w:t>专业校外实习基地</w:t>
            </w:r>
          </w:p>
        </w:tc>
        <w:tc>
          <w:tcPr>
            <w:tcW w:w="14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广西盛世家园物业服务有限责任公司</w:t>
            </w:r>
          </w:p>
        </w:tc>
        <w:tc>
          <w:tcPr>
            <w:tcW w:w="128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岗位实习</w:t>
            </w:r>
          </w:p>
        </w:tc>
        <w:tc>
          <w:tcPr>
            <w:tcW w:w="129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深度合作</w:t>
            </w:r>
          </w:p>
        </w:tc>
        <w:tc>
          <w:tcPr>
            <w:tcW w:w="14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2</w:t>
            </w:r>
          </w:p>
        </w:tc>
        <w:tc>
          <w:tcPr>
            <w:tcW w:w="218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color w:val="auto"/>
                <w:sz w:val="24"/>
                <w:szCs w:val="24"/>
                <w:highlight w:val="none"/>
                <w:shd w:val="clear" w:color="auto" w:fill="FFFFFF"/>
                <w:lang w:bidi="ar"/>
              </w:rPr>
              <w:t>现代物业管理</w:t>
            </w:r>
            <w:r>
              <w:rPr>
                <w:rFonts w:hint="eastAsia" w:ascii="仿宋" w:hAnsi="仿宋" w:eastAsia="仿宋" w:cs="仿宋"/>
                <w:b w:val="0"/>
                <w:bCs w:val="0"/>
                <w:color w:val="auto"/>
                <w:sz w:val="24"/>
                <w:szCs w:val="24"/>
                <w:highlight w:val="none"/>
                <w:lang w:val="en-US" w:eastAsia="zh-CN"/>
              </w:rPr>
              <w:t>专业校外实习基地</w:t>
            </w:r>
          </w:p>
        </w:tc>
        <w:tc>
          <w:tcPr>
            <w:tcW w:w="14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广西安信物业服务有限公司</w:t>
            </w:r>
          </w:p>
        </w:tc>
        <w:tc>
          <w:tcPr>
            <w:tcW w:w="128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岗位实习</w:t>
            </w:r>
          </w:p>
        </w:tc>
        <w:tc>
          <w:tcPr>
            <w:tcW w:w="129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深度合作</w:t>
            </w:r>
          </w:p>
        </w:tc>
        <w:tc>
          <w:tcPr>
            <w:tcW w:w="14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w:t>
            </w:r>
          </w:p>
        </w:tc>
        <w:tc>
          <w:tcPr>
            <w:tcW w:w="218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color w:val="auto"/>
                <w:sz w:val="24"/>
                <w:szCs w:val="24"/>
                <w:highlight w:val="none"/>
                <w:shd w:val="clear" w:color="auto" w:fill="FFFFFF"/>
                <w:lang w:bidi="ar"/>
              </w:rPr>
              <w:t>现代物业管理</w:t>
            </w:r>
            <w:r>
              <w:rPr>
                <w:rFonts w:hint="eastAsia" w:ascii="仿宋" w:hAnsi="仿宋" w:eastAsia="仿宋" w:cs="仿宋"/>
                <w:b w:val="0"/>
                <w:bCs w:val="0"/>
                <w:color w:val="auto"/>
                <w:sz w:val="24"/>
                <w:szCs w:val="24"/>
                <w:highlight w:val="none"/>
                <w:lang w:val="en-US" w:eastAsia="zh-CN"/>
              </w:rPr>
              <w:t>专业校外实习基地</w:t>
            </w:r>
          </w:p>
        </w:tc>
        <w:tc>
          <w:tcPr>
            <w:tcW w:w="14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碧桂园生活服务集团股份有限公司柳州分公司</w:t>
            </w:r>
          </w:p>
        </w:tc>
        <w:tc>
          <w:tcPr>
            <w:tcW w:w="128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岗位实习</w:t>
            </w:r>
          </w:p>
        </w:tc>
        <w:tc>
          <w:tcPr>
            <w:tcW w:w="129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深度合作</w:t>
            </w:r>
          </w:p>
        </w:tc>
        <w:tc>
          <w:tcPr>
            <w:tcW w:w="14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4</w:t>
            </w:r>
          </w:p>
        </w:tc>
        <w:tc>
          <w:tcPr>
            <w:tcW w:w="218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color w:val="auto"/>
                <w:sz w:val="24"/>
                <w:szCs w:val="24"/>
                <w:highlight w:val="none"/>
                <w:shd w:val="clear" w:color="auto" w:fill="FFFFFF"/>
                <w:lang w:bidi="ar"/>
              </w:rPr>
              <w:t>现代物业管理</w:t>
            </w:r>
            <w:r>
              <w:rPr>
                <w:rFonts w:hint="eastAsia" w:ascii="仿宋" w:hAnsi="仿宋" w:eastAsia="仿宋" w:cs="仿宋"/>
                <w:b w:val="0"/>
                <w:bCs w:val="0"/>
                <w:color w:val="auto"/>
                <w:sz w:val="24"/>
                <w:szCs w:val="24"/>
                <w:highlight w:val="none"/>
                <w:lang w:val="en-US" w:eastAsia="zh-CN"/>
              </w:rPr>
              <w:t>专业校外实习基地</w:t>
            </w:r>
          </w:p>
        </w:tc>
        <w:tc>
          <w:tcPr>
            <w:tcW w:w="14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rPr>
              <w:t>平果博才物业服务有限公司</w:t>
            </w:r>
          </w:p>
        </w:tc>
        <w:tc>
          <w:tcPr>
            <w:tcW w:w="128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岗位实习</w:t>
            </w:r>
          </w:p>
        </w:tc>
        <w:tc>
          <w:tcPr>
            <w:tcW w:w="129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深度合作</w:t>
            </w:r>
          </w:p>
        </w:tc>
        <w:tc>
          <w:tcPr>
            <w:tcW w:w="14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5</w:t>
            </w:r>
          </w:p>
        </w:tc>
        <w:tc>
          <w:tcPr>
            <w:tcW w:w="218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color w:val="auto"/>
                <w:sz w:val="24"/>
                <w:szCs w:val="24"/>
                <w:highlight w:val="none"/>
                <w:shd w:val="clear" w:color="auto" w:fill="FFFFFF"/>
                <w:lang w:bidi="ar"/>
              </w:rPr>
              <w:t>现代物业管理</w:t>
            </w:r>
            <w:r>
              <w:rPr>
                <w:rFonts w:hint="eastAsia" w:ascii="仿宋" w:hAnsi="仿宋" w:eastAsia="仿宋" w:cs="仿宋"/>
                <w:b w:val="0"/>
                <w:bCs w:val="0"/>
                <w:color w:val="auto"/>
                <w:sz w:val="24"/>
                <w:szCs w:val="24"/>
                <w:highlight w:val="none"/>
                <w:lang w:val="en-US" w:eastAsia="zh-CN"/>
              </w:rPr>
              <w:t>专业校外实习基地</w:t>
            </w:r>
          </w:p>
        </w:tc>
        <w:tc>
          <w:tcPr>
            <w:tcW w:w="14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rPr>
              <w:t>广西军弘保安服务有限公司</w:t>
            </w:r>
          </w:p>
        </w:tc>
        <w:tc>
          <w:tcPr>
            <w:tcW w:w="128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岗位实习</w:t>
            </w:r>
          </w:p>
        </w:tc>
        <w:tc>
          <w:tcPr>
            <w:tcW w:w="129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深度合作</w:t>
            </w:r>
          </w:p>
        </w:tc>
        <w:tc>
          <w:tcPr>
            <w:tcW w:w="14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30</w:t>
            </w:r>
          </w:p>
        </w:tc>
      </w:tr>
    </w:tbl>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三</w:t>
      </w:r>
      <w:r>
        <w:rPr>
          <w:rFonts w:hint="eastAsia" w:ascii="楷体" w:hAnsi="楷体" w:eastAsia="楷体" w:cs="楷体"/>
          <w:b w:val="0"/>
          <w:bCs w:val="0"/>
          <w:color w:val="auto"/>
          <w:sz w:val="32"/>
          <w:szCs w:val="32"/>
          <w:highlight w:val="none"/>
          <w:lang w:eastAsia="zh-CN"/>
        </w:rPr>
        <w:t>）教学资源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教学资源主要包括能满足学生专业学习、教师专业教学研究和教学实施所需的教材、图书文献及数字教学资源等。</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1.教材选用基本要求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选用近五年内出版的高职高专国家级规划教材、自治区级规划教材、高职高专类出版教材。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2.图书文献配备基本要求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图书文献配备能满足人才培养、专业建设、教科研等工作的需要，方便师生查询、借阅。专业类文献主要包括：物业管理相关行业政策法规、行业标准、技术规范以及</w:t>
      </w:r>
      <w:r>
        <w:rPr>
          <w:rFonts w:hint="eastAsia" w:ascii="仿宋_GB2312" w:hAnsi="仿宋_GB2312" w:eastAsia="仿宋_GB2312" w:cs="仿宋_GB2312"/>
          <w:color w:val="auto"/>
          <w:spacing w:val="-2"/>
          <w:sz w:val="32"/>
          <w:szCs w:val="32"/>
        </w:rPr>
        <w:t>物业财务管理、物业信息管理、物业管理综合服务与案例分析</w:t>
      </w:r>
      <w:r>
        <w:rPr>
          <w:rFonts w:hint="eastAsia" w:ascii="仿宋_GB2312" w:hAnsi="仿宋_GB2312" w:eastAsia="仿宋_GB2312" w:cs="仿宋_GB2312"/>
          <w:b w:val="0"/>
          <w:bCs w:val="0"/>
          <w:color w:val="auto"/>
          <w:sz w:val="32"/>
          <w:szCs w:val="32"/>
          <w:highlight w:val="none"/>
          <w:lang w:val="en-US" w:eastAsia="zh-CN"/>
        </w:rPr>
        <w:t>等与服务相关专业类图书和实务案例类图书。专业图书资料（含电子图书）不低于500册，5 种以上现代物业管理类专业学术期刊，并能保持每年更新。</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3.数字教学资源配置基本要求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建设、配备与专业相关的音视频素材、教学课件、数字化教学案例库、虚拟仿真软件、数字教材等专业教学资源库，应种类丰富、形式多样、使用便捷、动态更新，能满足教学要求。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四</w:t>
      </w:r>
      <w:r>
        <w:rPr>
          <w:rFonts w:hint="eastAsia" w:ascii="楷体" w:hAnsi="楷体" w:eastAsia="楷体" w:cs="楷体"/>
          <w:b w:val="0"/>
          <w:bCs w:val="0"/>
          <w:color w:val="auto"/>
          <w:sz w:val="32"/>
          <w:szCs w:val="32"/>
          <w:highlight w:val="none"/>
          <w:lang w:eastAsia="zh-CN"/>
        </w:rPr>
        <w:t>）教学方法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default" w:ascii="仿宋_GB2312" w:hAnsi="仿宋_GB2312" w:eastAsia="仿宋_GB2312" w:cs="仿宋_GB2312"/>
          <w:b w:val="0"/>
          <w:bCs w:val="0"/>
          <w:color w:val="auto"/>
          <w:sz w:val="32"/>
          <w:szCs w:val="32"/>
          <w:highlight w:val="none"/>
          <w:lang w:val="en-US" w:eastAsia="zh-CN"/>
        </w:rPr>
        <w:t>根据不同课程的性质</w:t>
      </w:r>
      <w:r>
        <w:rPr>
          <w:rFonts w:hint="eastAsia" w:ascii="仿宋_GB2312" w:hAnsi="仿宋_GB2312" w:eastAsia="仿宋_GB2312" w:cs="仿宋_GB2312"/>
          <w:b w:val="0"/>
          <w:bCs w:val="0"/>
          <w:color w:val="auto"/>
          <w:sz w:val="32"/>
          <w:szCs w:val="32"/>
          <w:highlight w:val="none"/>
          <w:lang w:val="en-US" w:eastAsia="zh-CN"/>
        </w:rPr>
        <w:t>特点</w:t>
      </w:r>
      <w:r>
        <w:rPr>
          <w:rFonts w:hint="default" w:ascii="仿宋_GB2312" w:hAnsi="仿宋_GB2312" w:eastAsia="仿宋_GB2312" w:cs="仿宋_GB2312"/>
          <w:b w:val="0"/>
          <w:bCs w:val="0"/>
          <w:color w:val="auto"/>
          <w:sz w:val="32"/>
          <w:szCs w:val="32"/>
          <w:highlight w:val="none"/>
          <w:lang w:val="en-US" w:eastAsia="zh-CN"/>
        </w:rPr>
        <w:t>，在保留传统讲授法、演示法、讨论法、问答法、案例分析法等的基础上</w:t>
      </w:r>
      <w:r>
        <w:rPr>
          <w:rFonts w:hint="eastAsia" w:ascii="仿宋_GB2312" w:hAnsi="仿宋_GB2312" w:eastAsia="仿宋_GB2312" w:cs="仿宋_GB2312"/>
          <w:b w:val="0"/>
          <w:bCs w:val="0"/>
          <w:color w:val="auto"/>
          <w:sz w:val="32"/>
          <w:szCs w:val="32"/>
          <w:highlight w:val="none"/>
          <w:lang w:val="en-US" w:eastAsia="zh-CN"/>
        </w:rPr>
        <w:t>，</w:t>
      </w:r>
      <w:r>
        <w:rPr>
          <w:rFonts w:hint="default" w:ascii="仿宋_GB2312" w:hAnsi="仿宋_GB2312" w:eastAsia="仿宋_GB2312" w:cs="仿宋_GB2312"/>
          <w:b w:val="0"/>
          <w:bCs w:val="0"/>
          <w:color w:val="auto"/>
          <w:sz w:val="32"/>
          <w:szCs w:val="32"/>
          <w:highlight w:val="none"/>
          <w:lang w:val="en-US" w:eastAsia="zh-CN"/>
        </w:rPr>
        <w:t>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（五）学习评价</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1.课程考核方法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课程成绩评定根据学生参与度、作业质量、实训效果与期末考核等项目确定不同比例</w:t>
      </w:r>
      <w:r>
        <w:rPr>
          <w:rFonts w:hint="eastAsia" w:ascii="仿宋_GB2312" w:hAnsi="仿宋_GB2312" w:eastAsia="仿宋_GB2312" w:cs="仿宋_GB2312"/>
          <w:b w:val="0"/>
          <w:bCs w:val="0"/>
          <w:color w:val="auto"/>
          <w:sz w:val="32"/>
          <w:szCs w:val="32"/>
          <w:highlight w:val="none"/>
          <w:lang w:eastAsia="zh-CN"/>
        </w:rPr>
        <w:t>进行综合评定，评定标准如下：</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（一）A类课程成绩构成（纯理论）</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rPr>
        <w:t>课程总成绩</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期末卷面考试成绩</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50%）+</w:t>
      </w:r>
      <w:r>
        <w:rPr>
          <w:rFonts w:hint="eastAsia" w:ascii="仿宋_GB2312" w:hAnsi="仿宋_GB2312" w:eastAsia="仿宋_GB2312" w:cs="仿宋_GB2312"/>
          <w:b w:val="0"/>
          <w:bCs w:val="0"/>
          <w:color w:val="auto"/>
          <w:sz w:val="32"/>
          <w:szCs w:val="32"/>
        </w:rPr>
        <w:t>平时</w:t>
      </w:r>
      <w:r>
        <w:rPr>
          <w:rFonts w:hint="eastAsia" w:ascii="仿宋_GB2312" w:hAnsi="仿宋_GB2312" w:eastAsia="仿宋_GB2312" w:cs="仿宋_GB2312"/>
          <w:b w:val="0"/>
          <w:bCs w:val="0"/>
          <w:color w:val="auto"/>
          <w:sz w:val="32"/>
          <w:szCs w:val="32"/>
          <w:lang w:eastAsia="zh-CN"/>
        </w:rPr>
        <w:t>过程性考核</w:t>
      </w:r>
      <w:r>
        <w:rPr>
          <w:rFonts w:hint="eastAsia" w:ascii="仿宋_GB2312" w:hAnsi="仿宋_GB2312" w:eastAsia="仿宋_GB2312" w:cs="仿宋_GB2312"/>
          <w:b w:val="0"/>
          <w:bCs w:val="0"/>
          <w:color w:val="auto"/>
          <w:sz w:val="32"/>
          <w:szCs w:val="32"/>
        </w:rPr>
        <w:t>成绩（50%)</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二</w:t>
      </w:r>
      <w:r>
        <w:rPr>
          <w:rFonts w:hint="eastAsia" w:ascii="仿宋_GB2312" w:hAnsi="仿宋_GB2312" w:eastAsia="仿宋_GB2312" w:cs="仿宋_GB2312"/>
          <w:b w:val="0"/>
          <w:bCs w:val="0"/>
          <w:color w:val="auto"/>
          <w:sz w:val="32"/>
          <w:szCs w:val="32"/>
        </w:rPr>
        <w:t>）B类课程成绩构成（理论+实践）</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课程总成绩=理论部分期末卷面考试成绩（40%)+技能成绩（30%）+平时</w:t>
      </w:r>
      <w:r>
        <w:rPr>
          <w:rFonts w:hint="eastAsia" w:ascii="仿宋_GB2312" w:hAnsi="仿宋_GB2312" w:eastAsia="仿宋_GB2312" w:cs="仿宋_GB2312"/>
          <w:b w:val="0"/>
          <w:bCs w:val="0"/>
          <w:color w:val="auto"/>
          <w:sz w:val="32"/>
          <w:szCs w:val="32"/>
          <w:lang w:eastAsia="zh-CN"/>
        </w:rPr>
        <w:t>过程性考核</w:t>
      </w:r>
      <w:r>
        <w:rPr>
          <w:rFonts w:hint="eastAsia" w:ascii="仿宋_GB2312" w:hAnsi="仿宋_GB2312" w:eastAsia="仿宋_GB2312" w:cs="仿宋_GB2312"/>
          <w:b w:val="0"/>
          <w:bCs w:val="0"/>
          <w:color w:val="auto"/>
          <w:sz w:val="32"/>
          <w:szCs w:val="32"/>
        </w:rPr>
        <w:t>成绩（30%)。</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三</w:t>
      </w:r>
      <w:r>
        <w:rPr>
          <w:rFonts w:hint="eastAsia" w:ascii="仿宋_GB2312" w:hAnsi="仿宋_GB2312" w:eastAsia="仿宋_GB2312" w:cs="仿宋_GB2312"/>
          <w:b w:val="0"/>
          <w:bCs w:val="0"/>
          <w:color w:val="auto"/>
          <w:sz w:val="32"/>
          <w:szCs w:val="32"/>
        </w:rPr>
        <w:t>）C类课程成绩构成(纯实践）</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rPr>
        <w:t>课程总成绩=技能成绩（50%）+平时</w:t>
      </w:r>
      <w:r>
        <w:rPr>
          <w:rFonts w:hint="eastAsia" w:ascii="仿宋_GB2312" w:hAnsi="仿宋_GB2312" w:eastAsia="仿宋_GB2312" w:cs="仿宋_GB2312"/>
          <w:b w:val="0"/>
          <w:bCs w:val="0"/>
          <w:color w:val="auto"/>
          <w:sz w:val="32"/>
          <w:szCs w:val="32"/>
          <w:lang w:eastAsia="zh-CN"/>
        </w:rPr>
        <w:t>过程性考核</w:t>
      </w:r>
      <w:r>
        <w:rPr>
          <w:rFonts w:hint="eastAsia" w:ascii="仿宋_GB2312" w:hAnsi="仿宋_GB2312" w:eastAsia="仿宋_GB2312" w:cs="仿宋_GB2312"/>
          <w:b w:val="0"/>
          <w:bCs w:val="0"/>
          <w:color w:val="auto"/>
          <w:sz w:val="32"/>
          <w:szCs w:val="32"/>
        </w:rPr>
        <w:t>成绩（50%)</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2.教学评价方式</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仿宋_GB2312" w:hAnsi="仿宋_GB2312" w:eastAsia="仿宋_GB2312" w:cs="仿宋_GB2312"/>
          <w:b w:val="0"/>
          <w:bCs w:val="0"/>
          <w:color w:val="auto"/>
          <w:sz w:val="32"/>
          <w:szCs w:val="32"/>
          <w:highlight w:val="none"/>
          <w:lang w:eastAsia="zh-CN"/>
        </w:rPr>
        <w:t>以</w:t>
      </w:r>
      <w:r>
        <w:rPr>
          <w:rFonts w:hint="eastAsia" w:ascii="仿宋_GB2312" w:hAnsi="仿宋_GB2312" w:eastAsia="仿宋_GB2312" w:cs="仿宋_GB2312"/>
          <w:b w:val="0"/>
          <w:bCs w:val="0"/>
          <w:color w:val="auto"/>
          <w:sz w:val="32"/>
          <w:szCs w:val="32"/>
          <w:highlight w:val="none"/>
        </w:rPr>
        <w:t>学科成绩为核心，改变到以岗位能力为核心的轨道上来。本着为行业企业服务的原则，努力缩小或消除学校评价与企业评价之间的差异。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六</w:t>
      </w:r>
      <w:r>
        <w:rPr>
          <w:rFonts w:hint="eastAsia" w:ascii="楷体" w:hAnsi="楷体" w:eastAsia="楷体" w:cs="楷体"/>
          <w:b w:val="0"/>
          <w:bCs w:val="0"/>
          <w:color w:val="auto"/>
          <w:sz w:val="32"/>
          <w:szCs w:val="32"/>
          <w:highlight w:val="none"/>
          <w:lang w:eastAsia="zh-CN"/>
        </w:rPr>
        <w:t>）质量管理</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2.完善教学管理机制，加强日常教学组织运行与管理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充分利用评价分析结果有效改进专业教学，持续提高 人才培养质量。</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九、毕业要求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学生必须具备以下条件，方可毕业：</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（一）满足修业年限的要求：标准修业年限为3年，弹性学分有效修业年限为</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-5年。</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（二）满足学分要求：</w:t>
      </w:r>
      <w:r>
        <w:rPr>
          <w:rFonts w:hint="eastAsia" w:ascii="仿宋_GB2312" w:hAnsi="仿宋_GB2312" w:eastAsia="仿宋_GB2312" w:cs="仿宋_GB2312"/>
          <w:b w:val="0"/>
          <w:bCs w:val="0"/>
          <w:color w:val="auto"/>
          <w:sz w:val="32"/>
          <w:szCs w:val="32"/>
          <w:highlight w:val="none"/>
          <w:lang w:eastAsia="zh-CN"/>
        </w:rPr>
        <w:t>至少取得</w:t>
      </w:r>
      <w:r>
        <w:rPr>
          <w:rFonts w:hint="eastAsia" w:ascii="仿宋_GB2312" w:hAnsi="仿宋_GB2312" w:eastAsia="仿宋_GB2312" w:cs="仿宋_GB2312"/>
          <w:b w:val="0"/>
          <w:bCs w:val="0"/>
          <w:color w:val="auto"/>
          <w:sz w:val="32"/>
          <w:szCs w:val="32"/>
          <w:highlight w:val="none"/>
          <w:lang w:val="en-US" w:eastAsia="zh-CN"/>
        </w:rPr>
        <w:t>155</w:t>
      </w:r>
      <w:r>
        <w:rPr>
          <w:rFonts w:hint="eastAsia" w:ascii="仿宋_GB2312" w:hAnsi="仿宋_GB2312" w:eastAsia="仿宋_GB2312" w:cs="仿宋_GB2312"/>
          <w:b w:val="0"/>
          <w:bCs w:val="0"/>
          <w:color w:val="auto"/>
          <w:sz w:val="32"/>
          <w:szCs w:val="32"/>
          <w:highlight w:val="none"/>
        </w:rPr>
        <w:t>学分，其中，必修课学分</w:t>
      </w:r>
      <w:r>
        <w:rPr>
          <w:rFonts w:hint="eastAsia" w:ascii="仿宋_GB2312" w:hAnsi="仿宋_GB2312" w:eastAsia="仿宋_GB2312" w:cs="仿宋_GB2312"/>
          <w:b w:val="0"/>
          <w:bCs w:val="0"/>
          <w:color w:val="auto"/>
          <w:sz w:val="32"/>
          <w:szCs w:val="32"/>
          <w:highlight w:val="none"/>
          <w:lang w:val="en-US" w:eastAsia="zh-CN"/>
        </w:rPr>
        <w:t>137</w:t>
      </w:r>
      <w:r>
        <w:rPr>
          <w:rFonts w:hint="eastAsia" w:ascii="仿宋_GB2312" w:hAnsi="仿宋_GB2312" w:eastAsia="仿宋_GB2312" w:cs="仿宋_GB2312"/>
          <w:b w:val="0"/>
          <w:bCs w:val="0"/>
          <w:color w:val="auto"/>
          <w:sz w:val="32"/>
          <w:szCs w:val="32"/>
          <w:highlight w:val="none"/>
        </w:rPr>
        <w:t>学分，公共选修课不</w:t>
      </w:r>
      <w:r>
        <w:rPr>
          <w:rFonts w:hint="eastAsia" w:ascii="仿宋_GB2312" w:hAnsi="仿宋_GB2312" w:eastAsia="仿宋_GB2312" w:cs="仿宋_GB2312"/>
          <w:b w:val="0"/>
          <w:bCs w:val="0"/>
          <w:color w:val="auto"/>
          <w:sz w:val="32"/>
          <w:szCs w:val="32"/>
          <w:highlight w:val="none"/>
          <w:lang w:eastAsia="zh-CN"/>
        </w:rPr>
        <w:t>低于</w:t>
      </w:r>
      <w:r>
        <w:rPr>
          <w:rFonts w:hint="eastAsia" w:ascii="仿宋_GB2312" w:hAnsi="仿宋_GB2312" w:eastAsia="仿宋_GB2312" w:cs="仿宋_GB2312"/>
          <w:b w:val="0"/>
          <w:bCs w:val="0"/>
          <w:color w:val="auto"/>
          <w:sz w:val="32"/>
          <w:szCs w:val="32"/>
          <w:highlight w:val="none"/>
          <w:lang w:val="en-US" w:eastAsia="zh-CN"/>
        </w:rPr>
        <w:t>12</w:t>
      </w:r>
      <w:r>
        <w:rPr>
          <w:rFonts w:hint="eastAsia" w:ascii="仿宋_GB2312" w:hAnsi="仿宋_GB2312" w:eastAsia="仿宋_GB2312" w:cs="仿宋_GB2312"/>
          <w:b w:val="0"/>
          <w:bCs w:val="0"/>
          <w:color w:val="auto"/>
          <w:sz w:val="32"/>
          <w:szCs w:val="32"/>
          <w:highlight w:val="none"/>
        </w:rPr>
        <w:t xml:space="preserve"> 学分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专业选修课不少于</w:t>
      </w: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rPr>
        <w:t xml:space="preserve"> 学分</w:t>
      </w:r>
      <w:r>
        <w:rPr>
          <w:rFonts w:hint="eastAsia" w:ascii="仿宋_GB2312" w:hAnsi="仿宋_GB2312" w:eastAsia="仿宋_GB2312" w:cs="仿宋_GB2312"/>
          <w:b w:val="0"/>
          <w:bCs w:val="0"/>
          <w:color w:val="auto"/>
          <w:sz w:val="32"/>
          <w:szCs w:val="32"/>
          <w:highlight w:val="none"/>
          <w:lang w:eastAsia="zh-CN"/>
        </w:rPr>
        <w:t>，达到专业培养目标和培养规格要求。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（三）符合学生学籍管理的其它规定。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000000"/>
    <w:rsid w:val="01AA1AC9"/>
    <w:rsid w:val="02005B8D"/>
    <w:rsid w:val="034D6BB0"/>
    <w:rsid w:val="049F51EA"/>
    <w:rsid w:val="04C74740"/>
    <w:rsid w:val="051223C4"/>
    <w:rsid w:val="06C76C7A"/>
    <w:rsid w:val="070C28DE"/>
    <w:rsid w:val="077C1812"/>
    <w:rsid w:val="0781151E"/>
    <w:rsid w:val="07A34FF1"/>
    <w:rsid w:val="08962DA7"/>
    <w:rsid w:val="098531AD"/>
    <w:rsid w:val="0A6C7A19"/>
    <w:rsid w:val="0A805610"/>
    <w:rsid w:val="0AA96DC2"/>
    <w:rsid w:val="0AC14E75"/>
    <w:rsid w:val="0B163A9D"/>
    <w:rsid w:val="0B447F84"/>
    <w:rsid w:val="0B5F56D3"/>
    <w:rsid w:val="0B867103"/>
    <w:rsid w:val="0B995089"/>
    <w:rsid w:val="0BDF442E"/>
    <w:rsid w:val="0D314E4D"/>
    <w:rsid w:val="0DBC6E0C"/>
    <w:rsid w:val="0E074C7B"/>
    <w:rsid w:val="0E7F3589"/>
    <w:rsid w:val="0E98455C"/>
    <w:rsid w:val="0ED85EC8"/>
    <w:rsid w:val="10ED30D4"/>
    <w:rsid w:val="11691059"/>
    <w:rsid w:val="118E0AC0"/>
    <w:rsid w:val="121C0FEE"/>
    <w:rsid w:val="122D2578"/>
    <w:rsid w:val="13274D28"/>
    <w:rsid w:val="133E02C4"/>
    <w:rsid w:val="13C7475D"/>
    <w:rsid w:val="141F6347"/>
    <w:rsid w:val="14B52807"/>
    <w:rsid w:val="153B2D0D"/>
    <w:rsid w:val="15567E4C"/>
    <w:rsid w:val="15E84C3D"/>
    <w:rsid w:val="1647748F"/>
    <w:rsid w:val="1672275E"/>
    <w:rsid w:val="17887D5F"/>
    <w:rsid w:val="178C5AA1"/>
    <w:rsid w:val="18243F2C"/>
    <w:rsid w:val="198B3B37"/>
    <w:rsid w:val="199E0FA3"/>
    <w:rsid w:val="1C19209B"/>
    <w:rsid w:val="1C8D74AF"/>
    <w:rsid w:val="1CED6FE2"/>
    <w:rsid w:val="1D083E1C"/>
    <w:rsid w:val="1DE1641B"/>
    <w:rsid w:val="1FCF0C21"/>
    <w:rsid w:val="1FCF29CF"/>
    <w:rsid w:val="20166850"/>
    <w:rsid w:val="20E14683"/>
    <w:rsid w:val="224F24C9"/>
    <w:rsid w:val="226D4721"/>
    <w:rsid w:val="232F2AAF"/>
    <w:rsid w:val="243C1798"/>
    <w:rsid w:val="255843E7"/>
    <w:rsid w:val="26CE69A6"/>
    <w:rsid w:val="2AC12920"/>
    <w:rsid w:val="2AEF03C9"/>
    <w:rsid w:val="2B443F7C"/>
    <w:rsid w:val="2D281971"/>
    <w:rsid w:val="2D6D3827"/>
    <w:rsid w:val="2EE45D6B"/>
    <w:rsid w:val="31D104DB"/>
    <w:rsid w:val="33382F62"/>
    <w:rsid w:val="337149EF"/>
    <w:rsid w:val="33B37D23"/>
    <w:rsid w:val="33D44600"/>
    <w:rsid w:val="345E3ECA"/>
    <w:rsid w:val="348222AE"/>
    <w:rsid w:val="349618B6"/>
    <w:rsid w:val="34BD7183"/>
    <w:rsid w:val="34E43C3B"/>
    <w:rsid w:val="36453593"/>
    <w:rsid w:val="38D0030D"/>
    <w:rsid w:val="395F26ED"/>
    <w:rsid w:val="39CE564E"/>
    <w:rsid w:val="3A393790"/>
    <w:rsid w:val="3AA37D5C"/>
    <w:rsid w:val="3CCD6091"/>
    <w:rsid w:val="3CFA49E7"/>
    <w:rsid w:val="3D510A70"/>
    <w:rsid w:val="3D6774C7"/>
    <w:rsid w:val="3DC27AF5"/>
    <w:rsid w:val="3E111FAD"/>
    <w:rsid w:val="3E570308"/>
    <w:rsid w:val="3F0A537A"/>
    <w:rsid w:val="40302BBE"/>
    <w:rsid w:val="40996A65"/>
    <w:rsid w:val="4105229D"/>
    <w:rsid w:val="41B65345"/>
    <w:rsid w:val="43CF26EE"/>
    <w:rsid w:val="43FB7987"/>
    <w:rsid w:val="4464552C"/>
    <w:rsid w:val="47CC69A8"/>
    <w:rsid w:val="48537D92"/>
    <w:rsid w:val="48733F90"/>
    <w:rsid w:val="48CB3DCC"/>
    <w:rsid w:val="4A581F9C"/>
    <w:rsid w:val="4B475260"/>
    <w:rsid w:val="4B6F7DE3"/>
    <w:rsid w:val="4C071A1C"/>
    <w:rsid w:val="4C0F6FA6"/>
    <w:rsid w:val="4D04165B"/>
    <w:rsid w:val="4F031D8C"/>
    <w:rsid w:val="51736DAF"/>
    <w:rsid w:val="51AF3A1A"/>
    <w:rsid w:val="51D57A6A"/>
    <w:rsid w:val="52A511EA"/>
    <w:rsid w:val="566B62A7"/>
    <w:rsid w:val="56F94201"/>
    <w:rsid w:val="589A2E73"/>
    <w:rsid w:val="58DC1ECE"/>
    <w:rsid w:val="599E69E5"/>
    <w:rsid w:val="59D2488F"/>
    <w:rsid w:val="5B137EF8"/>
    <w:rsid w:val="5BCC3C8B"/>
    <w:rsid w:val="5BF26B04"/>
    <w:rsid w:val="5C207B33"/>
    <w:rsid w:val="5CC42BB4"/>
    <w:rsid w:val="5CD36F0A"/>
    <w:rsid w:val="5D6121B1"/>
    <w:rsid w:val="5E354CE4"/>
    <w:rsid w:val="5EC92704"/>
    <w:rsid w:val="5EDB3860"/>
    <w:rsid w:val="5F6055D0"/>
    <w:rsid w:val="5FD25076"/>
    <w:rsid w:val="6066331C"/>
    <w:rsid w:val="608368E3"/>
    <w:rsid w:val="609B1E7E"/>
    <w:rsid w:val="620B3E49"/>
    <w:rsid w:val="629D4DF2"/>
    <w:rsid w:val="63AF1701"/>
    <w:rsid w:val="63C407CC"/>
    <w:rsid w:val="660D714A"/>
    <w:rsid w:val="662956F2"/>
    <w:rsid w:val="66860EDB"/>
    <w:rsid w:val="66903773"/>
    <w:rsid w:val="66B27E83"/>
    <w:rsid w:val="66ED2D08"/>
    <w:rsid w:val="66F45E44"/>
    <w:rsid w:val="675E59B4"/>
    <w:rsid w:val="67B90B06"/>
    <w:rsid w:val="68894FEA"/>
    <w:rsid w:val="68D6329B"/>
    <w:rsid w:val="692F13B6"/>
    <w:rsid w:val="6B4D1FC7"/>
    <w:rsid w:val="6C33740F"/>
    <w:rsid w:val="6C81017A"/>
    <w:rsid w:val="70981F36"/>
    <w:rsid w:val="710C022E"/>
    <w:rsid w:val="7140235F"/>
    <w:rsid w:val="730E4732"/>
    <w:rsid w:val="741D2E7E"/>
    <w:rsid w:val="7507768A"/>
    <w:rsid w:val="760B6D06"/>
    <w:rsid w:val="768F16E6"/>
    <w:rsid w:val="76F123A0"/>
    <w:rsid w:val="770A0D5C"/>
    <w:rsid w:val="77316C41"/>
    <w:rsid w:val="774424D0"/>
    <w:rsid w:val="79334EF2"/>
    <w:rsid w:val="79425BAF"/>
    <w:rsid w:val="79915775"/>
    <w:rsid w:val="7A236D15"/>
    <w:rsid w:val="7A680BCB"/>
    <w:rsid w:val="7BB816DF"/>
    <w:rsid w:val="7C9F0DA3"/>
    <w:rsid w:val="7EEB59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8118</Words>
  <Characters>8199</Characters>
  <Lines>0</Lines>
  <Paragraphs>0</Paragraphs>
  <TotalTime>0</TotalTime>
  <ScaleCrop>false</ScaleCrop>
  <LinksUpToDate>false</LinksUpToDate>
  <CharactersWithSpaces>8234</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Administrator</cp:lastModifiedBy>
  <cp:lastPrinted>2024-09-18T02:55:00Z</cp:lastPrinted>
  <dcterms:modified xsi:type="dcterms:W3CDTF">2025-03-05T01:24:56Z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D49D402642954DB1B39E79BC59C3CF17_13</vt:lpwstr>
  </property>
  <property fmtid="{D5CDD505-2E9C-101B-9397-08002B2CF9AE}" pid="4" name="KSOTemplateDocerSaveRecord">
    <vt:lpwstr>eyJoZGlkIjoiZmI0ZmJlN2FkZjFkMDNmODA4NzkxYTdhODFlMWQ1YzciLCJ1c2VySWQiOiI0MjIzOTQ4NzAifQ==</vt:lpwstr>
  </property>
</Properties>
</file>