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left"/>
        <w:rPr>
          <w:rFonts w:ascii="仿宋_GB2312" w:hAnsi="仿宋_GB2312" w:eastAsia="仿宋_GB2312" w:cs="仿宋_GB2312"/>
          <w:sz w:val="32"/>
          <w:szCs w:val="32"/>
        </w:rPr>
      </w:pPr>
    </w:p>
    <w:p>
      <w:pPr>
        <w:overflowPunct w:val="0"/>
        <w:adjustRightInd w:val="0"/>
        <w:snapToGrid w:val="0"/>
        <w:jc w:val="left"/>
        <w:rPr>
          <w:rFonts w:ascii="仿宋_GB2312" w:hAnsi="仿宋_GB2312" w:eastAsia="仿宋_GB2312" w:cs="仿宋_GB2312"/>
          <w:sz w:val="32"/>
          <w:szCs w:val="32"/>
        </w:rPr>
      </w:pPr>
    </w:p>
    <w:p>
      <w:pPr>
        <w:overflowPunct w:val="0"/>
        <w:adjustRightInd w:val="0"/>
        <w:snapToGrid w:val="0"/>
        <w:jc w:val="left"/>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r>
        <w:rPr>
          <w:rFonts w:hint="eastAsia" w:ascii="仿宋" w:hAnsi="仿宋" w:eastAsia="仿宋"/>
          <w:color w:val="FF0000"/>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华文新魏" w:hAnsi="仿宋" w:eastAsia="华文新魏"/>
          <w:b/>
          <w:sz w:val="100"/>
          <w:szCs w:val="100"/>
        </w:rPr>
      </w:pPr>
      <w:r>
        <w:rPr>
          <w:rFonts w:hint="eastAsia" w:ascii="华文新魏" w:hAnsi="仿宋" w:eastAsia="华文新魏"/>
          <w:b/>
          <w:sz w:val="100"/>
          <w:szCs w:val="100"/>
        </w:rPr>
        <w:t>广西工程职业学院</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黑体" w:hAnsi="黑体" w:eastAsia="黑体" w:cs="黑体"/>
          <w:b/>
          <w:bCs/>
          <w:sz w:val="52"/>
          <w:szCs w:val="52"/>
        </w:rPr>
      </w:pPr>
      <w:r>
        <w:rPr>
          <w:rFonts w:hint="eastAsia" w:ascii="黑体" w:hAnsi="黑体" w:eastAsia="黑体" w:cs="黑体"/>
          <w:b/>
          <w:bCs/>
          <w:sz w:val="52"/>
          <w:szCs w:val="52"/>
        </w:rPr>
        <w:t>2024级应用电子技术专业</w:t>
      </w:r>
    </w:p>
    <w:p>
      <w:pPr>
        <w:overflowPunct w:val="0"/>
        <w:adjustRightInd w:val="0"/>
        <w:snapToGrid w:val="0"/>
        <w:jc w:val="center"/>
        <w:rPr>
          <w:rFonts w:ascii="黑体" w:hAnsi="黑体" w:eastAsia="黑体" w:cs="黑体"/>
          <w:b/>
          <w:bCs/>
          <w:sz w:val="52"/>
          <w:szCs w:val="52"/>
        </w:rPr>
      </w:pPr>
      <w:r>
        <w:rPr>
          <w:rFonts w:hint="eastAsia" w:ascii="黑体" w:hAnsi="黑体" w:eastAsia="黑体" w:cs="黑体"/>
          <w:b/>
          <w:bCs/>
          <w:sz w:val="52"/>
          <w:szCs w:val="52"/>
        </w:rPr>
        <w:t>人才培养方案</w:t>
      </w: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jc w:val="center"/>
        <w:rPr>
          <w:rFonts w:ascii="仿宋" w:hAnsi="仿宋" w:eastAsia="仿宋"/>
          <w:color w:val="FF0000"/>
          <w:szCs w:val="32"/>
        </w:rPr>
      </w:pPr>
    </w:p>
    <w:p>
      <w:pPr>
        <w:overflowPunct w:val="0"/>
        <w:adjustRightInd w:val="0"/>
        <w:snapToGrid w:val="0"/>
        <w:spacing w:line="520" w:lineRule="exact"/>
        <w:ind w:firstLine="1760" w:firstLineChars="400"/>
        <w:rPr>
          <w:rFonts w:ascii="方正小标宋简体" w:hAnsi="方正小标宋简体" w:eastAsia="方正小标宋简体" w:cs="方正小标宋简体"/>
          <w:bCs/>
          <w:sz w:val="44"/>
          <w:szCs w:val="44"/>
        </w:rPr>
        <w:sectPr>
          <w:pgSz w:w="11906" w:h="16838"/>
          <w:pgMar w:top="1440" w:right="1800" w:bottom="1440" w:left="1800" w:header="851" w:footer="992" w:gutter="0"/>
          <w:cols w:space="425" w:num="1"/>
          <w:docGrid w:type="lines" w:linePitch="312" w:charSpace="0"/>
        </w:sectPr>
      </w:pPr>
    </w:p>
    <w:p>
      <w:pPr>
        <w:overflowPunct w:val="0"/>
        <w:adjustRightInd w:val="0"/>
        <w:snapToGrid w:val="0"/>
        <w:spacing w:line="520" w:lineRule="exact"/>
        <w:ind w:firstLine="1760" w:firstLineChars="400"/>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应用电子技术专业人才培养方案</w:t>
      </w:r>
    </w:p>
    <w:p>
      <w:pPr>
        <w:overflowPunct w:val="0"/>
        <w:adjustRightInd w:val="0"/>
        <w:snapToGrid w:val="0"/>
        <w:spacing w:line="520" w:lineRule="exact"/>
        <w:jc w:val="center"/>
        <w:rPr>
          <w:rFonts w:ascii="仿宋" w:hAnsi="仿宋" w:eastAsia="仿宋"/>
          <w:szCs w:val="32"/>
        </w:rPr>
      </w:pPr>
    </w:p>
    <w:p>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一、专业名称及代码</w:t>
      </w:r>
    </w:p>
    <w:p>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专业名称：应用电子技术</w:t>
      </w:r>
    </w:p>
    <w:p>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专业代码：510103</w:t>
      </w:r>
    </w:p>
    <w:p>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二、入学要求</w:t>
      </w:r>
    </w:p>
    <w:p>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普通高级中学毕业、中等职业学校毕业或具备同等学力。</w:t>
      </w:r>
    </w:p>
    <w:p>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三、修业年限</w:t>
      </w:r>
    </w:p>
    <w:p>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标准修业年限为3年，弹性学分有效修业年限为2-5年。</w:t>
      </w:r>
    </w:p>
    <w:p>
      <w:pPr>
        <w:overflowPunct w:val="0"/>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四、职业面向</w:t>
      </w:r>
    </w:p>
    <w:p>
      <w:pPr>
        <w:overflowPunct w:val="0"/>
        <w:adjustRightInd w:val="0"/>
        <w:spacing w:line="52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表1应用电子技术专业职业岗位分析表</w:t>
      </w:r>
    </w:p>
    <w:tbl>
      <w:tblPr>
        <w:tblStyle w:val="13"/>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1"/>
        <w:gridCol w:w="1493"/>
        <w:gridCol w:w="1121"/>
        <w:gridCol w:w="1656"/>
        <w:gridCol w:w="1747"/>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vAlign w:val="center"/>
          </w:tcPr>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所属专业大类（代码）</w:t>
            </w:r>
          </w:p>
        </w:tc>
        <w:tc>
          <w:tcPr>
            <w:tcW w:w="1500" w:type="dxa"/>
            <w:vAlign w:val="center"/>
          </w:tcPr>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所属专业类（代码）</w:t>
            </w:r>
          </w:p>
        </w:tc>
        <w:tc>
          <w:tcPr>
            <w:tcW w:w="1125" w:type="dxa"/>
            <w:vAlign w:val="center"/>
          </w:tcPr>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对应行业</w:t>
            </w:r>
          </w:p>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（代码）</w:t>
            </w:r>
          </w:p>
        </w:tc>
        <w:tc>
          <w:tcPr>
            <w:tcW w:w="1575" w:type="dxa"/>
            <w:vAlign w:val="center"/>
          </w:tcPr>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主要职业类别（代码）</w:t>
            </w:r>
          </w:p>
        </w:tc>
        <w:tc>
          <w:tcPr>
            <w:tcW w:w="1770" w:type="dxa"/>
            <w:vAlign w:val="center"/>
          </w:tcPr>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主要岗位类别（或技术领域）</w:t>
            </w:r>
          </w:p>
        </w:tc>
        <w:tc>
          <w:tcPr>
            <w:tcW w:w="2220" w:type="dxa"/>
            <w:vAlign w:val="center"/>
          </w:tcPr>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vAlign w:val="center"/>
          </w:tcPr>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电子与信息大类（51）</w:t>
            </w:r>
          </w:p>
        </w:tc>
        <w:tc>
          <w:tcPr>
            <w:tcW w:w="1500" w:type="dxa"/>
            <w:vAlign w:val="center"/>
          </w:tcPr>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电子信息类（5101）</w:t>
            </w:r>
          </w:p>
        </w:tc>
        <w:tc>
          <w:tcPr>
            <w:tcW w:w="1125" w:type="dxa"/>
            <w:vAlign w:val="center"/>
          </w:tcPr>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计算机、通信和其他电子设备制造业（39）</w:t>
            </w:r>
          </w:p>
        </w:tc>
        <w:tc>
          <w:tcPr>
            <w:tcW w:w="1575" w:type="dxa"/>
            <w:vAlign w:val="center"/>
          </w:tcPr>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电子设备装配调试人员</w:t>
            </w:r>
          </w:p>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（6-25-04）;</w:t>
            </w:r>
          </w:p>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电子专用设备装配调试人员（6-21-04）;电子工程技术人员</w:t>
            </w:r>
          </w:p>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（2-02-09）</w:t>
            </w:r>
          </w:p>
        </w:tc>
        <w:tc>
          <w:tcPr>
            <w:tcW w:w="1770" w:type="dxa"/>
            <w:vAlign w:val="center"/>
          </w:tcPr>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电子产品辅助设计;</w:t>
            </w:r>
          </w:p>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电子产品生产工艺管理;电子产品售后服务;电子产品应用技术服务</w:t>
            </w:r>
          </w:p>
        </w:tc>
        <w:tc>
          <w:tcPr>
            <w:tcW w:w="2220" w:type="dxa"/>
            <w:vAlign w:val="center"/>
          </w:tcPr>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电工</w:t>
            </w:r>
          </w:p>
          <w:p>
            <w:pPr>
              <w:overflowPunct w:val="0"/>
              <w:adjustRightIn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（中级）</w:t>
            </w:r>
          </w:p>
        </w:tc>
      </w:tr>
    </w:tbl>
    <w:p>
      <w:pPr>
        <w:overflowPunct w:val="0"/>
        <w:adjustRightIn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五、培养目标与培养规格</w:t>
      </w:r>
    </w:p>
    <w:p>
      <w:pPr>
        <w:overflowPunct w:val="0"/>
        <w:adjustRightInd w:val="0"/>
        <w:spacing w:line="520" w:lineRule="exact"/>
        <w:ind w:firstLine="640" w:firstLineChars="200"/>
        <w:outlineLvl w:val="0"/>
        <w:rPr>
          <w:rFonts w:ascii="楷体" w:hAnsi="楷体" w:eastAsia="楷体" w:cs="楷体"/>
          <w:sz w:val="32"/>
          <w:szCs w:val="32"/>
        </w:rPr>
      </w:pPr>
      <w:r>
        <w:rPr>
          <w:rFonts w:hint="eastAsia" w:ascii="楷体" w:hAnsi="楷体" w:eastAsia="楷体" w:cs="楷体"/>
          <w:sz w:val="32"/>
          <w:szCs w:val="32"/>
        </w:rPr>
        <w:t>（一）培养目标</w:t>
      </w:r>
    </w:p>
    <w:p>
      <w:pPr>
        <w:overflowPunct w:val="0"/>
        <w:adjustRightInd w:val="0"/>
        <w:spacing w:line="520" w:lineRule="exact"/>
        <w:ind w:firstLine="640" w:firstLineChars="200"/>
        <w:outlineLvl w:val="0"/>
        <w:rPr>
          <w:rFonts w:ascii="仿宋" w:hAnsi="仿宋" w:eastAsia="仿宋" w:cs="仿宋"/>
          <w:color w:val="FF0000"/>
          <w:sz w:val="32"/>
          <w:szCs w:val="32"/>
        </w:rPr>
      </w:pPr>
      <w:r>
        <w:rPr>
          <w:rFonts w:hint="eastAsia" w:ascii="仿宋_GB2312" w:hAnsi="仿宋_GB2312" w:eastAsia="仿宋_GB2312" w:cs="仿宋_GB2312"/>
          <w:sz w:val="32"/>
          <w:szCs w:val="32"/>
        </w:rPr>
        <w:t>本专业培养理想信念坚定，德、智、体、美、劳全面发展，具有一定的科学文化水平，良好的人文素养、职业道德和创新意识，精益求精的工匠精神，较强的就业能力和可持续发展的能力，掌握本专业知识和技术技能,面向</w:t>
      </w:r>
      <w:bookmarkStart w:id="0" w:name="_Hlk177634990"/>
      <w:r>
        <w:rPr>
          <w:rFonts w:hint="eastAsia" w:ascii="仿宋_GB2312" w:hAnsi="仿宋_GB2312" w:eastAsia="仿宋_GB2312" w:cs="仿宋_GB2312"/>
          <w:sz w:val="32"/>
          <w:szCs w:val="32"/>
        </w:rPr>
        <w:t>计算机、通信和其他电子设备制造业的电子设备装配调试人员、电子专用设备装配调试人员、电子工程技术人员</w:t>
      </w:r>
      <w:bookmarkEnd w:id="0"/>
      <w:r>
        <w:rPr>
          <w:rFonts w:hint="eastAsia" w:ascii="仿宋_GB2312" w:hAnsi="仿宋_GB2312" w:eastAsia="仿宋_GB2312" w:cs="仿宋_GB2312"/>
          <w:sz w:val="32"/>
          <w:szCs w:val="32"/>
        </w:rPr>
        <w:t>等职业群，能够从事</w:t>
      </w:r>
      <w:bookmarkStart w:id="1" w:name="_Hlk177634946"/>
      <w:r>
        <w:rPr>
          <w:rFonts w:hint="eastAsia" w:ascii="仿宋_GB2312" w:hAnsi="仿宋_GB2312" w:eastAsia="仿宋_GB2312" w:cs="仿宋_GB2312"/>
          <w:sz w:val="32"/>
          <w:szCs w:val="32"/>
        </w:rPr>
        <w:t>电子产品辅助设计、电子产品安装调试、电子产品生产工艺管理、电子产品检测与质量管理、电子产品生产设备操作与维护、电子产品售后服务、电子产品应用技术服务等工作</w:t>
      </w:r>
      <w:bookmarkEnd w:id="1"/>
      <w:r>
        <w:rPr>
          <w:rFonts w:hint="eastAsia" w:ascii="仿宋_GB2312" w:hAnsi="仿宋_GB2312" w:eastAsia="仿宋_GB2312" w:cs="仿宋_GB2312"/>
          <w:sz w:val="32"/>
          <w:szCs w:val="32"/>
        </w:rPr>
        <w:t>的高素质技术技能人才。</w:t>
      </w:r>
    </w:p>
    <w:p>
      <w:pPr>
        <w:overflowPunct w:val="0"/>
        <w:adjustRightInd w:val="0"/>
        <w:spacing w:line="520" w:lineRule="exact"/>
        <w:ind w:firstLine="640" w:firstLineChars="200"/>
        <w:outlineLvl w:val="0"/>
        <w:rPr>
          <w:rFonts w:ascii="楷体" w:hAnsi="楷体" w:eastAsia="楷体" w:cs="楷体"/>
          <w:sz w:val="32"/>
          <w:szCs w:val="32"/>
        </w:rPr>
      </w:pPr>
      <w:r>
        <w:rPr>
          <w:rFonts w:hint="eastAsia" w:ascii="楷体" w:hAnsi="楷体" w:eastAsia="楷体" w:cs="楷体"/>
          <w:sz w:val="32"/>
          <w:szCs w:val="32"/>
        </w:rPr>
        <w:t>（二）培养规格</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本专业毕业生应在素质、知识和能力等方面达到以下要求：</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1.素质</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（1）坚定拥护中国共产党领导和我国社会主义制度，在习近平新时代中国特色社会主义思想指引下，践行社会主义核心价值观，具有深厚的爱国情感和中华民族自豪感。</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（2）崇尚宪法、遵法守纪、崇德向善、诚实守信、尊重生命、热爱劳动，履行道德准则和行为规范，具有社会责任感和社会参与意识。</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（3）具有质量意识、环保意识、安全意识、信息素养、工匠精神、创新思维。</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（4）勇于奋斗、乐观向上，具有自我管理能力、职业生涯规划的意识，有较强的集体意识和团队合作精神。</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（5）具有健康的体魄、心理和健全的人格，掌握基本运动知识和1—2项运动技能，养成良好的健身与卫生习惯，以及良好的行为习惯。</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（6）具有一定的审美和人文素养，能够形成1—2项艺术特长或爱好。</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2.知识</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（1）掌握必备的思想政治理论、科学文化基础知识和中华优秀传统文化知识。</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（2）熟悉与本专业相关的法律法规以及环境保护、安全消防、文明生产等知识。</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（3）掌握电工、电子技术的基础理论、基本电路及分析方法和安全用电常识。</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（4）掌握电子电路和电子产品识图制图的基本知识。</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（5）掌握电子产品安装调试、生产工艺知识。</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（6）掌握电子产品生产质量管理的基本知识。</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（7）掌握电子相关测量与产品检测技术的基础知识与方法。</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（8）掌握电子产品设计应用相关的C语言、单片机等软、硬件基本知识和设计应用流程。</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（9）掌握电子产品生产设备操作与维护相关知识。</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（10）了解最新发布的应用电子技术国家标准和国际标准。</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3.能力</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（1）具有探究学习、终身学习、分析问题和解决问题的能力。</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（2）具有良好的语言、文字表达能力和沟通能力。</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（3）具有对常用电子元器件进行识别和检测的能力。</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（4）具有正确选择并熟练使用通用电子仪器、仪表及辅助设备的能力。</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（5）能够识读电子产品电路图、安装工艺文件、检测工艺文件。</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（6）具有按要求操作专用设备进行电子产品的安装与调试、检测等基本能力。</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（7）具有使用计算机辅助软件绘制简单电子电路原理图、设计PCB版图的能力。</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（8）具有分析电路功能，并使用专用仪表检测电路参数、调试电路、检修电路故障的能力。</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（9）具有较好的电子电路应用能力，掌握嵌人式系统在一般小型智能电子产品的应用及软件编程与产品调试。</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（10）具有从事电子产品生产设备操作与维护管理工作的能力。</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（11）具有一般电子产品售后服务能力。</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（12）具有本专业需要的信息技术应用能力。</w:t>
      </w:r>
    </w:p>
    <w:p>
      <w:pPr>
        <w:adjustRightInd w:val="0"/>
        <w:snapToGrid w:val="0"/>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六、课程设置及要求</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主要包括公共基础课程和专业（技能）课程。</w:t>
      </w:r>
    </w:p>
    <w:p>
      <w:pPr>
        <w:overflowPunct w:val="0"/>
        <w:adjustRightInd w:val="0"/>
        <w:spacing w:line="520" w:lineRule="exact"/>
        <w:ind w:firstLine="640" w:firstLineChars="200"/>
        <w:outlineLvl w:val="0"/>
        <w:rPr>
          <w:rFonts w:ascii="楷体" w:hAnsi="楷体" w:eastAsia="楷体" w:cs="楷体"/>
          <w:sz w:val="32"/>
          <w:szCs w:val="32"/>
        </w:rPr>
      </w:pPr>
      <w:r>
        <w:rPr>
          <w:rFonts w:hint="eastAsia" w:ascii="楷体" w:hAnsi="楷体" w:eastAsia="楷体" w:cs="楷体"/>
          <w:sz w:val="32"/>
          <w:szCs w:val="32"/>
        </w:rPr>
        <w:t>（一）公共基础课程</w:t>
      </w:r>
    </w:p>
    <w:p>
      <w:pPr>
        <w:overflowPunct w:val="0"/>
        <w:adjustRightInd w:val="0"/>
        <w:spacing w:line="520" w:lineRule="exact"/>
        <w:ind w:firstLine="640" w:firstLineChars="200"/>
        <w:outlineLvl w:val="0"/>
        <w:rPr>
          <w:rFonts w:ascii="仿宋_GB2312" w:hAnsi="仿宋_GB2312" w:eastAsia="仿宋_GB2312" w:cs="仿宋_GB2312"/>
          <w:sz w:val="32"/>
          <w:szCs w:val="32"/>
        </w:rPr>
      </w:pPr>
      <w:bookmarkStart w:id="2" w:name="_Toc90734974"/>
      <w:r>
        <w:rPr>
          <w:rFonts w:hint="eastAsia" w:ascii="仿宋_GB2312" w:hAnsi="仿宋_GB2312" w:eastAsia="仿宋_GB2312" w:cs="仿宋_GB2312"/>
          <w:sz w:val="32"/>
          <w:szCs w:val="32"/>
        </w:rPr>
        <w:t>按照教育部要求设置公共基础必修选修课程，公共基础必修课程包括</w:t>
      </w:r>
      <w:bookmarkEnd w:id="2"/>
      <w:r>
        <w:rPr>
          <w:rFonts w:hint="eastAsia" w:ascii="仿宋_GB2312" w:hAnsi="仿宋_GB2312" w:eastAsia="仿宋_GB2312" w:cs="仿宋_GB2312"/>
          <w:sz w:val="32"/>
          <w:szCs w:val="32"/>
        </w:rPr>
        <w:t>：思想道德与法治、毛泽东思想和中国特色社会主义理论体系概论、形势与政策、习近平新时代中国特色社会主义思想概论、大学体育、军事理论及军事技能、大学生心理健康教育、大学英语、高等数学、计算机基础、大学生职业发展与就业指导、劳动教育。</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公共基础选修课程包括：大学生礼仪修养、中国民俗剪纸技法、影视与鉴赏、人际交流与沟通、演讲与口才、创新创业教育、中国共产党简史、改革开放简史、中华人民共和国简史、社会主义发展简史、国家安全教育、语文。</w:t>
      </w:r>
    </w:p>
    <w:p>
      <w:pPr>
        <w:overflowPunct w:val="0"/>
        <w:adjustRightInd w:val="0"/>
        <w:spacing w:line="520" w:lineRule="exact"/>
        <w:ind w:firstLine="640" w:firstLineChars="200"/>
        <w:jc w:val="center"/>
        <w:outlineLvl w:val="0"/>
        <w:rPr>
          <w:rFonts w:ascii="仿宋_GB2312" w:hAnsi="仿宋_GB2312" w:eastAsia="仿宋_GB2312" w:cs="仿宋_GB2312"/>
          <w:sz w:val="32"/>
          <w:szCs w:val="32"/>
        </w:rPr>
      </w:pPr>
    </w:p>
    <w:p>
      <w:pPr>
        <w:overflowPunct w:val="0"/>
        <w:adjustRightInd w:val="0"/>
        <w:spacing w:line="520" w:lineRule="exact"/>
        <w:ind w:firstLine="640" w:firstLineChars="200"/>
        <w:jc w:val="center"/>
        <w:outlineLvl w:val="0"/>
        <w:rPr>
          <w:rFonts w:ascii="仿宋_GB2312" w:hAnsi="仿宋_GB2312" w:eastAsia="仿宋_GB2312" w:cs="仿宋_GB2312"/>
          <w:sz w:val="32"/>
          <w:szCs w:val="32"/>
        </w:rPr>
      </w:pPr>
    </w:p>
    <w:p>
      <w:pPr>
        <w:overflowPunct w:val="0"/>
        <w:adjustRightInd w:val="0"/>
        <w:spacing w:line="520" w:lineRule="exact"/>
        <w:ind w:firstLine="640" w:firstLineChars="200"/>
        <w:jc w:val="center"/>
        <w:outlineLvl w:val="0"/>
        <w:rPr>
          <w:rFonts w:ascii="仿宋_GB2312" w:hAnsi="仿宋_GB2312" w:eastAsia="仿宋_GB2312" w:cs="仿宋_GB2312"/>
          <w:sz w:val="32"/>
          <w:szCs w:val="32"/>
        </w:rPr>
      </w:pPr>
    </w:p>
    <w:p>
      <w:pPr>
        <w:overflowPunct w:val="0"/>
        <w:adjustRightInd w:val="0"/>
        <w:spacing w:line="520" w:lineRule="exact"/>
        <w:ind w:firstLine="640" w:firstLineChars="200"/>
        <w:jc w:val="center"/>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表2公共基础课程描述表</w:t>
      </w:r>
    </w:p>
    <w:tbl>
      <w:tblPr>
        <w:tblStyle w:val="12"/>
        <w:tblW w:w="10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260"/>
        <w:gridCol w:w="2904"/>
        <w:gridCol w:w="2912"/>
        <w:gridCol w:w="2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bookmarkStart w:id="3" w:name="_Toc90734979"/>
            <w:bookmarkStart w:id="4" w:name="_Toc2022"/>
            <w:r>
              <w:rPr>
                <w:rFonts w:hint="eastAsia" w:ascii="仿宋_GB2312" w:hAnsi="仿宋_GB2312" w:eastAsia="仿宋_GB2312" w:cs="仿宋_GB2312"/>
                <w:sz w:val="24"/>
              </w:rPr>
              <w:t>序号</w:t>
            </w:r>
            <w:bookmarkEnd w:id="3"/>
            <w:bookmarkEnd w:id="4"/>
          </w:p>
        </w:tc>
        <w:tc>
          <w:tcPr>
            <w:tcW w:w="1260" w:type="dxa"/>
            <w:vAlign w:val="center"/>
          </w:tcPr>
          <w:p>
            <w:pPr>
              <w:spacing w:line="320" w:lineRule="exact"/>
              <w:jc w:val="center"/>
              <w:rPr>
                <w:rFonts w:ascii="仿宋_GB2312" w:hAnsi="仿宋_GB2312" w:eastAsia="仿宋_GB2312" w:cs="仿宋_GB2312"/>
                <w:sz w:val="24"/>
              </w:rPr>
            </w:pPr>
            <w:bookmarkStart w:id="5" w:name="_Toc90734980"/>
            <w:bookmarkStart w:id="6" w:name="_Toc2635"/>
            <w:r>
              <w:rPr>
                <w:rFonts w:hint="eastAsia" w:ascii="仿宋_GB2312" w:hAnsi="仿宋_GB2312" w:eastAsia="仿宋_GB2312" w:cs="仿宋_GB2312"/>
                <w:sz w:val="24"/>
              </w:rPr>
              <w:t>课程名称</w:t>
            </w:r>
            <w:bookmarkEnd w:id="5"/>
            <w:bookmarkEnd w:id="6"/>
          </w:p>
        </w:tc>
        <w:tc>
          <w:tcPr>
            <w:tcW w:w="2904" w:type="dxa"/>
            <w:vAlign w:val="center"/>
          </w:tcPr>
          <w:p>
            <w:pPr>
              <w:spacing w:line="320" w:lineRule="exact"/>
              <w:jc w:val="center"/>
              <w:rPr>
                <w:rFonts w:ascii="仿宋_GB2312" w:hAnsi="仿宋_GB2312" w:eastAsia="仿宋_GB2312" w:cs="仿宋_GB2312"/>
                <w:sz w:val="24"/>
              </w:rPr>
            </w:pPr>
            <w:bookmarkStart w:id="7" w:name="_Toc90734981"/>
            <w:bookmarkStart w:id="8" w:name="_Toc24608"/>
            <w:r>
              <w:rPr>
                <w:rFonts w:hint="eastAsia" w:ascii="仿宋_GB2312" w:hAnsi="仿宋_GB2312" w:eastAsia="仿宋_GB2312" w:cs="仿宋_GB2312"/>
                <w:sz w:val="24"/>
              </w:rPr>
              <w:t>课程教学目标</w:t>
            </w:r>
            <w:bookmarkEnd w:id="7"/>
            <w:bookmarkEnd w:id="8"/>
          </w:p>
        </w:tc>
        <w:tc>
          <w:tcPr>
            <w:tcW w:w="2912" w:type="dxa"/>
            <w:vAlign w:val="center"/>
          </w:tcPr>
          <w:p>
            <w:pPr>
              <w:spacing w:line="320" w:lineRule="exact"/>
              <w:jc w:val="center"/>
              <w:rPr>
                <w:rFonts w:ascii="仿宋_GB2312" w:hAnsi="仿宋_GB2312" w:eastAsia="仿宋_GB2312" w:cs="仿宋_GB2312"/>
                <w:sz w:val="24"/>
              </w:rPr>
            </w:pPr>
            <w:bookmarkStart w:id="9" w:name="_Toc23051"/>
            <w:bookmarkStart w:id="10" w:name="_Toc90734982"/>
            <w:r>
              <w:rPr>
                <w:rFonts w:hint="eastAsia" w:ascii="仿宋_GB2312" w:hAnsi="仿宋_GB2312" w:eastAsia="仿宋_GB2312" w:cs="仿宋_GB2312"/>
                <w:sz w:val="24"/>
              </w:rPr>
              <w:t>课程教学内容</w:t>
            </w:r>
            <w:bookmarkEnd w:id="9"/>
            <w:bookmarkEnd w:id="10"/>
          </w:p>
        </w:tc>
        <w:tc>
          <w:tcPr>
            <w:tcW w:w="2455"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思想道德与法治</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455" w:type="dxa"/>
            <w:vAlign w:val="center"/>
          </w:tcPr>
          <w:p>
            <w:pPr>
              <w:spacing w:line="32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通过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2</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毛泽东思想和中国特色社会主义理论体系概论</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通过教师运用信息化技术进行史论结合、案例丰富的讲授，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矢志不渝听党话跟党走，争做社会主义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3</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形势与政策</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通过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4</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习近平新时代中国特色社会主义思想概论</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pPr>
              <w:spacing w:line="320" w:lineRule="exact"/>
              <w:rPr>
                <w:rFonts w:ascii="仿宋_GB2312" w:hAnsi="仿宋_GB2312" w:eastAsia="仿宋_GB2312" w:cs="仿宋_GB2312"/>
                <w:sz w:val="24"/>
              </w:rPr>
            </w:pP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通过教师的混合式教学、史论结合、案例丰富的教学，让学生感悟党的创新理论的思想伟力，坚持用马克思主义理论指导实践，做“学思想、强党性、重实践、建新功”的新时代青年，自觉凝聚在党中央周围，以中国式现代化建设推进中华民族伟大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5</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大学体育</w:t>
            </w:r>
          </w:p>
        </w:tc>
        <w:tc>
          <w:tcPr>
            <w:tcW w:w="2904" w:type="dxa"/>
            <w:vAlign w:val="center"/>
          </w:tcPr>
          <w:p>
            <w:pPr>
              <w:spacing w:line="32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旨在培养学生的体育兴趣，增强其身体素质，提高运动技能，并通过体育运动促进身心健康发展，为未来的学习和生活打下坚实的健康基础。</w:t>
            </w:r>
          </w:p>
          <w:p>
            <w:pPr>
              <w:spacing w:line="320" w:lineRule="exact"/>
              <w:rPr>
                <w:rFonts w:ascii="仿宋_GB2312" w:hAnsi="仿宋_GB2312" w:eastAsia="仿宋_GB2312" w:cs="仿宋_GB2312"/>
                <w:sz w:val="24"/>
                <w:shd w:val="clear" w:color="auto" w:fill="FFFFFF"/>
              </w:rPr>
            </w:pP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shd w:val="clear" w:color="auto" w:fill="FFFFFF"/>
              </w:rPr>
              <w:t>内容涵盖体育基础理论知识、实践技能训练、身体素质训练和心理健康教育等方面。</w:t>
            </w:r>
          </w:p>
        </w:tc>
        <w:tc>
          <w:tcPr>
            <w:tcW w:w="2455" w:type="dxa"/>
            <w:vAlign w:val="center"/>
          </w:tcPr>
          <w:p>
            <w:pPr>
              <w:spacing w:line="32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循序渐进，由浅入深，逐步提高学生的体育技能；注重示范指导，通过示范动作带动学生的学习兴趣；强化实践训练，让学生通过实际操作掌握体育技能。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6</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军事理论及军事技能</w:t>
            </w:r>
          </w:p>
        </w:tc>
        <w:tc>
          <w:tcPr>
            <w:tcW w:w="2904" w:type="dxa"/>
            <w:vAlign w:val="center"/>
          </w:tcPr>
          <w:p>
            <w:pPr>
              <w:spacing w:line="32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旨在让学生了解基本的军事理论知识，掌握基本的军事技能，增强国家安全意识和国防观念，培养爱国主义精神，为培养合格公民和后备军事人才打下基础。</w:t>
            </w:r>
          </w:p>
          <w:p>
            <w:pPr>
              <w:spacing w:line="320" w:lineRule="exact"/>
              <w:rPr>
                <w:rFonts w:ascii="仿宋_GB2312" w:hAnsi="仿宋_GB2312" w:eastAsia="仿宋_GB2312" w:cs="仿宋_GB2312"/>
                <w:sz w:val="24"/>
                <w:shd w:val="clear" w:color="auto" w:fill="FFFFFF"/>
              </w:rPr>
            </w:pPr>
          </w:p>
        </w:tc>
        <w:tc>
          <w:tcPr>
            <w:tcW w:w="2912" w:type="dxa"/>
            <w:vAlign w:val="center"/>
          </w:tcPr>
          <w:p>
            <w:pPr>
              <w:spacing w:line="32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课程内容包括军事基础知识、国家安全形势分析、军事技能训练等。</w:t>
            </w:r>
          </w:p>
          <w:p>
            <w:pPr>
              <w:spacing w:line="320" w:lineRule="exact"/>
              <w:rPr>
                <w:rFonts w:ascii="仿宋_GB2312" w:hAnsi="仿宋_GB2312" w:eastAsia="仿宋_GB2312" w:cs="仿宋_GB2312"/>
                <w:sz w:val="24"/>
                <w:shd w:val="clear" w:color="auto" w:fill="FFFFFF"/>
              </w:rPr>
            </w:pPr>
          </w:p>
        </w:tc>
        <w:tc>
          <w:tcPr>
            <w:tcW w:w="2455" w:type="dxa"/>
            <w:vAlign w:val="center"/>
          </w:tcPr>
          <w:p>
            <w:pPr>
              <w:spacing w:line="32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7</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大学生心理健康教育</w:t>
            </w:r>
          </w:p>
        </w:tc>
        <w:tc>
          <w:tcPr>
            <w:tcW w:w="2904" w:type="dxa"/>
            <w:vAlign w:val="center"/>
          </w:tcPr>
          <w:p>
            <w:pPr>
              <w:spacing w:line="32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旨在帮助学生建立正确的心理健康观念，提高心理素质，增强心理调适能力，预防和解决心理问题，促进个人全面发展，为未来的学习和生活奠定坚实的心理基础。</w:t>
            </w:r>
          </w:p>
          <w:p>
            <w:pPr>
              <w:spacing w:line="320" w:lineRule="exact"/>
              <w:rPr>
                <w:rFonts w:ascii="仿宋_GB2312" w:hAnsi="仿宋_GB2312" w:eastAsia="仿宋_GB2312" w:cs="仿宋_GB2312"/>
                <w:sz w:val="24"/>
                <w:shd w:val="clear" w:color="auto" w:fill="FFFFFF"/>
              </w:rPr>
            </w:pPr>
          </w:p>
        </w:tc>
        <w:tc>
          <w:tcPr>
            <w:tcW w:w="2912" w:type="dxa"/>
            <w:vAlign w:val="center"/>
          </w:tcPr>
          <w:p>
            <w:pPr>
              <w:spacing w:line="32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课程内容涵盖了心理学基础知识、自我认知与情绪管理、人际关系处理、学业与职业规划、心理健康维护与危机应对等方面。</w:t>
            </w:r>
          </w:p>
        </w:tc>
        <w:tc>
          <w:tcPr>
            <w:tcW w:w="2455" w:type="dxa"/>
            <w:vAlign w:val="center"/>
          </w:tcPr>
          <w:p>
            <w:pPr>
              <w:spacing w:line="32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要注重理论联系实际，注重培养学生实际应用能力；既有心理知识的传授，心理活动的体验，还有心理调适技能的训练等。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8</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大学英语</w:t>
            </w:r>
          </w:p>
        </w:tc>
        <w:tc>
          <w:tcPr>
            <w:tcW w:w="2904" w:type="dxa"/>
            <w:vAlign w:val="center"/>
          </w:tcPr>
          <w:p>
            <w:pPr>
              <w:spacing w:line="32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培养学生具备基本的英语听、说、读、写、译能力，增强其跨文化交际意识和沟通能力，同时提高其综合素养，为未来的学术、职业和国际交流做好准备。</w:t>
            </w:r>
          </w:p>
          <w:p>
            <w:pPr>
              <w:spacing w:line="320" w:lineRule="exact"/>
              <w:rPr>
                <w:rFonts w:ascii="仿宋_GB2312" w:hAnsi="仿宋_GB2312" w:eastAsia="仿宋_GB2312" w:cs="仿宋_GB2312"/>
                <w:sz w:val="24"/>
                <w:shd w:val="clear" w:color="auto" w:fill="FFFFFF"/>
              </w:rPr>
            </w:pPr>
          </w:p>
        </w:tc>
        <w:tc>
          <w:tcPr>
            <w:tcW w:w="2912" w:type="dxa"/>
            <w:vAlign w:val="center"/>
          </w:tcPr>
          <w:p>
            <w:pPr>
              <w:spacing w:line="32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课程内容主要包括英语语言知识、语言技能和文化知识。具体涵盖词汇、语法、听力理解、口语表达、阅读理解、写作技巧和跨文化交际等方面的知识与技能。</w:t>
            </w:r>
          </w:p>
        </w:tc>
        <w:tc>
          <w:tcPr>
            <w:tcW w:w="2455" w:type="dxa"/>
            <w:vAlign w:val="center"/>
          </w:tcPr>
          <w:p>
            <w:pPr>
              <w:spacing w:line="32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视听说部分加强对听说能力的培养和训练；读写部分加强对文章的理解和运用，引导学生提高全面理解整篇文章的能力。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9</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高等数学</w:t>
            </w:r>
          </w:p>
        </w:tc>
        <w:tc>
          <w:tcPr>
            <w:tcW w:w="2904" w:type="dxa"/>
            <w:vAlign w:val="center"/>
          </w:tcPr>
          <w:p>
            <w:pPr>
              <w:spacing w:line="32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培养学生的数学逻辑思维、抽象思维和问题解决能力，使其掌握高等数学的基本概念和方法，为后续的学术研究、工程应用以及科学探索打下坚实的数学基础。</w:t>
            </w:r>
          </w:p>
          <w:p>
            <w:pPr>
              <w:spacing w:line="320" w:lineRule="exact"/>
              <w:rPr>
                <w:rFonts w:ascii="仿宋_GB2312" w:hAnsi="仿宋_GB2312" w:eastAsia="仿宋_GB2312" w:cs="仿宋_GB2312"/>
                <w:sz w:val="24"/>
                <w:shd w:val="clear" w:color="auto" w:fill="FFFFFF"/>
              </w:rPr>
            </w:pPr>
          </w:p>
        </w:tc>
        <w:tc>
          <w:tcPr>
            <w:tcW w:w="2912" w:type="dxa"/>
            <w:vAlign w:val="center"/>
          </w:tcPr>
          <w:p>
            <w:pPr>
              <w:spacing w:line="32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课程内容包括函数、极限与连续、一元函数微积分、多元微积分、级数、常微分方程等。</w:t>
            </w:r>
          </w:p>
        </w:tc>
        <w:tc>
          <w:tcPr>
            <w:tcW w:w="2455" w:type="dxa"/>
            <w:vAlign w:val="center"/>
          </w:tcPr>
          <w:p>
            <w:pPr>
              <w:spacing w:line="32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根据教学内容，结合学情分析以及教学重点、难点突破等，采用混合式教学模式，综合运用讲授法、案例教学法、启发式教学法、练习法教学方法。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10</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计算机基础</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让学生掌握计算机的基本概念和操作技能，培养其利用计算机解决实际问题的能力，为其未来的学习和工作提供必要的计算机技能支持。</w:t>
            </w:r>
          </w:p>
          <w:p>
            <w:pPr>
              <w:spacing w:line="320" w:lineRule="exact"/>
              <w:rPr>
                <w:rFonts w:ascii="仿宋_GB2312" w:hAnsi="仿宋_GB2312" w:eastAsia="仿宋_GB2312" w:cs="仿宋_GB2312"/>
                <w:sz w:val="24"/>
              </w:rPr>
            </w:pP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课程内容涵盖计算机基础知识、操作系统、办公软件应用、网络基础等方面。</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11</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大学生职业发展与就业指导</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帮助学生明确职业方向，提升就业竞争力，培养创业意识，以及提供个性化的职业规划指导，为未来的职业生涯发展奠定坚实基础。</w:t>
            </w: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课程内容包括自我认知与职业定位、就业市场分析、求职技巧与方法、职业生涯规划、创业基础知识等。</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12</w:t>
            </w:r>
          </w:p>
        </w:tc>
        <w:tc>
          <w:tcPr>
            <w:tcW w:w="1260" w:type="dxa"/>
            <w:vAlign w:val="center"/>
          </w:tcPr>
          <w:p>
            <w:pPr>
              <w:spacing w:line="320" w:lineRule="exact"/>
              <w:jc w:val="left"/>
              <w:rPr>
                <w:rFonts w:ascii="仿宋_GB2312" w:hAnsi="仿宋_GB2312" w:eastAsia="仿宋_GB2312" w:cs="仿宋_GB2312"/>
                <w:color w:val="FF0000"/>
                <w:sz w:val="24"/>
              </w:rPr>
            </w:pPr>
            <w:r>
              <w:rPr>
                <w:rFonts w:hint="eastAsia" w:ascii="仿宋_GB2312" w:hAnsi="仿宋_GB2312" w:eastAsia="仿宋_GB2312" w:cs="仿宋_GB2312"/>
                <w:sz w:val="24"/>
              </w:rPr>
              <w:t>劳动教育</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以实习实训课为主要载体开展劳动教育，包含劳动精神、劳模精神、工匠精神专题教育。</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注重围绕创新创业，结合学科和专业积极开展实习实训、专业服务、社会实践、勤工助学等，重视新知识、新技术、新工艺、新方法应用，创造性地解决实际问题。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13</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大学生礼仪修养</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培养学生具备优雅得体的社交礼仪，提高其人际交往能力和社会适应能力，为未来的职业生涯和个人发展打下良好的社交基础。</w:t>
            </w:r>
          </w:p>
          <w:p>
            <w:pPr>
              <w:spacing w:line="320" w:lineRule="exact"/>
              <w:rPr>
                <w:rFonts w:ascii="仿宋_GB2312" w:hAnsi="仿宋_GB2312" w:eastAsia="仿宋_GB2312" w:cs="仿宋_GB2312"/>
                <w:sz w:val="24"/>
              </w:rPr>
            </w:pP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课程涵盖仪表仪态、日常社交礼仪、商务礼仪、公共礼仪、国际礼仪等方面。</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shd w:val="clear" w:color="auto" w:fill="FFFFFF"/>
              </w:rPr>
              <w:t>注重礼仪示范指导，通过礼仪示范动作带动学生的学习兴趣；强化礼仪实践训练，让学生通过礼仪实际操作掌握礼仪技能。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14</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中国民俗剪纸技法</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传承和弘扬中华传统文化，让学生掌握基本的剪纸技法和创作思维，培养其创意实践能力，并增进对中国传统民间艺术的了解与欣赏。</w:t>
            </w:r>
          </w:p>
          <w:p>
            <w:pPr>
              <w:spacing w:line="320" w:lineRule="exact"/>
              <w:rPr>
                <w:rFonts w:ascii="仿宋_GB2312" w:hAnsi="仿宋_GB2312" w:eastAsia="仿宋_GB2312" w:cs="仿宋_GB2312"/>
                <w:sz w:val="24"/>
              </w:rPr>
            </w:pP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通过示范教学，直观的了解剪纸的技法和要领，通过剪纸创作，提高剪纸技能。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15</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影视与鉴赏</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培养学生具备对影视作品的基本鉴赏能力，理解影视艺术的内涵与特点，提高审美水平，同时引导学生思考影视作品所反映的社会、文化和人性问题，促进批判性思维的形成。</w:t>
            </w:r>
          </w:p>
          <w:p>
            <w:pPr>
              <w:spacing w:line="320" w:lineRule="exact"/>
              <w:rPr>
                <w:rFonts w:ascii="仿宋_GB2312" w:hAnsi="仿宋_GB2312" w:eastAsia="仿宋_GB2312" w:cs="仿宋_GB2312"/>
                <w:sz w:val="24"/>
              </w:rPr>
            </w:pP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课程内容涵盖影视作品分析、影视艺术理论、影视史论等方面。</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利用启发诱导提升、优秀案例赏析、项目分组讨论等教学方法，引导学生主动思索，参与创新来达成有效提升学习效果目标。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16</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人际交流与沟通</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课程旨在帮助学生掌握有效的人际沟通技巧，提升其在工作、学习和日常生活中的沟通能力，以更好地建立和维护人际关系，实现有效合作与问题解决。</w:t>
            </w:r>
          </w:p>
          <w:p>
            <w:pPr>
              <w:spacing w:line="320" w:lineRule="exact"/>
              <w:rPr>
                <w:rFonts w:ascii="仿宋_GB2312" w:hAnsi="仿宋_GB2312" w:eastAsia="仿宋_GB2312" w:cs="仿宋_GB2312"/>
                <w:sz w:val="24"/>
              </w:rPr>
            </w:pP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课程内容包括沟通基础理论、沟通技巧、冲突处理、团队合作等方面。</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通过案例引导、深度解析，情景模拟，角色扮演，媒体演示，专项实践，让学生达到掌握知识技能目的。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17</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演讲与口才</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培养学生的口头表达能力，使其具备清晰、准确、有逻辑的语言表达能力，同时增强学生的自信心和应变能力，为未来的公众演讲和职场沟通打下坚实基础。</w:t>
            </w:r>
          </w:p>
          <w:p>
            <w:pPr>
              <w:spacing w:line="320" w:lineRule="exact"/>
              <w:rPr>
                <w:rFonts w:ascii="仿宋_GB2312" w:hAnsi="仿宋_GB2312" w:eastAsia="仿宋_GB2312" w:cs="仿宋_GB2312"/>
                <w:sz w:val="24"/>
              </w:rPr>
            </w:pP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课程内容包括演讲基础理论、演讲技巧、口才训练、实践演练等方面。学生将学习演讲的基本结构、语言技巧、肢体语言以及应对紧张情绪的方法。</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坚持“理论有的放矢，实践有理可循”原则，先易后难，循序渐进地提高学生日常交际、演讲、辩论、谈判等方面的表达能力，重视实训教学，使每一次训练都取得实效。采用多样化的现代化教学手段，更好帮助学生加强练习与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18</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创新创业教育</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培养学生的创新思维、创业意识和创业能力，让学生了解创业的基本知识和流程，掌握创业所需的基本技能，为未来的创业实践或职业发展打下坚实基础。</w:t>
            </w:r>
          </w:p>
          <w:p>
            <w:pPr>
              <w:spacing w:line="320" w:lineRule="exact"/>
              <w:rPr>
                <w:rFonts w:ascii="仿宋_GB2312" w:hAnsi="仿宋_GB2312" w:eastAsia="仿宋_GB2312" w:cs="仿宋_GB2312"/>
                <w:sz w:val="24"/>
              </w:rPr>
            </w:pP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课程内容涵盖创新思维培养、创业理念引导、市场调研分析、商业模式构建、团队建设与管理、创业计划书撰写、资金筹措与投资等方面。</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color w:val="333333"/>
                <w:sz w:val="24"/>
                <w:shd w:val="clear" w:color="auto" w:fill="FFFFFF"/>
              </w:rPr>
              <w:t>理</w:t>
            </w:r>
            <w:r>
              <w:rPr>
                <w:rFonts w:hint="eastAsia" w:ascii="仿宋_GB2312" w:hAnsi="仿宋_GB2312" w:eastAsia="仿宋_GB2312" w:cs="仿宋_GB2312"/>
                <w:sz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19</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中国共产党简史</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中国共产党简史课程的目的是让学生了解中国共产党的光辉历程、伟大成就和宝贵经验，加深对中国特色社会主义道路、理论、制度、文化的认识，增强对党的信仰和对中国特色社会主义的信念。</w:t>
            </w:r>
          </w:p>
          <w:p>
            <w:pPr>
              <w:spacing w:line="320" w:lineRule="exact"/>
              <w:rPr>
                <w:rFonts w:ascii="仿宋_GB2312" w:hAnsi="仿宋_GB2312" w:eastAsia="仿宋_GB2312" w:cs="仿宋_GB2312"/>
                <w:sz w:val="24"/>
              </w:rPr>
            </w:pP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pPr>
              <w:spacing w:line="320" w:lineRule="exact"/>
              <w:rPr>
                <w:rFonts w:ascii="仿宋_GB2312" w:hAnsi="仿宋_GB2312" w:eastAsia="仿宋_GB2312" w:cs="仿宋_GB2312"/>
                <w:sz w:val="24"/>
              </w:rPr>
            </w:pP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通过教师的理论讲授和丰富的史料佐证，以及线上线下参观历史纪念馆，引导学生树立正确的历史观，做到“学史明理、学史增信、学史崇德、学史力行”，感悟党的伟大，增强“四个自信”，坚定信心永远跟党走，做“青春心向党”、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20</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改革开放简史</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让学生全面了解改革开放的历史背景、进程和成就，深刻理解改革开放对中国现代化建设的深远影响，增强对中国特色社会主义道路、理论、制度、文化的自信。</w:t>
            </w:r>
          </w:p>
          <w:p>
            <w:pPr>
              <w:spacing w:line="320" w:lineRule="exact"/>
              <w:rPr>
                <w:rFonts w:ascii="仿宋_GB2312" w:hAnsi="仿宋_GB2312" w:eastAsia="仿宋_GB2312" w:cs="仿宋_GB2312"/>
                <w:sz w:val="24"/>
              </w:rPr>
            </w:pP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通过专题讲授法、情境教学法，让学生能够系统把握中国改革开放事业的辉煌成就、重大贡献、重要经验和深刻启示。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21</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中华人民共和国简史</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让学生全面了解中华人民共和国从成立至今的历史进程、主要成就和基本经验，加深对中国特色社会主义道路、理论、制度、文化的认识，增强国家认同感和民族自豪感。</w:t>
            </w:r>
          </w:p>
          <w:p>
            <w:pPr>
              <w:spacing w:line="320" w:lineRule="exact"/>
              <w:rPr>
                <w:rFonts w:ascii="仿宋_GB2312" w:hAnsi="仿宋_GB2312" w:eastAsia="仿宋_GB2312" w:cs="仿宋_GB2312"/>
                <w:sz w:val="24"/>
              </w:rPr>
            </w:pPr>
          </w:p>
          <w:p>
            <w:pPr>
              <w:spacing w:line="320" w:lineRule="exact"/>
              <w:rPr>
                <w:rFonts w:ascii="仿宋_GB2312" w:hAnsi="仿宋_GB2312" w:eastAsia="仿宋_GB2312" w:cs="仿宋_GB2312"/>
                <w:sz w:val="24"/>
              </w:rPr>
            </w:pP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通过课堂讲解、案例分析、小组讨论、模拟实践等方式，促进学生进一步增强民族自尊心、自信心和自豪感,坚定对马克思主义的信仰、对中国共产党的信任、对社会主义的信心。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22</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社会主义发展简史</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让学生全面了解社会主义思想和实践的历史演变，深入理解社会主义的基本原则和核心价值，认识社会主义在不同国家和时期的发展与挑战，从而增强对社会主义制度的认识与信心。</w:t>
            </w:r>
          </w:p>
          <w:p>
            <w:pPr>
              <w:spacing w:line="320" w:lineRule="exact"/>
              <w:rPr>
                <w:rFonts w:ascii="仿宋_GB2312" w:hAnsi="仿宋_GB2312" w:eastAsia="仿宋_GB2312" w:cs="仿宋_GB2312"/>
                <w:sz w:val="24"/>
              </w:rPr>
            </w:pPr>
          </w:p>
          <w:p>
            <w:pPr>
              <w:spacing w:line="320" w:lineRule="exact"/>
              <w:rPr>
                <w:rFonts w:ascii="仿宋_GB2312" w:hAnsi="仿宋_GB2312" w:eastAsia="仿宋_GB2312" w:cs="仿宋_GB2312"/>
                <w:sz w:val="24"/>
              </w:rPr>
            </w:pP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通过文本解读法、故事穿插法、存疑追问法等方式，帮助学生掌握关于当代社会主义的基本知识，以更深刻的视角理解认识当代中国社会，强化共产主义世界观。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23</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国家安全教育</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让学生系统掌握总体国家安全观的内涵和精神实质，理解中国特色国家安全体系，树立国家安全底线思维，将国家安全意识转化为自觉行动，强化责任担当。</w:t>
            </w: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政治安全、国土安全、军事安全、经济安全、文化安全、社会安全、科技安全、网络安全、生态安全、资源安全、核安全、海外利益安全、新型领域安全</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通过组织讲座、参观、调研、体验式、实践活动等方式，进行案例分析、实地考察、访谈探究、行动反思，积极引导学生自主参与、体验感悟。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8" w:hRule="atLeast"/>
          <w:jc w:val="center"/>
        </w:trPr>
        <w:tc>
          <w:tcPr>
            <w:tcW w:w="552" w:type="dxa"/>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24</w:t>
            </w:r>
          </w:p>
        </w:tc>
        <w:tc>
          <w:tcPr>
            <w:tcW w:w="1260" w:type="dxa"/>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语文</w:t>
            </w:r>
          </w:p>
        </w:tc>
        <w:tc>
          <w:tcPr>
            <w:tcW w:w="2904"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12"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455" w:type="dxa"/>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通过多媒体教学设备展示文学作品的相关图片、视频和音频资料，帮助学生更好理解作品。其次组织课堂讨论、小组合作等教学活动，鼓励学生积极参与，培养其合作意识和创新能力。</w:t>
            </w:r>
          </w:p>
        </w:tc>
      </w:tr>
    </w:tbl>
    <w:p>
      <w:pPr>
        <w:pStyle w:val="4"/>
        <w:widowControl/>
        <w:spacing w:before="0" w:line="520" w:lineRule="exact"/>
        <w:ind w:firstLine="640" w:firstLineChars="200"/>
        <w:jc w:val="left"/>
        <w:rPr>
          <w:rFonts w:ascii="楷体" w:hAnsi="楷体" w:eastAsia="楷体" w:cs="楷体"/>
          <w:color w:val="auto"/>
          <w:sz w:val="32"/>
          <w:szCs w:val="32"/>
        </w:rPr>
      </w:pPr>
      <w:r>
        <w:rPr>
          <w:rFonts w:hint="eastAsia" w:ascii="楷体" w:hAnsi="楷体" w:eastAsia="楷体" w:cs="楷体"/>
          <w:color w:val="auto"/>
          <w:sz w:val="32"/>
          <w:szCs w:val="32"/>
        </w:rPr>
        <w:t>（二）专业（技能）课程</w:t>
      </w:r>
    </w:p>
    <w:p>
      <w:pPr>
        <w:overflowPunct w:val="0"/>
        <w:adjustRightIn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专业（技能）课程包括专业基础课程、专业核心课程、专业拓展课程，并涵盖有关实践性教学环节。</w:t>
      </w:r>
    </w:p>
    <w:p>
      <w:pPr>
        <w:overflowPunct w:val="0"/>
        <w:adjustRightInd w:val="0"/>
        <w:spacing w:line="520" w:lineRule="exact"/>
        <w:ind w:firstLine="640" w:firstLineChars="200"/>
        <w:rPr>
          <w:rFonts w:ascii="仿宋_GB2312" w:hAnsi="仿宋_GB2312" w:eastAsia="仿宋_GB2312" w:cs="仿宋_GB2312"/>
          <w:sz w:val="32"/>
          <w:szCs w:val="32"/>
        </w:rPr>
      </w:pPr>
      <w:bookmarkStart w:id="11" w:name="_Toc90734975"/>
      <w:r>
        <w:rPr>
          <w:rFonts w:hint="eastAsia" w:ascii="仿宋_GB2312" w:hAnsi="仿宋_GB2312" w:eastAsia="仿宋_GB2312" w:cs="仿宋_GB2312"/>
          <w:sz w:val="32"/>
          <w:szCs w:val="32"/>
        </w:rPr>
        <w:t>1.专业基础课程：</w:t>
      </w:r>
      <w:bookmarkEnd w:id="11"/>
    </w:p>
    <w:p>
      <w:pPr>
        <w:overflowPunct w:val="0"/>
        <w:adjustRightInd w:val="0"/>
        <w:spacing w:line="520" w:lineRule="exact"/>
        <w:ind w:firstLine="200"/>
        <w:rPr>
          <w:rFonts w:ascii="仿宋_GB2312" w:hAnsi="仿宋_GB2312" w:eastAsia="仿宋_GB2312" w:cs="仿宋_GB2312"/>
          <w:sz w:val="32"/>
          <w:szCs w:val="32"/>
        </w:rPr>
      </w:pPr>
      <w:r>
        <w:rPr>
          <w:rFonts w:hint="eastAsia" w:ascii="仿宋_GB2312" w:hAnsi="仿宋_GB2312" w:eastAsia="仿宋_GB2312" w:cs="仿宋_GB2312"/>
          <w:sz w:val="32"/>
          <w:szCs w:val="32"/>
        </w:rPr>
        <w:t>专业基础课是为后续专业课程学习打基础的课程。包括：电工电子技术、模拟电子技术、数字电子技术、C语言、传感器与检测技术、电气控制与PLC、电力电子技术、计算机网络基础</w:t>
      </w:r>
      <w:r>
        <w:rPr>
          <w:rFonts w:hint="eastAsia" w:ascii="仿宋" w:hAnsi="仿宋" w:eastAsia="仿宋" w:cs="仿宋"/>
          <w:spacing w:val="-4"/>
          <w:sz w:val="32"/>
          <w:szCs w:val="32"/>
        </w:rPr>
        <w:t>等课程。</w:t>
      </w:r>
    </w:p>
    <w:p>
      <w:pPr>
        <w:overflowPunct w:val="0"/>
        <w:adjustRightInd w:val="0"/>
        <w:spacing w:line="520" w:lineRule="exact"/>
        <w:ind w:firstLine="2880" w:firstLineChars="900"/>
        <w:rPr>
          <w:rFonts w:ascii="仿宋_GB2312" w:hAnsi="仿宋_GB2312" w:eastAsia="仿宋_GB2312" w:cs="仿宋_GB2312"/>
          <w:sz w:val="32"/>
          <w:szCs w:val="32"/>
        </w:rPr>
      </w:pPr>
    </w:p>
    <w:p>
      <w:pPr>
        <w:overflowPunct w:val="0"/>
        <w:adjustRightInd w:val="0"/>
        <w:spacing w:line="520" w:lineRule="exact"/>
        <w:ind w:firstLine="2880" w:firstLineChars="900"/>
        <w:rPr>
          <w:rFonts w:ascii="仿宋_GB2312" w:hAnsi="仿宋_GB2312" w:eastAsia="仿宋_GB2312" w:cs="仿宋_GB2312"/>
          <w:sz w:val="32"/>
          <w:szCs w:val="32"/>
        </w:rPr>
      </w:pPr>
    </w:p>
    <w:p>
      <w:pPr>
        <w:overflowPunct w:val="0"/>
        <w:adjustRightInd w:val="0"/>
        <w:spacing w:line="520" w:lineRule="exact"/>
        <w:ind w:firstLine="2880" w:firstLineChars="900"/>
        <w:rPr>
          <w:rFonts w:ascii="仿宋_GB2312" w:hAnsi="仿宋_GB2312" w:eastAsia="仿宋_GB2312" w:cs="仿宋_GB2312"/>
          <w:sz w:val="32"/>
          <w:szCs w:val="32"/>
        </w:rPr>
      </w:pPr>
    </w:p>
    <w:p>
      <w:pPr>
        <w:overflowPunct w:val="0"/>
        <w:adjustRightInd w:val="0"/>
        <w:spacing w:line="520" w:lineRule="exact"/>
        <w:ind w:firstLine="2880" w:firstLineChars="900"/>
        <w:rPr>
          <w:rFonts w:ascii="仿宋_GB2312" w:hAnsi="仿宋_GB2312" w:eastAsia="仿宋_GB2312" w:cs="仿宋_GB2312"/>
          <w:sz w:val="32"/>
          <w:szCs w:val="32"/>
        </w:rPr>
      </w:pPr>
    </w:p>
    <w:p>
      <w:pPr>
        <w:overflowPunct w:val="0"/>
        <w:adjustRightInd w:val="0"/>
        <w:spacing w:line="520" w:lineRule="exact"/>
        <w:ind w:firstLine="2880" w:firstLineChars="900"/>
        <w:rPr>
          <w:rFonts w:ascii="仿宋_GB2312" w:hAnsi="仿宋_GB2312" w:eastAsia="仿宋_GB2312" w:cs="仿宋_GB2312"/>
          <w:sz w:val="32"/>
          <w:szCs w:val="32"/>
        </w:rPr>
      </w:pPr>
    </w:p>
    <w:p>
      <w:pPr>
        <w:overflowPunct w:val="0"/>
        <w:adjustRightInd w:val="0"/>
        <w:spacing w:line="520" w:lineRule="exact"/>
        <w:ind w:firstLine="2880" w:firstLineChars="900"/>
        <w:rPr>
          <w:rFonts w:ascii="仿宋_GB2312" w:hAnsi="仿宋_GB2312" w:eastAsia="仿宋_GB2312" w:cs="仿宋_GB2312"/>
          <w:sz w:val="32"/>
          <w:szCs w:val="32"/>
        </w:rPr>
      </w:pPr>
    </w:p>
    <w:p>
      <w:pPr>
        <w:overflowPunct w:val="0"/>
        <w:adjustRightInd w:val="0"/>
        <w:spacing w:line="520" w:lineRule="exact"/>
        <w:ind w:firstLine="2880" w:firstLineChars="900"/>
        <w:rPr>
          <w:rFonts w:ascii="仿宋_GB2312" w:hAnsi="仿宋_GB2312" w:eastAsia="仿宋_GB2312" w:cs="仿宋_GB2312"/>
          <w:sz w:val="32"/>
          <w:szCs w:val="32"/>
        </w:rPr>
      </w:pPr>
    </w:p>
    <w:p>
      <w:pPr>
        <w:overflowPunct w:val="0"/>
        <w:adjustRightInd w:val="0"/>
        <w:spacing w:line="520" w:lineRule="exact"/>
        <w:ind w:firstLine="2880" w:firstLineChars="900"/>
        <w:rPr>
          <w:rFonts w:ascii="仿宋_GB2312" w:hAnsi="仿宋_GB2312" w:eastAsia="仿宋_GB2312" w:cs="仿宋_GB2312"/>
          <w:sz w:val="32"/>
          <w:szCs w:val="32"/>
        </w:rPr>
      </w:pPr>
    </w:p>
    <w:p>
      <w:pPr>
        <w:overflowPunct w:val="0"/>
        <w:adjustRightInd w:val="0"/>
        <w:spacing w:line="520" w:lineRule="exact"/>
        <w:ind w:firstLine="2880" w:firstLineChars="900"/>
        <w:rPr>
          <w:rFonts w:ascii="仿宋_GB2312" w:hAnsi="仿宋_GB2312" w:eastAsia="仿宋_GB2312" w:cs="仿宋_GB2312"/>
          <w:sz w:val="32"/>
          <w:szCs w:val="32"/>
        </w:rPr>
      </w:pPr>
      <w:r>
        <w:rPr>
          <w:rFonts w:hint="eastAsia" w:ascii="仿宋_GB2312" w:hAnsi="仿宋_GB2312" w:eastAsia="仿宋_GB2312" w:cs="仿宋_GB2312"/>
          <w:sz w:val="32"/>
          <w:szCs w:val="32"/>
        </w:rPr>
        <w:t>表3专业基础课程描述表</w:t>
      </w:r>
    </w:p>
    <w:tbl>
      <w:tblPr>
        <w:tblStyle w:val="12"/>
        <w:tblW w:w="10632"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852"/>
        <w:gridCol w:w="2693"/>
        <w:gridCol w:w="3260"/>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70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852"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课程名称</w:t>
            </w:r>
          </w:p>
        </w:tc>
        <w:tc>
          <w:tcPr>
            <w:tcW w:w="2693"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课程教学目标</w:t>
            </w:r>
          </w:p>
        </w:tc>
        <w:tc>
          <w:tcPr>
            <w:tcW w:w="3260"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课程教学内容</w:t>
            </w:r>
          </w:p>
        </w:tc>
        <w:tc>
          <w:tcPr>
            <w:tcW w:w="3119"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3" w:hRule="atLeast"/>
        </w:trPr>
        <w:tc>
          <w:tcPr>
            <w:tcW w:w="70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852"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电工电子技术</w:t>
            </w:r>
          </w:p>
        </w:tc>
        <w:tc>
          <w:tcPr>
            <w:tcW w:w="2693"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掌握电路的基本概念、基本定律和定理，使学生打好宽广的基础，为后续学习和实践提供坚实的理论支撑。学会使用基本电路元件，熟悉电路分析的基本方法，以便能够分析简单电路，并能够解决实际问题。培养良好的电路分析思维能力和解决问题的能力，提高学生的创新能力和工程实践能力，以适应社会需要。</w:t>
            </w:r>
          </w:p>
        </w:tc>
        <w:tc>
          <w:tcPr>
            <w:tcW w:w="3260"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电阻电路的分析方法：包括电阻电路的基本概念、基本规律和分析方法。主要涵盖电路元件、电路变量和电路定律，线性电路的基本分析方法，电路网络的VAR和电路的等效变换等内容。此外，还有电路定理、电容元件与电感元件等知识点。动态电路的时域分析法：这部分主要关注含有动态元件（如电容、电感元件）的电路，并介绍其时域分析法。包括一阶电路分析、二阶电路分析等内容。</w:t>
            </w:r>
          </w:p>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动态电路的相量分析法：主要介绍用相量法对动态电路进行正弦稳态分析，并在此基础上介绍三相电路和理想变压器的工作原理。</w:t>
            </w:r>
          </w:p>
        </w:tc>
        <w:tc>
          <w:tcPr>
            <w:tcW w:w="3119" w:type="dxa"/>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学生应理解并掌握电路的基本概念和原理，包括电路模型、电压、电流、电阻、电容、电感等基本元件及其特性。熟悉正弦交流电的基本概念、三要素及表示方法，理解正弦交流电路中的电流与电压关系。掌握变压器、电动机等电气设备的工作原理和结构特点。学生应能正确使用示波器、信号发生器、万用表等常用电子仪器、仪表，进行电路参数的测量和调试。能够进行电子线路的装配、调试和故障排除，具备解决实际电路问题的能力。</w:t>
            </w:r>
          </w:p>
          <w:p>
            <w:pPr>
              <w:spacing w:line="360" w:lineRule="exact"/>
              <w:jc w:val="lef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70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2</w:t>
            </w:r>
          </w:p>
        </w:tc>
        <w:tc>
          <w:tcPr>
            <w:tcW w:w="852"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模拟电子技术</w:t>
            </w:r>
          </w:p>
        </w:tc>
        <w:tc>
          <w:tcPr>
            <w:tcW w:w="2693" w:type="dxa"/>
            <w:vAlign w:val="center"/>
          </w:tcPr>
          <w:p>
            <w:pPr>
              <w:widowControl/>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掌握基本概念和基本分析方法：通过理论教学，使学生掌握模拟电子技术的基本概念、基本分析方法等基础知识，初步具备简单模拟电子电路设计的理论知识和应用能力。特定电路和技术的理解和应用：学生应掌握基本放大电路、负反馈放大电路、振荡电路、信号处理与运算电路、功率放大电路与直流稳压电源电路的基本原理，并能应用等效的方法建立功能电子线路的数学模型。</w:t>
            </w:r>
          </w:p>
        </w:tc>
        <w:tc>
          <w:tcPr>
            <w:tcW w:w="3260" w:type="dxa"/>
            <w:vAlign w:val="center"/>
          </w:tcPr>
          <w:p>
            <w:pPr>
              <w:widowControl/>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半导体器件基础：包括半导体基础知识，半导体二极管及应用，双极型晶体管及应用原理，场效应晶体管及应用原理等。通过这部分内容的学习，学生可以掌握半导体器件的工作原理、外部特性、主要参数、等效电路、分析方法及应用原理。</w:t>
            </w:r>
          </w:p>
          <w:p>
            <w:pPr>
              <w:widowControl/>
              <w:spacing w:before="90"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放大器基础：涉及偏置电路和耦合方式，放大器的主要性能指标，基本组态放大器，差分放大电路，电流源电路，互补输出级放大电路等内容。学生将学习如何分析和设计各种基本放大电路，理解放大电路的频率响应和负反馈放大电路的原理。集成运放和直流稳压电源：包括集成运算放大器的组成和典型电路，理想运放的概念，集成运放的线性和非线性应用原理及典型电路。此外，还将学习一般直流电源的组成，整流、滤波、稳压的工作原理，以及电路主要指标的估算。</w:t>
            </w:r>
          </w:p>
        </w:tc>
        <w:tc>
          <w:tcPr>
            <w:tcW w:w="3119" w:type="dxa"/>
          </w:tcPr>
          <w:p>
            <w:pPr>
              <w:widowControl/>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学生需深入理解半导体器件的工作原理和特性，掌握放大电路、负反馈电路、集成运算放大器和直流电源的基本理论知识。能够运用所学知识分析和解决实际问题。通过实验课程，学生需掌握常用电子仪器的使用方法，能够独立完成实验项目。培养学生的动手能力和实践操作能力，使其能够设计和调试简单的模拟电路。通过系统的理论学习和实践训练，使学生全面掌握模拟电子技术的基本理论、基本知识和基本技能，并培养其分析问题、解决问题和设计模拟电路系统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70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3</w:t>
            </w:r>
          </w:p>
        </w:tc>
        <w:tc>
          <w:tcPr>
            <w:tcW w:w="852"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数字电子技术</w:t>
            </w:r>
          </w:p>
        </w:tc>
        <w:tc>
          <w:tcPr>
            <w:tcW w:w="2693" w:type="dxa"/>
            <w:vAlign w:val="center"/>
          </w:tcPr>
          <w:p>
            <w:pPr>
              <w:widowControl/>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使学生掌握数字电子技术中的基本概念、基本原理和思维方法，了解数字逻辑与其他科学技术的关系，对数字逻辑及其应用有较全面系统的认识。培养学生具备数字系统分析与设计的基本理论、基本知识和基本技能，并具备运用所学理论知识解决工程实际问题的初步能力。此外，还注重提升学生的获取知识、科技论文撰写及文档管理能力，电子系统设计与维护能力，团队协作能力，以及自主学习及终身学习能力。</w:t>
            </w:r>
          </w:p>
        </w:tc>
        <w:tc>
          <w:tcPr>
            <w:tcW w:w="3260" w:type="dxa"/>
            <w:vAlign w:val="center"/>
          </w:tcPr>
          <w:p>
            <w:pPr>
              <w:widowControl/>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数字电路的基础知识：包括数制和码制、逻辑代数基础等。门电路：探讨半导体器件的开关特性及其门电路的应用。组合逻辑电路：分析组合逻辑电路的设计与工作原理。触发器：研究触发器的类型、功能及其在时序逻辑电路中的应用。时序逻辑电路：学习时序逻辑电路的分析与设计方法。脉冲产生与整形电路：讨论脉冲信号的产生、整形及其应用。存储器和可编程逻辑器件：介绍常用存储器的结构、工作原理，以及可编程逻辑器件的应用。</w:t>
            </w:r>
          </w:p>
        </w:tc>
        <w:tc>
          <w:tcPr>
            <w:tcW w:w="3119" w:type="dxa"/>
          </w:tcPr>
          <w:p>
            <w:pPr>
              <w:widowControl/>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学生需深入理解数字电子技术的基本原理和基本概念，掌握逻辑代数的基本定律和逻辑函数的化简方法。熟悉各种门电路、组合逻辑电路和时序逻辑电路的工作原理和设计方法。通过实验课程，学生需掌握常用实验仪器的使用方法，能够独立完成数字电路的设计、调试和故障排除。培养学生的动手能力和实践操作能力，使其能够运用所学知识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70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4</w:t>
            </w:r>
          </w:p>
        </w:tc>
        <w:tc>
          <w:tcPr>
            <w:tcW w:w="852"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C语言</w:t>
            </w:r>
          </w:p>
        </w:tc>
        <w:tc>
          <w:tcPr>
            <w:tcW w:w="2693" w:type="dxa"/>
            <w:vAlign w:val="center"/>
          </w:tcPr>
          <w:p>
            <w:pPr>
              <w:widowControl/>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了解程序设计的基本知识，特别是C语言程序设计的语法规则、数据类型、数据运算、语句、系统函数等。掌握C语言的基本特点、构成以及编程思想。理解并掌握顺序结构、选择结构、循环结构的C程序的构成及编程技巧，以及函数定义、调用和编程技巧。掌握数组、指针、结构体和共用体的定义和使用，以及变量的存储分类、作用域和生存期。了解编译预处理和位运算符及运算规律。</w:t>
            </w:r>
          </w:p>
        </w:tc>
        <w:tc>
          <w:tcPr>
            <w:tcW w:w="3260" w:type="dxa"/>
            <w:vAlign w:val="center"/>
          </w:tcPr>
          <w:p>
            <w:pPr>
              <w:widowControl/>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C语言概述：包括程序设计及编程语言的基本概念，C语言的发展历史和特点，以及C程序的基本结构和示例。算法：了解算法的概念，掌握一些常用算法，以及如何用流程图描述算法。数据类型、运算符与表达式：深入学习C语言中的数据类型、运算符以及表达式的使用。程序结构：掌握顺序结构、选择结构、循环结构的C程序的构成及编程技巧。函数：理解函数的定义、调用和编程技巧，以及变量的作用域和生存期。数组、指针与结构体：深入学习数组、指针、结构体和共用体的定义和使用。编译预处理与位运算：了解编译预处理的概念和作用，以及位运算符及运算规律。</w:t>
            </w:r>
          </w:p>
        </w:tc>
        <w:tc>
          <w:tcPr>
            <w:tcW w:w="3119" w:type="dxa"/>
          </w:tcPr>
          <w:p>
            <w:pPr>
              <w:widowControl/>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学生需深入理解C语言的基本语法和编程思想，掌握数据类型、控制结构、函数、数组、指针等核心概念。能够熟练运用C语言进行简单的程序设计。通过实验课程，学生需掌握C语言程序的编写、编译、调试和运行过程。培养学生的动手能力和实践操作能力，使其能够独立完成实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708"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5</w:t>
            </w:r>
          </w:p>
        </w:tc>
        <w:tc>
          <w:tcPr>
            <w:tcW w:w="852"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电气控制与PLC</w:t>
            </w:r>
          </w:p>
        </w:tc>
        <w:tc>
          <w:tcPr>
            <w:tcW w:w="2693" w:type="dxa"/>
            <w:vAlign w:val="center"/>
          </w:tcPr>
          <w:p>
            <w:pPr>
              <w:widowControl/>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理解电气控制的基本概念和原理，掌握PLC（可编程逻辑控制器）的工作原理和应用。熟悉常见的电气控制元件和设备，如接触器、空气断路器、按钮等常用低压电器的原理和连接方式，以及传感器和执行器的种类和工作原理。能够进行基本的电气控制系统的设计和调试，包括基于PLC的电气控制系统设计和调试。掌握PLC编程思想和经验，能够使用PLC编程软件进行简单的PLC程序设计，并熟悉定时器和计数器在实际PLC控制系统中的应用。</w:t>
            </w:r>
          </w:p>
        </w:tc>
        <w:tc>
          <w:tcPr>
            <w:tcW w:w="3260" w:type="dxa"/>
            <w:vAlign w:val="center"/>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电气控制与PLC课程通常分为继电—接触器控制系统和PLC（可编程控制器）应用两部分。具体包括电气控制的基本概念和原理、电气控制系统的组成和工作原理、接触器和继电器的原理和应用、PLC的结构、功能和编程等知识点。同时，还会涵盖一些实验项目，如低压电器与电机控制，以帮助学生更好地理解和掌握相关知识和技能。</w:t>
            </w:r>
          </w:p>
        </w:tc>
        <w:tc>
          <w:tcPr>
            <w:tcW w:w="3119" w:type="dxa"/>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学生应了解电气控制的基本原理、发展历程及应用领域。掌握常用低压电器（如接触器、继电器、开关等）的结构、原理、用途及型号。理解电气控制线路的基本组成和工作过程。学习电气控制线路和PLC控制系统的设计方法，包括输入输出信号的确定、PLC型号的选择等。</w:t>
            </w:r>
          </w:p>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理解并掌握电气控制装置的设计原则及必要的保护环节。引导学生树立终身学习的观念，关注电气控制与PLC技术的最新发展动态和趋势。培养学生的自主学习能力和信息获取能力，为未来的职业发展打下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70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6</w:t>
            </w:r>
          </w:p>
        </w:tc>
        <w:tc>
          <w:tcPr>
            <w:tcW w:w="852" w:type="dxa"/>
            <w:vAlign w:val="center"/>
          </w:tcPr>
          <w:p>
            <w:pPr>
              <w:spacing w:line="360" w:lineRule="exact"/>
              <w:jc w:val="center"/>
              <w:rPr>
                <w:rFonts w:hint="eastAsia" w:ascii="仿宋_GB2312" w:hAnsi="仿宋_GB2312" w:eastAsia="仿宋_GB2312" w:cs="仿宋_GB2312"/>
                <w:sz w:val="24"/>
              </w:rPr>
            </w:pPr>
            <w:bookmarkStart w:id="12" w:name="_Toc90675125"/>
            <w:r>
              <w:rPr>
                <w:rFonts w:hint="eastAsia" w:ascii="仿宋_GB2312" w:hAnsi="仿宋_GB2312" w:eastAsia="仿宋_GB2312" w:cs="仿宋_GB2312"/>
                <w:sz w:val="24"/>
              </w:rPr>
              <w:t>电力电子</w:t>
            </w:r>
            <w:bookmarkEnd w:id="12"/>
            <w:bookmarkStart w:id="13" w:name="_Toc90675126"/>
            <w:r>
              <w:rPr>
                <w:rFonts w:hint="eastAsia" w:ascii="仿宋_GB2312" w:hAnsi="仿宋_GB2312" w:eastAsia="仿宋_GB2312" w:cs="仿宋_GB2312"/>
                <w:sz w:val="24"/>
              </w:rPr>
              <w:t>技术</w:t>
            </w:r>
            <w:bookmarkEnd w:id="13"/>
          </w:p>
        </w:tc>
        <w:tc>
          <w:tcPr>
            <w:tcW w:w="2693" w:type="dxa"/>
            <w:vAlign w:val="center"/>
          </w:tcPr>
          <w:p>
            <w:pPr>
              <w:widowControl/>
              <w:spacing w:line="360" w:lineRule="exact"/>
              <w:jc w:val="left"/>
              <w:rPr>
                <w:rFonts w:hint="eastAsia" w:ascii="仿宋_GB2312" w:hAnsi="仿宋_GB2312" w:eastAsia="仿宋_GB2312" w:cs="仿宋_GB2312"/>
                <w:sz w:val="24"/>
              </w:rPr>
            </w:pPr>
            <w:bookmarkStart w:id="14" w:name="_Toc90675127"/>
            <w:r>
              <w:rPr>
                <w:rFonts w:hint="eastAsia" w:ascii="仿宋_GB2312" w:hAnsi="仿宋_GB2312" w:eastAsia="仿宋_GB2312" w:cs="仿宋_GB2312"/>
                <w:sz w:val="24"/>
              </w:rPr>
              <w:t>通过本课程的学习使学生具有扎实的有关电力电子变流技术的基础理论知识和初步设计、调试及应用各种电力电子变流装置的能力，为后续课程的学习打下坚实的基础。</w:t>
            </w:r>
            <w:bookmarkEnd w:id="14"/>
          </w:p>
        </w:tc>
        <w:tc>
          <w:tcPr>
            <w:tcW w:w="3260" w:type="dxa"/>
            <w:vAlign w:val="center"/>
          </w:tcPr>
          <w:p>
            <w:pPr>
              <w:overflowPunct w:val="0"/>
              <w:adjustRightInd w:val="0"/>
              <w:spacing w:line="360" w:lineRule="exact"/>
              <w:outlineLvl w:val="0"/>
              <w:rPr>
                <w:rFonts w:ascii="仿宋_GB2312" w:hAnsi="仿宋_GB2312" w:eastAsia="仿宋_GB2312" w:cs="仿宋_GB2312"/>
                <w:sz w:val="24"/>
              </w:rPr>
            </w:pPr>
            <w:bookmarkStart w:id="15" w:name="_Toc90675128"/>
            <w:r>
              <w:rPr>
                <w:rFonts w:hint="eastAsia" w:ascii="仿宋_GB2312" w:hAnsi="仿宋_GB2312" w:eastAsia="仿宋_GB2312" w:cs="仿宋_GB2312"/>
                <w:sz w:val="24"/>
              </w:rPr>
              <w:t>1.电力电子技术绪论；</w:t>
            </w:r>
            <w:bookmarkEnd w:id="15"/>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2.电力电子器件；</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3.整流电路；</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4.逆变电路；</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5.直流-直流变流电路；</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6.交流-交流变流电路；</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7.PWM控制技术；</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8.软开关技术；</w:t>
            </w:r>
          </w:p>
          <w:p>
            <w:pPr>
              <w:spacing w:line="36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9.电力电子器件应用。</w:t>
            </w:r>
          </w:p>
        </w:tc>
        <w:tc>
          <w:tcPr>
            <w:tcW w:w="3119" w:type="dxa"/>
          </w:tcPr>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知识掌握‌：学生需了解电力电子技术的发展概况，熟悉常用电力电子器件的工作机理、电气特性和主要参数，掌握基本的电力电子电路的工作原理、电路结构、电气性能及分析方法。</w:t>
            </w:r>
          </w:p>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技能培养‌：通过实验和实践，培养学生电力电子电路的设计、调试和故障分析能力，以及使用现代工具进行建模和仿真的能力。</w:t>
            </w:r>
          </w:p>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‌综合素质提升‌：注重培养学生的创新思维、工程实践能力和团队协作精神，提高解决实际工程问题的能力。</w:t>
            </w:r>
          </w:p>
          <w:p>
            <w:pPr>
              <w:spacing w:line="36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理论与实践结合‌：强调理论教学与实验教学的结合，通过实际操作加深对理论知识的理解，提升应用能力。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708" w:type="dxa"/>
            <w:vAlign w:val="center"/>
          </w:tcPr>
          <w:p>
            <w:pPr>
              <w:spacing w:line="360" w:lineRule="exact"/>
              <w:jc w:val="center"/>
              <w:rPr>
                <w:rFonts w:ascii="仿宋_GB2312" w:hAnsi="仿宋_GB2312" w:eastAsia="仿宋_GB2312" w:cs="仿宋_GB2312"/>
                <w:sz w:val="24"/>
              </w:rPr>
            </w:pPr>
            <w:r>
              <w:rPr>
                <w:rFonts w:ascii="仿宋_GB2312" w:hAnsi="仿宋_GB2312" w:eastAsia="仿宋_GB2312" w:cs="仿宋_GB2312"/>
                <w:sz w:val="24"/>
              </w:rPr>
              <w:t>7</w:t>
            </w:r>
          </w:p>
        </w:tc>
        <w:tc>
          <w:tcPr>
            <w:tcW w:w="852"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计算机网络基础</w:t>
            </w:r>
          </w:p>
        </w:tc>
        <w:tc>
          <w:tcPr>
            <w:tcW w:w="2693" w:type="dxa"/>
            <w:vAlign w:val="center"/>
          </w:tcPr>
          <w:p>
            <w:pPr>
              <w:widowControl/>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理解计算机网络的基本概念和体系结构，掌握网络通信的基本原理和协议。熟悉常见的网络设备和网络拓扑结构，了解网络设备的选择和配置方法。掌握网络管理和安全的基本知识，能够进行有效的网络管理和安全维护。培养学生的实际操作能力和解决问题的能力，能够在实际应用中运用所学知识解决网络问题。</w:t>
            </w:r>
          </w:p>
        </w:tc>
        <w:tc>
          <w:tcPr>
            <w:tcW w:w="3260" w:type="dxa"/>
            <w:vAlign w:val="center"/>
          </w:tcPr>
          <w:p>
            <w:pPr>
              <w:widowControl/>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计算机网络概述：介绍计算机网络的基本概念、发展历史、分类和应用领域。网络体系结构：讲解计算机网络体系结构的层次模型，包括物理层、数据链路层、网络层、传输层和应用层等。网络通信原理：阐述数据通信的基本原理，包括数据传输方式、数据编码、差错控制等。网络协议：介绍常见的网络协议，如TCP/IP协议族、HTTP协议、FTP协议等，以及它们的工作原理和功能。网络设备：讲解常见的网络设备，如路由器、交换机、服务器等，以及它们的配置和管理方法。网络应用：介绍网络应用的基本原理和实现技术，如Web应用、电子邮件、远程登录等。网络安全与管理：阐述网络安全的基本概念和技术，包括防火墙、加密技术、入侵检测等，以及网络管理的基本方法和工具。</w:t>
            </w:r>
          </w:p>
        </w:tc>
        <w:tc>
          <w:tcPr>
            <w:tcW w:w="3119" w:type="dxa"/>
          </w:tcPr>
          <w:p>
            <w:pPr>
              <w:widowControl/>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理论知识掌握‌：学生应熟练掌握计算机网络的基本概念、原理和体系结构，如OSI七层模型、TCP/IP模型等，以及网络协议、数据传输、网络安全等理论知识。实践技能培养‌：学生需具备基本的网络配置、管理和维护能力，如IP地址配置、路由器与交换机的基本操作、简单网络故障排查等。综合应用能力‌：学生应能将所学知识应用于实际场景，如企业网络规划、网络安全策略制定等，解决实际问题。自主学习能力‌：鼓励学生跟踪学习新的网络技术和发展趋势，培养自主学习的能力。</w:t>
            </w:r>
          </w:p>
        </w:tc>
      </w:tr>
    </w:tbl>
    <w:p>
      <w:pPr>
        <w:snapToGrid w:val="0"/>
        <w:spacing w:line="520" w:lineRule="exact"/>
        <w:ind w:firstLine="640" w:firstLineChars="200"/>
        <w:rPr>
          <w:rFonts w:ascii="仿宋_GB2312" w:hAnsi="仿宋_GB2312" w:eastAsia="仿宋_GB2312" w:cs="仿宋_GB2312"/>
          <w:sz w:val="32"/>
          <w:szCs w:val="32"/>
        </w:rPr>
      </w:pPr>
      <w:bookmarkStart w:id="16" w:name="_Toc90734977"/>
      <w:r>
        <w:rPr>
          <w:rFonts w:hint="eastAsia" w:ascii="仿宋_GB2312" w:hAnsi="仿宋_GB2312" w:eastAsia="仿宋_GB2312" w:cs="仿宋_GB2312"/>
          <w:sz w:val="32"/>
          <w:szCs w:val="32"/>
        </w:rPr>
        <w:t>2.专业核心课程：</w:t>
      </w:r>
      <w:bookmarkEnd w:id="16"/>
    </w:p>
    <w:p>
      <w:pPr>
        <w:snapToGri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业核心课是面向计算机、通信和其他电子设备制造业的电子设备装配调试人员、电子专用设备装配调试人员、电子工程技术人员等岗位（群），结合电子产品辅助设计、电子产品安装调试、电子产品生产工艺管理、电子产品检测与质量管理、电子产品生产设备操作与维护、电子产品售后服务、电子产品应用技术服务的就业岗位，建立</w:t>
      </w:r>
      <w:r>
        <w:rPr>
          <w:rFonts w:hint="eastAsia" w:ascii="仿宋_GB2312" w:hAnsi="仿宋_GB2312" w:eastAsia="仿宋_GB2312" w:cs="仿宋_GB2312"/>
          <w:spacing w:val="-2"/>
          <w:sz w:val="32"/>
          <w:szCs w:val="32"/>
        </w:rPr>
        <w:t>应用电子技术</w:t>
      </w:r>
      <w:r>
        <w:rPr>
          <w:rFonts w:hint="eastAsia" w:ascii="仿宋_GB2312" w:hAnsi="仿宋_GB2312" w:eastAsia="仿宋_GB2312" w:cs="仿宋_GB2312"/>
          <w:sz w:val="32"/>
          <w:szCs w:val="32"/>
        </w:rPr>
        <w:t>专业核心课程，培养学生</w:t>
      </w:r>
      <w:r>
        <w:rPr>
          <w:rFonts w:hint="eastAsia" w:ascii="仿宋_GB2312" w:hAnsi="仿宋_GB2312" w:eastAsia="仿宋_GB2312" w:cs="仿宋_GB2312"/>
          <w:spacing w:val="-2"/>
          <w:sz w:val="32"/>
          <w:szCs w:val="32"/>
        </w:rPr>
        <w:t>操作能力和解决问题</w:t>
      </w:r>
      <w:r>
        <w:rPr>
          <w:rFonts w:hint="eastAsia" w:ascii="仿宋_GB2312" w:hAnsi="仿宋_GB2312" w:eastAsia="仿宋_GB2312" w:cs="仿宋_GB2312"/>
          <w:sz w:val="32"/>
          <w:szCs w:val="32"/>
        </w:rPr>
        <w:t>等方面的能力。包括信号与系统、高频电子技术、家电原理及维修、单片机原理与接口技术、EDA技术、Python基础、电子C</w:t>
      </w:r>
      <w:r>
        <w:rPr>
          <w:rFonts w:ascii="仿宋_GB2312" w:hAnsi="仿宋_GB2312" w:eastAsia="仿宋_GB2312" w:cs="仿宋_GB2312"/>
          <w:sz w:val="32"/>
          <w:szCs w:val="32"/>
        </w:rPr>
        <w:t>AD</w:t>
      </w:r>
      <w:r>
        <w:rPr>
          <w:rFonts w:hint="eastAsia" w:ascii="仿宋_GB2312" w:hAnsi="仿宋_GB2312" w:eastAsia="仿宋_GB2312" w:cs="仿宋_GB2312"/>
          <w:sz w:val="32"/>
          <w:szCs w:val="32"/>
        </w:rPr>
        <w:t>、电子设计</w:t>
      </w:r>
      <w:r>
        <w:rPr>
          <w:rFonts w:hint="eastAsia" w:ascii="仿宋_GB2312" w:hAnsi="仿宋_GB2312" w:eastAsia="仿宋_GB2312" w:cs="仿宋_GB2312"/>
          <w:spacing w:val="-4"/>
          <w:sz w:val="32"/>
          <w:szCs w:val="32"/>
        </w:rPr>
        <w:t>等课程。</w:t>
      </w:r>
    </w:p>
    <w:p>
      <w:pPr>
        <w:adjustRightInd w:val="0"/>
        <w:snapToGrid w:val="0"/>
        <w:spacing w:line="52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表4专业核心课程描述表</w:t>
      </w:r>
    </w:p>
    <w:tbl>
      <w:tblPr>
        <w:tblStyle w:val="12"/>
        <w:tblW w:w="106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851"/>
        <w:gridCol w:w="2490"/>
        <w:gridCol w:w="3180"/>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0" w:type="dxa"/>
            <w:vAlign w:val="center"/>
          </w:tcPr>
          <w:p>
            <w:pPr>
              <w:overflowPunct w:val="0"/>
              <w:adjustRightInd w:val="0"/>
              <w:spacing w:line="360" w:lineRule="exact"/>
              <w:jc w:val="center"/>
              <w:outlineLvl w:val="0"/>
              <w:rPr>
                <w:rFonts w:ascii="仿宋_GB2312" w:hAnsi="仿宋_GB2312" w:eastAsia="仿宋_GB2312" w:cs="仿宋_GB2312"/>
                <w:sz w:val="24"/>
              </w:rPr>
            </w:pPr>
            <w:bookmarkStart w:id="17" w:name="_Toc90675086"/>
            <w:r>
              <w:rPr>
                <w:rFonts w:hint="eastAsia" w:ascii="仿宋_GB2312" w:hAnsi="仿宋_GB2312" w:eastAsia="仿宋_GB2312" w:cs="仿宋_GB2312"/>
                <w:sz w:val="24"/>
              </w:rPr>
              <w:t>序号</w:t>
            </w:r>
            <w:bookmarkEnd w:id="17"/>
          </w:p>
        </w:tc>
        <w:tc>
          <w:tcPr>
            <w:tcW w:w="851" w:type="dxa"/>
            <w:vAlign w:val="center"/>
          </w:tcPr>
          <w:p>
            <w:pPr>
              <w:overflowPunct w:val="0"/>
              <w:adjustRightInd w:val="0"/>
              <w:spacing w:line="360" w:lineRule="exact"/>
              <w:jc w:val="center"/>
              <w:outlineLvl w:val="0"/>
              <w:rPr>
                <w:rFonts w:ascii="仿宋_GB2312" w:hAnsi="仿宋_GB2312" w:eastAsia="仿宋_GB2312" w:cs="仿宋_GB2312"/>
                <w:sz w:val="24"/>
              </w:rPr>
            </w:pPr>
            <w:bookmarkStart w:id="18" w:name="_Toc90675087"/>
            <w:r>
              <w:rPr>
                <w:rFonts w:hint="eastAsia" w:ascii="仿宋_GB2312" w:hAnsi="仿宋_GB2312" w:eastAsia="仿宋_GB2312" w:cs="仿宋_GB2312"/>
                <w:sz w:val="24"/>
              </w:rPr>
              <w:t>课程名称</w:t>
            </w:r>
            <w:bookmarkEnd w:id="18"/>
          </w:p>
        </w:tc>
        <w:tc>
          <w:tcPr>
            <w:tcW w:w="2490" w:type="dxa"/>
            <w:vAlign w:val="center"/>
          </w:tcPr>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课程教学目标</w:t>
            </w:r>
          </w:p>
        </w:tc>
        <w:tc>
          <w:tcPr>
            <w:tcW w:w="3180" w:type="dxa"/>
            <w:vAlign w:val="center"/>
          </w:tcPr>
          <w:p>
            <w:pPr>
              <w:overflowPunct w:val="0"/>
              <w:adjustRightInd w:val="0"/>
              <w:spacing w:line="360" w:lineRule="exact"/>
              <w:ind w:firstLine="480" w:firstLineChars="200"/>
              <w:outlineLvl w:val="0"/>
              <w:rPr>
                <w:rFonts w:ascii="仿宋_GB2312" w:hAnsi="仿宋_GB2312" w:eastAsia="仿宋_GB2312" w:cs="仿宋_GB2312"/>
                <w:sz w:val="24"/>
              </w:rPr>
            </w:pPr>
            <w:bookmarkStart w:id="19" w:name="_Toc90675089"/>
            <w:r>
              <w:rPr>
                <w:rFonts w:hint="eastAsia" w:ascii="仿宋_GB2312" w:hAnsi="仿宋_GB2312" w:eastAsia="仿宋_GB2312" w:cs="仿宋_GB2312"/>
                <w:sz w:val="24"/>
              </w:rPr>
              <w:t>课程教学内容</w:t>
            </w:r>
            <w:bookmarkEnd w:id="19"/>
          </w:p>
        </w:tc>
        <w:tc>
          <w:tcPr>
            <w:tcW w:w="3402" w:type="dxa"/>
            <w:vAlign w:val="center"/>
          </w:tcPr>
          <w:p>
            <w:pPr>
              <w:overflowPunct w:val="0"/>
              <w:adjustRightInd w:val="0"/>
              <w:spacing w:line="360" w:lineRule="exact"/>
              <w:ind w:firstLine="480" w:firstLineChars="200"/>
              <w:jc w:val="center"/>
              <w:outlineLvl w:val="0"/>
              <w:rPr>
                <w:rFonts w:ascii="仿宋_GB2312" w:hAnsi="仿宋_GB2312" w:eastAsia="仿宋_GB2312" w:cs="仿宋_GB2312"/>
                <w:sz w:val="24"/>
              </w:rPr>
            </w:pPr>
            <w:r>
              <w:rPr>
                <w:rFonts w:hint="eastAsia" w:ascii="仿宋_GB2312" w:hAnsi="仿宋_GB2312" w:eastAsia="仿宋_GB2312" w:cs="仿宋_GB2312"/>
                <w:sz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0" w:type="dxa"/>
            <w:vAlign w:val="center"/>
          </w:tcPr>
          <w:p>
            <w:pPr>
              <w:overflowPunct w:val="0"/>
              <w:adjustRightInd w:val="0"/>
              <w:spacing w:line="360" w:lineRule="exact"/>
              <w:ind w:firstLine="240" w:firstLineChars="100"/>
              <w:outlineLvl w:val="0"/>
              <w:rPr>
                <w:rFonts w:ascii="仿宋_GB2312" w:hAnsi="仿宋_GB2312" w:eastAsia="仿宋_GB2312" w:cs="仿宋_GB2312"/>
                <w:sz w:val="24"/>
              </w:rPr>
            </w:pPr>
            <w:bookmarkStart w:id="20" w:name="_Toc90675090"/>
            <w:r>
              <w:rPr>
                <w:rFonts w:hint="eastAsia" w:ascii="仿宋_GB2312" w:hAnsi="仿宋_GB2312" w:eastAsia="仿宋_GB2312" w:cs="仿宋_GB2312"/>
                <w:sz w:val="24"/>
              </w:rPr>
              <w:t>1</w:t>
            </w:r>
            <w:bookmarkEnd w:id="20"/>
          </w:p>
        </w:tc>
        <w:tc>
          <w:tcPr>
            <w:tcW w:w="851" w:type="dxa"/>
            <w:vAlign w:val="center"/>
          </w:tcPr>
          <w:p>
            <w:pPr>
              <w:overflowPunct w:val="0"/>
              <w:adjustRightInd w:val="0"/>
              <w:spacing w:line="360" w:lineRule="exact"/>
              <w:jc w:val="center"/>
              <w:outlineLvl w:val="0"/>
              <w:rPr>
                <w:rFonts w:ascii="仿宋_GB2312" w:hAnsi="仿宋_GB2312" w:eastAsia="仿宋_GB2312" w:cs="仿宋_GB2312"/>
                <w:sz w:val="24"/>
              </w:rPr>
            </w:pPr>
            <w:bookmarkStart w:id="21" w:name="_Toc90675091"/>
            <w:r>
              <w:rPr>
                <w:rFonts w:hint="eastAsia" w:ascii="仿宋_GB2312" w:hAnsi="仿宋_GB2312" w:eastAsia="仿宋_GB2312" w:cs="仿宋_GB2312"/>
                <w:sz w:val="24"/>
              </w:rPr>
              <w:t>信号与系统</w:t>
            </w:r>
            <w:bookmarkEnd w:id="21"/>
          </w:p>
        </w:tc>
        <w:tc>
          <w:tcPr>
            <w:tcW w:w="2490" w:type="dxa"/>
            <w:vAlign w:val="center"/>
          </w:tcPr>
          <w:p>
            <w:pPr>
              <w:overflowPunct w:val="0"/>
              <w:adjustRightInd w:val="0"/>
              <w:spacing w:line="360" w:lineRule="exact"/>
              <w:outlineLvl w:val="0"/>
              <w:rPr>
                <w:rFonts w:ascii="仿宋_GB2312" w:hAnsi="仿宋_GB2312" w:eastAsia="仿宋_GB2312" w:cs="仿宋_GB2312"/>
                <w:sz w:val="24"/>
              </w:rPr>
            </w:pPr>
            <w:bookmarkStart w:id="22" w:name="_Toc90675092"/>
            <w:r>
              <w:rPr>
                <w:rFonts w:hint="eastAsia" w:ascii="仿宋_GB2312" w:hAnsi="仿宋_GB2312" w:eastAsia="仿宋_GB2312" w:cs="仿宋_GB2312"/>
                <w:sz w:val="24"/>
              </w:rPr>
              <w:t>学生通过这门课程的学习掌握信号与系统理论和体系所需的基本数理知识，并能用于专业知识和实际系统分析的能力学习中。能初步使用教学、自然科学、工程基础和专业知识分析实际工程中的结构、电路、信号灯相关具体问题，能完成电子通信领域相关的简单工程问题与系统设计中单元与环节的正确表达和案例分析。</w:t>
            </w:r>
            <w:bookmarkEnd w:id="22"/>
          </w:p>
        </w:tc>
        <w:tc>
          <w:tcPr>
            <w:tcW w:w="3180" w:type="dxa"/>
            <w:vAlign w:val="center"/>
          </w:tcPr>
          <w:p>
            <w:pPr>
              <w:overflowPunct w:val="0"/>
              <w:adjustRightInd w:val="0"/>
              <w:spacing w:line="360" w:lineRule="exact"/>
              <w:outlineLvl w:val="0"/>
              <w:rPr>
                <w:rFonts w:ascii="仿宋_GB2312" w:hAnsi="仿宋_GB2312" w:eastAsia="仿宋_GB2312" w:cs="仿宋_GB2312"/>
                <w:sz w:val="24"/>
              </w:rPr>
            </w:pPr>
            <w:bookmarkStart w:id="23" w:name="_Toc90675093"/>
            <w:r>
              <w:rPr>
                <w:rFonts w:hint="eastAsia" w:ascii="仿宋_GB2312" w:hAnsi="仿宋_GB2312" w:eastAsia="仿宋_GB2312" w:cs="仿宋_GB2312"/>
                <w:sz w:val="24"/>
              </w:rPr>
              <w:t>1.信号与系统课程绪论；</w:t>
            </w:r>
            <w:bookmarkEnd w:id="23"/>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2.信号的时域分析；</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3.系统的时域描述；</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4.信号的频域分析；</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5.系统的频域分析；</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6.连续信号与系统的复频域分析；</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7.离散信号与系统的复频域分析；</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8.系统的状态变量分析。</w:t>
            </w:r>
          </w:p>
        </w:tc>
        <w:tc>
          <w:tcPr>
            <w:tcW w:w="3402" w:type="dxa"/>
          </w:tcPr>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信号与系统这门课的教学要求主要包括以下几个方面：</w:t>
            </w:r>
          </w:p>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知识掌握‌：学生需掌握信号与系统的基本概念、原理和分析方法，包括信号的描述、分类、变换，以及系统的特性、模型和分析等。</w:t>
            </w:r>
          </w:p>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能力培养‌：培养学生分析问题和解决问题的能力，使其能够运用所学知识解决复杂的工程问题，如信号的处理、系统的分析与设计等。</w:t>
            </w:r>
          </w:p>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素质提升‌：通过课程学习，提高学生的抽象思维能力、系统思维方式和多角度分析解决问题的能力，为后续课程的学习及未来的科研和工作奠定坚实基础。</w:t>
            </w:r>
          </w:p>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这些教学要求旨在全面提升学生的专业素养和综合能力，以适应电子信息类专业的发展需求。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770" w:type="dxa"/>
            <w:vAlign w:val="center"/>
          </w:tcPr>
          <w:p>
            <w:pPr>
              <w:overflowPunct w:val="0"/>
              <w:adjustRightInd w:val="0"/>
              <w:spacing w:line="360" w:lineRule="exact"/>
              <w:ind w:firstLine="120" w:firstLineChars="50"/>
              <w:jc w:val="center"/>
              <w:outlineLvl w:val="0"/>
              <w:rPr>
                <w:rFonts w:ascii="仿宋_GB2312" w:hAnsi="仿宋_GB2312" w:eastAsia="仿宋_GB2312" w:cs="仿宋_GB2312"/>
                <w:sz w:val="24"/>
              </w:rPr>
            </w:pPr>
            <w:bookmarkStart w:id="24" w:name="_Toc90675094"/>
            <w:r>
              <w:rPr>
                <w:rFonts w:hint="eastAsia" w:ascii="仿宋_GB2312" w:hAnsi="仿宋_GB2312" w:eastAsia="仿宋_GB2312" w:cs="仿宋_GB2312"/>
                <w:sz w:val="24"/>
              </w:rPr>
              <w:t>2</w:t>
            </w:r>
            <w:bookmarkEnd w:id="24"/>
          </w:p>
        </w:tc>
        <w:tc>
          <w:tcPr>
            <w:tcW w:w="851" w:type="dxa"/>
            <w:vAlign w:val="center"/>
          </w:tcPr>
          <w:p>
            <w:pPr>
              <w:overflowPunct w:val="0"/>
              <w:adjustRightInd w:val="0"/>
              <w:spacing w:line="360" w:lineRule="exact"/>
              <w:jc w:val="center"/>
              <w:outlineLvl w:val="0"/>
              <w:rPr>
                <w:rFonts w:ascii="仿宋_GB2312" w:hAnsi="仿宋_GB2312" w:eastAsia="仿宋_GB2312" w:cs="仿宋_GB2312"/>
                <w:sz w:val="24"/>
              </w:rPr>
            </w:pPr>
            <w:bookmarkStart w:id="25" w:name="_Toc90675095"/>
            <w:r>
              <w:rPr>
                <w:rFonts w:hint="eastAsia" w:ascii="仿宋_GB2312" w:hAnsi="仿宋_GB2312" w:eastAsia="仿宋_GB2312" w:cs="仿宋_GB2312"/>
                <w:sz w:val="24"/>
              </w:rPr>
              <w:t>高频电子</w:t>
            </w:r>
            <w:bookmarkEnd w:id="25"/>
            <w:bookmarkStart w:id="26" w:name="_Toc90675096"/>
            <w:r>
              <w:rPr>
                <w:rFonts w:hint="eastAsia" w:ascii="仿宋_GB2312" w:hAnsi="仿宋_GB2312" w:eastAsia="仿宋_GB2312" w:cs="仿宋_GB2312"/>
                <w:sz w:val="24"/>
              </w:rPr>
              <w:t>技术</w:t>
            </w:r>
            <w:bookmarkEnd w:id="26"/>
          </w:p>
        </w:tc>
        <w:tc>
          <w:tcPr>
            <w:tcW w:w="2490" w:type="dxa"/>
            <w:vAlign w:val="center"/>
          </w:tcPr>
          <w:p>
            <w:pPr>
              <w:overflowPunct w:val="0"/>
              <w:adjustRightInd w:val="0"/>
              <w:spacing w:line="360" w:lineRule="exact"/>
              <w:outlineLvl w:val="0"/>
              <w:rPr>
                <w:rFonts w:ascii="仿宋_GB2312" w:hAnsi="仿宋_GB2312" w:eastAsia="仿宋_GB2312" w:cs="仿宋_GB2312"/>
                <w:sz w:val="24"/>
              </w:rPr>
            </w:pPr>
            <w:bookmarkStart w:id="27" w:name="_Toc90675097"/>
            <w:r>
              <w:rPr>
                <w:rFonts w:hint="eastAsia" w:ascii="仿宋_GB2312" w:hAnsi="仿宋_GB2312" w:eastAsia="仿宋_GB2312" w:cs="仿宋_GB2312"/>
                <w:sz w:val="24"/>
              </w:rPr>
              <w:t>通过本课程的学习，使学生明确高频电子技术的研究对象和常见的应用电路；理解与熟悉高频电路中各单元电路的工作原理；熟悉各单元电路的组成，组件及参数的选择；正确使用实验仪器对单元或组合电路进行测试和检修；树立正确的设计思想和严谨的工作作风，为今后解决生产实际问题以及技术改造工作打好基础。</w:t>
            </w:r>
            <w:bookmarkEnd w:id="27"/>
          </w:p>
        </w:tc>
        <w:tc>
          <w:tcPr>
            <w:tcW w:w="3180" w:type="dxa"/>
            <w:vAlign w:val="center"/>
          </w:tcPr>
          <w:p>
            <w:pPr>
              <w:overflowPunct w:val="0"/>
              <w:adjustRightInd w:val="0"/>
              <w:spacing w:line="360" w:lineRule="exact"/>
              <w:outlineLvl w:val="0"/>
              <w:rPr>
                <w:rFonts w:ascii="仿宋_GB2312" w:hAnsi="仿宋_GB2312" w:eastAsia="仿宋_GB2312" w:cs="仿宋_GB2312"/>
                <w:sz w:val="24"/>
              </w:rPr>
            </w:pPr>
            <w:bookmarkStart w:id="28" w:name="_Toc90675098"/>
            <w:r>
              <w:rPr>
                <w:rFonts w:hint="eastAsia" w:ascii="仿宋_GB2312" w:hAnsi="仿宋_GB2312" w:eastAsia="仿宋_GB2312" w:cs="仿宋_GB2312"/>
                <w:sz w:val="24"/>
              </w:rPr>
              <w:t>1.高频电子技术概论；</w:t>
            </w:r>
            <w:bookmarkEnd w:id="28"/>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2.选频与滤波电路；</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3.高频小信号放大器；</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4.正弦波振荡器；</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5.频率变换与混频电路；</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6.高频功率放大电路；</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7.振幅调制与解调；</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8.角度调制与解调；</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9.数字调制与解调；</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10.频率合成电路。</w:t>
            </w:r>
          </w:p>
        </w:tc>
        <w:tc>
          <w:tcPr>
            <w:tcW w:w="3402" w:type="dxa"/>
          </w:tcPr>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知识掌握‌：学生需掌握高频电子线路的基本概念、原理和分析方法，理解各单元电路的工作原理和性能特点。技能培养‌：通过实验训练，培养学生高频电子线路的实验基本技能和方法，包括常用测试仪器的使用、电路搭建与调试等，提高解决实际问题的能力。素质提升‌：注重培养学生的质量意识、工程理念、团队精神和自我发展能力，树立正确的设计思想和严谨的工作作风，为后续课程学习和职业发展奠定基础。理论与实践结合‌：强调理论联系实际，通过项目导向、理实一体化等教学方式，让学生在完成具体任务的过程中学习高频技术，并发展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770" w:type="dxa"/>
            <w:vAlign w:val="center"/>
          </w:tcPr>
          <w:p>
            <w:pPr>
              <w:overflowPunct w:val="0"/>
              <w:adjustRightInd w:val="0"/>
              <w:spacing w:line="360" w:lineRule="exact"/>
              <w:ind w:firstLine="120" w:firstLineChars="50"/>
              <w:jc w:val="center"/>
              <w:outlineLvl w:val="0"/>
              <w:rPr>
                <w:rFonts w:ascii="仿宋_GB2312" w:hAnsi="仿宋_GB2312" w:eastAsia="仿宋_GB2312" w:cs="仿宋_GB2312"/>
                <w:sz w:val="24"/>
              </w:rPr>
            </w:pPr>
            <w:bookmarkStart w:id="29" w:name="_Toc90675099"/>
            <w:r>
              <w:rPr>
                <w:rFonts w:hint="eastAsia" w:ascii="仿宋_GB2312" w:hAnsi="仿宋_GB2312" w:eastAsia="仿宋_GB2312" w:cs="仿宋_GB2312"/>
                <w:sz w:val="24"/>
              </w:rPr>
              <w:t>3</w:t>
            </w:r>
            <w:bookmarkEnd w:id="29"/>
          </w:p>
        </w:tc>
        <w:tc>
          <w:tcPr>
            <w:tcW w:w="851" w:type="dxa"/>
            <w:vAlign w:val="center"/>
          </w:tcPr>
          <w:p>
            <w:pPr>
              <w:overflowPunct w:val="0"/>
              <w:adjustRightInd w:val="0"/>
              <w:spacing w:line="360" w:lineRule="exact"/>
              <w:jc w:val="center"/>
              <w:outlineLvl w:val="0"/>
              <w:rPr>
                <w:rFonts w:ascii="仿宋_GB2312" w:hAnsi="仿宋_GB2312" w:eastAsia="仿宋_GB2312" w:cs="仿宋_GB2312"/>
                <w:sz w:val="24"/>
              </w:rPr>
            </w:pPr>
            <w:bookmarkStart w:id="30" w:name="_Toc90675100"/>
            <w:r>
              <w:rPr>
                <w:rFonts w:hint="eastAsia" w:ascii="仿宋_GB2312" w:hAnsi="仿宋_GB2312" w:eastAsia="仿宋_GB2312" w:cs="仿宋_GB2312"/>
                <w:sz w:val="24"/>
              </w:rPr>
              <w:t>家电原理</w:t>
            </w:r>
            <w:bookmarkEnd w:id="30"/>
            <w:bookmarkStart w:id="31" w:name="_Toc90675101"/>
            <w:r>
              <w:rPr>
                <w:rFonts w:hint="eastAsia" w:ascii="仿宋_GB2312" w:hAnsi="仿宋_GB2312" w:eastAsia="仿宋_GB2312" w:cs="仿宋_GB2312"/>
                <w:sz w:val="24"/>
              </w:rPr>
              <w:t>及维修</w:t>
            </w:r>
            <w:bookmarkEnd w:id="31"/>
          </w:p>
        </w:tc>
        <w:tc>
          <w:tcPr>
            <w:tcW w:w="2490" w:type="dxa"/>
            <w:vAlign w:val="center"/>
          </w:tcPr>
          <w:p>
            <w:pPr>
              <w:overflowPunct w:val="0"/>
              <w:adjustRightInd w:val="0"/>
              <w:spacing w:line="360" w:lineRule="exact"/>
              <w:outlineLvl w:val="0"/>
              <w:rPr>
                <w:rFonts w:ascii="仿宋_GB2312" w:hAnsi="仿宋_GB2312" w:eastAsia="仿宋_GB2312" w:cs="仿宋_GB2312"/>
                <w:sz w:val="24"/>
              </w:rPr>
            </w:pPr>
            <w:bookmarkStart w:id="32" w:name="_Toc90675102"/>
            <w:r>
              <w:rPr>
                <w:rFonts w:hint="eastAsia" w:ascii="仿宋_GB2312" w:hAnsi="仿宋_GB2312" w:eastAsia="仿宋_GB2312" w:cs="仿宋_GB2312"/>
                <w:sz w:val="24"/>
              </w:rPr>
              <w:t>通过本课程的学习，培养学生谦虚好学的能力，树立学生勤于思考、做事认真的良好作风和良好的职业道德；熟练掌握电热器具的基本原理和维修方法；掌握电动器具的基本原理和维修方法；掌握制冷器具的基本原理和维修方法。</w:t>
            </w:r>
            <w:bookmarkEnd w:id="32"/>
          </w:p>
        </w:tc>
        <w:tc>
          <w:tcPr>
            <w:tcW w:w="3180" w:type="dxa"/>
            <w:vAlign w:val="center"/>
          </w:tcPr>
          <w:p>
            <w:pPr>
              <w:overflowPunct w:val="0"/>
              <w:adjustRightInd w:val="0"/>
              <w:spacing w:line="360" w:lineRule="exact"/>
              <w:outlineLvl w:val="0"/>
              <w:rPr>
                <w:rFonts w:ascii="仿宋_GB2312" w:hAnsi="仿宋_GB2312" w:eastAsia="仿宋_GB2312" w:cs="仿宋_GB2312"/>
                <w:sz w:val="24"/>
              </w:rPr>
            </w:pPr>
            <w:bookmarkStart w:id="33" w:name="_Toc90675103"/>
            <w:r>
              <w:rPr>
                <w:rFonts w:hint="eastAsia" w:ascii="仿宋_GB2312" w:hAnsi="仿宋_GB2312" w:eastAsia="仿宋_GB2312" w:cs="仿宋_GB2312"/>
                <w:sz w:val="24"/>
              </w:rPr>
              <w:t>1.家用电器维修基础知识；</w:t>
            </w:r>
            <w:bookmarkEnd w:id="33"/>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2.常用电热器具基本原理及维修；</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3.厨房电器维修；</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4.吸尘器原理及维修；</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5.洗衣机原理及维修</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6.电风扇原理与维修；</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7.电冰箱原理及维修；</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8.家用空调器原理及维修；</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9.家用照明电器维修。</w:t>
            </w:r>
          </w:p>
        </w:tc>
        <w:tc>
          <w:tcPr>
            <w:tcW w:w="3402" w:type="dxa"/>
          </w:tcPr>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知识掌握‌：学生需掌握常用家用电器的结构特点、工作原理及常见故障的分析和排除方法，了解电热器具、电动器具等大类家用电器的相关知识。技能培养‌：通过大量的实训课题，培养学生的维修技术与操作工艺，使其能够熟练进行家电的拆装、检修等操作。综合素质提升‌：着重培养学生的科学思维方法、分析与解决问题的能力，以及创新精神和实践能力，使其成为高素质技术人才。职业导向‌：课程设计与职业资格考试标准相结合，旨在帮助学生顺利考取“家电维修中级”职业资格证，为未来的职业发展打下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jc w:val="center"/>
        </w:trPr>
        <w:tc>
          <w:tcPr>
            <w:tcW w:w="770" w:type="dxa"/>
            <w:vAlign w:val="center"/>
          </w:tcPr>
          <w:p>
            <w:pPr>
              <w:overflowPunct w:val="0"/>
              <w:adjustRightInd w:val="0"/>
              <w:spacing w:line="360" w:lineRule="exact"/>
              <w:ind w:firstLine="120" w:firstLineChars="50"/>
              <w:jc w:val="center"/>
              <w:outlineLvl w:val="0"/>
              <w:rPr>
                <w:rFonts w:ascii="仿宋_GB2312" w:hAnsi="仿宋_GB2312" w:eastAsia="仿宋_GB2312" w:cs="仿宋_GB2312"/>
                <w:sz w:val="24"/>
              </w:rPr>
            </w:pPr>
            <w:bookmarkStart w:id="34" w:name="_Toc90675104"/>
            <w:r>
              <w:rPr>
                <w:rFonts w:hint="eastAsia" w:ascii="仿宋_GB2312" w:hAnsi="仿宋_GB2312" w:eastAsia="仿宋_GB2312" w:cs="仿宋_GB2312"/>
                <w:sz w:val="24"/>
              </w:rPr>
              <w:t>4</w:t>
            </w:r>
            <w:bookmarkEnd w:id="34"/>
          </w:p>
        </w:tc>
        <w:tc>
          <w:tcPr>
            <w:tcW w:w="851" w:type="dxa"/>
            <w:vAlign w:val="center"/>
          </w:tcPr>
          <w:p>
            <w:pPr>
              <w:overflowPunct w:val="0"/>
              <w:adjustRightInd w:val="0"/>
              <w:spacing w:line="360" w:lineRule="exact"/>
              <w:jc w:val="center"/>
              <w:outlineLvl w:val="0"/>
              <w:rPr>
                <w:rFonts w:ascii="仿宋_GB2312" w:hAnsi="仿宋_GB2312" w:eastAsia="仿宋_GB2312" w:cs="仿宋_GB2312"/>
                <w:sz w:val="24"/>
              </w:rPr>
            </w:pPr>
            <w:bookmarkStart w:id="35" w:name="_Toc90675105"/>
            <w:r>
              <w:rPr>
                <w:rFonts w:hint="eastAsia" w:ascii="仿宋_GB2312" w:hAnsi="仿宋_GB2312" w:eastAsia="仿宋_GB2312" w:cs="仿宋_GB2312"/>
                <w:sz w:val="24"/>
              </w:rPr>
              <w:t>单片机原理与接口技术</w:t>
            </w:r>
            <w:bookmarkEnd w:id="35"/>
          </w:p>
        </w:tc>
        <w:tc>
          <w:tcPr>
            <w:tcW w:w="2490" w:type="dxa"/>
            <w:vAlign w:val="center"/>
          </w:tcPr>
          <w:p>
            <w:pPr>
              <w:overflowPunct w:val="0"/>
              <w:adjustRightInd w:val="0"/>
              <w:spacing w:line="360" w:lineRule="exact"/>
              <w:outlineLvl w:val="0"/>
              <w:rPr>
                <w:rFonts w:ascii="仿宋_GB2312" w:hAnsi="仿宋_GB2312" w:eastAsia="仿宋_GB2312" w:cs="仿宋_GB2312"/>
                <w:sz w:val="24"/>
              </w:rPr>
            </w:pPr>
            <w:bookmarkStart w:id="36" w:name="_Toc90675106"/>
            <w:r>
              <w:rPr>
                <w:rFonts w:hint="eastAsia" w:ascii="仿宋_GB2312" w:hAnsi="仿宋_GB2312" w:eastAsia="仿宋_GB2312" w:cs="仿宋_GB2312"/>
                <w:sz w:val="24"/>
              </w:rPr>
              <w:t>培养学生初步具备应用单片机进行相关设备技术改造、测控应用系统设计以及产品开发的能力，具备在工业实时控制、电子设备、智能家电等方面的单片机应用能力;具备在单片机领域的开发和创新能力;具备单片机系统维护的能力。为学生从事自动化设备的设计、制造、安装、调试、运行维护、设备管理及质量管理等工作岗位打好基础。</w:t>
            </w:r>
            <w:bookmarkEnd w:id="36"/>
          </w:p>
        </w:tc>
        <w:tc>
          <w:tcPr>
            <w:tcW w:w="3180" w:type="dxa"/>
            <w:vAlign w:val="center"/>
          </w:tcPr>
          <w:p>
            <w:pPr>
              <w:overflowPunct w:val="0"/>
              <w:adjustRightInd w:val="0"/>
              <w:spacing w:line="360" w:lineRule="exact"/>
              <w:outlineLvl w:val="0"/>
              <w:rPr>
                <w:rFonts w:ascii="仿宋_GB2312" w:hAnsi="仿宋_GB2312" w:eastAsia="仿宋_GB2312" w:cs="仿宋_GB2312"/>
                <w:sz w:val="24"/>
              </w:rPr>
            </w:pPr>
            <w:bookmarkStart w:id="37" w:name="_Toc90675107"/>
            <w:r>
              <w:rPr>
                <w:rFonts w:hint="eastAsia" w:ascii="仿宋_GB2312" w:hAnsi="仿宋_GB2312" w:eastAsia="仿宋_GB2312" w:cs="仿宋_GB2312"/>
                <w:sz w:val="24"/>
              </w:rPr>
              <w:t>1.单片机的基本原理与参数特性；</w:t>
            </w:r>
            <w:bookmarkEnd w:id="37"/>
          </w:p>
          <w:p>
            <w:pPr>
              <w:overflowPunct w:val="0"/>
              <w:adjustRightInd w:val="0"/>
              <w:spacing w:line="360" w:lineRule="exact"/>
              <w:outlineLvl w:val="0"/>
              <w:rPr>
                <w:rFonts w:ascii="仿宋_GB2312" w:hAnsi="仿宋_GB2312" w:eastAsia="仿宋_GB2312" w:cs="仿宋_GB2312"/>
                <w:sz w:val="24"/>
              </w:rPr>
            </w:pPr>
            <w:bookmarkStart w:id="38" w:name="_Toc90675108"/>
            <w:r>
              <w:rPr>
                <w:rFonts w:hint="eastAsia" w:ascii="仿宋_GB2312" w:hAnsi="仿宋_GB2312" w:eastAsia="仿宋_GB2312" w:cs="仿宋_GB2312"/>
                <w:sz w:val="24"/>
              </w:rPr>
              <w:t>2.I/O输入与输出接口；3.中断系统的工作原理与使用；</w:t>
            </w:r>
            <w:bookmarkEnd w:id="38"/>
          </w:p>
          <w:p>
            <w:pPr>
              <w:overflowPunct w:val="0"/>
              <w:adjustRightInd w:val="0"/>
              <w:spacing w:line="360" w:lineRule="exact"/>
              <w:outlineLvl w:val="0"/>
              <w:rPr>
                <w:rFonts w:ascii="仿宋_GB2312" w:hAnsi="仿宋_GB2312" w:eastAsia="仿宋_GB2312" w:cs="仿宋_GB2312"/>
                <w:sz w:val="24"/>
              </w:rPr>
            </w:pPr>
            <w:bookmarkStart w:id="39" w:name="_Toc90675109"/>
            <w:r>
              <w:rPr>
                <w:rFonts w:hint="eastAsia" w:ascii="仿宋_GB2312" w:hAnsi="仿宋_GB2312" w:eastAsia="仿宋_GB2312" w:cs="仿宋_GB2312"/>
                <w:sz w:val="24"/>
              </w:rPr>
              <w:t>4.定时器系统的工作原理与使用；</w:t>
            </w:r>
            <w:bookmarkEnd w:id="39"/>
          </w:p>
          <w:p>
            <w:pPr>
              <w:overflowPunct w:val="0"/>
              <w:adjustRightInd w:val="0"/>
              <w:spacing w:line="360" w:lineRule="exact"/>
              <w:outlineLvl w:val="0"/>
              <w:rPr>
                <w:rFonts w:ascii="仿宋_GB2312" w:hAnsi="仿宋_GB2312" w:eastAsia="仿宋_GB2312" w:cs="仿宋_GB2312"/>
                <w:sz w:val="24"/>
              </w:rPr>
            </w:pPr>
            <w:bookmarkStart w:id="40" w:name="_Toc90675110"/>
            <w:r>
              <w:rPr>
                <w:rFonts w:hint="eastAsia" w:ascii="仿宋_GB2312" w:hAnsi="仿宋_GB2312" w:eastAsia="仿宋_GB2312" w:cs="仿宋_GB2312"/>
                <w:sz w:val="24"/>
              </w:rPr>
              <w:t>5.串口通信的工作原理与使用；</w:t>
            </w:r>
            <w:bookmarkEnd w:id="40"/>
          </w:p>
          <w:p>
            <w:pPr>
              <w:overflowPunct w:val="0"/>
              <w:adjustRightInd w:val="0"/>
              <w:spacing w:line="360" w:lineRule="exact"/>
              <w:outlineLvl w:val="0"/>
              <w:rPr>
                <w:rFonts w:ascii="仿宋_GB2312" w:hAnsi="仿宋_GB2312" w:eastAsia="仿宋_GB2312" w:cs="仿宋_GB2312"/>
                <w:sz w:val="24"/>
              </w:rPr>
            </w:pPr>
            <w:bookmarkStart w:id="41" w:name="_Toc90675111"/>
            <w:r>
              <w:rPr>
                <w:rFonts w:hint="eastAsia" w:ascii="仿宋_GB2312" w:hAnsi="仿宋_GB2312" w:eastAsia="仿宋_GB2312" w:cs="仿宋_GB2312"/>
                <w:sz w:val="24"/>
              </w:rPr>
              <w:t>6.AD/DA的使用；</w:t>
            </w:r>
            <w:bookmarkEnd w:id="41"/>
          </w:p>
          <w:p>
            <w:pPr>
              <w:overflowPunct w:val="0"/>
              <w:adjustRightInd w:val="0"/>
              <w:spacing w:line="360" w:lineRule="exact"/>
              <w:outlineLvl w:val="0"/>
              <w:rPr>
                <w:rFonts w:ascii="仿宋_GB2312" w:hAnsi="仿宋_GB2312" w:eastAsia="仿宋_GB2312" w:cs="仿宋_GB2312"/>
                <w:sz w:val="24"/>
              </w:rPr>
            </w:pPr>
            <w:bookmarkStart w:id="42" w:name="_Toc90675112"/>
            <w:r>
              <w:rPr>
                <w:rFonts w:hint="eastAsia" w:ascii="仿宋_GB2312" w:hAnsi="仿宋_GB2312" w:eastAsia="仿宋_GB2312" w:cs="仿宋_GB2312"/>
                <w:sz w:val="24"/>
              </w:rPr>
              <w:t>7.单片机应用产品的硬件电路设计、软件程序设计与系统调试。</w:t>
            </w:r>
            <w:bookmarkEnd w:id="42"/>
          </w:p>
        </w:tc>
        <w:tc>
          <w:tcPr>
            <w:tcW w:w="3402" w:type="dxa"/>
          </w:tcPr>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单片机原理与接口技术这门课的教学要求主要包括以下几点：</w:t>
            </w:r>
          </w:p>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知识掌握‌：学生需掌握单片机的基本原理、组成结构、指令系统及编程方法，了解单片机的接口技术和应用实例。</w:t>
            </w:r>
          </w:p>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通过实验教学，培养学生单片机软硬件协同设计的能力，包括单片机应用系统的开发与设计、程序调试、故障分析等技能。</w:t>
            </w:r>
          </w:p>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注重培养学生的工程全局意识、分工协作的团队意识，以及刻苦钻研、求真务实、探索创新的工程素养。采用理论教学与实验教学相结合的方式，让学生在理解理论知识的基础上，通过实际操作加深理解，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770" w:type="dxa"/>
            <w:vAlign w:val="center"/>
          </w:tcPr>
          <w:p>
            <w:pPr>
              <w:overflowPunct w:val="0"/>
              <w:adjustRightInd w:val="0"/>
              <w:spacing w:line="360" w:lineRule="exact"/>
              <w:ind w:firstLine="120" w:firstLineChars="50"/>
              <w:jc w:val="center"/>
              <w:outlineLvl w:val="0"/>
              <w:rPr>
                <w:rFonts w:ascii="仿宋_GB2312" w:hAnsi="仿宋_GB2312" w:eastAsia="仿宋_GB2312" w:cs="仿宋_GB2312"/>
                <w:sz w:val="24"/>
              </w:rPr>
            </w:pPr>
            <w:r>
              <w:rPr>
                <w:rFonts w:hint="eastAsia" w:ascii="仿宋_GB2312" w:hAnsi="仿宋_GB2312" w:eastAsia="仿宋_GB2312" w:cs="仿宋_GB2312"/>
                <w:sz w:val="24"/>
              </w:rPr>
              <w:t>5</w:t>
            </w:r>
          </w:p>
        </w:tc>
        <w:tc>
          <w:tcPr>
            <w:tcW w:w="851" w:type="dxa"/>
            <w:vAlign w:val="center"/>
          </w:tcPr>
          <w:p>
            <w:pPr>
              <w:overflowPunct w:val="0"/>
              <w:adjustRightInd w:val="0"/>
              <w:spacing w:line="360" w:lineRule="exact"/>
              <w:jc w:val="center"/>
              <w:outlineLvl w:val="0"/>
              <w:rPr>
                <w:rFonts w:ascii="仿宋_GB2312" w:hAnsi="仿宋_GB2312" w:eastAsia="仿宋_GB2312" w:cs="仿宋_GB2312"/>
                <w:sz w:val="24"/>
              </w:rPr>
            </w:pPr>
            <w:bookmarkStart w:id="43" w:name="_Toc90675121"/>
            <w:r>
              <w:rPr>
                <w:rFonts w:hint="eastAsia" w:ascii="仿宋_GB2312" w:hAnsi="仿宋_GB2312" w:eastAsia="仿宋_GB2312" w:cs="仿宋_GB2312"/>
                <w:sz w:val="24"/>
              </w:rPr>
              <w:t>EDA技术</w:t>
            </w:r>
            <w:bookmarkEnd w:id="43"/>
          </w:p>
        </w:tc>
        <w:tc>
          <w:tcPr>
            <w:tcW w:w="2490" w:type="dxa"/>
            <w:vAlign w:val="center"/>
          </w:tcPr>
          <w:p>
            <w:pPr>
              <w:overflowPunct w:val="0"/>
              <w:adjustRightInd w:val="0"/>
              <w:spacing w:line="360" w:lineRule="exact"/>
              <w:outlineLvl w:val="0"/>
              <w:rPr>
                <w:rFonts w:ascii="仿宋_GB2312" w:hAnsi="仿宋_GB2312" w:eastAsia="仿宋_GB2312" w:cs="仿宋_GB2312"/>
                <w:sz w:val="24"/>
              </w:rPr>
            </w:pPr>
            <w:bookmarkStart w:id="44" w:name="_Toc90675122"/>
            <w:r>
              <w:rPr>
                <w:rFonts w:hint="eastAsia" w:ascii="仿宋_GB2312" w:hAnsi="仿宋_GB2312" w:eastAsia="仿宋_GB2312" w:cs="仿宋_GB2312"/>
                <w:sz w:val="24"/>
              </w:rPr>
              <w:t>学生通过本课程的学习和实验，初步掌握常用EDA工具的使用方法、FPGA的开发技术以及VHDL语言的编程方法。能比较熟练地使用MAXPLUS等常用EDA软件对FPGA和CPLD作一些简单电路系统的仿真、时序仿真和硬件测试技术，为现代EDA工程技术的进一步学习，ASIC器件设计以及超大规模集成电路设计奠定基础。</w:t>
            </w:r>
            <w:bookmarkEnd w:id="44"/>
          </w:p>
        </w:tc>
        <w:tc>
          <w:tcPr>
            <w:tcW w:w="3180" w:type="dxa"/>
            <w:vAlign w:val="center"/>
          </w:tcPr>
          <w:p>
            <w:pPr>
              <w:overflowPunct w:val="0"/>
              <w:adjustRightInd w:val="0"/>
              <w:spacing w:line="360" w:lineRule="exact"/>
              <w:outlineLvl w:val="0"/>
              <w:rPr>
                <w:rFonts w:ascii="仿宋_GB2312" w:hAnsi="仿宋_GB2312" w:eastAsia="仿宋_GB2312" w:cs="仿宋_GB2312"/>
                <w:sz w:val="24"/>
              </w:rPr>
            </w:pPr>
            <w:bookmarkStart w:id="45" w:name="_Toc90675123"/>
            <w:r>
              <w:rPr>
                <w:rFonts w:hint="eastAsia" w:ascii="仿宋_GB2312" w:hAnsi="仿宋_GB2312" w:eastAsia="仿宋_GB2312" w:cs="仿宋_GB2312"/>
                <w:sz w:val="24"/>
              </w:rPr>
              <w:t>1.EDA技术概述；</w:t>
            </w:r>
            <w:bookmarkEnd w:id="45"/>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2.FPGA于CPLD的结构原理；</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3.Quartusll软件使用；</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4.组合逻辑电路设计；</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5.时序逻辑电路设计；</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6.宏功能模块应用；</w:t>
            </w:r>
          </w:p>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7.VHDL有限状态机设计。</w:t>
            </w:r>
          </w:p>
        </w:tc>
        <w:tc>
          <w:tcPr>
            <w:tcW w:w="3402" w:type="dxa"/>
          </w:tcPr>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知识掌握‌：学生需掌握EDA技术的基本概念、原理和应用，包括可编程逻辑器件、EDA软件开发工具、硬件描述语言等教学内容，了解现代EDA工程技术的应用和发展趋势‌。通过实验和实践，培养学生使用EDA工具进行电路设计、仿真和调试的能力，以及解决实际工程问题的能力‌。注重培养学生的创新思维、工程实践能力和团队协作精神，提高学生的综合素质‌。理论与实践结合‌：强调理论教学与实验教学的结合，使学生在掌握理论知识的同时，通过实践加深理解和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770" w:type="dxa"/>
            <w:vAlign w:val="center"/>
          </w:tcPr>
          <w:p>
            <w:pPr>
              <w:overflowPunct w:val="0"/>
              <w:adjustRightInd w:val="0"/>
              <w:spacing w:line="360" w:lineRule="exact"/>
              <w:ind w:firstLine="120" w:firstLineChars="50"/>
              <w:jc w:val="center"/>
              <w:outlineLvl w:val="0"/>
              <w:rPr>
                <w:rFonts w:ascii="仿宋_GB2312" w:hAnsi="仿宋_GB2312" w:eastAsia="仿宋_GB2312" w:cs="仿宋_GB2312"/>
                <w:sz w:val="24"/>
              </w:rPr>
            </w:pPr>
            <w:r>
              <w:rPr>
                <w:rFonts w:ascii="仿宋_GB2312" w:hAnsi="仿宋_GB2312" w:eastAsia="仿宋_GB2312" w:cs="仿宋_GB2312"/>
                <w:sz w:val="24"/>
              </w:rPr>
              <w:t>6</w:t>
            </w:r>
          </w:p>
        </w:tc>
        <w:tc>
          <w:tcPr>
            <w:tcW w:w="851" w:type="dxa"/>
            <w:vAlign w:val="center"/>
          </w:tcPr>
          <w:p>
            <w:pPr>
              <w:overflowPunct w:val="0"/>
              <w:adjustRightInd w:val="0"/>
              <w:spacing w:line="360" w:lineRule="exact"/>
              <w:jc w:val="center"/>
              <w:outlineLvl w:val="0"/>
              <w:rPr>
                <w:rFonts w:ascii="仿宋_GB2312" w:hAnsi="仿宋_GB2312" w:eastAsia="仿宋_GB2312" w:cs="仿宋_GB2312"/>
                <w:sz w:val="24"/>
              </w:rPr>
            </w:pPr>
            <w:r>
              <w:rPr>
                <w:rFonts w:hint="eastAsia" w:ascii="仿宋_GB2312" w:hAnsi="仿宋_GB2312" w:eastAsia="仿宋_GB2312" w:cs="仿宋_GB2312"/>
                <w:sz w:val="24"/>
              </w:rPr>
              <w:t>Python基础</w:t>
            </w:r>
          </w:p>
        </w:tc>
        <w:tc>
          <w:tcPr>
            <w:tcW w:w="2490" w:type="dxa"/>
            <w:vAlign w:val="center"/>
          </w:tcPr>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掌握Python语言的基本语法和核心概念，包括变量、数据类型、运算符、条件语句、循环语句等，并能够运用它们解决实际问题。熟悉Python的面向对象编程思想，理解类与对象的概念、继承、多态等，并能够编写简单的类和对象。了解Python的常用数据结构与算法，能够运用它们解决复杂问题。学会使用Python进行基本的程序设计和编写较复杂程度的程序，培养编程思维和解决问题的能力。掌握Python的常用内置函数和模块，包括字符串处理、文件操作、列表操作、字典操作等，并能够使用它们解决实际问题。</w:t>
            </w:r>
          </w:p>
        </w:tc>
        <w:tc>
          <w:tcPr>
            <w:tcW w:w="3180" w:type="dxa"/>
            <w:vAlign w:val="center"/>
          </w:tcPr>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Python的基本语法和核心概念，如变量、数据类型、运算符、条件语句、循环语句等。Python的函数与模块，包括函数的定义与调用、参数传递、局部变量与全局变量、模块的导入等。Python面向对象编程，包括类与对象的概念、继承、多态等。Python的异常处理，包括异常的捕获与处理、自定义异常等。Python的常用内置函数和模块，如字符串处理、文件操作、列表操作、字典操作等。</w:t>
            </w:r>
          </w:p>
        </w:tc>
        <w:tc>
          <w:tcPr>
            <w:tcW w:w="3402" w:type="dxa"/>
          </w:tcPr>
          <w:p>
            <w:pPr>
              <w:overflowPunct w:val="0"/>
              <w:adjustRightInd w:val="0"/>
              <w:spacing w:line="360" w:lineRule="exact"/>
              <w:outlineLvl w:val="0"/>
              <w:rPr>
                <w:rFonts w:ascii="仿宋_GB2312" w:hAnsi="仿宋_GB2312" w:eastAsia="仿宋_GB2312" w:cs="仿宋_GB2312"/>
                <w:sz w:val="24"/>
              </w:rPr>
            </w:pPr>
            <w:r>
              <w:rPr>
                <w:rFonts w:hint="eastAsia" w:ascii="仿宋_GB2312" w:hAnsi="仿宋_GB2312" w:eastAsia="仿宋_GB2312" w:cs="仿宋_GB2312"/>
                <w:sz w:val="24"/>
              </w:rPr>
              <w:t>知识掌握‌：学生需掌握Python语言的基础语法、数据类型、控制结构、函数等基本概念，以及面向对象编程的基本思想和方法。技能培养‌：通过实践项目，培养学生运Python解决实际问题的能力，包括编写、调试程序的能力，以及使用Python进行数据分析、Web开发等应用的能力。素质提升‌：培养学生的计算思维能力、创新能力和团队合作精神，通过项目实践，引导学生积极参与讨论，敢于提出问题并解决问题，培养良好的编程习惯和严谨的科学态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770" w:type="dxa"/>
            <w:vAlign w:val="center"/>
          </w:tcPr>
          <w:p>
            <w:pPr>
              <w:overflowPunct w:val="0"/>
              <w:adjustRightInd w:val="0"/>
              <w:spacing w:line="360" w:lineRule="exact"/>
              <w:ind w:firstLine="120" w:firstLineChars="50"/>
              <w:jc w:val="center"/>
              <w:outlineLvl w:val="0"/>
              <w:rPr>
                <w:rFonts w:hint="eastAsia" w:ascii="仿宋_GB2312" w:hAnsi="仿宋_GB2312" w:eastAsia="仿宋_GB2312" w:cs="仿宋_GB2312"/>
                <w:sz w:val="24"/>
              </w:rPr>
            </w:pPr>
            <w:r>
              <w:rPr>
                <w:rFonts w:ascii="仿宋_GB2312" w:hAnsi="仿宋_GB2312" w:eastAsia="仿宋_GB2312" w:cs="仿宋_GB2312"/>
                <w:sz w:val="24"/>
              </w:rPr>
              <w:t>7</w:t>
            </w:r>
          </w:p>
        </w:tc>
        <w:tc>
          <w:tcPr>
            <w:tcW w:w="851" w:type="dxa"/>
            <w:vAlign w:val="center"/>
          </w:tcPr>
          <w:p>
            <w:pPr>
              <w:overflowPunct w:val="0"/>
              <w:adjustRightInd w:val="0"/>
              <w:spacing w:line="360" w:lineRule="exact"/>
              <w:jc w:val="center"/>
              <w:outlineLvl w:val="0"/>
              <w:rPr>
                <w:rFonts w:hint="eastAsia" w:ascii="仿宋_GB2312" w:hAnsi="仿宋_GB2312" w:eastAsia="仿宋_GB2312" w:cs="仿宋_GB2312"/>
                <w:sz w:val="24"/>
              </w:rPr>
            </w:pPr>
            <w:r>
              <w:rPr>
                <w:rFonts w:hint="eastAsia" w:ascii="仿宋_GB2312" w:hAnsi="仿宋_GB2312" w:eastAsia="仿宋_GB2312" w:cs="仿宋_GB2312"/>
                <w:sz w:val="24"/>
              </w:rPr>
              <w:t>电子设计</w:t>
            </w:r>
          </w:p>
        </w:tc>
        <w:tc>
          <w:tcPr>
            <w:tcW w:w="2490" w:type="dxa"/>
            <w:vAlign w:val="center"/>
          </w:tcPr>
          <w:p>
            <w:pPr>
              <w:overflowPunct w:val="0"/>
              <w:adjustRightInd w:val="0"/>
              <w:spacing w:line="360" w:lineRule="exact"/>
              <w:outlineLvl w:val="0"/>
              <w:rPr>
                <w:rFonts w:hint="eastAsia" w:ascii="仿宋_GB2312" w:hAnsi="仿宋_GB2312" w:eastAsia="仿宋_GB2312" w:cs="仿宋_GB2312"/>
                <w:sz w:val="24"/>
              </w:rPr>
            </w:pPr>
            <w:r>
              <w:rPr>
                <w:rFonts w:hint="eastAsia" w:ascii="仿宋_GB2312" w:hAnsi="仿宋_GB2312" w:eastAsia="仿宋_GB2312" w:cs="仿宋_GB2312"/>
                <w:sz w:val="24"/>
              </w:rPr>
              <w:t>培养学生综合运用电路基础、模拟电路、数字电路以及高频电路等课程的知识。使学生掌握电子元器件的识别和选择，电子电路仿真和电路设计软件的使用，电子电路的分析和设计，以及实际应用电路项目的开发和管理等综合能力。通过实践环节，使学生经历从课本上的电路到EDA软件的仿真电路，再到实际电路的实现过程，增强动手能力。</w:t>
            </w:r>
          </w:p>
        </w:tc>
        <w:tc>
          <w:tcPr>
            <w:tcW w:w="3180" w:type="dxa"/>
            <w:vAlign w:val="center"/>
          </w:tcPr>
          <w:p>
            <w:pPr>
              <w:overflowPunct w:val="0"/>
              <w:adjustRightInd w:val="0"/>
              <w:spacing w:line="360" w:lineRule="exact"/>
              <w:outlineLvl w:val="0"/>
              <w:rPr>
                <w:rFonts w:hint="eastAsia" w:ascii="仿宋_GB2312" w:hAnsi="仿宋_GB2312" w:eastAsia="仿宋_GB2312" w:cs="仿宋_GB2312"/>
                <w:sz w:val="24"/>
              </w:rPr>
            </w:pPr>
            <w:r>
              <w:rPr>
                <w:rFonts w:hint="eastAsia" w:ascii="仿宋_GB2312" w:hAnsi="仿宋_GB2312" w:eastAsia="仿宋_GB2312" w:cs="仿宋_GB2312"/>
                <w:sz w:val="24"/>
              </w:rPr>
              <w:t>电子元器件基础知识，包括常用电子元器件的类型、特性以及选择原则。电子测量仪表的使用，如万用表、示波器等基本电子设备的操作和使用方法。电路仿真软件的学习，使学生能够利用软件进行电路设计和分析。印刷电路板的设计与实现，包括电路板的布局、布线以及制作等过程。电子电路系统设计方案提出、论证、设计、元件焊接、系统调试等实践环节，使学生能够独立完成一个电子电路系统的设计和制作。</w:t>
            </w:r>
          </w:p>
        </w:tc>
        <w:tc>
          <w:tcPr>
            <w:tcW w:w="3402" w:type="dxa"/>
          </w:tcPr>
          <w:p>
            <w:pPr>
              <w:overflowPunct w:val="0"/>
              <w:adjustRightInd w:val="0"/>
              <w:spacing w:line="360" w:lineRule="exact"/>
              <w:outlineLvl w:val="0"/>
              <w:rPr>
                <w:rFonts w:hint="eastAsia" w:ascii="仿宋_GB2312" w:hAnsi="仿宋_GB2312" w:eastAsia="仿宋_GB2312" w:cs="仿宋_GB2312"/>
                <w:sz w:val="24"/>
              </w:rPr>
            </w:pPr>
            <w:r>
              <w:rPr>
                <w:rFonts w:hint="eastAsia" w:ascii="仿宋_GB2312" w:hAnsi="仿宋_GB2312" w:eastAsia="仿宋_GB2312" w:cs="仿宋_GB2312"/>
                <w:sz w:val="24"/>
              </w:rPr>
              <w:t>知识掌握‌：学生需掌握电子课程设计的基本概念、原理和方法，了解电子系统的设计流程，熟悉常用的电子设计工具和软件‌技能培养‌：学生能够运用所学知识进行电子系统的设计和实现，具备分析和解决电子设计问题的能力，能够独立完成简单的电子项目‌。培养学生对电子科技的兴趣和热情，提高学生创新意识和团队合作能力，培养学生面对挑战、勇于探索的精神2.教学评估‌：需对学生的学习成果进行有效评估，确保教学目标达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770" w:type="dxa"/>
            <w:vAlign w:val="center"/>
          </w:tcPr>
          <w:p>
            <w:pPr>
              <w:overflowPunct w:val="0"/>
              <w:adjustRightInd w:val="0"/>
              <w:spacing w:line="360" w:lineRule="exact"/>
              <w:ind w:firstLine="120" w:firstLineChars="50"/>
              <w:jc w:val="center"/>
              <w:outlineLvl w:val="0"/>
              <w:rPr>
                <w:rFonts w:hint="eastAsia" w:ascii="仿宋_GB2312" w:hAnsi="仿宋_GB2312" w:eastAsia="仿宋_GB2312" w:cs="仿宋_GB2312"/>
                <w:sz w:val="24"/>
              </w:rPr>
            </w:pPr>
            <w:r>
              <w:rPr>
                <w:rFonts w:ascii="仿宋_GB2312" w:hAnsi="仿宋_GB2312" w:eastAsia="仿宋_GB2312" w:cs="仿宋_GB2312"/>
                <w:sz w:val="24"/>
              </w:rPr>
              <w:t>8</w:t>
            </w:r>
          </w:p>
        </w:tc>
        <w:tc>
          <w:tcPr>
            <w:tcW w:w="851" w:type="dxa"/>
            <w:vAlign w:val="center"/>
          </w:tcPr>
          <w:p>
            <w:pPr>
              <w:overflowPunct w:val="0"/>
              <w:adjustRightInd w:val="0"/>
              <w:spacing w:line="360" w:lineRule="exact"/>
              <w:jc w:val="center"/>
              <w:outlineLvl w:val="0"/>
              <w:rPr>
                <w:rFonts w:hint="eastAsia" w:ascii="仿宋_GB2312" w:hAnsi="仿宋_GB2312" w:eastAsia="仿宋_GB2312" w:cs="仿宋_GB2312"/>
                <w:sz w:val="24"/>
              </w:rPr>
            </w:pPr>
            <w:r>
              <w:rPr>
                <w:rFonts w:hint="eastAsia" w:ascii="仿宋_GB2312" w:hAnsi="仿宋_GB2312" w:eastAsia="仿宋_GB2312" w:cs="仿宋_GB2312"/>
                <w:sz w:val="24"/>
              </w:rPr>
              <w:t>电子CAD</w:t>
            </w:r>
          </w:p>
        </w:tc>
        <w:tc>
          <w:tcPr>
            <w:tcW w:w="2490" w:type="dxa"/>
            <w:vAlign w:val="center"/>
          </w:tcPr>
          <w:p>
            <w:pPr>
              <w:overflowPunct w:val="0"/>
              <w:adjustRightInd w:val="0"/>
              <w:spacing w:line="360" w:lineRule="exact"/>
              <w:outlineLvl w:val="0"/>
              <w:rPr>
                <w:rFonts w:hint="eastAsia" w:ascii="仿宋_GB2312" w:hAnsi="仿宋_GB2312" w:eastAsia="仿宋_GB2312" w:cs="仿宋_GB2312"/>
                <w:sz w:val="24"/>
              </w:rPr>
            </w:pPr>
            <w:r>
              <w:rPr>
                <w:rFonts w:hint="eastAsia" w:ascii="仿宋_GB2312" w:hAnsi="仿宋_GB2312" w:eastAsia="仿宋_GB2312" w:cs="仿宋_GB2312"/>
                <w:sz w:val="24"/>
              </w:rPr>
              <w:t>通过本课程的学习使学生能从事电子CAD绘图员、电路设计技术员、电子产品研发员、PCB设计工程师等岗位的工作，具有电路绘图能力；具有电路原理图的设计能力；具有印制电路板设计和制作能力；同时获得相应的学习能力、应用能力、协作能力和创新能力等。</w:t>
            </w:r>
          </w:p>
        </w:tc>
        <w:tc>
          <w:tcPr>
            <w:tcW w:w="3180" w:type="dxa"/>
            <w:vAlign w:val="center"/>
          </w:tcPr>
          <w:p>
            <w:pPr>
              <w:spacing w:line="360" w:lineRule="exact"/>
              <w:jc w:val="left"/>
              <w:outlineLvl w:val="0"/>
              <w:rPr>
                <w:rFonts w:ascii="仿宋_GB2312" w:hAnsi="仿宋_GB2312" w:eastAsia="仿宋_GB2312" w:cs="仿宋_GB2312"/>
                <w:sz w:val="24"/>
              </w:rPr>
            </w:pPr>
            <w:r>
              <w:rPr>
                <w:rFonts w:hint="eastAsia" w:ascii="仿宋_GB2312" w:hAnsi="仿宋_GB2312" w:eastAsia="仿宋_GB2312" w:cs="仿宋_GB2312"/>
                <w:sz w:val="24"/>
              </w:rPr>
              <w:t>1.Multisim2001软件的开发环境及仪器仪表的使用，电路设计的基本概况。</w:t>
            </w:r>
          </w:p>
          <w:p>
            <w:pPr>
              <w:spacing w:line="360" w:lineRule="exact"/>
              <w:jc w:val="left"/>
              <w:outlineLvl w:val="0"/>
              <w:rPr>
                <w:rFonts w:ascii="仿宋_GB2312" w:hAnsi="仿宋_GB2312" w:eastAsia="仿宋_GB2312" w:cs="仿宋_GB2312"/>
                <w:sz w:val="24"/>
              </w:rPr>
            </w:pPr>
            <w:r>
              <w:rPr>
                <w:rFonts w:hint="eastAsia" w:ascii="仿宋_GB2312" w:hAnsi="仿宋_GB2312" w:eastAsia="仿宋_GB2312" w:cs="仿宋_GB2312"/>
                <w:sz w:val="24"/>
              </w:rPr>
              <w:t>2.Protel软件的开发环境和项目管理形式，电路设计的基本概况。</w:t>
            </w:r>
          </w:p>
          <w:p>
            <w:pPr>
              <w:spacing w:line="360" w:lineRule="exact"/>
              <w:jc w:val="left"/>
              <w:outlineLvl w:val="0"/>
              <w:rPr>
                <w:rFonts w:ascii="仿宋_GB2312" w:hAnsi="仿宋_GB2312" w:eastAsia="仿宋_GB2312" w:cs="仿宋_GB2312"/>
                <w:sz w:val="24"/>
              </w:rPr>
            </w:pPr>
            <w:r>
              <w:rPr>
                <w:rFonts w:hint="eastAsia" w:ascii="仿宋_GB2312" w:hAnsi="仿宋_GB2312" w:eastAsia="仿宋_GB2312" w:cs="仿宋_GB2312"/>
                <w:sz w:val="24"/>
              </w:rPr>
              <w:t>3.绘制原理图的基本步骤；层次原理图的概念；创建原理图元件的方法。</w:t>
            </w:r>
          </w:p>
          <w:p>
            <w:pPr>
              <w:overflowPunct w:val="0"/>
              <w:adjustRightInd w:val="0"/>
              <w:spacing w:line="360" w:lineRule="exact"/>
              <w:outlineLvl w:val="0"/>
              <w:rPr>
                <w:rFonts w:hint="eastAsia" w:ascii="仿宋_GB2312" w:hAnsi="仿宋_GB2312" w:eastAsia="仿宋_GB2312" w:cs="仿宋_GB2312"/>
                <w:sz w:val="24"/>
              </w:rPr>
            </w:pPr>
            <w:r>
              <w:rPr>
                <w:rFonts w:hint="eastAsia" w:ascii="仿宋_GB2312" w:hAnsi="仿宋_GB2312" w:eastAsia="仿宋_GB2312" w:cs="仿宋_GB2312"/>
                <w:sz w:val="24"/>
              </w:rPr>
              <w:t>4.PCB线路图的参数设置；手动、自动布局和布线的方法；创建PCB元件的方法。</w:t>
            </w:r>
          </w:p>
        </w:tc>
        <w:tc>
          <w:tcPr>
            <w:tcW w:w="3402" w:type="dxa"/>
          </w:tcPr>
          <w:p>
            <w:pPr>
              <w:spacing w:line="360" w:lineRule="exact"/>
              <w:jc w:val="left"/>
              <w:outlineLvl w:val="0"/>
              <w:rPr>
                <w:rFonts w:ascii="仿宋_GB2312" w:hAnsi="仿宋_GB2312" w:eastAsia="仿宋_GB2312" w:cs="仿宋_GB2312"/>
                <w:sz w:val="24"/>
              </w:rPr>
            </w:pPr>
            <w:r>
              <w:rPr>
                <w:rFonts w:hint="eastAsia" w:ascii="仿宋_GB2312" w:hAnsi="仿宋_GB2312" w:eastAsia="仿宋_GB2312" w:cs="仿宋_GB2312"/>
                <w:sz w:val="24"/>
              </w:rPr>
              <w:t>知识掌握‌：学生需了解电子CAD的基本概念、发展历程及主要功能，掌握AltiumDesigner等常用软件的操作方法。</w:t>
            </w:r>
          </w:p>
          <w:p>
            <w:pPr>
              <w:spacing w:line="360" w:lineRule="exact"/>
              <w:jc w:val="left"/>
              <w:outlineLvl w:val="0"/>
              <w:rPr>
                <w:rFonts w:ascii="仿宋_GB2312" w:hAnsi="仿宋_GB2312" w:eastAsia="仿宋_GB2312" w:cs="仿宋_GB2312"/>
                <w:sz w:val="24"/>
              </w:rPr>
            </w:pPr>
            <w:r>
              <w:rPr>
                <w:rFonts w:hint="eastAsia" w:ascii="仿宋_GB2312" w:hAnsi="仿宋_GB2312" w:eastAsia="仿宋_GB2312" w:cs="仿宋_GB2312"/>
                <w:sz w:val="24"/>
              </w:rPr>
              <w:t>‌技能培养‌：培养学生运用电子CAD软件进行电子电路设计和绘图的能力，包括电路原理图设计、元器件符号和封装绘制、印制电路板图设计等。</w:t>
            </w:r>
          </w:p>
          <w:p>
            <w:pPr>
              <w:spacing w:line="360" w:lineRule="exact"/>
              <w:jc w:val="left"/>
              <w:outlineLvl w:val="0"/>
              <w:rPr>
                <w:rFonts w:ascii="仿宋_GB2312" w:hAnsi="仿宋_GB2312" w:eastAsia="仿宋_GB2312" w:cs="仿宋_GB2312"/>
                <w:sz w:val="24"/>
              </w:rPr>
            </w:pPr>
            <w:r>
              <w:rPr>
                <w:rFonts w:hint="eastAsia" w:ascii="仿宋_GB2312" w:hAnsi="仿宋_GB2312" w:eastAsia="仿宋_GB2312" w:cs="仿宋_GB2312"/>
                <w:sz w:val="24"/>
              </w:rPr>
              <w:t>‌能力提升‌：通过项目实践，提高学生的分析问题、解决问题能力，培养创新意识和团队协作精神。</w:t>
            </w:r>
          </w:p>
          <w:p>
            <w:pPr>
              <w:spacing w:line="360" w:lineRule="exact"/>
              <w:jc w:val="left"/>
              <w:outlineLvl w:val="0"/>
              <w:rPr>
                <w:rFonts w:ascii="仿宋_GB2312" w:hAnsi="仿宋_GB2312" w:eastAsia="仿宋_GB2312" w:cs="仿宋_GB2312"/>
                <w:sz w:val="24"/>
              </w:rPr>
            </w:pPr>
            <w:r>
              <w:rPr>
                <w:rFonts w:hint="eastAsia" w:ascii="仿宋_GB2312" w:hAnsi="仿宋_GB2312" w:eastAsia="仿宋_GB2312" w:cs="仿宋_GB2312"/>
                <w:sz w:val="24"/>
              </w:rPr>
              <w:t>‌职业素养‌：引导学生了解行业标准与规范，培养良好的职业道德和严谨的工作作风。</w:t>
            </w:r>
          </w:p>
          <w:p>
            <w:pPr>
              <w:overflowPunct w:val="0"/>
              <w:adjustRightInd w:val="0"/>
              <w:spacing w:line="360" w:lineRule="exact"/>
              <w:outlineLvl w:val="0"/>
              <w:rPr>
                <w:rFonts w:hint="eastAsia" w:ascii="仿宋_GB2312" w:hAnsi="仿宋_GB2312" w:eastAsia="仿宋_GB2312" w:cs="仿宋_GB2312"/>
                <w:sz w:val="24"/>
              </w:rPr>
            </w:pPr>
            <w:r>
              <w:rPr>
                <w:rFonts w:hint="eastAsia" w:ascii="仿宋_GB2312" w:hAnsi="仿宋_GB2312" w:eastAsia="仿宋_GB2312" w:cs="仿宋_GB2312"/>
                <w:sz w:val="24"/>
              </w:rPr>
              <w:t>教学方法‌：采用“讲解+演示+实践”的教学模式，利用多媒体教学资源，组织小组讨论和合作实践，确保教学效果‌</w:t>
            </w:r>
          </w:p>
        </w:tc>
      </w:tr>
    </w:tbl>
    <w:p>
      <w:pPr>
        <w:adjustRightInd w:val="0"/>
        <w:snapToGri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3.主要实践性课程：专业认知实训、电工电子实训</w:t>
      </w:r>
      <w:r>
        <w:rPr>
          <w:rFonts w:hint="eastAsia" w:ascii="仿宋_GB2312" w:hAnsi="仿宋_GB2312" w:eastAsia="仿宋_GB2312" w:cs="仿宋_GB2312"/>
          <w:sz w:val="32"/>
          <w:szCs w:val="32"/>
          <w:lang w:eastAsia="zh-CN"/>
        </w:rPr>
        <w:t>、单片机技术实训、电子产品生产与工艺实训、</w:t>
      </w:r>
      <w:r>
        <w:rPr>
          <w:rFonts w:hint="eastAsia" w:ascii="仿宋_GB2312" w:hAnsi="仿宋_GB2312" w:eastAsia="仿宋_GB2312" w:cs="仿宋_GB2312"/>
          <w:sz w:val="32"/>
          <w:szCs w:val="32"/>
        </w:rPr>
        <w:t>毕业设计（论文）、岗位实习。</w:t>
      </w:r>
    </w:p>
    <w:p>
      <w:pPr>
        <w:adjustRightInd w:val="0"/>
        <w:snapToGrid w:val="0"/>
        <w:spacing w:line="52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表5主要实践课程描述表</w:t>
      </w:r>
    </w:p>
    <w:tbl>
      <w:tblPr>
        <w:tblStyle w:val="12"/>
        <w:tblW w:w="106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808"/>
        <w:gridCol w:w="1985"/>
        <w:gridCol w:w="3543"/>
        <w:gridCol w:w="3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8" w:type="dxa"/>
            <w:vAlign w:val="center"/>
          </w:tcPr>
          <w:p>
            <w:pPr>
              <w:spacing w:line="360" w:lineRule="exact"/>
              <w:jc w:val="center"/>
              <w:rPr>
                <w:rFonts w:ascii="仿宋_GB2312" w:hAnsi="仿宋_GB2312" w:eastAsia="仿宋_GB2312" w:cs="仿宋_GB2312"/>
                <w:sz w:val="24"/>
              </w:rPr>
            </w:pPr>
            <w:bookmarkStart w:id="46" w:name="_Toc90734991"/>
            <w:r>
              <w:rPr>
                <w:rFonts w:hint="eastAsia" w:ascii="仿宋_GB2312" w:hAnsi="仿宋_GB2312" w:eastAsia="仿宋_GB2312" w:cs="仿宋_GB2312"/>
                <w:sz w:val="24"/>
              </w:rPr>
              <w:t>序号</w:t>
            </w:r>
          </w:p>
        </w:tc>
        <w:tc>
          <w:tcPr>
            <w:tcW w:w="80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课程名称</w:t>
            </w:r>
          </w:p>
        </w:tc>
        <w:tc>
          <w:tcPr>
            <w:tcW w:w="1985"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课程教学目标</w:t>
            </w:r>
          </w:p>
        </w:tc>
        <w:tc>
          <w:tcPr>
            <w:tcW w:w="3543"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课程教学内容</w:t>
            </w:r>
          </w:p>
        </w:tc>
        <w:tc>
          <w:tcPr>
            <w:tcW w:w="3543"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80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bCs/>
                <w:sz w:val="24"/>
              </w:rPr>
              <w:t>专业认知实训</w:t>
            </w:r>
          </w:p>
        </w:tc>
        <w:tc>
          <w:tcPr>
            <w:tcW w:w="1985" w:type="dxa"/>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通过该课程的实践，使学生对应用电子技术领域有一个全面的认知</w:t>
            </w:r>
          </w:p>
        </w:tc>
        <w:tc>
          <w:tcPr>
            <w:tcW w:w="3543" w:type="dxa"/>
          </w:tcPr>
          <w:p>
            <w:pPr>
              <w:spacing w:line="360" w:lineRule="exact"/>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1.手工焊接基础知识；</w:t>
            </w:r>
          </w:p>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shd w:val="clear" w:color="auto" w:fill="FFFFFF"/>
              </w:rPr>
              <w:t>2.电子产品安装工艺的基本流程；</w:t>
            </w:r>
          </w:p>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shd w:val="clear" w:color="auto" w:fill="FFFFFF"/>
              </w:rPr>
              <w:t>3.印刷电路板设计步骤和方法；</w:t>
            </w:r>
          </w:p>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shd w:val="clear" w:color="auto" w:fill="FFFFFF"/>
              </w:rPr>
              <w:t>4.常用电子器件的认识</w:t>
            </w:r>
          </w:p>
        </w:tc>
        <w:tc>
          <w:tcPr>
            <w:tcW w:w="3543" w:type="dxa"/>
          </w:tcPr>
          <w:p>
            <w:pPr>
              <w:spacing w:line="360" w:lineRule="exact"/>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旨在使学生深入了解专业领域，增进理论与实践的联系，为学习专业课做准备，并检查和锻炼学生的实际应用能力。</w:t>
            </w:r>
          </w:p>
          <w:p>
            <w:pPr>
              <w:spacing w:line="360" w:lineRule="exact"/>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‌实习方式与程序‌：通常采用分散实习方式，学生需自行联系实习单位，并在实习过程中与校内指导教师保持联系。</w:t>
            </w:r>
          </w:p>
          <w:p>
            <w:pPr>
              <w:spacing w:line="360" w:lineRule="exact"/>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‌时间安排‌：实习时间一般为1周，具体安排可能因学校或专业而异。</w:t>
            </w:r>
          </w:p>
          <w:p>
            <w:pPr>
              <w:spacing w:line="360" w:lineRule="exact"/>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‌考核要求‌：实习结束后，学生需要提交多份材料，包括实习报告等，以评定实习成绩。</w:t>
            </w:r>
          </w:p>
          <w:p>
            <w:pPr>
              <w:spacing w:line="360" w:lineRule="exact"/>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‌实习成绩评定‌：根据实习单位鉴定、实习表现等综合评定，实行百分制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2</w:t>
            </w:r>
          </w:p>
        </w:tc>
        <w:tc>
          <w:tcPr>
            <w:tcW w:w="80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bCs/>
                <w:sz w:val="24"/>
              </w:rPr>
              <w:t>电工电子实训</w:t>
            </w:r>
          </w:p>
        </w:tc>
        <w:tc>
          <w:tcPr>
            <w:tcW w:w="1985" w:type="dxa"/>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通过本课程的学习，使学生能正确处理一般电气设备安全用电事故，回正确识别和选用常用电气元件，初步掌握电工电子操作的一般技术。培养学生理论联系实际的能力，提高分析问题和解决问题的能力，增强独立工作能力,培养学生团结合作能力。</w:t>
            </w:r>
          </w:p>
        </w:tc>
        <w:tc>
          <w:tcPr>
            <w:tcW w:w="3543" w:type="dxa"/>
          </w:tcPr>
          <w:p>
            <w:pPr>
              <w:pStyle w:val="18"/>
              <w:spacing w:line="360" w:lineRule="exact"/>
              <w:ind w:firstLine="0" w:firstLineChars="0"/>
              <w:rPr>
                <w:rFonts w:ascii="仿宋_GB2312" w:hAnsi="仿宋_GB2312" w:cs="仿宋_GB2312"/>
                <w:kern w:val="0"/>
                <w:sz w:val="24"/>
                <w:szCs w:val="24"/>
              </w:rPr>
            </w:pPr>
            <w:r>
              <w:rPr>
                <w:rFonts w:hint="eastAsia" w:ascii="仿宋_GB2312" w:hAnsi="仿宋_GB2312" w:cs="仿宋_GB2312"/>
                <w:kern w:val="0"/>
                <w:sz w:val="24"/>
                <w:szCs w:val="24"/>
              </w:rPr>
              <w:t>1.电气安全与保护；</w:t>
            </w:r>
          </w:p>
          <w:p>
            <w:pPr>
              <w:pStyle w:val="18"/>
              <w:spacing w:line="360" w:lineRule="exact"/>
              <w:ind w:firstLine="0" w:firstLineChars="0"/>
              <w:rPr>
                <w:rFonts w:ascii="仿宋_GB2312" w:hAnsi="仿宋_GB2312" w:cs="仿宋_GB2312"/>
                <w:sz w:val="24"/>
                <w:szCs w:val="24"/>
              </w:rPr>
            </w:pPr>
            <w:r>
              <w:rPr>
                <w:rFonts w:hint="eastAsia" w:ascii="仿宋_GB2312" w:hAnsi="仿宋_GB2312" w:cs="仿宋_GB2312"/>
                <w:sz w:val="24"/>
                <w:szCs w:val="24"/>
              </w:rPr>
              <w:t>2.常用工具及仪器仪表的使用；</w:t>
            </w:r>
          </w:p>
          <w:p>
            <w:pPr>
              <w:pStyle w:val="18"/>
              <w:spacing w:line="360" w:lineRule="exact"/>
              <w:ind w:firstLine="0" w:firstLineChars="0"/>
              <w:rPr>
                <w:rFonts w:ascii="仿宋_GB2312" w:hAnsi="仿宋_GB2312" w:cs="仿宋_GB2312"/>
                <w:sz w:val="24"/>
                <w:szCs w:val="24"/>
              </w:rPr>
            </w:pPr>
            <w:r>
              <w:rPr>
                <w:rFonts w:hint="eastAsia" w:ascii="仿宋_GB2312" w:hAnsi="仿宋_GB2312" w:cs="仿宋_GB2312"/>
                <w:sz w:val="24"/>
                <w:szCs w:val="24"/>
              </w:rPr>
              <w:t>3.常用电子元器件的认识与检测；</w:t>
            </w:r>
          </w:p>
          <w:p>
            <w:pPr>
              <w:pStyle w:val="18"/>
              <w:spacing w:line="360" w:lineRule="exact"/>
              <w:ind w:firstLine="0" w:firstLineChars="0"/>
              <w:rPr>
                <w:rFonts w:ascii="仿宋_GB2312" w:hAnsi="仿宋_GB2312" w:cs="仿宋_GB2312"/>
                <w:sz w:val="24"/>
                <w:szCs w:val="24"/>
              </w:rPr>
            </w:pPr>
            <w:r>
              <w:rPr>
                <w:rFonts w:hint="eastAsia" w:ascii="仿宋_GB2312" w:hAnsi="仿宋_GB2312" w:cs="仿宋_GB2312"/>
                <w:sz w:val="24"/>
                <w:szCs w:val="24"/>
              </w:rPr>
              <w:t>4.电工电子产品装配及调试；</w:t>
            </w:r>
          </w:p>
          <w:p>
            <w:pPr>
              <w:pStyle w:val="18"/>
              <w:spacing w:line="360" w:lineRule="exact"/>
              <w:ind w:firstLine="0" w:firstLineChars="0"/>
              <w:rPr>
                <w:rFonts w:ascii="仿宋_GB2312" w:hAnsi="仿宋_GB2312" w:cs="仿宋_GB2312"/>
                <w:sz w:val="24"/>
                <w:szCs w:val="24"/>
              </w:rPr>
            </w:pPr>
            <w:r>
              <w:rPr>
                <w:rFonts w:hint="eastAsia" w:ascii="仿宋_GB2312" w:hAnsi="仿宋_GB2312" w:cs="仿宋_GB2312"/>
                <w:sz w:val="24"/>
                <w:szCs w:val="24"/>
              </w:rPr>
              <w:t>5.Protel入门与电路设计。</w:t>
            </w:r>
          </w:p>
        </w:tc>
        <w:tc>
          <w:tcPr>
            <w:tcW w:w="3543" w:type="dxa"/>
          </w:tcPr>
          <w:p>
            <w:pPr>
              <w:pStyle w:val="18"/>
              <w:spacing w:line="360" w:lineRule="exact"/>
              <w:ind w:firstLine="0" w:firstLineChars="0"/>
              <w:rPr>
                <w:rFonts w:ascii="仿宋_GB2312" w:hAnsi="仿宋_GB2312" w:cs="仿宋_GB2312"/>
                <w:kern w:val="0"/>
                <w:sz w:val="24"/>
                <w:szCs w:val="24"/>
              </w:rPr>
            </w:pPr>
            <w:r>
              <w:rPr>
                <w:rFonts w:hint="eastAsia" w:ascii="仿宋_GB2312" w:hAnsi="仿宋_GB2312" w:cs="仿宋_GB2312"/>
                <w:kern w:val="0"/>
                <w:sz w:val="24"/>
                <w:szCs w:val="24"/>
              </w:rPr>
              <w:t>安全操作‌：实训过程中必须严格遵守安全操作规程，确保人身安全和设备安全。理论知识掌握‌：学生需具备一定的电工电子理论知识，包括电路基本原理、电器设备的工作原理等。实践操作技能‌：掌握基本的电工电子操作技能，如焊接、布线、设备调试等，通过实践训练提高操作水平。团队协作与沟通‌：学会与团队成员有效沟通，协同完成任务。实训报告与总结‌：实训结束后需撰写实训报告，总结经验教训。综合素质提升‌：培养创新思维、工程实践能力和职业道德，为后续课程及职业发展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3</w:t>
            </w:r>
          </w:p>
        </w:tc>
        <w:tc>
          <w:tcPr>
            <w:tcW w:w="80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bCs/>
                <w:sz w:val="24"/>
              </w:rPr>
              <w:t>单片机技术实训</w:t>
            </w:r>
          </w:p>
        </w:tc>
        <w:tc>
          <w:tcPr>
            <w:tcW w:w="1985" w:type="dxa"/>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通过本课程学习使学生了解复杂电子产品生产制造的全过程，能运用51单片机进行简单的单片机应用系统的硬件，掌握单片机应用系统的硬件、软件调试方法。</w:t>
            </w:r>
          </w:p>
        </w:tc>
        <w:tc>
          <w:tcPr>
            <w:tcW w:w="3543" w:type="dxa"/>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w:t>
            </w:r>
            <w:r>
              <w:rPr>
                <w:rFonts w:hint="eastAsia" w:ascii="仿宋_GB2312" w:hAnsi="仿宋_GB2312" w:eastAsia="仿宋_GB2312" w:cs="仿宋_GB2312"/>
                <w:sz w:val="24"/>
              </w:rPr>
              <w:t>LED</w:t>
            </w:r>
            <w:r>
              <w:rPr>
                <w:rFonts w:hint="eastAsia" w:ascii="仿宋_GB2312" w:hAnsi="仿宋_GB2312" w:eastAsia="仿宋_GB2312" w:cs="仿宋_GB2312"/>
                <w:kern w:val="0"/>
                <w:sz w:val="24"/>
              </w:rPr>
              <w:t>闪烁灯设计；</w:t>
            </w:r>
          </w:p>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2.广告灯左右移设计；</w:t>
            </w:r>
          </w:p>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3.单键识别设计；</w:t>
            </w:r>
          </w:p>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4.动态数码显示设计；</w:t>
            </w:r>
          </w:p>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5.智能电子钟设计</w:t>
            </w:r>
          </w:p>
        </w:tc>
        <w:tc>
          <w:tcPr>
            <w:tcW w:w="3543" w:type="dxa"/>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知识掌握‌：学生需掌握单片机应用系统的设计方法和实现能力，包括中断技术、定时器技术、LCD显示技术、串口通信技术、温度传感器的使用及串行总线扩展技术等。实践能力‌：通过基于单片机的温度检测系统的设计与实现，培养学生综合运用单片机技术解决实际问题的实践能力。</w:t>
            </w:r>
          </w:p>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创新精神‌：激发学生的创新精神，鼓励学生在实践中勇于探索，提高解决问题的能力。职业素养‌：培养学生的职业道德、工作态度和团队合作精神，为未来的职业发展奠定基础。考核要求‌：课程考核由课堂表现、实验报告和项目测试等部分组成，全面评估学生的学习成果和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4</w:t>
            </w:r>
          </w:p>
        </w:tc>
        <w:tc>
          <w:tcPr>
            <w:tcW w:w="808" w:type="dxa"/>
            <w:vAlign w:val="center"/>
          </w:tcPr>
          <w:p>
            <w:pPr>
              <w:spacing w:line="360" w:lineRule="exact"/>
              <w:jc w:val="center"/>
              <w:rPr>
                <w:rFonts w:ascii="仿宋_GB2312" w:hAnsi="仿宋_GB2312" w:eastAsia="仿宋_GB2312" w:cs="仿宋_GB2312"/>
                <w:bCs/>
                <w:sz w:val="24"/>
              </w:rPr>
            </w:pPr>
            <w:r>
              <w:rPr>
                <w:rFonts w:hint="eastAsia" w:ascii="仿宋_GB2312" w:hAnsi="仿宋_GB2312" w:eastAsia="仿宋_GB2312" w:cs="仿宋_GB2312"/>
                <w:bCs/>
                <w:sz w:val="24"/>
              </w:rPr>
              <w:t>电子产品生产与工艺实训</w:t>
            </w:r>
          </w:p>
        </w:tc>
        <w:tc>
          <w:tcPr>
            <w:tcW w:w="1985" w:type="dxa"/>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通过本课程的学习，使学生了解常用电子器件、原材料和工具的基本性能和使用，学会选用元器件；掌握电子产品生产的工艺技术、主要设备的工作原理及基本应用操作；掌握电子企业用的手工焊接、浸焊、回流焊接等关键工艺的基本知识和基本操作，会组装电子产品。</w:t>
            </w:r>
          </w:p>
        </w:tc>
        <w:tc>
          <w:tcPr>
            <w:tcW w:w="3543" w:type="dxa"/>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1.电子元件的识别与检测；</w:t>
            </w:r>
          </w:p>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2.电子器件的识别与检测；</w:t>
            </w:r>
          </w:p>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3.集成电路的分类、应用于检测；</w:t>
            </w:r>
          </w:p>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4.学习电子企业的工艺管理内容与方法，会编制生产工艺文件。</w:t>
            </w:r>
          </w:p>
        </w:tc>
        <w:tc>
          <w:tcPr>
            <w:tcW w:w="3543" w:type="dxa"/>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知识掌握‌：学生需了解电子设备的生产、结构、布局等工艺，掌握电子产品生产工艺的科学方法，以及常用电子元器件和仪器的特性与使用方法。技能培养‌：通过实训，学生应学会电路原理图分析、元器件布局与装配、手工焊接技术、电路调试与测试等技能，能够独立完成电子产品的制作与调试。安全意识‌：强调实验室安全与规范，学生需掌握电气安全和消防安全知识，严格遵守实验室规章制度，确保实训过程的安全。综合素质‌：培养学生的团队合作精神、创新思维和解决问题的能力，为后续课程的学习和职业发展奠定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5</w:t>
            </w:r>
          </w:p>
        </w:tc>
        <w:tc>
          <w:tcPr>
            <w:tcW w:w="80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bCs/>
                <w:sz w:val="24"/>
              </w:rPr>
              <w:t>毕业设计（论文）</w:t>
            </w:r>
          </w:p>
        </w:tc>
        <w:tc>
          <w:tcPr>
            <w:tcW w:w="1985" w:type="dxa"/>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通过撰写毕业论文，培养学生对工作认真负责、一丝不苟、团结协作、潜心思考和实事求是的科学态度；学会资料收集、资料分析、根据课题要求构思方案、选择最佳方案、运用相关知识进行细部设计、撰写文档等，培养学生的综合能力，包括知识运用、实验测试、书面和口头文字表达等能力。</w:t>
            </w:r>
          </w:p>
        </w:tc>
        <w:tc>
          <w:tcPr>
            <w:tcW w:w="3543" w:type="dxa"/>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学生选择教师给定题目或学生自选题。</w:t>
            </w:r>
          </w:p>
        </w:tc>
        <w:tc>
          <w:tcPr>
            <w:tcW w:w="3543" w:type="dxa"/>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知识掌握‌：要求学生掌握所学专业的核心理论和技术，能够综合运用所学知识解决实际问题。实践能力‌：强调实践操作能力，包括实验设计、数据分析、系统调试等，以提升学生的动手能力和解决实际问题的能力。创新能力‌：鼓励学生发挥创新思维，提出新颖的设计方案或研究思路，培养学生的科研能力和创新意识。</w:t>
            </w:r>
          </w:p>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论文写作‌：要求学生撰写规范的毕业论文，包括选题、文献综述、研究方法、实验过程、结果分析、结论等部分，以锻炼学生的论文写作能力。答辩环节‌：毕业设计完成后需进行答辩，以检验学生的研究成果和表达能力，同时促进学生之间的交流和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6</w:t>
            </w:r>
          </w:p>
        </w:tc>
        <w:tc>
          <w:tcPr>
            <w:tcW w:w="808" w:type="dxa"/>
            <w:vAlign w:val="center"/>
          </w:tcPr>
          <w:p>
            <w:pPr>
              <w:spacing w:line="360" w:lineRule="exact"/>
              <w:jc w:val="center"/>
              <w:rPr>
                <w:rFonts w:ascii="仿宋_GB2312" w:hAnsi="仿宋_GB2312" w:eastAsia="仿宋_GB2312" w:cs="仿宋_GB2312"/>
                <w:bCs/>
                <w:sz w:val="24"/>
              </w:rPr>
            </w:pPr>
            <w:r>
              <w:rPr>
                <w:rFonts w:hint="eastAsia" w:ascii="仿宋_GB2312" w:hAnsi="仿宋_GB2312" w:eastAsia="仿宋_GB2312" w:cs="仿宋_GB2312"/>
                <w:bCs/>
                <w:sz w:val="24"/>
              </w:rPr>
              <w:t>毕业岗位实习</w:t>
            </w:r>
          </w:p>
        </w:tc>
        <w:tc>
          <w:tcPr>
            <w:tcW w:w="1985" w:type="dxa"/>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通过进入企业岗位实习，熟悉企业文化，了解企业各种规范与制度，了解一线生产企业的生产管理流程，熟悉常见生产工艺，培养岗位工作能力，将学校的理论知识与实践现场结合起来，为学生顺利就业做好充分准备。</w:t>
            </w:r>
          </w:p>
        </w:tc>
        <w:tc>
          <w:tcPr>
            <w:tcW w:w="3543" w:type="dxa"/>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学生根据自己的职业规划和具体情况，可以选择生产技术、维修技术、材料供应与检测、产品测试等岗位，参与企业的相关岗位的具体工作，查缺补漏，强化和完善自己的知识体系。</w:t>
            </w:r>
          </w:p>
        </w:tc>
        <w:tc>
          <w:tcPr>
            <w:tcW w:w="3543" w:type="dxa"/>
          </w:tcPr>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知识掌握‌：要求学生将所学专业知识与实习岗位实际工作相结合，深化对专业知识的理解。</w:t>
            </w:r>
          </w:p>
          <w:p>
            <w:pPr>
              <w:spacing w:line="360" w:lineRule="exact"/>
              <w:jc w:val="left"/>
              <w:rPr>
                <w:rFonts w:ascii="仿宋_GB2312" w:hAnsi="仿宋_GB2312" w:eastAsia="仿宋_GB2312" w:cs="仿宋_GB2312"/>
                <w:sz w:val="24"/>
              </w:rPr>
            </w:pPr>
            <w:r>
              <w:rPr>
                <w:rFonts w:hint="eastAsia" w:ascii="仿宋_GB2312" w:hAnsi="仿宋_GB2312" w:eastAsia="仿宋_GB2312" w:cs="仿宋_GB2312"/>
                <w:sz w:val="24"/>
              </w:rPr>
              <w:t>实践能力‌：通过实习，培养学生的实际操作能力、问题解决能力和团队协作能力，使其能够胜任实习岗位的工作。职业素养‌：强调职业道德、工作态度和责任心的培养，使学生具备良好的职业素养，为未来的职业发展奠定基础。实习报告‌：要求学生撰写实习报告，总结实习经历、收获和反思，以检验实习成果并提升书面表达能力。考核与评价‌：通过实习单位评价、指导教师考核和学生自评等多种方式，全面评估学生的实习表现，确保实习教学质量</w:t>
            </w:r>
          </w:p>
        </w:tc>
      </w:tr>
    </w:tbl>
    <w:p>
      <w:pPr>
        <w:adjustRightInd w:val="0"/>
        <w:snapToGri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4.专业拓展课程：</w:t>
      </w:r>
      <w:bookmarkEnd w:id="46"/>
    </w:p>
    <w:p>
      <w:pPr>
        <w:adjustRightInd w:val="0"/>
        <w:snapToGri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专业拓展课程是按照岗位迁移，根据电子产品辅助设计、电子产品安装调试、电子产品生产工艺管理、电子产品检测与质量管理、电子产品生产设备操作与维护、电子产品售后服务、电子产品应用技术服务等</w:t>
      </w:r>
      <w:r>
        <w:rPr>
          <w:rFonts w:hint="eastAsia" w:ascii="仿宋" w:hAnsi="仿宋" w:eastAsia="仿宋" w:cs="仿宋"/>
          <w:spacing w:val="-2"/>
          <w:sz w:val="32"/>
          <w:szCs w:val="32"/>
        </w:rPr>
        <w:t>行业</w:t>
      </w:r>
      <w:r>
        <w:rPr>
          <w:rFonts w:hint="eastAsia" w:ascii="仿宋_GB2312" w:hAnsi="仿宋_GB2312" w:eastAsia="仿宋_GB2312" w:cs="仿宋_GB2312"/>
          <w:sz w:val="32"/>
          <w:szCs w:val="32"/>
        </w:rPr>
        <w:t>发展的趋势，依据企业用人需求调研，企业对计算机、通信和其他电子设备制造业的电子设备装配调试人员、电子专用设备装配调试人员、电子工程技术人员等方面日益增加的需求，建立了</w:t>
      </w:r>
      <w:r>
        <w:rPr>
          <w:rFonts w:hint="eastAsia" w:ascii="仿宋" w:hAnsi="仿宋" w:eastAsia="仿宋" w:cs="仿宋"/>
          <w:spacing w:val="-2"/>
          <w:sz w:val="32"/>
          <w:szCs w:val="32"/>
        </w:rPr>
        <w:t>应用电子技术</w:t>
      </w:r>
      <w:r>
        <w:rPr>
          <w:rFonts w:hint="eastAsia" w:ascii="仿宋_GB2312" w:hAnsi="仿宋_GB2312" w:eastAsia="仿宋_GB2312" w:cs="仿宋_GB2312"/>
          <w:sz w:val="32"/>
          <w:szCs w:val="32"/>
        </w:rPr>
        <w:t>专业拓展课，并将辅修方向课程纳入其中。由</w:t>
      </w:r>
      <w:bookmarkStart w:id="47" w:name="_Hlk177634608"/>
      <w:r>
        <w:rPr>
          <w:rFonts w:hint="eastAsia" w:ascii="仿宋_GB2312" w:hAnsi="仿宋_GB2312" w:eastAsia="仿宋_GB2312" w:cs="仿宋_GB2312"/>
          <w:sz w:val="32"/>
          <w:szCs w:val="32"/>
        </w:rPr>
        <w:t>计算机网络安全基础、物联网概论、数字信号处理、现代通信技术</w:t>
      </w:r>
      <w:bookmarkEnd w:id="47"/>
      <w:r>
        <w:rPr>
          <w:rFonts w:hint="eastAsia" w:ascii="仿宋_GB2312" w:hAnsi="仿宋_GB2312" w:eastAsia="仿宋_GB2312" w:cs="仿宋_GB2312"/>
          <w:sz w:val="32"/>
          <w:szCs w:val="32"/>
        </w:rPr>
        <w:t>等课程构成专业拓展课。</w:t>
      </w:r>
    </w:p>
    <w:p>
      <w:pPr>
        <w:adjustRightInd w:val="0"/>
        <w:snapToGrid w:val="0"/>
        <w:spacing w:line="520" w:lineRule="exact"/>
        <w:ind w:firstLine="3200" w:firstLineChars="1000"/>
        <w:rPr>
          <w:rFonts w:ascii="仿宋_GB2312" w:hAnsi="仿宋_GB2312" w:eastAsia="仿宋_GB2312" w:cs="仿宋_GB2312"/>
          <w:sz w:val="32"/>
          <w:szCs w:val="32"/>
        </w:rPr>
      </w:pPr>
      <w:r>
        <w:rPr>
          <w:rFonts w:hint="eastAsia" w:ascii="仿宋_GB2312" w:hAnsi="仿宋_GB2312" w:eastAsia="仿宋_GB2312" w:cs="仿宋_GB2312"/>
          <w:sz w:val="32"/>
          <w:szCs w:val="32"/>
        </w:rPr>
        <w:t>表6专业拓展课程描述表</w:t>
      </w:r>
    </w:p>
    <w:tbl>
      <w:tblPr>
        <w:tblStyle w:val="12"/>
        <w:tblW w:w="10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1"/>
        <w:gridCol w:w="852"/>
        <w:gridCol w:w="2835"/>
        <w:gridCol w:w="3118"/>
        <w:gridCol w:w="2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1"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序号</w:t>
            </w:r>
          </w:p>
        </w:tc>
        <w:tc>
          <w:tcPr>
            <w:tcW w:w="852"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课程名称</w:t>
            </w:r>
          </w:p>
        </w:tc>
        <w:tc>
          <w:tcPr>
            <w:tcW w:w="2835"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课程教学目标</w:t>
            </w:r>
          </w:p>
        </w:tc>
        <w:tc>
          <w:tcPr>
            <w:tcW w:w="3118"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课程教学内容</w:t>
            </w:r>
          </w:p>
        </w:tc>
        <w:tc>
          <w:tcPr>
            <w:tcW w:w="2904"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5" w:hRule="atLeast"/>
          <w:jc w:val="center"/>
        </w:trPr>
        <w:tc>
          <w:tcPr>
            <w:tcW w:w="551"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1</w:t>
            </w:r>
          </w:p>
        </w:tc>
        <w:tc>
          <w:tcPr>
            <w:tcW w:w="852"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计算机网络安全基础</w:t>
            </w:r>
          </w:p>
        </w:tc>
        <w:tc>
          <w:tcPr>
            <w:tcW w:w="2835" w:type="dxa"/>
          </w:tcPr>
          <w:p>
            <w:pPr>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通过本课程的学习，使学生能够了解计算机网络和网络安全的基本概念，理解并掌握网络安全的原理和方法，熟悉网络安全的标准和协议，以及了解网络安全技术的发展趋势和前沿动态。培养学生具备网络安全管理、安全策略制定、安全风险评估、安全事件处置等方面的实践能力。态度目标：培养学生的网络安全意识，使他们能够认识到网络安全的重要性，自觉遵守网络安全法规，养成良好的网络安全习惯。同时，也注重培养学生的团队协作精神、创新思维和批判性思维，以适应不断变化的网络安全环境。</w:t>
            </w:r>
          </w:p>
        </w:tc>
        <w:tc>
          <w:tcPr>
            <w:tcW w:w="3118" w:type="dxa"/>
          </w:tcPr>
          <w:p>
            <w:pPr>
              <w:widowControl/>
              <w:spacing w:line="360" w:lineRule="exact"/>
              <w:rPr>
                <w:rStyle w:val="15"/>
                <w:rFonts w:ascii="仿宋_GB2312" w:hAnsi="仿宋_GB2312" w:eastAsia="仿宋_GB2312" w:cs="仿宋_GB2312"/>
                <w:b w:val="0"/>
                <w:color w:val="000000" w:themeColor="text1"/>
                <w:sz w:val="24"/>
                <w14:textFill>
                  <w14:solidFill>
                    <w14:schemeClr w14:val="tx1"/>
                  </w14:solidFill>
                </w14:textFill>
              </w:rPr>
            </w:pPr>
            <w:r>
              <w:rPr>
                <w:rStyle w:val="15"/>
                <w:rFonts w:hint="eastAsia" w:ascii="仿宋_GB2312" w:hAnsi="仿宋_GB2312" w:eastAsia="仿宋_GB2312" w:cs="仿宋_GB2312"/>
                <w:b w:val="0"/>
                <w:color w:val="000000" w:themeColor="text1"/>
                <w:sz w:val="24"/>
                <w14:textFill>
                  <w14:solidFill>
                    <w14:schemeClr w14:val="tx1"/>
                  </w14:solidFill>
                </w14:textFill>
              </w:rPr>
              <w:t>网络安全概述：介绍网络安全的基本概念、定义、重要性以及面临的挑战。同时，还会涉及网络安全的基本原则和方法，以及网络安全的发展趋势和前沿动态。</w:t>
            </w:r>
          </w:p>
          <w:p>
            <w:pPr>
              <w:widowControl/>
              <w:spacing w:line="360" w:lineRule="exact"/>
              <w:rPr>
                <w:rStyle w:val="15"/>
                <w:rFonts w:ascii="仿宋_GB2312" w:hAnsi="仿宋_GB2312" w:eastAsia="仿宋_GB2312" w:cs="仿宋_GB2312"/>
                <w:b w:val="0"/>
                <w:color w:val="000000" w:themeColor="text1"/>
                <w:sz w:val="24"/>
                <w14:textFill>
                  <w14:solidFill>
                    <w14:schemeClr w14:val="tx1"/>
                  </w14:solidFill>
                </w14:textFill>
              </w:rPr>
            </w:pPr>
            <w:r>
              <w:rPr>
                <w:rStyle w:val="15"/>
                <w:rFonts w:hint="eastAsia" w:ascii="仿宋_GB2312" w:hAnsi="仿宋_GB2312" w:eastAsia="仿宋_GB2312" w:cs="仿宋_GB2312"/>
                <w:b w:val="0"/>
                <w:color w:val="000000" w:themeColor="text1"/>
                <w:sz w:val="24"/>
                <w14:textFill>
                  <w14:solidFill>
                    <w14:schemeClr w14:val="tx1"/>
                  </w14:solidFill>
                </w14:textFill>
              </w:rPr>
              <w:t>网络安全威胁与攻击技术：详细讲解网络攻击的分类和特点，以及常见的网络安全威胁和攻击技术，如SQL注入、跨站脚本攻击（XSS）等。</w:t>
            </w:r>
          </w:p>
          <w:p>
            <w:pPr>
              <w:widowControl/>
              <w:spacing w:line="360" w:lineRule="exact"/>
              <w:rPr>
                <w:rStyle w:val="15"/>
                <w:rFonts w:ascii="仿宋_GB2312" w:hAnsi="仿宋_GB2312" w:eastAsia="仿宋_GB2312" w:cs="仿宋_GB2312"/>
                <w:b w:val="0"/>
                <w:color w:val="000000" w:themeColor="text1"/>
                <w:sz w:val="24"/>
                <w14:textFill>
                  <w14:solidFill>
                    <w14:schemeClr w14:val="tx1"/>
                  </w14:solidFill>
                </w14:textFill>
              </w:rPr>
            </w:pPr>
            <w:r>
              <w:rPr>
                <w:rStyle w:val="15"/>
                <w:rFonts w:hint="eastAsia" w:ascii="仿宋_GB2312" w:hAnsi="仿宋_GB2312" w:eastAsia="仿宋_GB2312" w:cs="仿宋_GB2312"/>
                <w:b w:val="0"/>
                <w:color w:val="000000" w:themeColor="text1"/>
                <w:sz w:val="24"/>
                <w14:textFill>
                  <w14:solidFill>
                    <w14:schemeClr w14:val="tx1"/>
                  </w14:solidFill>
                </w14:textFill>
              </w:rPr>
              <w:t>网络安全管理：讲解安全策略与规划、系统安全管理、信息安全管理等方面的内容。</w:t>
            </w:r>
          </w:p>
          <w:p>
            <w:pPr>
              <w:widowControl/>
              <w:spacing w:line="360" w:lineRule="exact"/>
              <w:rPr>
                <w:rStyle w:val="15"/>
                <w:rFonts w:ascii="仿宋_GB2312" w:hAnsi="仿宋_GB2312" w:eastAsia="仿宋_GB2312" w:cs="仿宋_GB2312"/>
                <w:b w:val="0"/>
                <w:color w:val="000000" w:themeColor="text1"/>
                <w:sz w:val="24"/>
                <w14:textFill>
                  <w14:solidFill>
                    <w14:schemeClr w14:val="tx1"/>
                  </w14:solidFill>
                </w14:textFill>
              </w:rPr>
            </w:pPr>
            <w:r>
              <w:rPr>
                <w:rStyle w:val="15"/>
                <w:rFonts w:hint="eastAsia" w:ascii="仿宋_GB2312" w:hAnsi="仿宋_GB2312" w:eastAsia="仿宋_GB2312" w:cs="仿宋_GB2312"/>
                <w:b w:val="0"/>
                <w:color w:val="000000" w:themeColor="text1"/>
                <w:sz w:val="24"/>
                <w14:textFill>
                  <w14:solidFill>
                    <w14:schemeClr w14:val="tx1"/>
                  </w14:solidFill>
                </w14:textFill>
              </w:rPr>
              <w:t>网络安全编程基础：对于有一定编程基础的学生，可以介绍网络安全编程的基础知识，如网络操作系统基本原理、Socket编程、注册表编程等。</w:t>
            </w:r>
          </w:p>
          <w:p>
            <w:pPr>
              <w:spacing w:line="360" w:lineRule="exact"/>
              <w:rPr>
                <w:rFonts w:ascii="仿宋_GB2312" w:hAnsi="仿宋_GB2312" w:eastAsia="仿宋_GB2312" w:cs="仿宋_GB2312"/>
                <w:color w:val="000000" w:themeColor="text1"/>
                <w:sz w:val="24"/>
                <w14:textFill>
                  <w14:solidFill>
                    <w14:schemeClr w14:val="tx1"/>
                  </w14:solidFill>
                </w14:textFill>
              </w:rPr>
            </w:pPr>
            <w:r>
              <w:rPr>
                <w:rStyle w:val="15"/>
                <w:rFonts w:hint="eastAsia" w:ascii="仿宋_GB2312" w:hAnsi="仿宋_GB2312" w:eastAsia="仿宋_GB2312" w:cs="仿宋_GB2312"/>
                <w:b w:val="0"/>
                <w:color w:val="000000" w:themeColor="text1"/>
                <w:sz w:val="24"/>
                <w14:textFill>
                  <w14:solidFill>
                    <w14:schemeClr w14:val="tx1"/>
                  </w14:solidFill>
                </w14:textFill>
              </w:rPr>
              <w:t>网络安全法律与法规：介绍与网络安全相关的法律法规和标准，使学生了解网络安全领域的法律要求和合规性。</w:t>
            </w:r>
          </w:p>
          <w:p>
            <w:pPr>
              <w:spacing w:line="360" w:lineRule="exact"/>
              <w:rPr>
                <w:rFonts w:ascii="仿宋_GB2312" w:hAnsi="仿宋_GB2312" w:eastAsia="仿宋_GB2312" w:cs="仿宋_GB2312"/>
                <w:color w:val="000000" w:themeColor="text1"/>
                <w:sz w:val="24"/>
                <w14:textFill>
                  <w14:solidFill>
                    <w14:schemeClr w14:val="tx1"/>
                  </w14:solidFill>
                </w14:textFill>
              </w:rPr>
            </w:pPr>
          </w:p>
        </w:tc>
        <w:tc>
          <w:tcPr>
            <w:tcW w:w="2904" w:type="dxa"/>
          </w:tcPr>
          <w:p>
            <w:pPr>
              <w:widowControl/>
              <w:spacing w:line="360" w:lineRule="exact"/>
              <w:rPr>
                <w:rStyle w:val="15"/>
                <w:rFonts w:ascii="仿宋_GB2312" w:hAnsi="仿宋_GB2312" w:eastAsia="仿宋_GB2312" w:cs="仿宋_GB2312"/>
                <w:b w:val="0"/>
                <w:color w:val="000000" w:themeColor="text1"/>
                <w:sz w:val="24"/>
                <w14:textFill>
                  <w14:solidFill>
                    <w14:schemeClr w14:val="tx1"/>
                  </w14:solidFill>
                </w14:textFill>
              </w:rPr>
            </w:pPr>
            <w:r>
              <w:rPr>
                <w:rStyle w:val="15"/>
                <w:rFonts w:hint="eastAsia" w:ascii="仿宋_GB2312" w:hAnsi="仿宋_GB2312" w:eastAsia="仿宋_GB2312" w:cs="仿宋_GB2312"/>
                <w:b w:val="0"/>
                <w:color w:val="000000" w:themeColor="text1"/>
                <w:sz w:val="24"/>
                <w14:textFill>
                  <w14:solidFill>
                    <w14:schemeClr w14:val="tx1"/>
                  </w14:solidFill>
                </w14:textFill>
              </w:rPr>
              <w:t>知识掌握‌：要求学生掌握计算机网络安全的基础理论知识，包括网络安全的基本概念、原理、协议和防护技术等。实践能力‌：通过实验教学，培养学生进行网络安全检测、防护和应急响应的实际操作能力，使其能够运用所学知识解决实际问题。创新意识‌：鼓励学生关注网络安全领域的最新发展动态，培养其创新意识和探索精神，为未来的职业发展奠定基础。职业素养‌：注重培养学生的职业道德、团队协作能力和社会责任感，使其具备成为合格网络安全从业人员的基本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1"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2</w:t>
            </w:r>
          </w:p>
        </w:tc>
        <w:tc>
          <w:tcPr>
            <w:tcW w:w="852" w:type="dxa"/>
            <w:vAlign w:val="center"/>
          </w:tcPr>
          <w:p>
            <w:pPr>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物联网概论</w:t>
            </w:r>
          </w:p>
        </w:tc>
        <w:tc>
          <w:tcPr>
            <w:tcW w:w="2835" w:type="dxa"/>
          </w:tcPr>
          <w:p>
            <w:pPr>
              <w:pStyle w:val="11"/>
              <w:spacing w:line="360" w:lineRule="exact"/>
              <w:rPr>
                <w:rFonts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使学生掌握物联网的基本概念、发展历程、体系结构和关键技术，理解物联网在各个领域的应用场景和实际价值。培养学生具备物联网系统的分析、设计、实施和维护能力，能够运用所学知识解决物联网应用中的实际问题，如设备连接、数据传输、智能处理等。激发学生的创新思维和创业精神，鼓励他们探索物联网技术的新应用、新模式和新业态，为未来的物联网产业发展做出贡献。</w:t>
            </w:r>
          </w:p>
          <w:p>
            <w:pPr>
              <w:pStyle w:val="11"/>
              <w:spacing w:line="360" w:lineRule="exact"/>
              <w:rPr>
                <w:rFonts w:ascii="仿宋_GB2312" w:hAnsi="仿宋_GB2312" w:eastAsia="仿宋_GB2312" w:cs="仿宋_GB2312"/>
                <w:color w:val="000000" w:themeColor="text1"/>
                <w14:textFill>
                  <w14:solidFill>
                    <w14:schemeClr w14:val="tx1"/>
                  </w14:solidFill>
                </w14:textFill>
              </w:rPr>
            </w:pPr>
          </w:p>
        </w:tc>
        <w:tc>
          <w:tcPr>
            <w:tcW w:w="3118" w:type="dxa"/>
          </w:tcPr>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物联网概述：介绍物联网的定义、发展历程、体系结构和基本特征，以及物联网在各个领域的应用场景和实际价值。</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物联网感知技术：详细讲解物联网感知层的相关技术，包括</w:t>
            </w:r>
            <w:r>
              <w:rPr>
                <w:rStyle w:val="15"/>
                <w:rFonts w:hint="eastAsia" w:ascii="仿宋_GB2312" w:hAnsi="仿宋_GB2312" w:eastAsia="仿宋_GB2312" w:cs="仿宋_GB2312"/>
                <w:sz w:val="24"/>
              </w:rPr>
              <w:t>RFID</w:t>
            </w:r>
            <w:r>
              <w:rPr>
                <w:rFonts w:hint="eastAsia" w:ascii="仿宋_GB2312" w:hAnsi="仿宋_GB2312" w:eastAsia="仿宋_GB2312" w:cs="仿宋_GB2312"/>
                <w:color w:val="000000" w:themeColor="text1"/>
                <w:sz w:val="24"/>
                <w14:textFill>
                  <w14:solidFill>
                    <w14:schemeClr w14:val="tx1"/>
                  </w14:solidFill>
                </w14:textFill>
              </w:rPr>
              <w:t>技术、无线传感器网络、定位技术、智能感知设备等。</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物联网通信技术：介绍物联网网络层的相关技术，包括互联网、无线宽带网、无线低速网、移动通信网等。</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物联网处理技术：讲解物联网应用层的相关技术，包括云计算、大数据处理、数据挖掘等。</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物联网安全与隐私保护：介绍物联网系统中的安全和隐私保护问题，包括数据加密、身份认证、访问控制等</w:t>
            </w:r>
          </w:p>
        </w:tc>
        <w:tc>
          <w:tcPr>
            <w:tcW w:w="2904" w:type="dxa"/>
          </w:tcPr>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知识掌握‌：要求学生掌握物联网的基本概念、体系结构、关键技术及发展现状，理解物联网的工作原理和应用领域。</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实践能力‌：通过案例分析、实验等环节，培养学生的实际操作能力和问题解决能力，使其能够运用所学知识解决实际问题。创新意识‌：鼓励学生关注物联网领域的最新发展动态，培养其创新意识和探索精神，为未来的职业发展奠定基础。职业素养‌：注重培养学生的职业道德、团队协作能力和社会责任感，使其具备成为合格物联网从业人员的基本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1" w:type="dxa"/>
            <w:vAlign w:val="center"/>
          </w:tcPr>
          <w:p>
            <w:pPr>
              <w:widowControl/>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3</w:t>
            </w:r>
          </w:p>
        </w:tc>
        <w:tc>
          <w:tcPr>
            <w:tcW w:w="852" w:type="dxa"/>
            <w:vAlign w:val="center"/>
          </w:tcPr>
          <w:p>
            <w:pPr>
              <w:widowControl/>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数字信号处理</w:t>
            </w:r>
          </w:p>
        </w:tc>
        <w:tc>
          <w:tcPr>
            <w:tcW w:w="2835" w:type="dxa"/>
          </w:tcPr>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知识与理解：使学生掌握数字信号处理的基本概念、基本原理和基本方法，理解数字信号在时域、频域和复频域中的特性和变换规律。培养学生具备数字信号的分析、处理和设计能力，能够运用所学知识对信号进行采样、量化、编码、滤波、变换等操作。通过实验、课程设计等实践环节，让学生亲自动手实现数字信号处理算法和系统，加深对理论知识的理解和掌握。同时，鼓励学生进行创新性思维和探索，尝试提出新的数字信号处理方法和技术。</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p>
        </w:tc>
        <w:tc>
          <w:tcPr>
            <w:tcW w:w="3118" w:type="dxa"/>
          </w:tcPr>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数字信号基础：介绍数字信号的基本概念、特点和分类，包括离散时间信号和离散序列的概念、基本运算和性质。</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离散时间系统分析：介绍离散时间系统的基本概念、性质和稳定性判据。详细讲解线性时不变系统的卷积运算、差分方程、系统函数等重要理论，并通过实例和习题加深对离散时间系统分析的理解。</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信号的频域分析：介绍信号的傅里叶变换、离散傅里叶变换（</w:t>
            </w:r>
            <w:r>
              <w:rPr>
                <w:rStyle w:val="15"/>
                <w:rFonts w:hint="eastAsia" w:ascii="仿宋_GB2312" w:hAnsi="仿宋_GB2312" w:eastAsia="仿宋_GB2312" w:cs="仿宋_GB2312"/>
                <w:sz w:val="24"/>
              </w:rPr>
              <w:t>DFT</w:t>
            </w:r>
            <w:r>
              <w:rPr>
                <w:rFonts w:hint="eastAsia" w:ascii="仿宋_GB2312" w:hAnsi="仿宋_GB2312" w:eastAsia="仿宋_GB2312" w:cs="仿宋_GB2312"/>
                <w:color w:val="000000" w:themeColor="text1"/>
                <w:sz w:val="24"/>
                <w14:textFill>
                  <w14:solidFill>
                    <w14:schemeClr w14:val="tx1"/>
                  </w14:solidFill>
                </w14:textFill>
              </w:rPr>
              <w:t>）和快速傅里叶变换（</w:t>
            </w:r>
            <w:r>
              <w:rPr>
                <w:rStyle w:val="15"/>
                <w:rFonts w:hint="eastAsia" w:ascii="仿宋_GB2312" w:hAnsi="仿宋_GB2312" w:eastAsia="仿宋_GB2312" w:cs="仿宋_GB2312"/>
                <w:sz w:val="24"/>
              </w:rPr>
              <w:t>FFT</w:t>
            </w:r>
            <w:r>
              <w:rPr>
                <w:rFonts w:hint="eastAsia" w:ascii="仿宋_GB2312" w:hAnsi="仿宋_GB2312" w:eastAsia="仿宋_GB2312" w:cs="仿宋_GB2312"/>
                <w:color w:val="000000" w:themeColor="text1"/>
                <w:sz w:val="24"/>
                <w14:textFill>
                  <w14:solidFill>
                    <w14:schemeClr w14:val="tx1"/>
                  </w14:solidFill>
                </w14:textFill>
              </w:rPr>
              <w:t>）的基本原理和性质。</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数字滤波器设计：介绍数字滤波器的基本概念、分类和设计方法。详细讲解IIR滤波器和FIR滤波器的设计原理和实现技术，包括窗函数法、频率抽样法、最优化设计法等。数字信号处理的应用：介绍数字信号处理在各个领域的应用，如音频处理、图像处理、通信信号处理等。</w:t>
            </w:r>
          </w:p>
        </w:tc>
        <w:tc>
          <w:tcPr>
            <w:tcW w:w="2904" w:type="dxa"/>
          </w:tcPr>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知识掌握‌：要求学生掌握数字信号处理的基础理论，包括离散傅里叶变换(DFT)、快速傅里叶变换(FFT)等，并能进行时域离散信号的频谱分析。实践能力‌：培养学生具备数字信号处理算法程序编写能力，能够解决数字信号处理软件的常规问题，并进行数字滤波器的设计与实现。</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创新意识‌：鼓励学生关注数字信号处理领域的最新发展，培养创新意识和探索精神。职业素养‌：注重培养学生的职业道德、工作态度和社会责任感。思政目标‌：增强学生的民族自豪感和文化自信，激发学生的科技报国情怀与使命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1" w:type="dxa"/>
            <w:vAlign w:val="center"/>
          </w:tcPr>
          <w:p>
            <w:pPr>
              <w:widowControl/>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4</w:t>
            </w:r>
          </w:p>
        </w:tc>
        <w:tc>
          <w:tcPr>
            <w:tcW w:w="852" w:type="dxa"/>
            <w:vAlign w:val="center"/>
          </w:tcPr>
          <w:p>
            <w:pPr>
              <w:widowControl/>
              <w:spacing w:line="360" w:lineRule="exact"/>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现代通信技术</w:t>
            </w:r>
          </w:p>
        </w:tc>
        <w:tc>
          <w:tcPr>
            <w:tcW w:w="2835" w:type="dxa"/>
          </w:tcPr>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使学生掌握现代通信技术的基本概念、基本原理和关键技术，包括模拟通信和数字通信、通信协议和网络架构、数据传输和信号处理等。理解各种通信技术的特点、优势和应用场景。培养学生具备现代通信系统的分析、设计、配置和维护能力。这包括掌握通信网络规划、设计和优化的基本技能，以及能够运用所学知识解决实际通信问题的能力。现代通信技术涉及多个学科领域，如电子工程、计算机科学、网络通信等。</w:t>
            </w:r>
          </w:p>
        </w:tc>
        <w:tc>
          <w:tcPr>
            <w:tcW w:w="3118" w:type="dxa"/>
          </w:tcPr>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通信原理：介绍通信系统的基本原理和技术，包括信号传输、调制解调、编解码等。</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数字信号处理：介绍数字信号处理的基本概念和算法，包括数字滤波、谱分析等。</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通信网络：讲解通信网络的构成、协议、性能分析以及网络设计和管理等方面的知识。</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移动通信：专门针对移动通信系统进行讲解，包括移动通信技术、移动通信网络建设与部署、移动通信网络规划与优化等。</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通信设备与系统：介绍通信设备和系统的基本构成、工作原理以及实际应用。</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通信协议与标准：详细介绍各种通信协议和标准，包括其制定背景、技术特点以及应用场景等。</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通信安全与保密：针对通信过程中的安全问题，介绍加密、解密、认证等保密技术，以及网络安全、信息安全等方面的知识。</w:t>
            </w:r>
          </w:p>
        </w:tc>
        <w:tc>
          <w:tcPr>
            <w:tcW w:w="2904" w:type="dxa"/>
          </w:tcPr>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掌握基本概念与原理‌：学生需全面了解现代通信网络的体系结构，掌握通信技术的基本概念和原理，如通信网的基本架构、支撑技术等。</w:t>
            </w: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p>
          <w:p>
            <w:pPr>
              <w:widowControl/>
              <w:spacing w:line="36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理论与实践结合‌：注重基础性与前沿性、技术性和探索性相结合，通过理论学习与实践操作，培养学生掌握科学的研究方法和迅速学习新技术的能力。培养全局观与职业敏感性‌：从全程全网角度出发，构建具有科学性、完整性、创新性、实用性的现代通信技术和网络知识结构体系，培养全局观和洞察未来通信技术发展趋势的职业敏感性和适应性。强化工程实践与应用创新‌：通过课程学习，学生能够具备扎实的通信理论基本知识和素养，同时培养工程实践和应用创新的能力，为未来的职业发展打下坚实基础</w:t>
            </w:r>
          </w:p>
        </w:tc>
      </w:tr>
    </w:tbl>
    <w:p>
      <w:pPr>
        <w:overflowPunct w:val="0"/>
        <w:adjustRightInd w:val="0"/>
        <w:spacing w:line="520" w:lineRule="exact"/>
        <w:ind w:firstLine="640" w:firstLineChars="200"/>
        <w:outlineLvl w:val="0"/>
        <w:rPr>
          <w:rFonts w:ascii="楷体" w:hAnsi="楷体" w:eastAsia="楷体" w:cs="楷体"/>
          <w:sz w:val="32"/>
          <w:szCs w:val="32"/>
        </w:rPr>
      </w:pPr>
      <w:r>
        <w:rPr>
          <w:rFonts w:hint="eastAsia" w:ascii="楷体" w:hAnsi="楷体" w:eastAsia="楷体" w:cs="楷体"/>
          <w:sz w:val="32"/>
          <w:szCs w:val="32"/>
        </w:rPr>
        <w:t>（三）第二课堂</w:t>
      </w:r>
    </w:p>
    <w:p>
      <w:pPr>
        <w:overflowPunct w:val="0"/>
        <w:adjustRightInd w:val="0"/>
        <w:spacing w:line="52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第二课堂包括思想成长、社会实践与志愿服务、文艺体育、工作履历、科技学术和创新创业、专业技能特长等其他各类课程及活动。</w:t>
      </w:r>
    </w:p>
    <w:p>
      <w:pPr>
        <w:overflowPunct w:val="0"/>
        <w:adjustRightInd w:val="0"/>
        <w:spacing w:line="520" w:lineRule="exact"/>
        <w:outlineLvl w:val="0"/>
        <w:rPr>
          <w:rFonts w:ascii="黑体" w:hAnsi="黑体" w:eastAsia="黑体"/>
          <w:sz w:val="32"/>
          <w:szCs w:val="32"/>
        </w:rPr>
      </w:pPr>
      <w:r>
        <w:rPr>
          <w:rFonts w:ascii="黑体" w:hAnsi="黑体" w:eastAsia="黑体"/>
          <w:sz w:val="32"/>
          <w:szCs w:val="32"/>
        </w:rPr>
        <w:t>七、教学进程总体安排</w:t>
      </w:r>
    </w:p>
    <w:p>
      <w:pPr>
        <w:spacing w:line="360" w:lineRule="auto"/>
        <w:ind w:firstLine="640" w:firstLineChars="200"/>
        <w:rPr>
          <w:rFonts w:ascii="楷体" w:hAnsi="楷体" w:eastAsia="楷体" w:cs="楷体"/>
          <w:sz w:val="32"/>
          <w:szCs w:val="32"/>
        </w:rPr>
      </w:pPr>
      <w:r>
        <w:rPr>
          <w:rFonts w:hint="eastAsia" w:ascii="楷体" w:hAnsi="楷体" w:eastAsia="楷体" w:cs="楷体"/>
          <w:sz w:val="32"/>
          <w:szCs w:val="32"/>
        </w:rPr>
        <w:t>（一）教学时间安排</w:t>
      </w:r>
    </w:p>
    <w:p>
      <w:pPr>
        <w:overflowPunct w:val="0"/>
        <w:adjustRightInd w:val="0"/>
        <w:spacing w:line="360" w:lineRule="auto"/>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本专业总周数为120周。其中，校内教学共76周，校外教学共31周，复习考试共6周，机动共7周。教学安排可根据具体情况经教务科研处审批后作适当调整。</w:t>
      </w:r>
    </w:p>
    <w:tbl>
      <w:tblPr>
        <w:tblStyle w:val="13"/>
        <w:tblpPr w:leftFromText="180" w:rightFromText="180" w:vertAnchor="text" w:horzAnchor="page" w:tblpX="1809" w:tblpY="61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019"/>
        <w:gridCol w:w="1275"/>
        <w:gridCol w:w="1343"/>
        <w:gridCol w:w="1218"/>
        <w:gridCol w:w="1218"/>
        <w:gridCol w:w="1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trPr>
        <w:tc>
          <w:tcPr>
            <w:tcW w:w="2235" w:type="dxa"/>
            <w:gridSpan w:val="2"/>
            <w:shd w:val="clear" w:color="auto" w:fill="auto"/>
            <w:vAlign w:val="center"/>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仿宋_GB2312" w:hAnsi="仿宋_GB2312" w:eastAsia="仿宋_GB2312" w:cs="仿宋_GB2312"/>
                <w:color w:val="auto"/>
                <w:sz w:val="24"/>
                <w:szCs w:val="24"/>
                <w:highlight w:val="none"/>
                <w:vertAlign w:val="baseline"/>
                <w:lang w:eastAsia="zh-CN"/>
              </w:rPr>
            </w:pPr>
          </w:p>
          <w:p>
            <w:pPr>
              <w:keepNext w:val="0"/>
              <w:keepLines w:val="0"/>
              <w:pageBreakBefore w:val="0"/>
              <w:widowControl w:val="0"/>
              <w:kinsoku/>
              <w:wordWrap/>
              <w:topLinePunct w:val="0"/>
              <w:autoSpaceDE/>
              <w:autoSpaceDN/>
              <w:bidi w:val="0"/>
              <w:snapToGrid w:val="0"/>
              <w:spacing w:line="240" w:lineRule="auto"/>
              <w:jc w:val="center"/>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学年</w:t>
            </w:r>
          </w:p>
          <w:p>
            <w:pPr>
              <w:keepNext w:val="0"/>
              <w:keepLines w:val="0"/>
              <w:pageBreakBefore w:val="0"/>
              <w:widowControl w:val="0"/>
              <w:kinsoku/>
              <w:wordWrap/>
              <w:topLinePunct w:val="0"/>
              <w:autoSpaceDE/>
              <w:autoSpaceDN/>
              <w:bidi w:val="0"/>
              <w:snapToGrid w:val="0"/>
              <w:spacing w:line="240" w:lineRule="auto"/>
              <w:jc w:val="center"/>
              <w:textAlignment w:val="auto"/>
              <w:rPr>
                <w:rFonts w:hint="eastAsia" w:ascii="仿宋_GB2312" w:hAnsi="仿宋_GB2312" w:eastAsia="仿宋_GB2312" w:cs="仿宋_GB2312"/>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val="0"/>
              <w:spacing w:line="240" w:lineRule="auto"/>
              <w:ind w:firstLine="480" w:firstLineChars="200"/>
              <w:jc w:val="center"/>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周数</w:t>
            </w:r>
          </w:p>
          <w:p>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eastAsia="zh-CN"/>
              </w:rPr>
              <w:t>内容</w:t>
            </w:r>
          </w:p>
        </w:tc>
        <w:tc>
          <w:tcPr>
            <w:tcW w:w="1275"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校内教学</w:t>
            </w:r>
          </w:p>
        </w:tc>
        <w:tc>
          <w:tcPr>
            <w:tcW w:w="1343"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校外教学</w:t>
            </w:r>
          </w:p>
        </w:tc>
        <w:tc>
          <w:tcPr>
            <w:tcW w:w="1218"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考试</w:t>
            </w:r>
          </w:p>
        </w:tc>
        <w:tc>
          <w:tcPr>
            <w:tcW w:w="1218"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机动</w:t>
            </w:r>
          </w:p>
        </w:tc>
        <w:tc>
          <w:tcPr>
            <w:tcW w:w="1233"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Merge w:val="restart"/>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第一学年</w:t>
            </w:r>
          </w:p>
        </w:tc>
        <w:tc>
          <w:tcPr>
            <w:tcW w:w="1019"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1275"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18</w:t>
            </w:r>
          </w:p>
        </w:tc>
        <w:tc>
          <w:tcPr>
            <w:tcW w:w="1343"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1218"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1218"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1233"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Merge w:val="continue"/>
            <w:vAlign w:val="center"/>
          </w:tcPr>
          <w:p>
            <w:pPr>
              <w:spacing w:line="520" w:lineRule="exact"/>
              <w:jc w:val="center"/>
              <w:rPr>
                <w:rFonts w:ascii="仿宋_GB2312" w:hAnsi="仿宋_GB2312" w:eastAsia="仿宋_GB2312" w:cs="仿宋_GB2312"/>
                <w:sz w:val="24"/>
              </w:rPr>
            </w:pPr>
          </w:p>
        </w:tc>
        <w:tc>
          <w:tcPr>
            <w:tcW w:w="1019"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2</w:t>
            </w:r>
          </w:p>
        </w:tc>
        <w:tc>
          <w:tcPr>
            <w:tcW w:w="1275"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18</w:t>
            </w:r>
          </w:p>
        </w:tc>
        <w:tc>
          <w:tcPr>
            <w:tcW w:w="1343"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1218"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1218"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1233"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Merge w:val="restart"/>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第二学年</w:t>
            </w:r>
          </w:p>
        </w:tc>
        <w:tc>
          <w:tcPr>
            <w:tcW w:w="1019"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3</w:t>
            </w:r>
          </w:p>
        </w:tc>
        <w:tc>
          <w:tcPr>
            <w:tcW w:w="1275"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18</w:t>
            </w:r>
          </w:p>
        </w:tc>
        <w:tc>
          <w:tcPr>
            <w:tcW w:w="1343"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1218"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1218"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1233"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Merge w:val="continue"/>
            <w:vAlign w:val="center"/>
          </w:tcPr>
          <w:p>
            <w:pPr>
              <w:spacing w:line="520" w:lineRule="exact"/>
              <w:jc w:val="center"/>
              <w:rPr>
                <w:rFonts w:ascii="仿宋_GB2312" w:hAnsi="仿宋_GB2312" w:eastAsia="仿宋_GB2312" w:cs="仿宋_GB2312"/>
                <w:sz w:val="24"/>
              </w:rPr>
            </w:pPr>
          </w:p>
        </w:tc>
        <w:tc>
          <w:tcPr>
            <w:tcW w:w="1019"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4</w:t>
            </w:r>
          </w:p>
        </w:tc>
        <w:tc>
          <w:tcPr>
            <w:tcW w:w="1275"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18</w:t>
            </w:r>
          </w:p>
        </w:tc>
        <w:tc>
          <w:tcPr>
            <w:tcW w:w="1343"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1218"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1218"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1233"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Merge w:val="restart"/>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第三学年</w:t>
            </w:r>
          </w:p>
        </w:tc>
        <w:tc>
          <w:tcPr>
            <w:tcW w:w="1019"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5</w:t>
            </w:r>
          </w:p>
        </w:tc>
        <w:tc>
          <w:tcPr>
            <w:tcW w:w="1275"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4</w:t>
            </w:r>
          </w:p>
        </w:tc>
        <w:tc>
          <w:tcPr>
            <w:tcW w:w="1343"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14</w:t>
            </w:r>
          </w:p>
        </w:tc>
        <w:tc>
          <w:tcPr>
            <w:tcW w:w="1218"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1218"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1233"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Merge w:val="continue"/>
            <w:vAlign w:val="center"/>
          </w:tcPr>
          <w:p>
            <w:pPr>
              <w:spacing w:line="520" w:lineRule="exact"/>
              <w:jc w:val="center"/>
              <w:rPr>
                <w:rFonts w:ascii="仿宋_GB2312" w:hAnsi="仿宋_GB2312" w:eastAsia="仿宋_GB2312" w:cs="仿宋_GB2312"/>
                <w:sz w:val="24"/>
              </w:rPr>
            </w:pPr>
          </w:p>
        </w:tc>
        <w:tc>
          <w:tcPr>
            <w:tcW w:w="1019"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6</w:t>
            </w:r>
          </w:p>
        </w:tc>
        <w:tc>
          <w:tcPr>
            <w:tcW w:w="1275"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0</w:t>
            </w:r>
          </w:p>
        </w:tc>
        <w:tc>
          <w:tcPr>
            <w:tcW w:w="1343"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17</w:t>
            </w:r>
          </w:p>
        </w:tc>
        <w:tc>
          <w:tcPr>
            <w:tcW w:w="1218"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1218"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2</w:t>
            </w:r>
          </w:p>
        </w:tc>
        <w:tc>
          <w:tcPr>
            <w:tcW w:w="1233"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合计</w:t>
            </w:r>
          </w:p>
        </w:tc>
        <w:tc>
          <w:tcPr>
            <w:tcW w:w="1275" w:type="dxa"/>
            <w:vAlign w:val="center"/>
          </w:tcPr>
          <w:p>
            <w:pPr>
              <w:spacing w:line="520" w:lineRule="exact"/>
              <w:jc w:val="center"/>
              <w:rPr>
                <w:rFonts w:ascii="仿宋_GB2312" w:hAnsi="仿宋_GB2312" w:eastAsia="仿宋_GB2312" w:cs="仿宋_GB2312"/>
                <w:sz w:val="24"/>
              </w:rPr>
            </w:pPr>
          </w:p>
        </w:tc>
        <w:tc>
          <w:tcPr>
            <w:tcW w:w="1343" w:type="dxa"/>
            <w:vAlign w:val="center"/>
          </w:tcPr>
          <w:p>
            <w:pPr>
              <w:spacing w:line="520" w:lineRule="exact"/>
              <w:jc w:val="center"/>
              <w:rPr>
                <w:rFonts w:ascii="仿宋_GB2312" w:hAnsi="仿宋_GB2312" w:eastAsia="仿宋_GB2312" w:cs="仿宋_GB2312"/>
                <w:sz w:val="24"/>
              </w:rPr>
            </w:pPr>
          </w:p>
        </w:tc>
        <w:tc>
          <w:tcPr>
            <w:tcW w:w="1218" w:type="dxa"/>
            <w:vAlign w:val="center"/>
          </w:tcPr>
          <w:p>
            <w:pPr>
              <w:spacing w:line="520" w:lineRule="exact"/>
              <w:jc w:val="center"/>
              <w:rPr>
                <w:rFonts w:ascii="仿宋_GB2312" w:hAnsi="仿宋_GB2312" w:eastAsia="仿宋_GB2312" w:cs="仿宋_GB2312"/>
                <w:sz w:val="24"/>
              </w:rPr>
            </w:pPr>
          </w:p>
        </w:tc>
        <w:tc>
          <w:tcPr>
            <w:tcW w:w="1218" w:type="dxa"/>
            <w:vAlign w:val="center"/>
          </w:tcPr>
          <w:p>
            <w:pPr>
              <w:spacing w:line="520" w:lineRule="exact"/>
              <w:jc w:val="center"/>
              <w:rPr>
                <w:rFonts w:ascii="仿宋_GB2312" w:hAnsi="仿宋_GB2312" w:eastAsia="仿宋_GB2312" w:cs="仿宋_GB2312"/>
                <w:sz w:val="24"/>
              </w:rPr>
            </w:pPr>
          </w:p>
        </w:tc>
        <w:tc>
          <w:tcPr>
            <w:tcW w:w="1233" w:type="dxa"/>
            <w:vAlign w:val="center"/>
          </w:tcPr>
          <w:p>
            <w:pPr>
              <w:spacing w:line="520" w:lineRule="exact"/>
              <w:jc w:val="center"/>
              <w:rPr>
                <w:rFonts w:ascii="仿宋_GB2312" w:hAnsi="仿宋_GB2312" w:eastAsia="仿宋_GB2312" w:cs="仿宋_GB2312"/>
                <w:sz w:val="24"/>
              </w:rPr>
            </w:pPr>
            <w:r>
              <w:rPr>
                <w:rFonts w:hint="eastAsia" w:ascii="仿宋_GB2312" w:hAnsi="仿宋_GB2312" w:eastAsia="仿宋_GB2312" w:cs="仿宋_GB2312"/>
                <w:sz w:val="24"/>
              </w:rPr>
              <w:t>120</w:t>
            </w:r>
          </w:p>
        </w:tc>
      </w:tr>
    </w:tbl>
    <w:p>
      <w:pPr>
        <w:spacing w:line="360" w:lineRule="auto"/>
        <w:jc w:val="center"/>
        <w:rPr>
          <w:rFonts w:ascii="仿宋" w:hAnsi="仿宋" w:eastAsia="仿宋" w:cs="楷体"/>
          <w:sz w:val="32"/>
          <w:szCs w:val="32"/>
        </w:rPr>
      </w:pPr>
      <w:r>
        <w:rPr>
          <w:rFonts w:hint="eastAsia" w:ascii="仿宋_GB2312" w:hAnsi="仿宋_GB2312" w:eastAsia="仿宋_GB2312" w:cs="仿宋_GB2312"/>
          <w:sz w:val="32"/>
          <w:szCs w:val="32"/>
        </w:rPr>
        <w:t>表7应用电子技术专业教学时间安排表</w:t>
      </w:r>
    </w:p>
    <w:p>
      <w:pPr>
        <w:spacing w:line="360" w:lineRule="auto"/>
        <w:ind w:firstLine="640" w:firstLineChars="200"/>
        <w:rPr>
          <w:rFonts w:ascii="仿宋" w:hAnsi="仿宋" w:eastAsia="仿宋" w:cs="楷体"/>
          <w:bCs/>
          <w:sz w:val="32"/>
          <w:szCs w:val="32"/>
        </w:rPr>
      </w:pPr>
      <w:r>
        <w:rPr>
          <w:rFonts w:hint="eastAsia" w:ascii="楷体" w:hAnsi="楷体" w:eastAsia="楷体" w:cs="楷体"/>
          <w:sz w:val="32"/>
          <w:szCs w:val="32"/>
        </w:rPr>
        <w:t>（二）</w:t>
      </w:r>
      <w:r>
        <w:rPr>
          <w:rFonts w:hint="eastAsia" w:ascii="楷体" w:hAnsi="楷体" w:eastAsia="楷体" w:cs="楷体"/>
          <w:bCs/>
          <w:sz w:val="32"/>
          <w:szCs w:val="32"/>
        </w:rPr>
        <w:t>课程结构与学时、学分分配</w:t>
      </w:r>
    </w:p>
    <w:p>
      <w:p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本专业教学总学时为</w:t>
      </w:r>
      <w:r>
        <w:rPr>
          <w:rFonts w:hint="eastAsia" w:ascii="仿宋_GB2312" w:hAnsi="仿宋_GB2312" w:eastAsia="仿宋_GB2312" w:cs="仿宋_GB2312"/>
          <w:spacing w:val="-2"/>
          <w:sz w:val="32"/>
          <w:szCs w:val="32"/>
        </w:rPr>
        <w:t>2906</w:t>
      </w:r>
      <w:r>
        <w:rPr>
          <w:rFonts w:hint="eastAsia" w:ascii="仿宋_GB2312" w:hAnsi="仿宋_GB2312" w:eastAsia="仿宋_GB2312" w:cs="仿宋_GB2312"/>
          <w:bCs/>
          <w:sz w:val="32"/>
          <w:szCs w:val="32"/>
        </w:rPr>
        <w:t>学时。其中理论教学</w:t>
      </w:r>
      <w:r>
        <w:rPr>
          <w:rFonts w:hint="eastAsia" w:ascii="仿宋_GB2312" w:hAnsi="仿宋_GB2312" w:eastAsia="仿宋_GB2312" w:cs="仿宋_GB2312"/>
          <w:spacing w:val="-2"/>
          <w:sz w:val="32"/>
          <w:szCs w:val="32"/>
        </w:rPr>
        <w:t>1254</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rPr>
        <w:t>43.15</w:t>
      </w:r>
      <w:r>
        <w:rPr>
          <w:rFonts w:hint="eastAsia" w:ascii="仿宋_GB2312" w:hAnsi="仿宋_GB2312" w:eastAsia="仿宋_GB2312" w:cs="仿宋_GB2312"/>
          <w:bCs/>
          <w:sz w:val="32"/>
          <w:szCs w:val="32"/>
        </w:rPr>
        <w:t>%；实践教学</w:t>
      </w:r>
      <w:r>
        <w:rPr>
          <w:rFonts w:hint="eastAsia" w:ascii="仿宋_GB2312" w:hAnsi="仿宋_GB2312" w:eastAsia="仿宋_GB2312" w:cs="仿宋_GB2312"/>
          <w:spacing w:val="-2"/>
          <w:sz w:val="32"/>
          <w:szCs w:val="32"/>
        </w:rPr>
        <w:t>1652</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rPr>
        <w:t>56.85</w:t>
      </w:r>
      <w:r>
        <w:rPr>
          <w:rFonts w:hint="eastAsia" w:ascii="仿宋_GB2312" w:hAnsi="仿宋_GB2312" w:eastAsia="仿宋_GB2312" w:cs="仿宋_GB2312"/>
          <w:bCs/>
          <w:sz w:val="32"/>
          <w:szCs w:val="32"/>
        </w:rPr>
        <w:t>%，其中岗位实习累计时间6个月。公共基础课974学时，占33.52%；选修课312学时，占10.74%。</w:t>
      </w:r>
    </w:p>
    <w:p>
      <w:pPr>
        <w:spacing w:line="360" w:lineRule="auto"/>
        <w:ind w:firstLine="960" w:firstLineChars="3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表7</w:t>
      </w:r>
      <w:r>
        <w:rPr>
          <w:rFonts w:hint="eastAsia" w:ascii="仿宋_GB2312" w:hAnsi="仿宋_GB2312" w:eastAsia="仿宋_GB2312" w:cs="仿宋_GB2312"/>
          <w:spacing w:val="-2"/>
          <w:sz w:val="32"/>
          <w:szCs w:val="32"/>
        </w:rPr>
        <w:t>应用电子技术专业课程学时、学分分配表</w:t>
      </w:r>
    </w:p>
    <w:tbl>
      <w:tblPr>
        <w:tblStyle w:val="12"/>
        <w:tblW w:w="11057" w:type="dxa"/>
        <w:tblInd w:w="-1310" w:type="dxa"/>
        <w:tblLayout w:type="autofit"/>
        <w:tblCellMar>
          <w:top w:w="0" w:type="dxa"/>
          <w:left w:w="108" w:type="dxa"/>
          <w:bottom w:w="0" w:type="dxa"/>
          <w:right w:w="108" w:type="dxa"/>
        </w:tblCellMar>
      </w:tblPr>
      <w:tblGrid>
        <w:gridCol w:w="918"/>
        <w:gridCol w:w="979"/>
        <w:gridCol w:w="850"/>
        <w:gridCol w:w="798"/>
        <w:gridCol w:w="1134"/>
        <w:gridCol w:w="850"/>
        <w:gridCol w:w="992"/>
        <w:gridCol w:w="1560"/>
        <w:gridCol w:w="1417"/>
        <w:gridCol w:w="1559"/>
      </w:tblGrid>
      <w:tr>
        <w:tblPrEx>
          <w:tblCellMar>
            <w:top w:w="0" w:type="dxa"/>
            <w:left w:w="108" w:type="dxa"/>
            <w:bottom w:w="0" w:type="dxa"/>
            <w:right w:w="108" w:type="dxa"/>
          </w:tblCellMar>
        </w:tblPrEx>
        <w:trPr>
          <w:trHeight w:val="300" w:hRule="atLeast"/>
        </w:trPr>
        <w:tc>
          <w:tcPr>
            <w:tcW w:w="189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课程类别</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课程性质</w:t>
            </w:r>
          </w:p>
        </w:tc>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学分</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占专业总学分比例</w:t>
            </w:r>
          </w:p>
        </w:tc>
        <w:tc>
          <w:tcPr>
            <w:tcW w:w="6378"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学时</w:t>
            </w:r>
          </w:p>
        </w:tc>
      </w:tr>
      <w:tr>
        <w:tblPrEx>
          <w:tblCellMar>
            <w:top w:w="0" w:type="dxa"/>
            <w:left w:w="108" w:type="dxa"/>
            <w:bottom w:w="0" w:type="dxa"/>
            <w:right w:w="108" w:type="dxa"/>
          </w:tblCellMar>
        </w:tblPrEx>
        <w:trPr>
          <w:trHeight w:val="300" w:hRule="atLeast"/>
        </w:trPr>
        <w:tc>
          <w:tcPr>
            <w:tcW w:w="189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color w:val="000000"/>
                <w:kern w:val="0"/>
                <w:sz w:val="24"/>
              </w:rPr>
            </w:pP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color w:val="000000"/>
                <w:kern w:val="0"/>
                <w:sz w:val="24"/>
              </w:rPr>
            </w:pPr>
          </w:p>
        </w:tc>
        <w:tc>
          <w:tcPr>
            <w:tcW w:w="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color w:val="000000"/>
                <w:kern w:val="0"/>
                <w:sz w:val="24"/>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color w:val="000000"/>
                <w:kern w:val="0"/>
                <w:sz w:val="24"/>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合计</w:t>
            </w: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理论教学</w:t>
            </w:r>
          </w:p>
        </w:tc>
        <w:tc>
          <w:tcPr>
            <w:tcW w:w="29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实践教学</w:t>
            </w:r>
          </w:p>
        </w:tc>
      </w:tr>
      <w:tr>
        <w:tblPrEx>
          <w:tblCellMar>
            <w:top w:w="0" w:type="dxa"/>
            <w:left w:w="108" w:type="dxa"/>
            <w:bottom w:w="0" w:type="dxa"/>
            <w:right w:w="108" w:type="dxa"/>
          </w:tblCellMar>
        </w:tblPrEx>
        <w:trPr>
          <w:trHeight w:val="900" w:hRule="atLeast"/>
        </w:trPr>
        <w:tc>
          <w:tcPr>
            <w:tcW w:w="189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color w:val="000000"/>
                <w:kern w:val="0"/>
                <w:sz w:val="24"/>
              </w:rPr>
            </w:pP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color w:val="000000"/>
                <w:kern w:val="0"/>
                <w:sz w:val="24"/>
              </w:rPr>
            </w:pPr>
          </w:p>
        </w:tc>
        <w:tc>
          <w:tcPr>
            <w:tcW w:w="7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color w:val="000000"/>
                <w:kern w:val="0"/>
                <w:sz w:val="24"/>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color w:val="000000"/>
                <w:kern w:val="0"/>
                <w:sz w:val="24"/>
              </w:rPr>
            </w:pP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color w:val="000000"/>
                <w:kern w:val="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学时</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占专业总学时比例（%）</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学时</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占专业总学时比例（%）</w:t>
            </w:r>
          </w:p>
        </w:tc>
      </w:tr>
      <w:tr>
        <w:tblPrEx>
          <w:tblCellMar>
            <w:top w:w="0" w:type="dxa"/>
            <w:left w:w="108" w:type="dxa"/>
            <w:bottom w:w="0" w:type="dxa"/>
            <w:right w:w="108" w:type="dxa"/>
          </w:tblCellMar>
        </w:tblPrEx>
        <w:trPr>
          <w:trHeight w:val="300" w:hRule="atLeast"/>
        </w:trPr>
        <w:tc>
          <w:tcPr>
            <w:tcW w:w="189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公共基础课</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必修</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40</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26.49%</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758</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442</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15.21%</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316</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10.87%</w:t>
            </w:r>
          </w:p>
        </w:tc>
      </w:tr>
      <w:tr>
        <w:tblPrEx>
          <w:tblCellMar>
            <w:top w:w="0" w:type="dxa"/>
            <w:left w:w="108" w:type="dxa"/>
            <w:bottom w:w="0" w:type="dxa"/>
            <w:right w:w="108" w:type="dxa"/>
          </w:tblCellMar>
        </w:tblPrEx>
        <w:trPr>
          <w:trHeight w:val="300" w:hRule="atLeast"/>
        </w:trPr>
        <w:tc>
          <w:tcPr>
            <w:tcW w:w="189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color w:val="000000"/>
                <w:kern w:val="0"/>
                <w:sz w:val="24"/>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选修</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12</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7.95%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216</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144</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4.96%</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72</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2.48%</w:t>
            </w:r>
          </w:p>
        </w:tc>
      </w:tr>
      <w:tr>
        <w:tblPrEx>
          <w:tblCellMar>
            <w:top w:w="0" w:type="dxa"/>
            <w:left w:w="108" w:type="dxa"/>
            <w:bottom w:w="0" w:type="dxa"/>
            <w:right w:w="108" w:type="dxa"/>
          </w:tblCellMar>
        </w:tblPrEx>
        <w:trPr>
          <w:trHeight w:val="300" w:hRule="atLeast"/>
        </w:trPr>
        <w:tc>
          <w:tcPr>
            <w:tcW w:w="189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color w:val="000000"/>
                <w:kern w:val="0"/>
                <w:sz w:val="24"/>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小计</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52</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34.44%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974</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586</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20.17%</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388</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13.35%</w:t>
            </w:r>
          </w:p>
        </w:tc>
      </w:tr>
      <w:tr>
        <w:tblPrEx>
          <w:tblCellMar>
            <w:top w:w="0" w:type="dxa"/>
            <w:left w:w="108" w:type="dxa"/>
            <w:bottom w:w="0" w:type="dxa"/>
            <w:right w:w="108" w:type="dxa"/>
          </w:tblCellMar>
        </w:tblPrEx>
        <w:trPr>
          <w:trHeight w:val="900" w:hRule="atLeast"/>
        </w:trPr>
        <w:tc>
          <w:tcPr>
            <w:tcW w:w="9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4"/>
              </w:rPr>
            </w:pPr>
            <w:bookmarkStart w:id="48" w:name="_GoBack" w:colFirst="7" w:colLast="7"/>
            <w:r>
              <w:rPr>
                <w:rFonts w:hint="eastAsia" w:ascii="仿宋_GB2312" w:hAnsi="仿宋_GB2312" w:eastAsia="仿宋_GB2312" w:cs="仿宋_GB2312"/>
                <w:color w:val="000000"/>
                <w:kern w:val="0"/>
                <w:sz w:val="24"/>
              </w:rPr>
              <w:t>专业(技能)课</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专业基础课</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必修</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ascii="宋体" w:hAnsi="宋体" w:cs="宋体"/>
                <w:color w:val="000000"/>
                <w:kern w:val="0"/>
                <w:sz w:val="24"/>
                <w:lang w:bidi="ar"/>
              </w:rPr>
              <w:t>28</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ascii="宋体" w:hAnsi="宋体" w:cs="宋体"/>
                <w:color w:val="000000"/>
                <w:kern w:val="0"/>
                <w:sz w:val="24"/>
                <w:lang w:bidi="ar"/>
              </w:rPr>
              <w:t>18.54</w:t>
            </w:r>
            <w:r>
              <w:rPr>
                <w:rFonts w:hint="eastAsia" w:ascii="宋体" w:hAnsi="宋体" w:cs="宋体"/>
                <w:color w:val="000000"/>
                <w:kern w:val="0"/>
                <w:sz w:val="24"/>
                <w:lang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4"/>
                <w:lang w:val="en-US" w:eastAsia="zh-CN"/>
              </w:rPr>
            </w:pPr>
            <w:r>
              <w:rPr>
                <w:rFonts w:hint="eastAsia" w:ascii="宋体" w:hAnsi="宋体" w:eastAsia="仿宋_GB2312" w:cs="宋体"/>
                <w:color w:val="000000"/>
                <w:kern w:val="0"/>
                <w:sz w:val="24"/>
                <w:lang w:val="en-US" w:eastAsia="zh-CN" w:bidi="ar"/>
              </w:rPr>
              <w:t>504</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4"/>
                <w:lang w:val="en-US" w:eastAsia="zh-CN"/>
              </w:rPr>
            </w:pPr>
            <w:r>
              <w:rPr>
                <w:rFonts w:hint="eastAsia" w:ascii="宋体" w:hAnsi="宋体" w:eastAsia="仿宋_GB2312" w:cs="宋体"/>
                <w:color w:val="000000"/>
                <w:kern w:val="0"/>
                <w:sz w:val="24"/>
                <w:lang w:val="en-US" w:eastAsia="zh-CN" w:bidi="ar"/>
              </w:rPr>
              <w:t>310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color w:val="000000"/>
                <w:kern w:val="0"/>
                <w:sz w:val="24"/>
              </w:rPr>
            </w:pPr>
            <w:r>
              <w:rPr>
                <w:rFonts w:ascii="宋体" w:hAnsi="宋体" w:cs="宋体"/>
                <w:color w:val="000000"/>
                <w:kern w:val="0"/>
                <w:sz w:val="24"/>
                <w:lang w:bidi="ar"/>
              </w:rPr>
              <w:t>11.49</w:t>
            </w:r>
            <w:r>
              <w:rPr>
                <w:rFonts w:hint="eastAsia" w:ascii="宋体" w:hAnsi="宋体" w:cs="宋体"/>
                <w:color w:val="000000"/>
                <w:kern w:val="0"/>
                <w:sz w:val="24"/>
                <w:lang w:bidi="ar"/>
              </w:rPr>
              <w:t>%</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4"/>
                <w:lang w:val="en-US" w:eastAsia="zh-CN"/>
              </w:rPr>
            </w:pPr>
            <w:r>
              <w:rPr>
                <w:rFonts w:hint="eastAsia" w:ascii="宋体" w:hAnsi="宋体" w:eastAsia="仿宋_GB2312" w:cs="宋体"/>
                <w:color w:val="000000"/>
                <w:kern w:val="0"/>
                <w:sz w:val="24"/>
                <w:lang w:val="en-US" w:eastAsia="zh-CN" w:bidi="ar"/>
              </w:rPr>
              <w:t>194</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ascii="宋体" w:hAnsi="宋体" w:cs="宋体"/>
                <w:color w:val="000000"/>
                <w:kern w:val="0"/>
                <w:sz w:val="24"/>
                <w:lang w:bidi="ar"/>
              </w:rPr>
              <w:t>10.80</w:t>
            </w:r>
            <w:r>
              <w:rPr>
                <w:rFonts w:hint="eastAsia" w:ascii="宋体" w:hAnsi="宋体" w:cs="宋体"/>
                <w:color w:val="000000"/>
                <w:kern w:val="0"/>
                <w:sz w:val="24"/>
                <w:lang w:bidi="ar"/>
              </w:rPr>
              <w:t>%</w:t>
            </w:r>
          </w:p>
        </w:tc>
      </w:tr>
      <w:tr>
        <w:tblPrEx>
          <w:tblCellMar>
            <w:top w:w="0" w:type="dxa"/>
            <w:left w:w="108" w:type="dxa"/>
            <w:bottom w:w="0" w:type="dxa"/>
            <w:right w:w="108" w:type="dxa"/>
          </w:tblCellMar>
        </w:tblPrEx>
        <w:trPr>
          <w:trHeight w:val="900" w:hRule="atLeast"/>
        </w:trPr>
        <w:tc>
          <w:tcPr>
            <w:tcW w:w="9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color w:val="000000"/>
                <w:kern w:val="0"/>
                <w:sz w:val="24"/>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专业核心课</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必修</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ascii="宋体" w:hAnsi="宋体" w:cs="宋体"/>
                <w:color w:val="000000"/>
                <w:kern w:val="0"/>
                <w:sz w:val="24"/>
                <w:lang w:bidi="ar"/>
              </w:rPr>
              <w:t>32</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ascii="宋体" w:hAnsi="宋体" w:cs="宋体"/>
                <w:color w:val="000000"/>
                <w:kern w:val="0"/>
                <w:sz w:val="24"/>
                <w:lang w:bidi="ar"/>
              </w:rPr>
              <w:t>21.19</w:t>
            </w:r>
            <w:r>
              <w:rPr>
                <w:rFonts w:hint="eastAsia" w:ascii="宋体" w:hAnsi="宋体" w:cs="宋体"/>
                <w:color w:val="000000"/>
                <w:kern w:val="0"/>
                <w:sz w:val="24"/>
                <w:lang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4"/>
                <w:lang w:val="en-US" w:eastAsia="zh-CN"/>
              </w:rPr>
            </w:pPr>
            <w:r>
              <w:rPr>
                <w:rFonts w:hint="eastAsia" w:ascii="宋体" w:hAnsi="宋体" w:eastAsia="仿宋_GB2312" w:cs="宋体"/>
                <w:color w:val="000000"/>
                <w:kern w:val="0"/>
                <w:sz w:val="24"/>
                <w:lang w:val="en-US" w:eastAsia="zh-CN" w:bidi="ar"/>
              </w:rPr>
              <w:t>576</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4"/>
                <w:lang w:val="en-US" w:eastAsia="zh-CN"/>
              </w:rPr>
            </w:pPr>
            <w:r>
              <w:rPr>
                <w:rFonts w:hint="eastAsia" w:ascii="宋体" w:hAnsi="宋体" w:eastAsia="仿宋_GB2312" w:cs="宋体"/>
                <w:color w:val="000000"/>
                <w:kern w:val="0"/>
                <w:sz w:val="24"/>
                <w:lang w:val="en-US" w:eastAsia="zh-CN" w:bidi="ar"/>
              </w:rPr>
              <w:t>242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color w:val="000000"/>
                <w:kern w:val="0"/>
                <w:sz w:val="24"/>
              </w:rPr>
            </w:pPr>
            <w:r>
              <w:rPr>
                <w:rFonts w:ascii="宋体" w:hAnsi="宋体" w:cs="宋体"/>
                <w:color w:val="000000"/>
                <w:kern w:val="0"/>
                <w:sz w:val="24"/>
                <w:lang w:bidi="ar"/>
              </w:rPr>
              <w:t>7.50</w:t>
            </w:r>
            <w:r>
              <w:rPr>
                <w:rFonts w:hint="eastAsia" w:ascii="宋体" w:hAnsi="宋体" w:cs="宋体"/>
                <w:color w:val="000000"/>
                <w:kern w:val="0"/>
                <w:sz w:val="24"/>
                <w:lang w:bidi="ar"/>
              </w:rPr>
              <w:t>%</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hint="default" w:ascii="仿宋_GB2312" w:hAnsi="仿宋_GB2312" w:eastAsia="仿宋_GB2312" w:cs="仿宋_GB2312"/>
                <w:color w:val="000000"/>
                <w:kern w:val="0"/>
                <w:sz w:val="24"/>
                <w:lang w:val="en-US" w:eastAsia="zh-CN"/>
              </w:rPr>
            </w:pPr>
            <w:r>
              <w:rPr>
                <w:rFonts w:hint="eastAsia" w:ascii="宋体" w:hAnsi="宋体" w:eastAsia="仿宋_GB2312" w:cs="宋体"/>
                <w:color w:val="000000"/>
                <w:kern w:val="0"/>
                <w:sz w:val="24"/>
                <w:lang w:val="en-US" w:eastAsia="zh-CN" w:bidi="ar"/>
              </w:rPr>
              <w:t>334</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ascii="宋体" w:hAnsi="宋体" w:cs="宋体"/>
                <w:color w:val="000000"/>
                <w:kern w:val="0"/>
                <w:sz w:val="24"/>
                <w:lang w:bidi="ar"/>
              </w:rPr>
              <w:t>7.36</w:t>
            </w:r>
            <w:r>
              <w:rPr>
                <w:rFonts w:hint="eastAsia" w:ascii="宋体" w:hAnsi="宋体" w:cs="宋体"/>
                <w:color w:val="000000"/>
                <w:kern w:val="0"/>
                <w:sz w:val="24"/>
                <w:lang w:bidi="ar"/>
              </w:rPr>
              <w:t>%</w:t>
            </w:r>
          </w:p>
        </w:tc>
      </w:tr>
      <w:bookmarkEnd w:id="48"/>
      <w:tr>
        <w:tblPrEx>
          <w:tblCellMar>
            <w:top w:w="0" w:type="dxa"/>
            <w:left w:w="108" w:type="dxa"/>
            <w:bottom w:w="0" w:type="dxa"/>
            <w:right w:w="108" w:type="dxa"/>
          </w:tblCellMar>
        </w:tblPrEx>
        <w:trPr>
          <w:trHeight w:val="900" w:hRule="atLeast"/>
        </w:trPr>
        <w:tc>
          <w:tcPr>
            <w:tcW w:w="9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color w:val="000000"/>
                <w:kern w:val="0"/>
                <w:sz w:val="24"/>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专业实践课程</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必修</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29</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19.21%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692</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20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0.69%</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672</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23.12%</w:t>
            </w:r>
          </w:p>
        </w:tc>
      </w:tr>
      <w:tr>
        <w:tblPrEx>
          <w:tblCellMar>
            <w:top w:w="0" w:type="dxa"/>
            <w:left w:w="108" w:type="dxa"/>
            <w:bottom w:w="0" w:type="dxa"/>
            <w:right w:w="108" w:type="dxa"/>
          </w:tblCellMar>
        </w:tblPrEx>
        <w:trPr>
          <w:trHeight w:val="900" w:hRule="atLeast"/>
        </w:trPr>
        <w:tc>
          <w:tcPr>
            <w:tcW w:w="9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color w:val="000000"/>
                <w:kern w:val="0"/>
                <w:sz w:val="24"/>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专业拓展课程</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选修</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6</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3.97%</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96</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96</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3.30%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0</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0.00%</w:t>
            </w:r>
          </w:p>
        </w:tc>
      </w:tr>
      <w:tr>
        <w:tblPrEx>
          <w:tblCellMar>
            <w:top w:w="0" w:type="dxa"/>
            <w:left w:w="108" w:type="dxa"/>
            <w:bottom w:w="0" w:type="dxa"/>
            <w:right w:w="108" w:type="dxa"/>
          </w:tblCellMar>
        </w:tblPrEx>
        <w:trPr>
          <w:trHeight w:val="300" w:hRule="atLeast"/>
        </w:trPr>
        <w:tc>
          <w:tcPr>
            <w:tcW w:w="9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color w:val="000000"/>
                <w:kern w:val="0"/>
                <w:sz w:val="24"/>
              </w:rPr>
            </w:pPr>
          </w:p>
        </w:tc>
        <w:tc>
          <w:tcPr>
            <w:tcW w:w="18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小计</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95</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62.91%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1868</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668</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22.99%</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1200</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41.29%</w:t>
            </w:r>
          </w:p>
        </w:tc>
      </w:tr>
      <w:tr>
        <w:tblPrEx>
          <w:tblCellMar>
            <w:top w:w="0" w:type="dxa"/>
            <w:left w:w="108" w:type="dxa"/>
            <w:bottom w:w="0" w:type="dxa"/>
            <w:right w:w="108" w:type="dxa"/>
          </w:tblCellMar>
        </w:tblPrEx>
        <w:trPr>
          <w:trHeight w:val="300" w:hRule="atLeast"/>
        </w:trPr>
        <w:tc>
          <w:tcPr>
            <w:tcW w:w="18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第二课堂</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必修</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4</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2.65%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64</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64</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2.20%</w:t>
            </w:r>
          </w:p>
        </w:tc>
      </w:tr>
      <w:tr>
        <w:tblPrEx>
          <w:tblCellMar>
            <w:top w:w="0" w:type="dxa"/>
            <w:left w:w="108" w:type="dxa"/>
            <w:bottom w:w="0" w:type="dxa"/>
            <w:right w:w="108" w:type="dxa"/>
          </w:tblCellMar>
        </w:tblPrEx>
        <w:trPr>
          <w:trHeight w:val="300" w:hRule="atLeast"/>
        </w:trPr>
        <w:tc>
          <w:tcPr>
            <w:tcW w:w="2747"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合计</w:t>
            </w:r>
          </w:p>
        </w:tc>
        <w:tc>
          <w:tcPr>
            <w:tcW w:w="7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151</w:t>
            </w: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100.00%</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2906</w:t>
            </w:r>
          </w:p>
        </w:tc>
        <w:tc>
          <w:tcPr>
            <w:tcW w:w="9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1254</w:t>
            </w:r>
          </w:p>
        </w:tc>
        <w:tc>
          <w:tcPr>
            <w:tcW w:w="1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43.15%</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1652</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仿宋_GB2312" w:hAnsi="仿宋_GB2312" w:eastAsia="仿宋_GB2312" w:cs="仿宋_GB2312"/>
                <w:color w:val="000000"/>
                <w:kern w:val="0"/>
                <w:sz w:val="24"/>
              </w:rPr>
            </w:pPr>
            <w:r>
              <w:rPr>
                <w:rFonts w:hint="eastAsia" w:ascii="宋体" w:hAnsi="宋体" w:cs="宋体"/>
                <w:color w:val="000000"/>
                <w:kern w:val="0"/>
                <w:sz w:val="24"/>
                <w:lang w:bidi="ar"/>
              </w:rPr>
              <w:t>56.85%</w:t>
            </w:r>
          </w:p>
        </w:tc>
      </w:tr>
    </w:tbl>
    <w:p>
      <w:pPr>
        <w:overflowPunct w:val="0"/>
        <w:adjustRightInd w:val="0"/>
        <w:spacing w:line="520" w:lineRule="exact"/>
        <w:ind w:firstLine="640" w:firstLineChars="200"/>
        <w:outlineLvl w:val="0"/>
        <w:rPr>
          <w:rFonts w:ascii="楷体" w:hAnsi="楷体" w:eastAsia="楷体" w:cs="楷体"/>
          <w:sz w:val="32"/>
          <w:szCs w:val="32"/>
        </w:rPr>
      </w:pPr>
      <w:r>
        <w:rPr>
          <w:rFonts w:hint="eastAsia" w:ascii="楷体" w:hAnsi="楷体" w:eastAsia="楷体" w:cs="楷体"/>
          <w:sz w:val="32"/>
          <w:szCs w:val="32"/>
        </w:rPr>
        <w:t>（三）教学计划进程</w:t>
      </w:r>
    </w:p>
    <w:p>
      <w:pPr>
        <w:pStyle w:val="11"/>
        <w:shd w:val="clear" w:color="auto" w:fill="FFFFFF"/>
        <w:spacing w:beforeAutospacing="0" w:afterAutospacing="0" w:line="520" w:lineRule="exact"/>
        <w:ind w:firstLine="1896" w:firstLineChars="6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pacing w:val="-2"/>
          <w:sz w:val="32"/>
          <w:szCs w:val="32"/>
        </w:rPr>
        <w:t>表8应用电子技术专业</w:t>
      </w:r>
      <w:r>
        <w:rPr>
          <w:rFonts w:hint="eastAsia" w:ascii="仿宋_GB2312" w:hAnsi="仿宋_GB2312" w:eastAsia="仿宋_GB2312" w:cs="仿宋_GB2312"/>
          <w:sz w:val="32"/>
          <w:szCs w:val="32"/>
          <w:shd w:val="clear" w:color="auto" w:fill="FFFFFF"/>
          <w:lang w:bidi="ar"/>
        </w:rPr>
        <w:t>教学计划进程安排表</w:t>
      </w:r>
    </w:p>
    <w:tbl>
      <w:tblPr>
        <w:tblStyle w:val="12"/>
        <w:tblW w:w="61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46"/>
        <w:gridCol w:w="626"/>
        <w:gridCol w:w="933"/>
        <w:gridCol w:w="1419"/>
        <w:gridCol w:w="724"/>
        <w:gridCol w:w="835"/>
        <w:gridCol w:w="835"/>
        <w:gridCol w:w="843"/>
        <w:gridCol w:w="368"/>
        <w:gridCol w:w="368"/>
        <w:gridCol w:w="368"/>
        <w:gridCol w:w="368"/>
        <w:gridCol w:w="446"/>
        <w:gridCol w:w="385"/>
        <w:gridCol w:w="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390" w:type="pct"/>
            <w:vMerge w:val="restart"/>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课程类型</w:t>
            </w:r>
          </w:p>
        </w:tc>
        <w:tc>
          <w:tcPr>
            <w:tcW w:w="261" w:type="pct"/>
            <w:vMerge w:val="restart"/>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课程性质</w:t>
            </w:r>
          </w:p>
        </w:tc>
        <w:tc>
          <w:tcPr>
            <w:tcW w:w="299" w:type="pct"/>
            <w:vMerge w:val="restar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446" w:type="pct"/>
            <w:vMerge w:val="restar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课程</w:t>
            </w:r>
          </w:p>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代码</w:t>
            </w:r>
          </w:p>
        </w:tc>
        <w:tc>
          <w:tcPr>
            <w:tcW w:w="678" w:type="pct"/>
            <w:vMerge w:val="restart"/>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课程名称</w:t>
            </w:r>
          </w:p>
        </w:tc>
        <w:tc>
          <w:tcPr>
            <w:tcW w:w="346" w:type="pct"/>
            <w:vMerge w:val="restar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学分</w:t>
            </w:r>
          </w:p>
        </w:tc>
        <w:tc>
          <w:tcPr>
            <w:tcW w:w="1201" w:type="pct"/>
            <w:gridSpan w:val="3"/>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教学学时数</w:t>
            </w:r>
          </w:p>
        </w:tc>
        <w:tc>
          <w:tcPr>
            <w:tcW w:w="1101" w:type="pct"/>
            <w:gridSpan w:val="6"/>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开课学期和周学时</w:t>
            </w:r>
          </w:p>
        </w:tc>
        <w:tc>
          <w:tcPr>
            <w:tcW w:w="278" w:type="pct"/>
            <w:vMerge w:val="restar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考核类型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446"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678"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346"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399"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合计</w:t>
            </w:r>
          </w:p>
        </w:tc>
        <w:tc>
          <w:tcPr>
            <w:tcW w:w="399"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理论学时</w:t>
            </w:r>
          </w:p>
        </w:tc>
        <w:tc>
          <w:tcPr>
            <w:tcW w:w="403"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实践学时</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一</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二</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三</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四</w:t>
            </w:r>
          </w:p>
        </w:tc>
        <w:tc>
          <w:tcPr>
            <w:tcW w:w="213"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五</w:t>
            </w: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六</w:t>
            </w:r>
          </w:p>
        </w:tc>
        <w:tc>
          <w:tcPr>
            <w:tcW w:w="278" w:type="pct"/>
            <w:vMerge w:val="continue"/>
            <w:shd w:val="clear" w:color="auto" w:fill="auto"/>
            <w:vAlign w:val="center"/>
          </w:tcPr>
          <w:p>
            <w:pPr>
              <w:spacing w:line="360" w:lineRule="exact"/>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390" w:type="pct"/>
            <w:vMerge w:val="restart"/>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公共基础课</w:t>
            </w:r>
          </w:p>
        </w:tc>
        <w:tc>
          <w:tcPr>
            <w:tcW w:w="261" w:type="pct"/>
            <w:vMerge w:val="restart"/>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必修课</w:t>
            </w: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10B110620</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毛泽东思想和中国特色社会主义理论体系概论</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32</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28</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213" w:type="pct"/>
            <w:shd w:val="clear" w:color="auto" w:fill="auto"/>
            <w:vAlign w:val="center"/>
          </w:tcPr>
          <w:p>
            <w:pPr>
              <w:spacing w:line="360" w:lineRule="exact"/>
              <w:jc w:val="center"/>
              <w:rPr>
                <w:rFonts w:ascii="仿宋_GB2312" w:hAnsi="仿宋_GB2312" w:eastAsia="仿宋_GB2312" w:cs="仿宋_GB2312"/>
                <w:kern w:val="0"/>
                <w:sz w:val="24"/>
              </w:rPr>
            </w:pP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10B110820</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形势与政策</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32</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32</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w:t>
            </w:r>
          </w:p>
        </w:tc>
        <w:tc>
          <w:tcPr>
            <w:tcW w:w="1101" w:type="pct"/>
            <w:gridSpan w:val="6"/>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1到4学期开课，每学期8学时。</w:t>
            </w: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10B110520</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思想道德与法治</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12</w:t>
            </w: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p>
        </w:tc>
        <w:tc>
          <w:tcPr>
            <w:tcW w:w="213" w:type="pct"/>
            <w:shd w:val="clear" w:color="auto" w:fill="auto"/>
            <w:vAlign w:val="center"/>
          </w:tcPr>
          <w:p>
            <w:pPr>
              <w:spacing w:line="360" w:lineRule="exact"/>
              <w:jc w:val="center"/>
              <w:rPr>
                <w:rFonts w:ascii="仿宋_GB2312" w:hAnsi="仿宋_GB2312" w:eastAsia="仿宋_GB2312" w:cs="仿宋_GB2312"/>
                <w:kern w:val="0"/>
                <w:sz w:val="24"/>
              </w:rPr>
            </w:pP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10B110720</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习近平新时代中国特色社会主义思想概论</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48</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48</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0</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p>
        </w:tc>
        <w:tc>
          <w:tcPr>
            <w:tcW w:w="17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w:t>
            </w:r>
          </w:p>
        </w:tc>
        <w:tc>
          <w:tcPr>
            <w:tcW w:w="213" w:type="pct"/>
            <w:shd w:val="clear" w:color="auto" w:fill="auto"/>
            <w:vAlign w:val="center"/>
          </w:tcPr>
          <w:p>
            <w:pPr>
              <w:spacing w:line="360" w:lineRule="exact"/>
              <w:jc w:val="center"/>
              <w:rPr>
                <w:rFonts w:ascii="仿宋_GB2312" w:hAnsi="仿宋_GB2312" w:eastAsia="仿宋_GB2312" w:cs="仿宋_GB2312"/>
                <w:kern w:val="0"/>
                <w:sz w:val="24"/>
              </w:rPr>
            </w:pP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5</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10B111320</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大学体育</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6</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108</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12</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96</w:t>
            </w: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p>
        </w:tc>
        <w:tc>
          <w:tcPr>
            <w:tcW w:w="213" w:type="pct"/>
            <w:shd w:val="clear" w:color="auto" w:fill="auto"/>
            <w:vAlign w:val="center"/>
          </w:tcPr>
          <w:p>
            <w:pPr>
              <w:spacing w:line="360" w:lineRule="exact"/>
              <w:jc w:val="center"/>
              <w:rPr>
                <w:rFonts w:ascii="仿宋_GB2312" w:hAnsi="仿宋_GB2312" w:eastAsia="仿宋_GB2312" w:cs="仿宋_GB2312"/>
                <w:kern w:val="0"/>
                <w:sz w:val="24"/>
              </w:rPr>
            </w:pP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6</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10B111221</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军事理论</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w:t>
            </w: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p>
        </w:tc>
        <w:tc>
          <w:tcPr>
            <w:tcW w:w="213" w:type="pct"/>
            <w:shd w:val="clear" w:color="auto" w:fill="auto"/>
            <w:vAlign w:val="center"/>
          </w:tcPr>
          <w:p>
            <w:pPr>
              <w:spacing w:line="360" w:lineRule="exact"/>
              <w:jc w:val="center"/>
              <w:rPr>
                <w:rFonts w:ascii="仿宋_GB2312" w:hAnsi="仿宋_GB2312" w:eastAsia="仿宋_GB2312" w:cs="仿宋_GB2312"/>
                <w:kern w:val="0"/>
                <w:sz w:val="24"/>
              </w:rPr>
            </w:pP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7</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10B111222</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军事技能</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112</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112</w:t>
            </w:r>
          </w:p>
        </w:tc>
        <w:tc>
          <w:tcPr>
            <w:tcW w:w="1101" w:type="pct"/>
            <w:gridSpan w:val="6"/>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第1学期，实际训练时间不少于14天。</w:t>
            </w: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8</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10B119820</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大学生心理健康教育</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32</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20</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12</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p>
        </w:tc>
        <w:tc>
          <w:tcPr>
            <w:tcW w:w="213" w:type="pct"/>
            <w:shd w:val="clear" w:color="auto" w:fill="auto"/>
            <w:vAlign w:val="center"/>
          </w:tcPr>
          <w:p>
            <w:pPr>
              <w:spacing w:line="360" w:lineRule="exact"/>
              <w:jc w:val="center"/>
              <w:rPr>
                <w:rFonts w:ascii="仿宋_GB2312" w:hAnsi="仿宋_GB2312" w:eastAsia="仿宋_GB2312" w:cs="仿宋_GB2312"/>
                <w:kern w:val="0"/>
                <w:sz w:val="24"/>
              </w:rPr>
            </w:pP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9</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10B110120</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大学英语</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8</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128</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104</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24</w:t>
            </w: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213" w:type="pct"/>
            <w:shd w:val="clear" w:color="auto" w:fill="auto"/>
            <w:vAlign w:val="center"/>
          </w:tcPr>
          <w:p>
            <w:pPr>
              <w:spacing w:line="360" w:lineRule="exact"/>
              <w:jc w:val="center"/>
              <w:rPr>
                <w:rFonts w:ascii="仿宋_GB2312" w:hAnsi="仿宋_GB2312" w:eastAsia="仿宋_GB2312" w:cs="仿宋_GB2312"/>
                <w:sz w:val="24"/>
              </w:rPr>
            </w:pPr>
          </w:p>
        </w:tc>
        <w:tc>
          <w:tcPr>
            <w:tcW w:w="184" w:type="pct"/>
            <w:shd w:val="clear" w:color="auto" w:fill="auto"/>
            <w:vAlign w:val="center"/>
          </w:tcPr>
          <w:p>
            <w:pPr>
              <w:spacing w:line="360" w:lineRule="exact"/>
              <w:jc w:val="center"/>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10B111720</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计算机基础</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64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32</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32</w:t>
            </w: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213" w:type="pct"/>
            <w:shd w:val="clear" w:color="auto" w:fill="auto"/>
            <w:vAlign w:val="center"/>
          </w:tcPr>
          <w:p>
            <w:pPr>
              <w:spacing w:line="360" w:lineRule="exact"/>
              <w:jc w:val="center"/>
              <w:rPr>
                <w:rFonts w:ascii="仿宋_GB2312" w:hAnsi="仿宋_GB2312" w:eastAsia="仿宋_GB2312" w:cs="仿宋_GB2312"/>
                <w:sz w:val="24"/>
              </w:rPr>
            </w:pPr>
          </w:p>
        </w:tc>
        <w:tc>
          <w:tcPr>
            <w:tcW w:w="184" w:type="pct"/>
            <w:shd w:val="clear" w:color="auto" w:fill="auto"/>
            <w:vAlign w:val="center"/>
          </w:tcPr>
          <w:p>
            <w:pPr>
              <w:spacing w:line="360" w:lineRule="exact"/>
              <w:jc w:val="center"/>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11</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10B111220</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大学生职业发展与就业指导</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38</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w:t>
            </w: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213" w:type="pct"/>
            <w:shd w:val="clear" w:color="auto" w:fill="auto"/>
            <w:vAlign w:val="center"/>
          </w:tcPr>
          <w:p>
            <w:pPr>
              <w:spacing w:line="360" w:lineRule="exact"/>
              <w:jc w:val="center"/>
              <w:rPr>
                <w:rFonts w:ascii="仿宋_GB2312" w:hAnsi="仿宋_GB2312" w:eastAsia="仿宋_GB2312" w:cs="仿宋_GB2312"/>
                <w:sz w:val="24"/>
              </w:rPr>
            </w:pPr>
          </w:p>
        </w:tc>
        <w:tc>
          <w:tcPr>
            <w:tcW w:w="184" w:type="pct"/>
            <w:shd w:val="clear" w:color="auto" w:fill="auto"/>
            <w:vAlign w:val="center"/>
          </w:tcPr>
          <w:p>
            <w:pPr>
              <w:spacing w:line="360" w:lineRule="exact"/>
              <w:jc w:val="center"/>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10C119700</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劳动教育</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16</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12</w:t>
            </w: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176" w:type="pct"/>
            <w:shd w:val="clear" w:color="auto" w:fill="auto"/>
            <w:vAlign w:val="center"/>
          </w:tcPr>
          <w:p>
            <w:pPr>
              <w:spacing w:line="360" w:lineRule="exact"/>
              <w:jc w:val="center"/>
              <w:rPr>
                <w:rFonts w:ascii="仿宋_GB2312" w:hAnsi="仿宋_GB2312" w:eastAsia="仿宋_GB2312" w:cs="仿宋_GB2312"/>
                <w:sz w:val="24"/>
              </w:rPr>
            </w:pPr>
          </w:p>
        </w:tc>
        <w:tc>
          <w:tcPr>
            <w:tcW w:w="213" w:type="pct"/>
            <w:shd w:val="clear" w:color="auto" w:fill="auto"/>
            <w:vAlign w:val="center"/>
          </w:tcPr>
          <w:p>
            <w:pPr>
              <w:spacing w:line="360" w:lineRule="exact"/>
              <w:jc w:val="center"/>
              <w:rPr>
                <w:rFonts w:ascii="仿宋_GB2312" w:hAnsi="仿宋_GB2312" w:eastAsia="仿宋_GB2312" w:cs="仿宋_GB2312"/>
                <w:sz w:val="24"/>
              </w:rPr>
            </w:pPr>
          </w:p>
        </w:tc>
        <w:tc>
          <w:tcPr>
            <w:tcW w:w="184" w:type="pct"/>
            <w:shd w:val="clear" w:color="auto" w:fill="auto"/>
            <w:vAlign w:val="center"/>
          </w:tcPr>
          <w:p>
            <w:pPr>
              <w:spacing w:line="360" w:lineRule="exact"/>
              <w:jc w:val="center"/>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13</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4"/>
                <w:rFonts w:ascii="仿宋_GB2312" w:hAnsi="仿宋_GB2312" w:eastAsia="仿宋_GB2312" w:cs="仿宋_GB2312"/>
                <w:sz w:val="24"/>
                <w:szCs w:val="24"/>
              </w:rPr>
              <w:t>10A111820</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高等数学</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64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64</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w:t>
            </w:r>
          </w:p>
        </w:tc>
        <w:tc>
          <w:tcPr>
            <w:tcW w:w="176" w:type="pct"/>
            <w:shd w:val="clear" w:color="auto" w:fill="auto"/>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176" w:type="pct"/>
            <w:shd w:val="clear" w:color="auto" w:fill="auto"/>
            <w:vAlign w:val="center"/>
          </w:tcPr>
          <w:p>
            <w:pPr>
              <w:spacing w:line="360" w:lineRule="exact"/>
              <w:rPr>
                <w:rFonts w:ascii="仿宋_GB2312" w:hAnsi="仿宋_GB2312" w:eastAsia="仿宋_GB2312" w:cs="仿宋_GB2312"/>
                <w:sz w:val="24"/>
              </w:rPr>
            </w:pPr>
            <w:r>
              <w:rPr>
                <w:rFonts w:hint="eastAsia" w:ascii="仿宋_GB2312" w:hAnsi="仿宋_GB2312" w:eastAsia="仿宋_GB2312" w:cs="仿宋_GB2312"/>
                <w:sz w:val="24"/>
              </w:rPr>
              <w:t>2</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rPr>
                <w:rFonts w:ascii="仿宋_GB2312" w:hAnsi="仿宋_GB2312" w:eastAsia="仿宋_GB2312" w:cs="仿宋_GB2312"/>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restart"/>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选修课</w:t>
            </w: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20D0005</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大学生礼仪修养</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54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18</w:t>
            </w:r>
          </w:p>
        </w:tc>
        <w:tc>
          <w:tcPr>
            <w:tcW w:w="1101" w:type="pct"/>
            <w:gridSpan w:val="6"/>
            <w:vMerge w:val="restar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公共选修课最低学分要求为12学分，其中要求3个学分为思政选修课学分,3个学分为国家安全教育课学分。</w:t>
            </w: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20D0006</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中国民俗剪纸技法</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54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18</w:t>
            </w:r>
          </w:p>
        </w:tc>
        <w:tc>
          <w:tcPr>
            <w:tcW w:w="1101" w:type="pct"/>
            <w:gridSpan w:val="6"/>
            <w:vMerge w:val="continue"/>
            <w:shd w:val="clear" w:color="auto" w:fill="auto"/>
            <w:vAlign w:val="center"/>
          </w:tcPr>
          <w:p>
            <w:pPr>
              <w:spacing w:line="360" w:lineRule="exact"/>
              <w:jc w:val="center"/>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20D0007</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影视与鉴赏</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54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18</w:t>
            </w:r>
          </w:p>
        </w:tc>
        <w:tc>
          <w:tcPr>
            <w:tcW w:w="1101" w:type="pct"/>
            <w:gridSpan w:val="6"/>
            <w:vMerge w:val="continue"/>
            <w:shd w:val="clear" w:color="auto" w:fill="auto"/>
            <w:vAlign w:val="center"/>
          </w:tcPr>
          <w:p>
            <w:pPr>
              <w:spacing w:line="360" w:lineRule="exact"/>
              <w:jc w:val="center"/>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20D0003</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人际交流与沟通</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54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18</w:t>
            </w:r>
          </w:p>
        </w:tc>
        <w:tc>
          <w:tcPr>
            <w:tcW w:w="1101" w:type="pct"/>
            <w:gridSpan w:val="6"/>
            <w:vMerge w:val="continue"/>
            <w:shd w:val="clear" w:color="auto" w:fill="auto"/>
            <w:vAlign w:val="center"/>
          </w:tcPr>
          <w:p>
            <w:pPr>
              <w:spacing w:line="360" w:lineRule="exact"/>
              <w:jc w:val="center"/>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5</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10B111227</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演讲与口才</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54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18</w:t>
            </w:r>
          </w:p>
        </w:tc>
        <w:tc>
          <w:tcPr>
            <w:tcW w:w="1101" w:type="pct"/>
            <w:gridSpan w:val="6"/>
            <w:vMerge w:val="continue"/>
            <w:shd w:val="clear" w:color="auto" w:fill="auto"/>
            <w:vAlign w:val="center"/>
          </w:tcPr>
          <w:p>
            <w:pPr>
              <w:spacing w:line="360" w:lineRule="exact"/>
              <w:jc w:val="center"/>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6</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10B111229</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创新创业教育</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54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18</w:t>
            </w:r>
          </w:p>
        </w:tc>
        <w:tc>
          <w:tcPr>
            <w:tcW w:w="1101" w:type="pct"/>
            <w:gridSpan w:val="6"/>
            <w:vMerge w:val="continue"/>
            <w:shd w:val="clear" w:color="auto" w:fill="auto"/>
            <w:vAlign w:val="center"/>
          </w:tcPr>
          <w:p>
            <w:pPr>
              <w:spacing w:line="360" w:lineRule="exact"/>
              <w:jc w:val="center"/>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7</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10B111228</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中国共产党简史</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54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18</w:t>
            </w:r>
          </w:p>
        </w:tc>
        <w:tc>
          <w:tcPr>
            <w:tcW w:w="1101" w:type="pct"/>
            <w:gridSpan w:val="6"/>
            <w:vMerge w:val="continue"/>
            <w:shd w:val="clear" w:color="auto" w:fill="auto"/>
            <w:vAlign w:val="center"/>
          </w:tcPr>
          <w:p>
            <w:pPr>
              <w:spacing w:line="360" w:lineRule="exact"/>
              <w:jc w:val="center"/>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8</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10B111233</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改革开放简史</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54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18</w:t>
            </w:r>
          </w:p>
        </w:tc>
        <w:tc>
          <w:tcPr>
            <w:tcW w:w="1101" w:type="pct"/>
            <w:gridSpan w:val="6"/>
            <w:vMerge w:val="continue"/>
            <w:shd w:val="clear" w:color="auto" w:fill="auto"/>
            <w:vAlign w:val="center"/>
          </w:tcPr>
          <w:p>
            <w:pPr>
              <w:spacing w:line="360" w:lineRule="exact"/>
              <w:jc w:val="center"/>
              <w:rPr>
                <w:rFonts w:ascii="仿宋_GB2312" w:hAnsi="仿宋_GB2312" w:eastAsia="仿宋_GB2312" w:cs="仿宋_GB2312"/>
                <w:kern w:val="0"/>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9</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10B111231</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中华人民共和国简史</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54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18</w:t>
            </w:r>
          </w:p>
        </w:tc>
        <w:tc>
          <w:tcPr>
            <w:tcW w:w="1101" w:type="pct"/>
            <w:gridSpan w:val="6"/>
            <w:vMerge w:val="continue"/>
            <w:shd w:val="clear" w:color="auto" w:fill="auto"/>
            <w:vAlign w:val="center"/>
          </w:tcPr>
          <w:p>
            <w:pPr>
              <w:spacing w:line="360" w:lineRule="exact"/>
              <w:jc w:val="center"/>
              <w:rPr>
                <w:rFonts w:ascii="仿宋_GB2312" w:hAnsi="仿宋_GB2312" w:eastAsia="仿宋_GB2312" w:cs="仿宋_GB2312"/>
                <w:kern w:val="0"/>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10B111232</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社会主义发展简史</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54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18</w:t>
            </w:r>
          </w:p>
        </w:tc>
        <w:tc>
          <w:tcPr>
            <w:tcW w:w="1101" w:type="pct"/>
            <w:gridSpan w:val="6"/>
            <w:vMerge w:val="continue"/>
            <w:shd w:val="clear" w:color="auto" w:fill="auto"/>
            <w:vAlign w:val="center"/>
          </w:tcPr>
          <w:p>
            <w:pPr>
              <w:spacing w:line="360" w:lineRule="exact"/>
              <w:jc w:val="center"/>
              <w:rPr>
                <w:rFonts w:ascii="仿宋_GB2312" w:hAnsi="仿宋_GB2312" w:eastAsia="仿宋_GB2312" w:cs="仿宋_GB2312"/>
                <w:kern w:val="0"/>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11</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ascii="宋体" w:hAnsi="宋体" w:cs="宋体"/>
                <w:sz w:val="24"/>
              </w:rPr>
              <w:t>20D9904</w:t>
            </w:r>
          </w:p>
        </w:tc>
        <w:tc>
          <w:tcPr>
            <w:tcW w:w="678" w:type="pct"/>
            <w:shd w:val="clear" w:color="auto" w:fill="auto"/>
            <w:vAlign w:val="center"/>
          </w:tcPr>
          <w:p>
            <w:pPr>
              <w:widowControl/>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sz w:val="24"/>
              </w:rPr>
              <w:t>国家安全教育（限选）</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54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18</w:t>
            </w:r>
          </w:p>
        </w:tc>
        <w:tc>
          <w:tcPr>
            <w:tcW w:w="1101" w:type="pct"/>
            <w:gridSpan w:val="6"/>
            <w:vMerge w:val="continue"/>
            <w:shd w:val="clear" w:color="auto" w:fill="auto"/>
            <w:vAlign w:val="center"/>
          </w:tcPr>
          <w:p>
            <w:pPr>
              <w:spacing w:line="360" w:lineRule="exact"/>
              <w:jc w:val="center"/>
              <w:rPr>
                <w:rFonts w:ascii="仿宋_GB2312" w:hAnsi="仿宋_GB2312" w:eastAsia="仿宋_GB2312" w:cs="仿宋_GB2312"/>
                <w:kern w:val="0"/>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20D0801</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语文</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54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18</w:t>
            </w:r>
          </w:p>
        </w:tc>
        <w:tc>
          <w:tcPr>
            <w:tcW w:w="1101" w:type="pct"/>
            <w:gridSpan w:val="6"/>
            <w:vMerge w:val="continue"/>
            <w:shd w:val="clear" w:color="auto" w:fill="auto"/>
            <w:vAlign w:val="center"/>
          </w:tcPr>
          <w:p>
            <w:pPr>
              <w:spacing w:line="360" w:lineRule="exact"/>
              <w:jc w:val="center"/>
              <w:rPr>
                <w:rFonts w:ascii="仿宋_GB2312" w:hAnsi="仿宋_GB2312" w:eastAsia="仿宋_GB2312" w:cs="仿宋_GB2312"/>
                <w:kern w:val="0"/>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1684" w:type="pct"/>
            <w:gridSpan w:val="4"/>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公共必修课程学分、学时小计</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40</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758</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442</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316</w:t>
            </w:r>
          </w:p>
        </w:tc>
        <w:tc>
          <w:tcPr>
            <w:tcW w:w="176" w:type="pct"/>
            <w:shd w:val="clear" w:color="auto" w:fill="auto"/>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　</w:t>
            </w:r>
          </w:p>
        </w:tc>
        <w:tc>
          <w:tcPr>
            <w:tcW w:w="176" w:type="pct"/>
            <w:shd w:val="clear" w:color="auto" w:fill="auto"/>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　</w:t>
            </w:r>
          </w:p>
        </w:tc>
        <w:tc>
          <w:tcPr>
            <w:tcW w:w="176" w:type="pct"/>
            <w:shd w:val="clear" w:color="auto" w:fill="auto"/>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13"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78" w:type="pct"/>
            <w:shd w:val="clear" w:color="auto" w:fill="auto"/>
            <w:vAlign w:val="center"/>
          </w:tcPr>
          <w:p>
            <w:pPr>
              <w:spacing w:line="360" w:lineRule="exact"/>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1684" w:type="pct"/>
            <w:gridSpan w:val="4"/>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公共必修课程学分、学时占比</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26.49%</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26.08%</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35.25%</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19.13%</w:t>
            </w:r>
          </w:p>
        </w:tc>
        <w:tc>
          <w:tcPr>
            <w:tcW w:w="176" w:type="pct"/>
            <w:shd w:val="clear" w:color="auto" w:fill="auto"/>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　</w:t>
            </w:r>
          </w:p>
        </w:tc>
        <w:tc>
          <w:tcPr>
            <w:tcW w:w="176" w:type="pct"/>
            <w:shd w:val="clear" w:color="auto" w:fill="auto"/>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　</w:t>
            </w:r>
          </w:p>
        </w:tc>
        <w:tc>
          <w:tcPr>
            <w:tcW w:w="176" w:type="pct"/>
            <w:shd w:val="clear" w:color="auto" w:fill="auto"/>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13"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78" w:type="pct"/>
            <w:shd w:val="clear" w:color="auto" w:fill="auto"/>
            <w:vAlign w:val="center"/>
          </w:tcPr>
          <w:p>
            <w:pPr>
              <w:spacing w:line="360" w:lineRule="exact"/>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1684" w:type="pct"/>
            <w:gridSpan w:val="4"/>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公共选修课程学分、学时小计</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216</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144</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72</w:t>
            </w:r>
          </w:p>
        </w:tc>
        <w:tc>
          <w:tcPr>
            <w:tcW w:w="176" w:type="pct"/>
            <w:shd w:val="clear" w:color="auto" w:fill="auto"/>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　</w:t>
            </w:r>
          </w:p>
        </w:tc>
        <w:tc>
          <w:tcPr>
            <w:tcW w:w="176" w:type="pct"/>
            <w:shd w:val="clear" w:color="auto" w:fill="auto"/>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　</w:t>
            </w:r>
          </w:p>
        </w:tc>
        <w:tc>
          <w:tcPr>
            <w:tcW w:w="176" w:type="pct"/>
            <w:shd w:val="clear" w:color="auto" w:fill="auto"/>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13"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78" w:type="pct"/>
            <w:shd w:val="clear" w:color="auto" w:fill="auto"/>
            <w:vAlign w:val="center"/>
          </w:tcPr>
          <w:p>
            <w:pPr>
              <w:spacing w:line="360" w:lineRule="exact"/>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1684" w:type="pct"/>
            <w:gridSpan w:val="4"/>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公共选修课程学分、学时占比</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7.95%</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7.43%</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11.48%</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4.36%</w:t>
            </w:r>
          </w:p>
        </w:tc>
        <w:tc>
          <w:tcPr>
            <w:tcW w:w="176" w:type="pct"/>
            <w:shd w:val="clear" w:color="auto" w:fill="auto"/>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　</w:t>
            </w:r>
          </w:p>
        </w:tc>
        <w:tc>
          <w:tcPr>
            <w:tcW w:w="176" w:type="pct"/>
            <w:shd w:val="clear" w:color="auto" w:fill="auto"/>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　</w:t>
            </w:r>
          </w:p>
        </w:tc>
        <w:tc>
          <w:tcPr>
            <w:tcW w:w="176" w:type="pct"/>
            <w:shd w:val="clear" w:color="auto" w:fill="auto"/>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13" w:type="pct"/>
            <w:shd w:val="clear" w:color="auto" w:fill="auto"/>
            <w:vAlign w:val="center"/>
          </w:tcPr>
          <w:p>
            <w:pPr>
              <w:spacing w:line="360" w:lineRule="exact"/>
              <w:jc w:val="center"/>
              <w:rPr>
                <w:rFonts w:ascii="仿宋_GB2312" w:hAnsi="仿宋_GB2312" w:eastAsia="仿宋_GB2312" w:cs="仿宋_GB2312"/>
                <w:sz w:val="24"/>
              </w:rPr>
            </w:pPr>
            <w:r>
              <w:rPr>
                <w:rFonts w:hint="eastAsia" w:ascii="仿宋_GB2312" w:hAnsi="仿宋_GB2312" w:eastAsia="仿宋_GB2312" w:cs="仿宋_GB2312"/>
                <w:sz w:val="24"/>
              </w:rPr>
              <w:t>　</w:t>
            </w: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78" w:type="pct"/>
            <w:shd w:val="clear" w:color="auto" w:fill="auto"/>
            <w:vAlign w:val="center"/>
          </w:tcPr>
          <w:p>
            <w:pPr>
              <w:spacing w:line="360" w:lineRule="exact"/>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restar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专业课</w:t>
            </w:r>
          </w:p>
        </w:tc>
        <w:tc>
          <w:tcPr>
            <w:tcW w:w="261" w:type="pct"/>
            <w:vMerge w:val="restar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专业基础课</w:t>
            </w:r>
          </w:p>
        </w:tc>
        <w:tc>
          <w:tcPr>
            <w:tcW w:w="2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10B224021</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电工电子技术</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72</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24</w:t>
            </w:r>
          </w:p>
        </w:tc>
        <w:tc>
          <w:tcPr>
            <w:tcW w:w="176" w:type="pct"/>
            <w:shd w:val="clear" w:color="auto" w:fill="auto"/>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rPr>
                <w:rFonts w:ascii="仿宋_GB2312" w:hAnsi="仿宋_GB2312" w:eastAsia="仿宋_GB2312" w:cs="仿宋_GB2312"/>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02100B2239</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模拟电子技术</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72</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24</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rPr>
                <w:rFonts w:ascii="仿宋_GB2312" w:hAnsi="仿宋_GB2312" w:eastAsia="仿宋_GB2312" w:cs="仿宋_GB2312"/>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02100B2240</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数字电子技术</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72</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24</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rPr>
                <w:rFonts w:ascii="仿宋_GB2312" w:hAnsi="仿宋_GB2312" w:eastAsia="仿宋_GB2312" w:cs="仿宋_GB2312"/>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02100B2237</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C语言</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72</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24</w:t>
            </w:r>
          </w:p>
        </w:tc>
        <w:tc>
          <w:tcPr>
            <w:tcW w:w="176" w:type="pct"/>
            <w:shd w:val="clear" w:color="auto" w:fill="auto"/>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rPr>
                <w:rFonts w:ascii="仿宋_GB2312" w:hAnsi="仿宋_GB2312" w:eastAsia="仿宋_GB2312" w:cs="仿宋_GB2312"/>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ascii="仿宋_GB2312" w:hAnsi="仿宋_GB2312" w:eastAsia="仿宋_GB2312" w:cs="仿宋_GB2312"/>
                <w:kern w:val="0"/>
                <w:sz w:val="24"/>
              </w:rPr>
              <w:t>5</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02100B2244</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传感器与检测技术</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22</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14</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jc w:val="right"/>
              <w:rPr>
                <w:rFonts w:ascii="仿宋_GB2312" w:hAnsi="仿宋_GB2312" w:eastAsia="仿宋_GB2312" w:cs="仿宋_GB2312"/>
                <w:sz w:val="24"/>
              </w:rPr>
            </w:pPr>
          </w:p>
        </w:tc>
        <w:tc>
          <w:tcPr>
            <w:tcW w:w="176" w:type="pct"/>
            <w:shd w:val="clear" w:color="auto" w:fill="auto"/>
            <w:vAlign w:val="center"/>
          </w:tcPr>
          <w:p>
            <w:pPr>
              <w:spacing w:line="360" w:lineRule="exac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ascii="仿宋_GB2312" w:hAnsi="仿宋_GB2312" w:eastAsia="仿宋_GB2312" w:cs="仿宋_GB2312"/>
                <w:kern w:val="0"/>
                <w:sz w:val="24"/>
              </w:rPr>
              <w:t>6</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02100B2242</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电气控制与PLC</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72</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5"/>
                <w:rFonts w:ascii="仿宋_GB2312" w:hAnsi="仿宋_GB2312" w:eastAsia="仿宋_GB2312" w:cs="仿宋_GB2312"/>
                <w:sz w:val="24"/>
                <w:szCs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ascii="仿宋_GB2312" w:hAnsi="仿宋_GB2312" w:eastAsia="仿宋_GB2312" w:cs="仿宋_GB2312"/>
                <w:kern w:val="0"/>
                <w:sz w:val="24"/>
              </w:rPr>
              <w:t>7</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02100B2252</w:t>
            </w:r>
          </w:p>
        </w:tc>
        <w:tc>
          <w:tcPr>
            <w:tcW w:w="678" w:type="pct"/>
            <w:shd w:val="clear" w:color="auto" w:fill="auto"/>
            <w:vAlign w:val="center"/>
          </w:tcPr>
          <w:p>
            <w:pPr>
              <w:spacing w:line="360" w:lineRule="exac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电力电子技术</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20</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16</w:t>
            </w: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213" w:type="pct"/>
            <w:shd w:val="clear" w:color="auto" w:fill="auto"/>
            <w:vAlign w:val="center"/>
          </w:tcPr>
          <w:p>
            <w:pPr>
              <w:spacing w:line="360" w:lineRule="exact"/>
              <w:jc w:val="center"/>
              <w:textAlignment w:val="center"/>
              <w:rPr>
                <w:rFonts w:ascii="仿宋_GB2312" w:hAnsi="仿宋_GB2312" w:eastAsia="仿宋_GB2312" w:cs="仿宋_GB2312"/>
                <w:sz w:val="24"/>
              </w:rPr>
            </w:pPr>
          </w:p>
        </w:tc>
        <w:tc>
          <w:tcPr>
            <w:tcW w:w="184" w:type="pct"/>
            <w:shd w:val="clear" w:color="auto" w:fill="auto"/>
            <w:vAlign w:val="center"/>
          </w:tcPr>
          <w:p>
            <w:pPr>
              <w:spacing w:line="360" w:lineRule="exact"/>
              <w:jc w:val="center"/>
              <w:textAlignment w:val="center"/>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ascii="仿宋_GB2312" w:hAnsi="仿宋_GB2312" w:eastAsia="仿宋_GB2312" w:cs="仿宋_GB2312"/>
                <w:kern w:val="0"/>
                <w:sz w:val="24"/>
              </w:rPr>
              <w:t>8</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02100B2225</w:t>
            </w:r>
          </w:p>
        </w:tc>
        <w:tc>
          <w:tcPr>
            <w:tcW w:w="678" w:type="pct"/>
            <w:shd w:val="clear" w:color="auto" w:fill="auto"/>
            <w:vAlign w:val="center"/>
          </w:tcPr>
          <w:p>
            <w:pPr>
              <w:spacing w:line="360" w:lineRule="exac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计算机网络基础</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72</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40</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32</w:t>
            </w: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21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　</w:t>
            </w:r>
          </w:p>
        </w:tc>
        <w:tc>
          <w:tcPr>
            <w:tcW w:w="184"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　</w:t>
            </w: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restar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专业核心课</w:t>
            </w:r>
          </w:p>
        </w:tc>
        <w:tc>
          <w:tcPr>
            <w:tcW w:w="2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02100B2351</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信号与系统</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72</w:t>
            </w:r>
          </w:p>
        </w:tc>
        <w:tc>
          <w:tcPr>
            <w:tcW w:w="399" w:type="pct"/>
            <w:shd w:val="clear" w:color="auto" w:fill="auto"/>
            <w:noWrap/>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403" w:type="pct"/>
            <w:shd w:val="clear" w:color="auto" w:fill="auto"/>
            <w:noWrap/>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24</w:t>
            </w:r>
          </w:p>
        </w:tc>
        <w:tc>
          <w:tcPr>
            <w:tcW w:w="176" w:type="pct"/>
            <w:shd w:val="clear" w:color="auto" w:fill="auto"/>
            <w:vAlign w:val="center"/>
          </w:tcPr>
          <w:p>
            <w:pPr>
              <w:spacing w:line="360" w:lineRule="exact"/>
              <w:jc w:val="right"/>
              <w:rPr>
                <w:rFonts w:ascii="仿宋_GB2312" w:hAnsi="仿宋_GB2312" w:eastAsia="仿宋_GB2312" w:cs="仿宋_GB2312"/>
                <w:sz w:val="24"/>
              </w:rPr>
            </w:pPr>
          </w:p>
        </w:tc>
        <w:tc>
          <w:tcPr>
            <w:tcW w:w="176" w:type="pct"/>
            <w:shd w:val="clear" w:color="auto" w:fill="auto"/>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rPr>
                <w:rFonts w:ascii="仿宋_GB2312" w:hAnsi="仿宋_GB2312" w:eastAsia="仿宋_GB2312" w:cs="仿宋_GB2312"/>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02100B2350</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高频电子技术</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72</w:t>
            </w:r>
          </w:p>
        </w:tc>
        <w:tc>
          <w:tcPr>
            <w:tcW w:w="399" w:type="pct"/>
            <w:shd w:val="clear" w:color="auto" w:fill="auto"/>
            <w:noWrap/>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403" w:type="pct"/>
            <w:shd w:val="clear" w:color="auto" w:fill="auto"/>
            <w:noWrap/>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24</w:t>
            </w:r>
          </w:p>
        </w:tc>
        <w:tc>
          <w:tcPr>
            <w:tcW w:w="176" w:type="pct"/>
            <w:shd w:val="clear" w:color="auto" w:fill="auto"/>
            <w:vAlign w:val="center"/>
          </w:tcPr>
          <w:p>
            <w:pPr>
              <w:spacing w:line="360" w:lineRule="exact"/>
              <w:jc w:val="right"/>
              <w:rPr>
                <w:rFonts w:ascii="仿宋_GB2312" w:hAnsi="仿宋_GB2312" w:eastAsia="仿宋_GB2312" w:cs="仿宋_GB2312"/>
                <w:sz w:val="24"/>
              </w:rPr>
            </w:pPr>
          </w:p>
        </w:tc>
        <w:tc>
          <w:tcPr>
            <w:tcW w:w="176" w:type="pct"/>
            <w:shd w:val="clear" w:color="auto" w:fill="auto"/>
            <w:vAlign w:val="center"/>
          </w:tcPr>
          <w:p>
            <w:pPr>
              <w:spacing w:line="360" w:lineRule="exact"/>
              <w:jc w:val="right"/>
              <w:rPr>
                <w:rFonts w:ascii="仿宋_GB2312" w:hAnsi="仿宋_GB2312" w:eastAsia="仿宋_GB2312" w:cs="仿宋_GB2312"/>
                <w:sz w:val="24"/>
              </w:rPr>
            </w:pPr>
          </w:p>
        </w:tc>
        <w:tc>
          <w:tcPr>
            <w:tcW w:w="176" w:type="pct"/>
            <w:shd w:val="clear" w:color="auto" w:fill="auto"/>
            <w:vAlign w:val="center"/>
          </w:tcPr>
          <w:p>
            <w:pPr>
              <w:spacing w:line="360" w:lineRule="exac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02108B2222</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家电原理与维修</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72</w:t>
            </w:r>
          </w:p>
        </w:tc>
        <w:tc>
          <w:tcPr>
            <w:tcW w:w="399" w:type="pct"/>
            <w:shd w:val="clear" w:color="auto" w:fill="auto"/>
            <w:noWrap/>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24</w:t>
            </w:r>
          </w:p>
        </w:tc>
        <w:tc>
          <w:tcPr>
            <w:tcW w:w="403" w:type="pct"/>
            <w:shd w:val="clear" w:color="auto" w:fill="auto"/>
            <w:noWrap/>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02100B2343</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单片机原理与接口技术</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72</w:t>
            </w:r>
          </w:p>
        </w:tc>
        <w:tc>
          <w:tcPr>
            <w:tcW w:w="399" w:type="pct"/>
            <w:shd w:val="clear" w:color="auto" w:fill="auto"/>
            <w:noWrap/>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30</w:t>
            </w:r>
          </w:p>
        </w:tc>
        <w:tc>
          <w:tcPr>
            <w:tcW w:w="403" w:type="pct"/>
            <w:shd w:val="clear" w:color="auto" w:fill="auto"/>
            <w:noWrap/>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42</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jc w:val="right"/>
              <w:rPr>
                <w:rFonts w:ascii="仿宋_GB2312" w:hAnsi="仿宋_GB2312" w:eastAsia="仿宋_GB2312" w:cs="仿宋_GB2312"/>
                <w:sz w:val="24"/>
              </w:rPr>
            </w:pPr>
          </w:p>
        </w:tc>
        <w:tc>
          <w:tcPr>
            <w:tcW w:w="176" w:type="pct"/>
            <w:shd w:val="clear" w:color="auto" w:fill="auto"/>
            <w:vAlign w:val="center"/>
          </w:tcPr>
          <w:p>
            <w:pPr>
              <w:spacing w:line="360" w:lineRule="exac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5</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02100B2246</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EDA技术</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72</w:t>
            </w:r>
          </w:p>
        </w:tc>
        <w:tc>
          <w:tcPr>
            <w:tcW w:w="399" w:type="pct"/>
            <w:shd w:val="clear" w:color="auto" w:fill="auto"/>
            <w:noWrap/>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28</w:t>
            </w:r>
          </w:p>
        </w:tc>
        <w:tc>
          <w:tcPr>
            <w:tcW w:w="403" w:type="pct"/>
            <w:shd w:val="clear" w:color="auto" w:fill="auto"/>
            <w:noWrap/>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44</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jc w:val="right"/>
              <w:rPr>
                <w:rFonts w:ascii="仿宋_GB2312" w:hAnsi="仿宋_GB2312" w:eastAsia="仿宋_GB2312" w:cs="仿宋_GB2312"/>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hint="eastAsia" w:ascii="仿宋_GB2312" w:hAnsi="仿宋_GB2312" w:eastAsia="仿宋_GB2312" w:cs="仿宋_GB2312"/>
                <w:kern w:val="0"/>
                <w:sz w:val="24"/>
              </w:rPr>
            </w:pPr>
            <w:r>
              <w:rPr>
                <w:rFonts w:ascii="仿宋_GB2312" w:hAnsi="仿宋_GB2312" w:eastAsia="仿宋_GB2312" w:cs="仿宋_GB2312"/>
                <w:kern w:val="0"/>
                <w:sz w:val="24"/>
              </w:rPr>
              <w:t>6</w:t>
            </w:r>
          </w:p>
        </w:tc>
        <w:tc>
          <w:tcPr>
            <w:tcW w:w="446" w:type="pct"/>
            <w:shd w:val="clear" w:color="auto" w:fill="auto"/>
            <w:vAlign w:val="center"/>
          </w:tcPr>
          <w:p>
            <w:pPr>
              <w:spacing w:line="360" w:lineRule="exact"/>
              <w:jc w:val="center"/>
              <w:textAlignment w:val="center"/>
              <w:rPr>
                <w:rFonts w:hint="eastAsia" w:ascii="仿宋_GB2312" w:hAnsi="仿宋_GB2312" w:eastAsia="仿宋_GB2312" w:cs="仿宋_GB2312"/>
                <w:kern w:val="0"/>
                <w:sz w:val="24"/>
              </w:rPr>
            </w:pPr>
            <w:r>
              <w:rPr>
                <w:rStyle w:val="95"/>
                <w:rFonts w:ascii="仿宋_GB2312" w:hAnsi="仿宋_GB2312" w:eastAsia="仿宋_GB2312" w:cs="仿宋_GB2312"/>
                <w:sz w:val="24"/>
                <w:szCs w:val="24"/>
              </w:rPr>
              <w:t>02109B2331</w:t>
            </w:r>
          </w:p>
        </w:tc>
        <w:tc>
          <w:tcPr>
            <w:tcW w:w="678" w:type="pct"/>
            <w:shd w:val="clear" w:color="auto" w:fill="auto"/>
            <w:vAlign w:val="center"/>
          </w:tcPr>
          <w:p>
            <w:pPr>
              <w:spacing w:line="360" w:lineRule="exact"/>
              <w:jc w:val="center"/>
              <w:textAlignment w:val="center"/>
              <w:rPr>
                <w:rFonts w:hint="eastAsia" w:ascii="仿宋_GB2312" w:hAnsi="仿宋_GB2312" w:eastAsia="仿宋_GB2312" w:cs="仿宋_GB2312"/>
                <w:kern w:val="0"/>
                <w:sz w:val="24"/>
              </w:rPr>
            </w:pPr>
            <w:r>
              <w:rPr>
                <w:rStyle w:val="95"/>
                <w:rFonts w:ascii="仿宋_GB2312" w:hAnsi="仿宋_GB2312" w:eastAsia="仿宋_GB2312" w:cs="仿宋_GB2312"/>
                <w:sz w:val="24"/>
                <w:szCs w:val="24"/>
              </w:rPr>
              <w:t>Python基础</w:t>
            </w:r>
          </w:p>
        </w:tc>
        <w:tc>
          <w:tcPr>
            <w:tcW w:w="346" w:type="pct"/>
            <w:shd w:val="clear" w:color="auto" w:fill="auto"/>
            <w:vAlign w:val="center"/>
          </w:tcPr>
          <w:p>
            <w:pPr>
              <w:spacing w:line="360" w:lineRule="exact"/>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4</w:t>
            </w:r>
          </w:p>
        </w:tc>
        <w:tc>
          <w:tcPr>
            <w:tcW w:w="399" w:type="pct"/>
            <w:shd w:val="clear" w:color="auto" w:fill="auto"/>
            <w:noWrap/>
            <w:vAlign w:val="center"/>
          </w:tcPr>
          <w:p>
            <w:pPr>
              <w:spacing w:line="360" w:lineRule="exact"/>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72</w:t>
            </w:r>
          </w:p>
        </w:tc>
        <w:tc>
          <w:tcPr>
            <w:tcW w:w="399" w:type="pct"/>
            <w:shd w:val="clear" w:color="auto" w:fill="auto"/>
            <w:noWrap/>
            <w:vAlign w:val="center"/>
          </w:tcPr>
          <w:p>
            <w:pPr>
              <w:spacing w:line="360" w:lineRule="exact"/>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40</w:t>
            </w:r>
          </w:p>
        </w:tc>
        <w:tc>
          <w:tcPr>
            <w:tcW w:w="403" w:type="pct"/>
            <w:shd w:val="clear" w:color="auto" w:fill="auto"/>
            <w:noWrap/>
            <w:vAlign w:val="center"/>
          </w:tcPr>
          <w:p>
            <w:pPr>
              <w:spacing w:line="360" w:lineRule="exact"/>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32</w:t>
            </w:r>
          </w:p>
        </w:tc>
        <w:tc>
          <w:tcPr>
            <w:tcW w:w="176" w:type="pct"/>
            <w:shd w:val="clear" w:color="auto" w:fill="auto"/>
            <w:vAlign w:val="center"/>
          </w:tcPr>
          <w:p>
            <w:pPr>
              <w:spacing w:line="360" w:lineRule="exact"/>
              <w:rPr>
                <w:rFonts w:ascii="仿宋_GB2312" w:hAnsi="仿宋_GB2312" w:eastAsia="仿宋_GB2312" w:cs="仿宋_GB2312"/>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right"/>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rPr>
                <w:rFonts w:ascii="仿宋_GB2312" w:hAnsi="仿宋_GB2312" w:eastAsia="仿宋_GB2312" w:cs="仿宋_GB2312"/>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13" w:type="pct"/>
            <w:shd w:val="clear" w:color="auto" w:fill="auto"/>
            <w:vAlign w:val="center"/>
          </w:tcPr>
          <w:p>
            <w:pPr>
              <w:spacing w:line="360" w:lineRule="exact"/>
              <w:rPr>
                <w:rFonts w:ascii="仿宋_GB2312" w:hAnsi="仿宋_GB2312" w:eastAsia="仿宋_GB2312" w:cs="仿宋_GB2312"/>
                <w:sz w:val="24"/>
              </w:rPr>
            </w:pPr>
            <w:r>
              <w:rPr>
                <w:rFonts w:hint="eastAsia" w:ascii="仿宋_GB2312" w:hAnsi="仿宋_GB2312" w:eastAsia="仿宋_GB2312" w:cs="仿宋_GB2312"/>
                <w:kern w:val="0"/>
                <w:sz w:val="24"/>
              </w:rPr>
              <w:t>　</w:t>
            </w:r>
          </w:p>
        </w:tc>
        <w:tc>
          <w:tcPr>
            <w:tcW w:w="184" w:type="pct"/>
            <w:shd w:val="clear" w:color="auto" w:fill="auto"/>
            <w:vAlign w:val="center"/>
          </w:tcPr>
          <w:p>
            <w:pPr>
              <w:spacing w:line="360" w:lineRule="exact"/>
              <w:rPr>
                <w:rFonts w:ascii="仿宋_GB2312" w:hAnsi="仿宋_GB2312" w:eastAsia="仿宋_GB2312" w:cs="仿宋_GB2312"/>
                <w:sz w:val="24"/>
              </w:rPr>
            </w:pPr>
            <w:r>
              <w:rPr>
                <w:rFonts w:hint="eastAsia" w:ascii="仿宋_GB2312" w:hAnsi="仿宋_GB2312" w:eastAsia="仿宋_GB2312" w:cs="仿宋_GB2312"/>
                <w:kern w:val="0"/>
                <w:sz w:val="24"/>
              </w:rPr>
              <w:t>　</w:t>
            </w:r>
          </w:p>
        </w:tc>
        <w:tc>
          <w:tcPr>
            <w:tcW w:w="278" w:type="pct"/>
            <w:shd w:val="clear" w:color="auto" w:fill="auto"/>
            <w:vAlign w:val="center"/>
          </w:tcPr>
          <w:p>
            <w:pPr>
              <w:spacing w:line="360" w:lineRule="exact"/>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7</w:t>
            </w:r>
          </w:p>
        </w:tc>
        <w:tc>
          <w:tcPr>
            <w:tcW w:w="446" w:type="pct"/>
            <w:shd w:val="clear" w:color="auto" w:fill="auto"/>
            <w:vAlign w:val="center"/>
          </w:tcPr>
          <w:p>
            <w:pPr>
              <w:spacing w:line="360" w:lineRule="exact"/>
              <w:jc w:val="center"/>
              <w:textAlignment w:val="center"/>
              <w:rPr>
                <w:rFonts w:hint="eastAsia" w:ascii="仿宋_GB2312" w:hAnsi="仿宋_GB2312" w:eastAsia="仿宋_GB2312" w:cs="仿宋_GB2312"/>
                <w:kern w:val="0"/>
                <w:sz w:val="24"/>
              </w:rPr>
            </w:pPr>
            <w:r>
              <w:rPr>
                <w:rStyle w:val="95"/>
                <w:rFonts w:ascii="仿宋_GB2312" w:hAnsi="仿宋_GB2312" w:eastAsia="仿宋_GB2312" w:cs="仿宋_GB2312"/>
                <w:sz w:val="24"/>
                <w:szCs w:val="24"/>
              </w:rPr>
              <w:t>02100B2248</w:t>
            </w:r>
          </w:p>
        </w:tc>
        <w:tc>
          <w:tcPr>
            <w:tcW w:w="678" w:type="pct"/>
            <w:shd w:val="clear" w:color="auto" w:fill="auto"/>
            <w:vAlign w:val="center"/>
          </w:tcPr>
          <w:p>
            <w:pPr>
              <w:spacing w:line="360" w:lineRule="exact"/>
              <w:jc w:val="center"/>
              <w:textAlignment w:val="center"/>
              <w:rPr>
                <w:rFonts w:hint="eastAsia" w:ascii="仿宋_GB2312" w:hAnsi="仿宋_GB2312" w:eastAsia="仿宋_GB2312" w:cs="仿宋_GB2312"/>
                <w:kern w:val="0"/>
                <w:sz w:val="24"/>
              </w:rPr>
            </w:pPr>
            <w:r>
              <w:rPr>
                <w:rStyle w:val="95"/>
                <w:rFonts w:ascii="仿宋_GB2312" w:hAnsi="仿宋_GB2312" w:eastAsia="仿宋_GB2312" w:cs="仿宋_GB2312"/>
                <w:sz w:val="24"/>
                <w:szCs w:val="24"/>
              </w:rPr>
              <w:t>电子设计</w:t>
            </w:r>
          </w:p>
        </w:tc>
        <w:tc>
          <w:tcPr>
            <w:tcW w:w="346" w:type="pct"/>
            <w:shd w:val="clear" w:color="auto" w:fill="auto"/>
            <w:vAlign w:val="center"/>
          </w:tcPr>
          <w:p>
            <w:pPr>
              <w:spacing w:line="360" w:lineRule="exact"/>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4</w:t>
            </w:r>
          </w:p>
        </w:tc>
        <w:tc>
          <w:tcPr>
            <w:tcW w:w="399" w:type="pct"/>
            <w:shd w:val="clear" w:color="auto" w:fill="auto"/>
            <w:noWrap/>
            <w:vAlign w:val="center"/>
          </w:tcPr>
          <w:p>
            <w:pPr>
              <w:spacing w:line="360" w:lineRule="exact"/>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72</w:t>
            </w:r>
          </w:p>
        </w:tc>
        <w:tc>
          <w:tcPr>
            <w:tcW w:w="399" w:type="pct"/>
            <w:shd w:val="clear" w:color="auto" w:fill="auto"/>
            <w:noWrap/>
            <w:vAlign w:val="center"/>
          </w:tcPr>
          <w:p>
            <w:pPr>
              <w:spacing w:line="360" w:lineRule="exact"/>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12</w:t>
            </w:r>
          </w:p>
        </w:tc>
        <w:tc>
          <w:tcPr>
            <w:tcW w:w="403" w:type="pct"/>
            <w:shd w:val="clear" w:color="auto" w:fill="auto"/>
            <w:noWrap/>
            <w:vAlign w:val="center"/>
          </w:tcPr>
          <w:p>
            <w:pPr>
              <w:spacing w:line="360" w:lineRule="exact"/>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60</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jc w:val="right"/>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textAlignment w:val="center"/>
              <w:rPr>
                <w:rFonts w:hint="eastAsia" w:ascii="仿宋_GB2312" w:hAnsi="仿宋_GB2312" w:eastAsia="仿宋_GB2312" w:cs="仿宋_GB2312"/>
                <w:kern w:val="0"/>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hint="eastAsia" w:ascii="仿宋_GB2312" w:hAnsi="仿宋_GB2312" w:eastAsia="仿宋_GB2312" w:cs="仿宋_GB2312"/>
                <w:kern w:val="0"/>
                <w:sz w:val="24"/>
              </w:rPr>
            </w:pPr>
            <w:r>
              <w:rPr>
                <w:rStyle w:val="95"/>
                <w:rFonts w:ascii="仿宋_GB2312" w:hAnsi="仿宋_GB2312" w:eastAsia="仿宋_GB2312" w:cs="仿宋_GB2312"/>
                <w:sz w:val="24"/>
                <w:szCs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8</w:t>
            </w:r>
          </w:p>
        </w:tc>
        <w:tc>
          <w:tcPr>
            <w:tcW w:w="446" w:type="pct"/>
            <w:shd w:val="clear" w:color="auto" w:fill="auto"/>
            <w:vAlign w:val="center"/>
          </w:tcPr>
          <w:p>
            <w:pPr>
              <w:spacing w:line="360" w:lineRule="exact"/>
              <w:jc w:val="center"/>
              <w:textAlignment w:val="center"/>
              <w:rPr>
                <w:rFonts w:hint="eastAsia" w:ascii="仿宋_GB2312" w:hAnsi="仿宋_GB2312" w:eastAsia="仿宋_GB2312" w:cs="仿宋_GB2312"/>
                <w:kern w:val="0"/>
                <w:sz w:val="24"/>
              </w:rPr>
            </w:pPr>
            <w:r>
              <w:rPr>
                <w:rStyle w:val="95"/>
                <w:rFonts w:ascii="仿宋_GB2312" w:hAnsi="仿宋_GB2312" w:eastAsia="仿宋_GB2312" w:cs="仿宋_GB2312"/>
                <w:sz w:val="24"/>
                <w:szCs w:val="24"/>
              </w:rPr>
              <w:t>02100B2245</w:t>
            </w:r>
          </w:p>
        </w:tc>
        <w:tc>
          <w:tcPr>
            <w:tcW w:w="678" w:type="pct"/>
            <w:shd w:val="clear" w:color="auto" w:fill="auto"/>
            <w:vAlign w:val="center"/>
          </w:tcPr>
          <w:p>
            <w:pPr>
              <w:spacing w:line="360" w:lineRule="exact"/>
              <w:jc w:val="center"/>
              <w:textAlignment w:val="center"/>
              <w:rPr>
                <w:rFonts w:hint="eastAsia" w:ascii="仿宋_GB2312" w:hAnsi="仿宋_GB2312" w:eastAsia="仿宋_GB2312" w:cs="仿宋_GB2312"/>
                <w:kern w:val="0"/>
                <w:sz w:val="24"/>
              </w:rPr>
            </w:pPr>
            <w:r>
              <w:rPr>
                <w:rStyle w:val="95"/>
                <w:rFonts w:ascii="仿宋_GB2312" w:hAnsi="仿宋_GB2312" w:eastAsia="仿宋_GB2312" w:cs="仿宋_GB2312"/>
                <w:sz w:val="24"/>
                <w:szCs w:val="24"/>
              </w:rPr>
              <w:t>电子CAD</w:t>
            </w:r>
          </w:p>
        </w:tc>
        <w:tc>
          <w:tcPr>
            <w:tcW w:w="346" w:type="pct"/>
            <w:shd w:val="clear" w:color="auto" w:fill="auto"/>
            <w:vAlign w:val="center"/>
          </w:tcPr>
          <w:p>
            <w:pPr>
              <w:spacing w:line="360" w:lineRule="exact"/>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4</w:t>
            </w:r>
          </w:p>
        </w:tc>
        <w:tc>
          <w:tcPr>
            <w:tcW w:w="399" w:type="pct"/>
            <w:shd w:val="clear" w:color="auto" w:fill="auto"/>
            <w:noWrap/>
            <w:vAlign w:val="center"/>
          </w:tcPr>
          <w:p>
            <w:pPr>
              <w:spacing w:line="360" w:lineRule="exact"/>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72</w:t>
            </w:r>
          </w:p>
        </w:tc>
        <w:tc>
          <w:tcPr>
            <w:tcW w:w="399" w:type="pct"/>
            <w:shd w:val="clear" w:color="auto" w:fill="auto"/>
            <w:noWrap/>
            <w:vAlign w:val="center"/>
          </w:tcPr>
          <w:p>
            <w:pPr>
              <w:spacing w:line="360" w:lineRule="exact"/>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12</w:t>
            </w:r>
          </w:p>
        </w:tc>
        <w:tc>
          <w:tcPr>
            <w:tcW w:w="403" w:type="pct"/>
            <w:shd w:val="clear" w:color="auto" w:fill="auto"/>
            <w:noWrap/>
            <w:vAlign w:val="center"/>
          </w:tcPr>
          <w:p>
            <w:pPr>
              <w:spacing w:line="360" w:lineRule="exact"/>
              <w:jc w:val="center"/>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60</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jc w:val="right"/>
              <w:rPr>
                <w:rFonts w:ascii="仿宋_GB2312" w:hAnsi="仿宋_GB2312" w:eastAsia="仿宋_GB2312" w:cs="仿宋_GB2312"/>
                <w:sz w:val="24"/>
              </w:rPr>
            </w:pPr>
            <w:r>
              <w:rPr>
                <w:rFonts w:hint="eastAsia" w:ascii="仿宋_GB2312" w:hAnsi="仿宋_GB2312" w:eastAsia="仿宋_GB2312" w:cs="仿宋_GB2312"/>
                <w:kern w:val="0"/>
                <w:sz w:val="24"/>
              </w:rPr>
              <w:t>4</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textAlignment w:val="center"/>
              <w:rPr>
                <w:rFonts w:hint="eastAsia" w:ascii="仿宋_GB2312" w:hAnsi="仿宋_GB2312" w:eastAsia="仿宋_GB2312" w:cs="仿宋_GB2312"/>
                <w:kern w:val="0"/>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hint="eastAsia" w:ascii="仿宋_GB2312" w:hAnsi="仿宋_GB2312" w:eastAsia="仿宋_GB2312" w:cs="仿宋_GB2312"/>
                <w:kern w:val="0"/>
                <w:sz w:val="24"/>
              </w:rPr>
            </w:pPr>
            <w:r>
              <w:rPr>
                <w:rStyle w:val="95"/>
                <w:rFonts w:ascii="仿宋_GB2312" w:hAnsi="仿宋_GB2312" w:eastAsia="仿宋_GB2312" w:cs="仿宋_GB2312"/>
                <w:sz w:val="24"/>
                <w:szCs w:val="24"/>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restar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专业实践教学环节</w:t>
            </w:r>
          </w:p>
        </w:tc>
        <w:tc>
          <w:tcPr>
            <w:tcW w:w="299" w:type="pct"/>
            <w:shd w:val="clear" w:color="auto" w:fill="auto"/>
            <w:vAlign w:val="center"/>
          </w:tcPr>
          <w:p>
            <w:pPr>
              <w:spacing w:line="360" w:lineRule="exact"/>
              <w:jc w:val="right"/>
              <w:rPr>
                <w:rFonts w:ascii="仿宋_GB2312" w:hAnsi="仿宋_GB2312" w:eastAsia="仿宋_GB2312" w:cs="仿宋_GB2312"/>
                <w:sz w:val="24"/>
              </w:rPr>
            </w:pPr>
            <w:r>
              <w:rPr>
                <w:rFonts w:hint="eastAsia" w:ascii="仿宋_GB2312" w:hAnsi="仿宋_GB2312" w:eastAsia="仿宋_GB2312" w:cs="仿宋_GB2312"/>
                <w:sz w:val="24"/>
              </w:rPr>
              <w:t>1</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6"/>
                <w:rFonts w:ascii="仿宋_GB2312" w:hAnsi="仿宋_GB2312" w:eastAsia="仿宋_GB2312" w:cs="仿宋_GB2312"/>
                <w:sz w:val="24"/>
                <w:szCs w:val="24"/>
              </w:rPr>
              <w:t>02100C2258</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初级维修电工实训</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rPr>
                <w:rFonts w:ascii="仿宋_GB2312" w:hAnsi="仿宋_GB2312" w:eastAsia="仿宋_GB2312" w:cs="仿宋_GB2312"/>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Style w:val="96"/>
                <w:rFonts w:ascii="仿宋_GB2312" w:hAnsi="仿宋_GB2312" w:eastAsia="仿宋_GB2312" w:cs="仿宋_GB2312"/>
                <w:sz w:val="24"/>
                <w:szCs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right"/>
              <w:rPr>
                <w:rFonts w:ascii="仿宋_GB2312" w:hAnsi="仿宋_GB2312" w:eastAsia="仿宋_GB2312" w:cs="仿宋_GB2312"/>
                <w:sz w:val="24"/>
              </w:rPr>
            </w:pPr>
            <w:r>
              <w:rPr>
                <w:rFonts w:hint="eastAsia" w:ascii="仿宋_GB2312" w:hAnsi="仿宋_GB2312" w:eastAsia="仿宋_GB2312" w:cs="仿宋_GB2312"/>
                <w:sz w:val="24"/>
              </w:rPr>
              <w:t>2</w:t>
            </w:r>
          </w:p>
        </w:tc>
        <w:tc>
          <w:tcPr>
            <w:tcW w:w="446" w:type="pct"/>
            <w:shd w:val="clear" w:color="auto" w:fill="auto"/>
            <w:vAlign w:val="center"/>
          </w:tcPr>
          <w:p>
            <w:pPr>
              <w:spacing w:line="360" w:lineRule="exact"/>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02100C2259</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中级维修电工实训</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36</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jc w:val="right"/>
              <w:rPr>
                <w:rFonts w:ascii="仿宋_GB2312" w:hAnsi="仿宋_GB2312" w:eastAsia="仿宋_GB2312" w:cs="仿宋_GB2312"/>
                <w:sz w:val="24"/>
              </w:rPr>
            </w:pPr>
          </w:p>
        </w:tc>
        <w:tc>
          <w:tcPr>
            <w:tcW w:w="176" w:type="pct"/>
            <w:shd w:val="clear" w:color="auto" w:fill="auto"/>
            <w:noWrap/>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p>
        </w:tc>
        <w:tc>
          <w:tcPr>
            <w:tcW w:w="176" w:type="pct"/>
            <w:shd w:val="clear" w:color="auto" w:fill="auto"/>
            <w:noWrap/>
            <w:vAlign w:val="center"/>
          </w:tcPr>
          <w:p>
            <w:pPr>
              <w:spacing w:line="360" w:lineRule="exact"/>
              <w:rPr>
                <w:rFonts w:ascii="仿宋_GB2312" w:hAnsi="仿宋_GB2312" w:eastAsia="仿宋_GB2312" w:cs="仿宋_GB2312"/>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right"/>
              <w:rPr>
                <w:rFonts w:ascii="仿宋_GB2312" w:hAnsi="仿宋_GB2312" w:eastAsia="仿宋_GB2312" w:cs="仿宋_GB2312"/>
                <w:sz w:val="24"/>
              </w:rPr>
            </w:pPr>
            <w:r>
              <w:rPr>
                <w:rFonts w:hint="eastAsia" w:ascii="仿宋_GB2312" w:hAnsi="仿宋_GB2312" w:eastAsia="仿宋_GB2312" w:cs="仿宋_GB2312"/>
                <w:sz w:val="24"/>
              </w:rPr>
              <w:t>3</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10B110021</w:t>
            </w:r>
          </w:p>
        </w:tc>
        <w:tc>
          <w:tcPr>
            <w:tcW w:w="678" w:type="pct"/>
            <w:shd w:val="clear" w:color="auto" w:fill="auto"/>
            <w:vAlign w:val="center"/>
          </w:tcPr>
          <w:p>
            <w:pPr>
              <w:spacing w:line="360" w:lineRule="exac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毕业设计</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5</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80</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20</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60</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noWrap/>
            <w:vAlign w:val="center"/>
          </w:tcPr>
          <w:p>
            <w:pPr>
              <w:spacing w:line="360" w:lineRule="exact"/>
              <w:rPr>
                <w:rFonts w:ascii="仿宋_GB2312" w:hAnsi="仿宋_GB2312" w:eastAsia="仿宋_GB2312" w:cs="仿宋_GB2312"/>
                <w:sz w:val="24"/>
              </w:rPr>
            </w:pPr>
          </w:p>
        </w:tc>
        <w:tc>
          <w:tcPr>
            <w:tcW w:w="176" w:type="pct"/>
            <w:shd w:val="clear" w:color="auto" w:fill="auto"/>
            <w:noWrap/>
            <w:vAlign w:val="center"/>
          </w:tcPr>
          <w:p>
            <w:pPr>
              <w:spacing w:line="360" w:lineRule="exact"/>
              <w:rPr>
                <w:rFonts w:ascii="仿宋_GB2312" w:hAnsi="仿宋_GB2312" w:eastAsia="仿宋_GB2312" w:cs="仿宋_GB2312"/>
                <w:sz w:val="24"/>
              </w:rPr>
            </w:pPr>
          </w:p>
        </w:tc>
        <w:tc>
          <w:tcPr>
            <w:tcW w:w="213" w:type="pct"/>
            <w:shd w:val="clear" w:color="auto" w:fill="auto"/>
            <w:vAlign w:val="center"/>
          </w:tcPr>
          <w:p>
            <w:pPr>
              <w:spacing w:line="360" w:lineRule="exact"/>
              <w:jc w:val="righ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20</w:t>
            </w: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right"/>
              <w:rPr>
                <w:rFonts w:ascii="仿宋_GB2312" w:hAnsi="仿宋_GB2312" w:eastAsia="仿宋_GB2312" w:cs="仿宋_GB2312"/>
                <w:sz w:val="24"/>
              </w:rPr>
            </w:pPr>
            <w:r>
              <w:rPr>
                <w:rFonts w:hint="eastAsia" w:ascii="仿宋_GB2312" w:hAnsi="仿宋_GB2312" w:eastAsia="仿宋_GB2312" w:cs="仿宋_GB2312"/>
                <w:sz w:val="24"/>
              </w:rPr>
              <w:t>4</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10C112121</w:t>
            </w:r>
          </w:p>
        </w:tc>
        <w:tc>
          <w:tcPr>
            <w:tcW w:w="678" w:type="pct"/>
            <w:shd w:val="clear" w:color="auto" w:fill="auto"/>
            <w:vAlign w:val="center"/>
          </w:tcPr>
          <w:p>
            <w:pPr>
              <w:spacing w:line="360" w:lineRule="exac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岗位实习</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20</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540</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540</w:t>
            </w: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vAlign w:val="center"/>
          </w:tcPr>
          <w:p>
            <w:pPr>
              <w:spacing w:line="360" w:lineRule="exact"/>
              <w:rPr>
                <w:rFonts w:ascii="仿宋_GB2312" w:hAnsi="仿宋_GB2312" w:eastAsia="仿宋_GB2312" w:cs="仿宋_GB2312"/>
                <w:sz w:val="24"/>
              </w:rPr>
            </w:pPr>
          </w:p>
        </w:tc>
        <w:tc>
          <w:tcPr>
            <w:tcW w:w="176" w:type="pct"/>
            <w:shd w:val="clear" w:color="auto" w:fill="auto"/>
            <w:noWrap/>
            <w:vAlign w:val="center"/>
          </w:tcPr>
          <w:p>
            <w:pPr>
              <w:spacing w:line="360" w:lineRule="exact"/>
              <w:rPr>
                <w:rFonts w:ascii="仿宋_GB2312" w:hAnsi="仿宋_GB2312" w:eastAsia="仿宋_GB2312" w:cs="仿宋_GB2312"/>
                <w:sz w:val="24"/>
              </w:rPr>
            </w:pPr>
          </w:p>
        </w:tc>
        <w:tc>
          <w:tcPr>
            <w:tcW w:w="176" w:type="pct"/>
            <w:shd w:val="clear" w:color="auto" w:fill="auto"/>
            <w:noWrap/>
            <w:vAlign w:val="center"/>
          </w:tcPr>
          <w:p>
            <w:pPr>
              <w:spacing w:line="360" w:lineRule="exact"/>
              <w:rPr>
                <w:rFonts w:ascii="仿宋_GB2312" w:hAnsi="仿宋_GB2312" w:eastAsia="仿宋_GB2312" w:cs="仿宋_GB2312"/>
                <w:sz w:val="24"/>
              </w:rPr>
            </w:pPr>
          </w:p>
        </w:tc>
        <w:tc>
          <w:tcPr>
            <w:tcW w:w="213" w:type="pct"/>
            <w:shd w:val="clear" w:color="auto" w:fill="auto"/>
            <w:vAlign w:val="center"/>
          </w:tcPr>
          <w:p>
            <w:pPr>
              <w:spacing w:line="360" w:lineRule="exact"/>
              <w:rPr>
                <w:rFonts w:ascii="仿宋_GB2312" w:hAnsi="仿宋_GB2312" w:eastAsia="仿宋_GB2312" w:cs="仿宋_GB2312"/>
                <w:sz w:val="24"/>
              </w:rPr>
            </w:pPr>
          </w:p>
        </w:tc>
        <w:tc>
          <w:tcPr>
            <w:tcW w:w="184" w:type="pct"/>
            <w:shd w:val="clear" w:color="auto" w:fill="auto"/>
            <w:vAlign w:val="center"/>
          </w:tcPr>
          <w:p>
            <w:pPr>
              <w:spacing w:line="360" w:lineRule="exact"/>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restar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专业选修课</w:t>
            </w:r>
          </w:p>
        </w:tc>
        <w:tc>
          <w:tcPr>
            <w:tcW w:w="299" w:type="pct"/>
            <w:shd w:val="clear" w:color="auto" w:fill="auto"/>
            <w:vAlign w:val="center"/>
          </w:tcPr>
          <w:p>
            <w:pPr>
              <w:spacing w:line="360" w:lineRule="exact"/>
              <w:jc w:val="right"/>
              <w:rPr>
                <w:rFonts w:ascii="仿宋_GB2312" w:hAnsi="仿宋_GB2312" w:eastAsia="仿宋_GB2312" w:cs="仿宋_GB2312"/>
                <w:sz w:val="24"/>
              </w:rPr>
            </w:pPr>
            <w:r>
              <w:rPr>
                <w:rFonts w:hint="eastAsia" w:ascii="仿宋_GB2312" w:hAnsi="仿宋_GB2312" w:eastAsia="仿宋_GB2312" w:cs="仿宋_GB2312"/>
                <w:sz w:val="24"/>
              </w:rPr>
              <w:t>1</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21D0701</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计算机网络安全基础</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w:t>
            </w:r>
          </w:p>
        </w:tc>
        <w:tc>
          <w:tcPr>
            <w:tcW w:w="1101" w:type="pct"/>
            <w:gridSpan w:val="6"/>
            <w:vMerge w:val="restar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专业拓展课最低学分要求为6学分</w:t>
            </w: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right"/>
              <w:rPr>
                <w:rFonts w:ascii="仿宋_GB2312" w:hAnsi="仿宋_GB2312" w:eastAsia="仿宋_GB2312" w:cs="仿宋_GB2312"/>
                <w:sz w:val="24"/>
              </w:rPr>
            </w:pPr>
            <w:r>
              <w:rPr>
                <w:rFonts w:hint="eastAsia" w:ascii="仿宋_GB2312" w:hAnsi="仿宋_GB2312" w:eastAsia="仿宋_GB2312" w:cs="仿宋_GB2312"/>
                <w:sz w:val="24"/>
              </w:rPr>
              <w:t>2</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21D0702</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物联网概论</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w:t>
            </w:r>
          </w:p>
        </w:tc>
        <w:tc>
          <w:tcPr>
            <w:tcW w:w="1101" w:type="pct"/>
            <w:gridSpan w:val="6"/>
            <w:vMerge w:val="continue"/>
            <w:shd w:val="clear" w:color="auto" w:fill="auto"/>
            <w:vAlign w:val="center"/>
          </w:tcPr>
          <w:p>
            <w:pPr>
              <w:spacing w:line="360" w:lineRule="exact"/>
              <w:jc w:val="center"/>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right"/>
              <w:rPr>
                <w:rFonts w:ascii="仿宋_GB2312" w:hAnsi="仿宋_GB2312" w:eastAsia="仿宋_GB2312" w:cs="仿宋_GB2312"/>
                <w:sz w:val="24"/>
              </w:rPr>
            </w:pPr>
            <w:r>
              <w:rPr>
                <w:rFonts w:hint="eastAsia" w:ascii="仿宋_GB2312" w:hAnsi="仿宋_GB2312" w:eastAsia="仿宋_GB2312" w:cs="仿宋_GB2312"/>
                <w:sz w:val="24"/>
              </w:rPr>
              <w:t>3</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21D0703</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数字信号处理</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w:t>
            </w:r>
          </w:p>
        </w:tc>
        <w:tc>
          <w:tcPr>
            <w:tcW w:w="1101" w:type="pct"/>
            <w:gridSpan w:val="6"/>
            <w:vMerge w:val="continue"/>
            <w:shd w:val="clear" w:color="auto" w:fill="auto"/>
            <w:vAlign w:val="center"/>
          </w:tcPr>
          <w:p>
            <w:pPr>
              <w:spacing w:line="360" w:lineRule="exact"/>
              <w:jc w:val="center"/>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61" w:type="pct"/>
            <w:vMerge w:val="continue"/>
            <w:shd w:val="clear" w:color="auto" w:fill="auto"/>
            <w:vAlign w:val="center"/>
          </w:tcPr>
          <w:p>
            <w:pPr>
              <w:spacing w:line="360" w:lineRule="exact"/>
              <w:jc w:val="left"/>
              <w:rPr>
                <w:rFonts w:ascii="仿宋_GB2312" w:hAnsi="仿宋_GB2312" w:eastAsia="仿宋_GB2312" w:cs="仿宋_GB2312"/>
                <w:kern w:val="0"/>
                <w:sz w:val="24"/>
              </w:rPr>
            </w:pPr>
          </w:p>
        </w:tc>
        <w:tc>
          <w:tcPr>
            <w:tcW w:w="299" w:type="pct"/>
            <w:shd w:val="clear" w:color="auto" w:fill="auto"/>
            <w:vAlign w:val="center"/>
          </w:tcPr>
          <w:p>
            <w:pPr>
              <w:spacing w:line="360" w:lineRule="exact"/>
              <w:jc w:val="right"/>
              <w:rPr>
                <w:rFonts w:ascii="仿宋_GB2312" w:hAnsi="仿宋_GB2312" w:eastAsia="仿宋_GB2312" w:cs="仿宋_GB2312"/>
                <w:sz w:val="24"/>
              </w:rPr>
            </w:pPr>
            <w:r>
              <w:rPr>
                <w:rFonts w:hint="eastAsia" w:ascii="仿宋_GB2312" w:hAnsi="仿宋_GB2312" w:eastAsia="仿宋_GB2312" w:cs="仿宋_GB2312"/>
                <w:sz w:val="24"/>
              </w:rPr>
              <w:t>4</w:t>
            </w:r>
          </w:p>
        </w:tc>
        <w:tc>
          <w:tcPr>
            <w:tcW w:w="4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21D0704</w:t>
            </w:r>
          </w:p>
        </w:tc>
        <w:tc>
          <w:tcPr>
            <w:tcW w:w="6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现代通信技术</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399"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48</w:t>
            </w:r>
          </w:p>
        </w:tc>
        <w:tc>
          <w:tcPr>
            <w:tcW w:w="403" w:type="pct"/>
            <w:shd w:val="clear" w:color="auto" w:fill="auto"/>
            <w:noWrap/>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w:t>
            </w:r>
          </w:p>
        </w:tc>
        <w:tc>
          <w:tcPr>
            <w:tcW w:w="1101" w:type="pct"/>
            <w:gridSpan w:val="6"/>
            <w:vMerge w:val="continue"/>
            <w:shd w:val="clear" w:color="auto" w:fill="auto"/>
            <w:vAlign w:val="center"/>
          </w:tcPr>
          <w:p>
            <w:pPr>
              <w:spacing w:line="360" w:lineRule="exact"/>
              <w:jc w:val="center"/>
              <w:rPr>
                <w:rFonts w:ascii="仿宋_GB2312" w:hAnsi="仿宋_GB2312" w:eastAsia="仿宋_GB2312" w:cs="仿宋_GB2312"/>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684" w:type="pct"/>
            <w:gridSpan w:val="4"/>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专业必修课程学分、学时小计</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89</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1772</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572</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1200</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13"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78" w:type="pct"/>
            <w:shd w:val="clear" w:color="auto" w:fill="auto"/>
            <w:vAlign w:val="center"/>
          </w:tcPr>
          <w:p>
            <w:pPr>
              <w:spacing w:line="360" w:lineRule="exact"/>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684" w:type="pct"/>
            <w:gridSpan w:val="4"/>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专业必修课程学分、学时占比</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58.94%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60.98%</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45.61%</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72.64%</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13"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78" w:type="pct"/>
            <w:shd w:val="clear" w:color="auto" w:fill="auto"/>
            <w:vAlign w:val="center"/>
          </w:tcPr>
          <w:p>
            <w:pPr>
              <w:spacing w:line="360" w:lineRule="exact"/>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684" w:type="pct"/>
            <w:gridSpan w:val="4"/>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专业选修课程学分、学时小计</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6</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96</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96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13"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78" w:type="pct"/>
            <w:shd w:val="clear" w:color="auto" w:fill="auto"/>
            <w:vAlign w:val="center"/>
          </w:tcPr>
          <w:p>
            <w:pPr>
              <w:spacing w:line="360" w:lineRule="exact"/>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684" w:type="pct"/>
            <w:gridSpan w:val="4"/>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专业选修课程学分、学时占比</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3.97%</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3.30%</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7.66%</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0.00%</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13"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78" w:type="pct"/>
            <w:shd w:val="clear" w:color="auto" w:fill="auto"/>
            <w:vAlign w:val="center"/>
          </w:tcPr>
          <w:p>
            <w:pPr>
              <w:spacing w:line="360" w:lineRule="exact"/>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74" w:type="pct"/>
            <w:gridSpan w:val="5"/>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第二课堂</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64</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0</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64</w:t>
            </w:r>
          </w:p>
        </w:tc>
        <w:tc>
          <w:tcPr>
            <w:tcW w:w="1101" w:type="pct"/>
            <w:gridSpan w:val="6"/>
            <w:shd w:val="clear" w:color="auto" w:fill="auto"/>
            <w:vAlign w:val="center"/>
          </w:tcPr>
          <w:p>
            <w:pPr>
              <w:spacing w:line="360" w:lineRule="exact"/>
              <w:jc w:val="center"/>
              <w:textAlignment w:val="center"/>
              <w:rPr>
                <w:rFonts w:ascii="仿宋_GB2312" w:hAnsi="仿宋_GB2312" w:eastAsia="仿宋_GB2312" w:cs="仿宋_GB2312"/>
                <w:kern w:val="0"/>
                <w:sz w:val="24"/>
              </w:rPr>
            </w:pPr>
          </w:p>
        </w:tc>
        <w:tc>
          <w:tcPr>
            <w:tcW w:w="278" w:type="pct"/>
            <w:shd w:val="clear" w:color="auto" w:fill="auto"/>
            <w:vAlign w:val="center"/>
          </w:tcPr>
          <w:p>
            <w:pPr>
              <w:spacing w:line="360" w:lineRule="exact"/>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90" w:type="pct"/>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684" w:type="pct"/>
            <w:gridSpan w:val="4"/>
            <w:shd w:val="clear" w:color="auto" w:fill="auto"/>
            <w:vAlign w:val="center"/>
          </w:tcPr>
          <w:p>
            <w:pPr>
              <w:spacing w:line="36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总学分、学时合计</w:t>
            </w:r>
          </w:p>
        </w:tc>
        <w:tc>
          <w:tcPr>
            <w:tcW w:w="346"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151</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2906</w:t>
            </w:r>
          </w:p>
        </w:tc>
        <w:tc>
          <w:tcPr>
            <w:tcW w:w="399"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1254</w:t>
            </w:r>
          </w:p>
        </w:tc>
        <w:tc>
          <w:tcPr>
            <w:tcW w:w="403" w:type="pct"/>
            <w:shd w:val="clear" w:color="auto" w:fill="auto"/>
            <w:vAlign w:val="center"/>
          </w:tcPr>
          <w:p>
            <w:pPr>
              <w:spacing w:line="360" w:lineRule="exact"/>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1652</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76"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13"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184"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c>
          <w:tcPr>
            <w:tcW w:w="278" w:type="pct"/>
            <w:shd w:val="clear" w:color="auto" w:fill="auto"/>
            <w:vAlign w:val="center"/>
          </w:tcPr>
          <w:p>
            <w:pPr>
              <w:spacing w:line="36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　</w:t>
            </w:r>
          </w:p>
        </w:tc>
      </w:tr>
    </w:tbl>
    <w:p>
      <w:pPr>
        <w:overflowPunct w:val="0"/>
        <w:adjustRightInd w:val="0"/>
        <w:spacing w:line="520" w:lineRule="exact"/>
        <w:ind w:firstLine="640" w:firstLineChars="200"/>
        <w:outlineLvl w:val="0"/>
        <w:rPr>
          <w:rFonts w:ascii="仿宋" w:hAnsi="仿宋" w:eastAsia="仿宋" w:cs="黑体"/>
          <w:sz w:val="32"/>
          <w:szCs w:val="32"/>
        </w:rPr>
      </w:pPr>
      <w:r>
        <w:rPr>
          <w:rFonts w:hint="eastAsia" w:ascii="黑体" w:hAnsi="黑体" w:eastAsia="黑体" w:cs="黑体"/>
          <w:sz w:val="32"/>
          <w:szCs w:val="32"/>
        </w:rPr>
        <w:t>八、实施保障</w:t>
      </w:r>
    </w:p>
    <w:p>
      <w:pPr>
        <w:overflowPunct w:val="0"/>
        <w:adjustRightInd w:val="0"/>
        <w:spacing w:line="360" w:lineRule="auto"/>
        <w:ind w:firstLine="640" w:firstLineChars="200"/>
        <w:rPr>
          <w:rFonts w:ascii="楷体" w:hAnsi="楷体" w:eastAsia="楷体" w:cs="楷体"/>
          <w:sz w:val="32"/>
          <w:szCs w:val="32"/>
        </w:rPr>
      </w:pPr>
      <w:r>
        <w:rPr>
          <w:rFonts w:hint="eastAsia" w:ascii="楷体" w:hAnsi="楷体" w:eastAsia="楷体" w:cs="楷体"/>
          <w:sz w:val="32"/>
          <w:szCs w:val="32"/>
        </w:rPr>
        <w:t>（一）师资队伍</w:t>
      </w:r>
    </w:p>
    <w:p>
      <w:pPr>
        <w:overflowPunct w:val="0"/>
        <w:adjustRightIn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1.队伍结构</w:t>
      </w:r>
    </w:p>
    <w:p>
      <w:pPr>
        <w:overflowPunct w:val="0"/>
        <w:adjustRightIn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任教师队伍的知识、职称、年龄结构合理，有良好的合作精神和梯队结构。学生数与本专业专任教师数比例不高于25∶1，双师素质教师占专业教师比例不低于60%，具有承担专业核心课程教学任务的专业教师不少于4人，其中，具有高级以上专业技术职务的不少于1人，“双师型”教师不少于2人。</w:t>
      </w:r>
    </w:p>
    <w:p>
      <w:pPr>
        <w:overflowPunct w:val="0"/>
        <w:adjustRightInd w:val="0"/>
        <w:spacing w:line="360" w:lineRule="auto"/>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专业教师团队现有专任教师6人，获取职称人数为5人。其中副高及以上职称1人，中级职称2人，初级职称2人。</w:t>
      </w:r>
      <w:r>
        <w:rPr>
          <w:rFonts w:hint="eastAsia" w:ascii="仿宋_GB2312" w:hAnsi="仿宋_GB2312" w:eastAsia="仿宋_GB2312" w:cs="仿宋_GB2312"/>
          <w:sz w:val="32"/>
          <w:szCs w:val="32"/>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overflowPunct w:val="0"/>
        <w:adjustRightInd w:val="0"/>
        <w:spacing w:line="360" w:lineRule="auto"/>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2.专任教师</w:t>
      </w:r>
    </w:p>
    <w:p>
      <w:pPr>
        <w:overflowPunct w:val="0"/>
        <w:adjustRightIn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任教师应具有高校教师资格;有理想信念、有道德情操、有扎实学识、有仁爱之心;具有应用电子技术等相关专业本科及以上学历;具有扎实的本专业相关理论功底和实践能力;具有较强信息化教学能力，能够开展课程教学改革和科学研究;有每5年累计不少于6个月的企业实践经历。</w:t>
      </w:r>
    </w:p>
    <w:p>
      <w:pPr>
        <w:overflowPunct w:val="0"/>
        <w:adjustRightIn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3.专业带头人</w:t>
      </w:r>
    </w:p>
    <w:p>
      <w:pPr>
        <w:pStyle w:val="4"/>
        <w:widowControl/>
        <w:spacing w:before="0" w:line="360" w:lineRule="auto"/>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专业带头人原则上应具有副高及以上职称，能够较好地把握国内外应用电子技术行业、专业发展，能广泛联系行业企业，了解行业企业对本专业人才的需求实际，教学设计、专业研究能力强，组织开展教科研工作能力强，在本区域或本领域具有一定的专业影响力。</w:t>
      </w:r>
      <w:r>
        <w:rPr>
          <w:rFonts w:hint="eastAsia" w:ascii="仿宋_GB2312" w:hAnsi="仿宋_GB2312" w:eastAsia="仿宋_GB2312" w:cs="仿宋_GB2312"/>
          <w:color w:val="auto"/>
          <w:kern w:val="0"/>
          <w:sz w:val="32"/>
          <w:szCs w:val="32"/>
        </w:rPr>
        <w:t>本专业带头人为张守禄，副高职称，负责本专业的规划与建设、主持专业人才培养方案、课程标准的制定与修订、教材、专业教学标准、专业认证体系的建设工作、负责本专业教学改革和实践技能培养方案的制定等工作。</w:t>
      </w:r>
    </w:p>
    <w:p>
      <w:pPr>
        <w:overflowPunct w:val="0"/>
        <w:adjustRightInd w:val="0"/>
        <w:spacing w:line="360" w:lineRule="auto"/>
        <w:ind w:left="420" w:left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4.兼职教师</w:t>
      </w:r>
    </w:p>
    <w:p>
      <w:pPr>
        <w:overflowPunct w:val="0"/>
        <w:adjustRightIn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w:t>
      </w:r>
      <w:r>
        <w:rPr>
          <w:rFonts w:hint="eastAsia" w:ascii="仿宋_GB2312" w:hAnsi="仿宋_GB2312" w:eastAsia="仿宋_GB2312" w:cs="仿宋_GB2312"/>
          <w:kern w:val="0"/>
          <w:sz w:val="32"/>
          <w:szCs w:val="32"/>
        </w:rPr>
        <w:t>3人，副高职称1人，中级职称2人，</w:t>
      </w:r>
      <w:r>
        <w:rPr>
          <w:rFonts w:hint="eastAsia" w:ascii="仿宋_GB2312" w:hAnsi="仿宋_GB2312" w:eastAsia="仿宋_GB2312" w:cs="仿宋_GB2312"/>
          <w:sz w:val="32"/>
          <w:szCs w:val="32"/>
        </w:rPr>
        <w:t>承担</w:t>
      </w:r>
      <w:r>
        <w:rPr>
          <w:rFonts w:hint="eastAsia" w:ascii="仿宋_GB2312" w:hAnsi="仿宋_GB2312" w:eastAsia="仿宋_GB2312" w:cs="仿宋_GB2312"/>
          <w:kern w:val="0"/>
          <w:sz w:val="32"/>
          <w:szCs w:val="32"/>
        </w:rPr>
        <w:t>传感器与检测技术、家电原理与维修等</w:t>
      </w:r>
      <w:r>
        <w:rPr>
          <w:rFonts w:hint="eastAsia" w:ascii="仿宋_GB2312" w:hAnsi="仿宋_GB2312" w:eastAsia="仿宋_GB2312" w:cs="仿宋_GB2312"/>
          <w:sz w:val="32"/>
          <w:szCs w:val="32"/>
        </w:rPr>
        <w:t>课程教学任务。</w:t>
      </w:r>
    </w:p>
    <w:p>
      <w:pPr>
        <w:pStyle w:val="4"/>
        <w:widowControl/>
        <w:spacing w:before="0" w:line="360" w:lineRule="auto"/>
        <w:ind w:firstLine="640" w:firstLineChars="200"/>
        <w:rPr>
          <w:rFonts w:ascii="楷体" w:hAnsi="楷体" w:eastAsia="楷体" w:cs="楷体"/>
          <w:color w:val="auto"/>
          <w:sz w:val="32"/>
          <w:szCs w:val="32"/>
        </w:rPr>
      </w:pPr>
      <w:r>
        <w:rPr>
          <w:rFonts w:hint="eastAsia" w:ascii="楷体" w:hAnsi="楷体" w:eastAsia="楷体" w:cs="楷体"/>
          <w:color w:val="auto"/>
          <w:sz w:val="32"/>
          <w:szCs w:val="32"/>
        </w:rPr>
        <w:t>（二）教学设施</w:t>
      </w:r>
    </w:p>
    <w:p>
      <w:pPr>
        <w:pStyle w:val="4"/>
        <w:widowControl/>
        <w:spacing w:before="0"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pPr>
        <w:spacing w:line="360" w:lineRule="auto"/>
        <w:ind w:left="640"/>
        <w:rPr>
          <w:rFonts w:ascii="仿宋_GB2312" w:hAnsi="仿宋_GB2312" w:eastAsia="仿宋_GB2312" w:cs="仿宋_GB2312"/>
          <w:sz w:val="32"/>
          <w:szCs w:val="32"/>
        </w:rPr>
      </w:pPr>
      <w:r>
        <w:rPr>
          <w:rFonts w:hint="eastAsia" w:ascii="仿宋_GB2312" w:hAnsi="仿宋_GB2312" w:eastAsia="仿宋_GB2312" w:cs="仿宋_GB2312"/>
          <w:sz w:val="32"/>
          <w:szCs w:val="32"/>
        </w:rPr>
        <w:t>1.专业教室要求</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学校为该专业配备公共教室（配备有多媒体设施）、多媒体教室等，满足理论教学要求。</w:t>
      </w:r>
    </w:p>
    <w:p>
      <w:pPr>
        <w:pStyle w:val="4"/>
        <w:widowControl/>
        <w:spacing w:before="0"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2.校内实训资源</w:t>
      </w:r>
    </w:p>
    <w:p>
      <w:pPr>
        <w:overflowPunct w:val="0"/>
        <w:adjustRightInd w:val="0"/>
        <w:spacing w:line="520" w:lineRule="exact"/>
        <w:jc w:val="center"/>
        <w:rPr>
          <w:rFonts w:ascii="仿宋" w:hAnsi="仿宋" w:eastAsia="仿宋" w:cs="仿宋"/>
          <w:kern w:val="0"/>
          <w:sz w:val="32"/>
          <w:szCs w:val="32"/>
        </w:rPr>
      </w:pPr>
      <w:r>
        <w:rPr>
          <w:rFonts w:hint="eastAsia" w:ascii="仿宋_GB2312" w:hAnsi="仿宋_GB2312" w:eastAsia="仿宋_GB2312" w:cs="仿宋_GB2312"/>
          <w:sz w:val="32"/>
          <w:szCs w:val="32"/>
        </w:rPr>
        <w:t>表9</w:t>
      </w:r>
      <w:r>
        <w:rPr>
          <w:rFonts w:hint="eastAsia" w:ascii="仿宋_GB2312" w:hAnsi="仿宋_GB2312" w:eastAsia="仿宋_GB2312" w:cs="仿宋_GB2312"/>
          <w:kern w:val="0"/>
          <w:sz w:val="32"/>
          <w:szCs w:val="32"/>
        </w:rPr>
        <w:t>应用电子技术专业校内实训资源列表</w:t>
      </w:r>
    </w:p>
    <w:tbl>
      <w:tblPr>
        <w:tblStyle w:val="12"/>
        <w:tblW w:w="9756" w:type="dxa"/>
        <w:tblInd w:w="-3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1138"/>
        <w:gridCol w:w="1536"/>
        <w:gridCol w:w="2556"/>
        <w:gridCol w:w="3025"/>
        <w:gridCol w:w="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序号</w:t>
            </w:r>
          </w:p>
        </w:tc>
        <w:tc>
          <w:tcPr>
            <w:tcW w:w="1138"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实验实训室名称</w:t>
            </w:r>
          </w:p>
        </w:tc>
        <w:tc>
          <w:tcPr>
            <w:tcW w:w="1536"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实训适用课程</w:t>
            </w:r>
          </w:p>
        </w:tc>
        <w:tc>
          <w:tcPr>
            <w:tcW w:w="2556"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实训项目</w:t>
            </w:r>
          </w:p>
        </w:tc>
        <w:tc>
          <w:tcPr>
            <w:tcW w:w="3025"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主要设备名称及配置数量</w:t>
            </w:r>
          </w:p>
        </w:tc>
        <w:tc>
          <w:tcPr>
            <w:tcW w:w="782"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1</w:t>
            </w:r>
          </w:p>
        </w:tc>
        <w:tc>
          <w:tcPr>
            <w:tcW w:w="1138"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电工基础实训室</w:t>
            </w:r>
          </w:p>
        </w:tc>
        <w:tc>
          <w:tcPr>
            <w:tcW w:w="1536"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初级维修电工实训、中级维修电工实训</w:t>
            </w:r>
          </w:p>
        </w:tc>
        <w:tc>
          <w:tcPr>
            <w:tcW w:w="2556"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电子线路的接线实训、</w:t>
            </w:r>
          </w:p>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初级维修电工实训、中级维修电工实训</w:t>
            </w:r>
          </w:p>
        </w:tc>
        <w:tc>
          <w:tcPr>
            <w:tcW w:w="3025"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eastAsia="仿宋_GB2312" w:cs="仿宋"/>
                <w:color w:val="000000" w:themeColor="text1"/>
                <w:sz w:val="24"/>
                <w14:textFill>
                  <w14:solidFill>
                    <w14:schemeClr w14:val="tx1"/>
                  </w14:solidFill>
                </w14:textFill>
              </w:rPr>
              <w:t>传感器实验箱</w:t>
            </w:r>
            <w:r>
              <w:rPr>
                <w:rFonts w:hint="eastAsia" w:eastAsia="仿宋_GB2312" w:cs="仿宋"/>
                <w:color w:val="000000" w:themeColor="text1"/>
                <w:sz w:val="24"/>
                <w14:textFill>
                  <w14:solidFill>
                    <w14:schemeClr w14:val="tx1"/>
                  </w14:solidFill>
                </w14:textFill>
              </w:rPr>
              <w:t>8台、多功能电学实验与实训考核台13台、心肺急救复苏模型1台、</w:t>
            </w:r>
          </w:p>
        </w:tc>
        <w:tc>
          <w:tcPr>
            <w:tcW w:w="782"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2</w:t>
            </w:r>
          </w:p>
        </w:tc>
        <w:tc>
          <w:tcPr>
            <w:tcW w:w="1138"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电子技术实验实训室</w:t>
            </w:r>
          </w:p>
        </w:tc>
        <w:tc>
          <w:tcPr>
            <w:tcW w:w="1536"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数字电子技术、模拟电子技术、高频电子技术</w:t>
            </w:r>
          </w:p>
        </w:tc>
        <w:tc>
          <w:tcPr>
            <w:tcW w:w="2556"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p>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模拟电子线路实验</w:t>
            </w:r>
          </w:p>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数字电子线路实验</w:t>
            </w:r>
          </w:p>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高频电子线路实验</w:t>
            </w:r>
          </w:p>
          <w:p>
            <w:pPr>
              <w:overflowPunct w:val="0"/>
              <w:adjustRightInd w:val="0"/>
              <w:spacing w:line="360" w:lineRule="exact"/>
              <w:jc w:val="center"/>
              <w:rPr>
                <w:rFonts w:eastAsia="仿宋_GB2312" w:cs="仿宋"/>
                <w:color w:val="000000" w:themeColor="text1"/>
                <w:sz w:val="24"/>
                <w14:textFill>
                  <w14:solidFill>
                    <w14:schemeClr w14:val="tx1"/>
                  </w14:solidFill>
                </w14:textFill>
              </w:rPr>
            </w:pPr>
          </w:p>
        </w:tc>
        <w:tc>
          <w:tcPr>
            <w:tcW w:w="3025"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数字电路试验箱20个、RF宽带扫频仪1个、交流毫伏表6台、LCR数字电桥5台、通信系统原理实验系统8套、多功能电学实验与实训考核台13台、数字存储示波器9、虚拟示波器9台、数字示波器2台、函数信号发生器3台、自动失真测试仪1台、微型电子计算机8台、DDS函数信号发生器1台。</w:t>
            </w:r>
          </w:p>
        </w:tc>
        <w:tc>
          <w:tcPr>
            <w:tcW w:w="782"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3</w:t>
            </w:r>
          </w:p>
        </w:tc>
        <w:tc>
          <w:tcPr>
            <w:tcW w:w="1138"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电器维修实训室</w:t>
            </w:r>
          </w:p>
        </w:tc>
        <w:tc>
          <w:tcPr>
            <w:tcW w:w="1536"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家电原理与维修</w:t>
            </w:r>
          </w:p>
        </w:tc>
        <w:tc>
          <w:tcPr>
            <w:tcW w:w="2556"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彩色电视机维修实训</w:t>
            </w:r>
          </w:p>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手机维修实训</w:t>
            </w:r>
          </w:p>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电动电器维修实训制冷电器维修实训</w:t>
            </w:r>
          </w:p>
        </w:tc>
        <w:tc>
          <w:tcPr>
            <w:tcW w:w="3025" w:type="dxa"/>
            <w:tcBorders>
              <w:top w:val="single" w:color="auto" w:sz="4" w:space="0"/>
              <w:left w:val="single" w:color="auto" w:sz="4" w:space="0"/>
              <w:bottom w:val="single" w:color="auto" w:sz="4" w:space="0"/>
              <w:right w:val="single" w:color="auto" w:sz="4" w:space="0"/>
              <w:tl2br w:val="nil"/>
              <w:tr2bl w:val="nil"/>
            </w:tcBorders>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双踪示波器4台、双踪肆线示波器1台、</w:t>
            </w:r>
          </w:p>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eastAsia="仿宋_GB2312" w:cs="仿宋"/>
                <w:color w:val="000000" w:themeColor="text1"/>
                <w:sz w:val="24"/>
                <w14:textFill>
                  <w14:solidFill>
                    <w14:schemeClr w14:val="tx1"/>
                  </w14:solidFill>
                </w14:textFill>
              </w:rPr>
              <w:t>函数信号发生器</w:t>
            </w:r>
            <w:r>
              <w:rPr>
                <w:rFonts w:hint="eastAsia" w:eastAsia="仿宋_GB2312" w:cs="仿宋"/>
                <w:color w:val="000000" w:themeColor="text1"/>
                <w:sz w:val="24"/>
                <w14:textFill>
                  <w14:solidFill>
                    <w14:schemeClr w14:val="tx1"/>
                  </w14:solidFill>
                </w14:textFill>
              </w:rPr>
              <w:t>1台、可调式直流稳压电源3台、双通道交流毫伏表5台、彩色电视机18台、</w:t>
            </w:r>
          </w:p>
        </w:tc>
        <w:tc>
          <w:tcPr>
            <w:tcW w:w="782"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eastAsia="仿宋_GB2312" w:cs="仿宋"/>
                <w:color w:val="000000" w:themeColor="text1"/>
                <w:sz w:val="24"/>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4</w:t>
            </w:r>
          </w:p>
        </w:tc>
        <w:tc>
          <w:tcPr>
            <w:tcW w:w="1138"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CAD/CAM实验实训室</w:t>
            </w:r>
          </w:p>
        </w:tc>
        <w:tc>
          <w:tcPr>
            <w:tcW w:w="1536"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电子CAD</w:t>
            </w:r>
          </w:p>
        </w:tc>
        <w:tc>
          <w:tcPr>
            <w:tcW w:w="2556"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CAD制图</w:t>
            </w:r>
          </w:p>
        </w:tc>
        <w:tc>
          <w:tcPr>
            <w:tcW w:w="3025" w:type="dxa"/>
            <w:tcBorders>
              <w:top w:val="single" w:color="auto" w:sz="4" w:space="0"/>
              <w:left w:val="single" w:color="auto" w:sz="4" w:space="0"/>
              <w:bottom w:val="single" w:color="auto" w:sz="4" w:space="0"/>
              <w:right w:val="single" w:color="auto" w:sz="4" w:space="0"/>
              <w:tl2br w:val="nil"/>
              <w:tr2bl w:val="nil"/>
            </w:tcBorders>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服务器1台、交换机1台以及可运行AutoCAD教学软件的计算机80台</w:t>
            </w:r>
          </w:p>
        </w:tc>
        <w:tc>
          <w:tcPr>
            <w:tcW w:w="782"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6</w:t>
            </w:r>
          </w:p>
        </w:tc>
        <w:tc>
          <w:tcPr>
            <w:tcW w:w="1138"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自动控制实验实训室</w:t>
            </w:r>
          </w:p>
        </w:tc>
        <w:tc>
          <w:tcPr>
            <w:tcW w:w="1536"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电气控制与PLC、单片机原理与接口技术</w:t>
            </w:r>
          </w:p>
        </w:tc>
        <w:tc>
          <w:tcPr>
            <w:tcW w:w="2556"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控制系统认识实训、</w:t>
            </w:r>
          </w:p>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PLC与单片机认识实训、PLC应用实训、</w:t>
            </w:r>
          </w:p>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单片机应用实训</w:t>
            </w:r>
          </w:p>
          <w:p>
            <w:pPr>
              <w:overflowPunct w:val="0"/>
              <w:adjustRightInd w:val="0"/>
              <w:spacing w:line="360" w:lineRule="exact"/>
              <w:jc w:val="center"/>
              <w:rPr>
                <w:rFonts w:eastAsia="仿宋_GB2312" w:cs="仿宋"/>
                <w:color w:val="000000" w:themeColor="text1"/>
                <w:sz w:val="24"/>
                <w14:textFill>
                  <w14:solidFill>
                    <w14:schemeClr w14:val="tx1"/>
                  </w14:solidFill>
                </w14:textFill>
              </w:rPr>
            </w:pPr>
          </w:p>
        </w:tc>
        <w:tc>
          <w:tcPr>
            <w:tcW w:w="3025" w:type="dxa"/>
            <w:tcBorders>
              <w:top w:val="single" w:color="auto" w:sz="4" w:space="0"/>
              <w:left w:val="single" w:color="auto" w:sz="4" w:space="0"/>
              <w:bottom w:val="single" w:color="auto" w:sz="4" w:space="0"/>
              <w:right w:val="single" w:color="auto" w:sz="4" w:space="0"/>
              <w:tl2br w:val="nil"/>
              <w:tr2bl w:val="nil"/>
            </w:tcBorders>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微型计算机6套、单片机实验开发系统综合装置6套、多合一单片机微机实验仪8台</w:t>
            </w:r>
          </w:p>
        </w:tc>
        <w:tc>
          <w:tcPr>
            <w:tcW w:w="782"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7</w:t>
            </w:r>
          </w:p>
        </w:tc>
        <w:tc>
          <w:tcPr>
            <w:tcW w:w="1138"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电子工艺实训室</w:t>
            </w:r>
          </w:p>
        </w:tc>
        <w:tc>
          <w:tcPr>
            <w:tcW w:w="1536"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电子设计</w:t>
            </w:r>
          </w:p>
        </w:tc>
        <w:tc>
          <w:tcPr>
            <w:tcW w:w="2556"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安全操作、元器件及其封装的识别、元器件的安装、手工焊接、调试、故障排除、产品质量保证等实训项目。</w:t>
            </w:r>
          </w:p>
          <w:p>
            <w:pPr>
              <w:overflowPunct w:val="0"/>
              <w:adjustRightInd w:val="0"/>
              <w:spacing w:line="360" w:lineRule="exact"/>
              <w:jc w:val="center"/>
              <w:rPr>
                <w:rFonts w:eastAsia="仿宋_GB2312" w:cs="仿宋"/>
                <w:color w:val="000000" w:themeColor="text1"/>
                <w:sz w:val="24"/>
                <w14:textFill>
                  <w14:solidFill>
                    <w14:schemeClr w14:val="tx1"/>
                  </w14:solidFill>
                </w14:textFill>
              </w:rPr>
            </w:pPr>
          </w:p>
        </w:tc>
        <w:tc>
          <w:tcPr>
            <w:tcW w:w="3025" w:type="dxa"/>
            <w:tcBorders>
              <w:top w:val="single" w:color="auto" w:sz="4" w:space="0"/>
              <w:left w:val="single" w:color="auto" w:sz="4" w:space="0"/>
              <w:bottom w:val="single" w:color="auto" w:sz="4" w:space="0"/>
              <w:right w:val="single" w:color="auto" w:sz="4" w:space="0"/>
              <w:tl2br w:val="nil"/>
              <w:tr2bl w:val="nil"/>
            </w:tcBorders>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电子产品焊接及工艺实训台21台</w:t>
            </w:r>
          </w:p>
        </w:tc>
        <w:tc>
          <w:tcPr>
            <w:tcW w:w="782" w:type="dxa"/>
            <w:tcBorders>
              <w:top w:val="single" w:color="auto" w:sz="4" w:space="0"/>
              <w:left w:val="single" w:color="auto" w:sz="4" w:space="0"/>
              <w:bottom w:val="single" w:color="auto" w:sz="4" w:space="0"/>
              <w:right w:val="single" w:color="auto" w:sz="4" w:space="0"/>
              <w:tl2br w:val="nil"/>
              <w:tr2bl w:val="nil"/>
            </w:tcBorders>
            <w:vAlign w:val="center"/>
          </w:tcPr>
          <w:p>
            <w:pPr>
              <w:overflowPunct w:val="0"/>
              <w:adjustRightInd w:val="0"/>
              <w:spacing w:line="360" w:lineRule="exact"/>
              <w:jc w:val="center"/>
              <w:rPr>
                <w:rFonts w:eastAsia="仿宋_GB2312" w:cs="仿宋"/>
                <w:color w:val="000000" w:themeColor="text1"/>
                <w:sz w:val="24"/>
                <w14:textFill>
                  <w14:solidFill>
                    <w14:schemeClr w14:val="tx1"/>
                  </w14:solidFill>
                </w14:textFill>
              </w:rPr>
            </w:pPr>
            <w:r>
              <w:rPr>
                <w:rFonts w:hint="eastAsia" w:eastAsia="仿宋_GB2312" w:cs="仿宋"/>
                <w:color w:val="000000" w:themeColor="text1"/>
                <w:sz w:val="24"/>
                <w14:textFill>
                  <w14:solidFill>
                    <w14:schemeClr w14:val="tx1"/>
                  </w14:solidFill>
                </w14:textFill>
              </w:rPr>
              <w:t>80</w:t>
            </w:r>
          </w:p>
        </w:tc>
      </w:tr>
    </w:tbl>
    <w:p>
      <w:pPr>
        <w:overflowPunct w:val="0"/>
        <w:adjustRightInd w:val="0"/>
        <w:spacing w:line="360" w:lineRule="exact"/>
        <w:jc w:val="center"/>
        <w:rPr>
          <w:rFonts w:eastAsia="仿宋_GB2312" w:cs="仿宋"/>
          <w:color w:val="000000" w:themeColor="text1"/>
          <w:sz w:val="24"/>
          <w14:textFill>
            <w14:solidFill>
              <w14:schemeClr w14:val="tx1"/>
            </w14:solidFill>
          </w14:textFill>
        </w:rPr>
      </w:pPr>
    </w:p>
    <w:p>
      <w:pPr>
        <w:autoSpaceDE w:val="0"/>
        <w:autoSpaceDN w:val="0"/>
        <w:adjustRightInd w:val="0"/>
        <w:snapToGrid w:val="0"/>
        <w:spacing w:line="360" w:lineRule="auto"/>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3.校外实训资源</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ascii="仿宋_GB2312" w:hAnsi="仿宋_GB2312" w:eastAsia="仿宋_GB2312" w:cs="仿宋_GB2312"/>
          <w:sz w:val="32"/>
          <w:szCs w:val="32"/>
        </w:rPr>
        <w:t>（1）校外实训基地基本要求</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具有稳定的校外实训基地2个以上;能够开展电子产品安装调试、电子产品生产设备操作与维护等实训活动;实训设施齐备，实训岗位、实训指导教师确定，实训管理及实施规章制度齐全。</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（2）学生实习基地基本要求</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习基地2个以上;能提供电子产品辅助设计、电子产品安装调试、电子产品生产工艺管理、电子产品检测与质量管理、电子产品生产设备操作与维护、电子产品售后服务等相关实习岗位，能涵盖当前相关产业的主流技术，可接纳一定规模的学生实习;能够配备相应数量的指导教师对学生实习进行指导和管理;有保证实习生日常工作、学习、生活的规章制度，有安全、保险保障。</w:t>
      </w:r>
    </w:p>
    <w:p>
      <w:pPr>
        <w:autoSpaceDE w:val="0"/>
        <w:autoSpaceDN w:val="0"/>
        <w:adjustRightInd w:val="0"/>
        <w:snapToGrid w:val="0"/>
        <w:spacing w:line="360" w:lineRule="auto"/>
        <w:ind w:firstLine="960" w:firstLineChars="300"/>
        <w:jc w:val="left"/>
        <w:rPr>
          <w:rFonts w:hint="eastAsia" w:ascii="仿宋_GB2312" w:hAnsi="仿宋_GB2312" w:eastAsia="仿宋_GB2312" w:cs="仿宋_GB2312"/>
          <w:sz w:val="32"/>
          <w:szCs w:val="32"/>
        </w:rPr>
      </w:pPr>
    </w:p>
    <w:p>
      <w:pPr>
        <w:autoSpaceDE w:val="0"/>
        <w:autoSpaceDN w:val="0"/>
        <w:adjustRightInd w:val="0"/>
        <w:snapToGrid w:val="0"/>
        <w:spacing w:line="360" w:lineRule="auto"/>
        <w:ind w:firstLine="960" w:firstLineChars="3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表10应用电子技术专业校外实习基地一览表</w:t>
      </w:r>
    </w:p>
    <w:tbl>
      <w:tblPr>
        <w:tblStyle w:val="13"/>
        <w:tblW w:w="0" w:type="auto"/>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2167"/>
        <w:gridCol w:w="1420"/>
        <w:gridCol w:w="1420"/>
        <w:gridCol w:w="1230"/>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2167"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校外实习基地名称</w:t>
            </w:r>
          </w:p>
        </w:tc>
        <w:tc>
          <w:tcPr>
            <w:tcW w:w="142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合作企业名称</w:t>
            </w:r>
          </w:p>
        </w:tc>
        <w:tc>
          <w:tcPr>
            <w:tcW w:w="142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用途</w:t>
            </w:r>
          </w:p>
        </w:tc>
        <w:tc>
          <w:tcPr>
            <w:tcW w:w="123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合作深度要求</w:t>
            </w:r>
          </w:p>
        </w:tc>
        <w:tc>
          <w:tcPr>
            <w:tcW w:w="161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2167"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广西工程职业学院校外实训基地</w:t>
            </w:r>
          </w:p>
        </w:tc>
        <w:tc>
          <w:tcPr>
            <w:tcW w:w="142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思创电子公司</w:t>
            </w:r>
          </w:p>
        </w:tc>
        <w:tc>
          <w:tcPr>
            <w:tcW w:w="142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岗位</w:t>
            </w:r>
          </w:p>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实习</w:t>
            </w:r>
          </w:p>
        </w:tc>
        <w:tc>
          <w:tcPr>
            <w:tcW w:w="123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深度</w:t>
            </w:r>
          </w:p>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合作</w:t>
            </w:r>
          </w:p>
        </w:tc>
        <w:tc>
          <w:tcPr>
            <w:tcW w:w="1610" w:type="dxa"/>
            <w:vAlign w:val="center"/>
          </w:tcPr>
          <w:p>
            <w:pPr>
              <w:autoSpaceDE w:val="0"/>
              <w:autoSpaceDN w:val="0"/>
              <w:adjustRightInd w:val="0"/>
              <w:snapToGrid w:val="0"/>
              <w:spacing w:line="5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2</w:t>
            </w:r>
          </w:p>
        </w:tc>
        <w:tc>
          <w:tcPr>
            <w:tcW w:w="2167"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广西工程职业学院校外实训基地</w:t>
            </w:r>
          </w:p>
        </w:tc>
        <w:tc>
          <w:tcPr>
            <w:tcW w:w="142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广东新能德科技有限公司</w:t>
            </w:r>
          </w:p>
        </w:tc>
        <w:tc>
          <w:tcPr>
            <w:tcW w:w="142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岗位</w:t>
            </w:r>
          </w:p>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实习</w:t>
            </w:r>
          </w:p>
        </w:tc>
        <w:tc>
          <w:tcPr>
            <w:tcW w:w="123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深度</w:t>
            </w:r>
          </w:p>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合作</w:t>
            </w:r>
          </w:p>
        </w:tc>
        <w:tc>
          <w:tcPr>
            <w:tcW w:w="1610" w:type="dxa"/>
            <w:vAlign w:val="center"/>
          </w:tcPr>
          <w:p>
            <w:pPr>
              <w:autoSpaceDE w:val="0"/>
              <w:autoSpaceDN w:val="0"/>
              <w:adjustRightInd w:val="0"/>
              <w:snapToGrid w:val="0"/>
              <w:spacing w:line="5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3</w:t>
            </w:r>
          </w:p>
        </w:tc>
        <w:tc>
          <w:tcPr>
            <w:tcW w:w="2167"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广西工程职业学院校外实训基地</w:t>
            </w:r>
          </w:p>
        </w:tc>
        <w:tc>
          <w:tcPr>
            <w:tcW w:w="142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广州美维电子有限公司</w:t>
            </w:r>
          </w:p>
        </w:tc>
        <w:tc>
          <w:tcPr>
            <w:tcW w:w="142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岗位</w:t>
            </w:r>
          </w:p>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实习</w:t>
            </w:r>
          </w:p>
        </w:tc>
        <w:tc>
          <w:tcPr>
            <w:tcW w:w="123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深度</w:t>
            </w:r>
          </w:p>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合作</w:t>
            </w:r>
          </w:p>
        </w:tc>
        <w:tc>
          <w:tcPr>
            <w:tcW w:w="1610" w:type="dxa"/>
            <w:vAlign w:val="center"/>
          </w:tcPr>
          <w:p>
            <w:pPr>
              <w:autoSpaceDE w:val="0"/>
              <w:autoSpaceDN w:val="0"/>
              <w:adjustRightInd w:val="0"/>
              <w:snapToGrid w:val="0"/>
              <w:spacing w:line="5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4</w:t>
            </w:r>
          </w:p>
        </w:tc>
        <w:tc>
          <w:tcPr>
            <w:tcW w:w="2167"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广西工程职业学院校外实训基地</w:t>
            </w:r>
          </w:p>
        </w:tc>
        <w:tc>
          <w:tcPr>
            <w:tcW w:w="142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安捷利（番禺）电子实业有限公司</w:t>
            </w:r>
          </w:p>
        </w:tc>
        <w:tc>
          <w:tcPr>
            <w:tcW w:w="142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岗位</w:t>
            </w:r>
          </w:p>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实习</w:t>
            </w:r>
          </w:p>
        </w:tc>
        <w:tc>
          <w:tcPr>
            <w:tcW w:w="1230" w:type="dxa"/>
            <w:vAlign w:val="center"/>
          </w:tcPr>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深度</w:t>
            </w:r>
          </w:p>
          <w:p>
            <w:pPr>
              <w:autoSpaceDE w:val="0"/>
              <w:autoSpaceDN w:val="0"/>
              <w:adjustRightInd w:val="0"/>
              <w:snapToGrid w:val="0"/>
              <w:spacing w:line="500" w:lineRule="exact"/>
              <w:jc w:val="center"/>
              <w:rPr>
                <w:rFonts w:ascii="仿宋_GB2312" w:hAnsi="仿宋_GB2312" w:eastAsia="仿宋_GB2312" w:cs="仿宋_GB2312"/>
                <w:sz w:val="24"/>
              </w:rPr>
            </w:pPr>
            <w:r>
              <w:rPr>
                <w:rFonts w:hint="eastAsia" w:ascii="仿宋_GB2312" w:hAnsi="仿宋_GB2312" w:eastAsia="仿宋_GB2312" w:cs="仿宋_GB2312"/>
                <w:sz w:val="24"/>
              </w:rPr>
              <w:t>合作</w:t>
            </w:r>
          </w:p>
        </w:tc>
        <w:tc>
          <w:tcPr>
            <w:tcW w:w="1610" w:type="dxa"/>
            <w:vAlign w:val="center"/>
          </w:tcPr>
          <w:p>
            <w:pPr>
              <w:autoSpaceDE w:val="0"/>
              <w:autoSpaceDN w:val="0"/>
              <w:adjustRightInd w:val="0"/>
              <w:snapToGrid w:val="0"/>
              <w:spacing w:line="5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100</w:t>
            </w:r>
          </w:p>
        </w:tc>
      </w:tr>
    </w:tbl>
    <w:p>
      <w:pPr>
        <w:autoSpaceDE w:val="0"/>
        <w:autoSpaceDN w:val="0"/>
        <w:adjustRightInd w:val="0"/>
        <w:snapToGrid w:val="0"/>
        <w:spacing w:line="360" w:lineRule="auto"/>
        <w:ind w:firstLine="640" w:firstLineChars="200"/>
        <w:jc w:val="left"/>
        <w:rPr>
          <w:rFonts w:hint="eastAsia" w:ascii="楷体" w:hAnsi="楷体" w:eastAsia="楷体" w:cs="楷体"/>
          <w:sz w:val="32"/>
          <w:szCs w:val="32"/>
        </w:rPr>
      </w:pPr>
    </w:p>
    <w:p>
      <w:pPr>
        <w:autoSpaceDE w:val="0"/>
        <w:autoSpaceDN w:val="0"/>
        <w:adjustRightInd w:val="0"/>
        <w:snapToGrid w:val="0"/>
        <w:spacing w:line="360" w:lineRule="auto"/>
        <w:ind w:firstLine="640" w:firstLineChars="200"/>
        <w:jc w:val="left"/>
        <w:rPr>
          <w:rFonts w:ascii="楷体" w:hAnsi="楷体" w:eastAsia="楷体" w:cs="楷体"/>
          <w:sz w:val="32"/>
          <w:szCs w:val="32"/>
        </w:rPr>
      </w:pPr>
      <w:r>
        <w:rPr>
          <w:rFonts w:hint="eastAsia" w:ascii="楷体" w:hAnsi="楷体" w:eastAsia="楷体" w:cs="楷体"/>
          <w:sz w:val="32"/>
          <w:szCs w:val="32"/>
        </w:rPr>
        <w:t>（三）教学资源</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教学资源主要包括能满足学生专业学习、教师专业教学研究和教学实施所需的教材、图书文献及数字教学资源等。</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1.教材选用基本要求</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选用近五年内出版的高职高专国家级规划教材、自治区级规划教材、高职高专类出版教材。</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2.图书文献配备基本要求</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图书文献配备能满足人才培养、专业建设、教科研等工作的需要，方便师生查询、借阅。专业类文献主要包括：计算机、通信和其他电子设备制造业的电子设备装配调试、电子专用设备装配调试、电子工程相关行业政策法规、行业标准、技术规范以及技术应用等与服务相关专业类图书和实务案例类图书。专业图书资料（含电子图书）不低于500册，5种以上应用电子技术类专业学术期刊，并能保持每年更新。</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3.数字教学资源配置基本要求</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pPr>
        <w:autoSpaceDE w:val="0"/>
        <w:autoSpaceDN w:val="0"/>
        <w:adjustRightInd w:val="0"/>
        <w:snapToGrid w:val="0"/>
        <w:spacing w:line="360" w:lineRule="auto"/>
        <w:ind w:firstLine="640" w:firstLineChars="200"/>
        <w:jc w:val="left"/>
        <w:rPr>
          <w:rFonts w:ascii="楷体" w:hAnsi="楷体" w:eastAsia="楷体" w:cs="楷体"/>
          <w:sz w:val="32"/>
          <w:szCs w:val="32"/>
        </w:rPr>
      </w:pPr>
      <w:r>
        <w:rPr>
          <w:rFonts w:hint="eastAsia" w:ascii="楷体" w:hAnsi="楷体" w:eastAsia="楷体" w:cs="楷体"/>
          <w:sz w:val="32"/>
          <w:szCs w:val="32"/>
        </w:rPr>
        <w:t>（四）教学方法</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ascii="仿宋_GB2312" w:hAnsi="仿宋_GB2312" w:eastAsia="仿宋_GB2312" w:cs="仿宋_GB2312"/>
          <w:sz w:val="32"/>
          <w:szCs w:val="32"/>
        </w:rPr>
        <w:t>根据不同课程的性质</w:t>
      </w:r>
      <w:r>
        <w:rPr>
          <w:rFonts w:hint="eastAsia" w:ascii="仿宋_GB2312" w:hAnsi="仿宋_GB2312" w:eastAsia="仿宋_GB2312" w:cs="仿宋_GB2312"/>
          <w:sz w:val="32"/>
          <w:szCs w:val="32"/>
        </w:rPr>
        <w:t>特点</w:t>
      </w:r>
      <w:r>
        <w:rPr>
          <w:rFonts w:ascii="仿宋_GB2312" w:hAnsi="仿宋_GB2312" w:eastAsia="仿宋_GB2312" w:cs="仿宋_GB2312"/>
          <w:sz w:val="32"/>
          <w:szCs w:val="32"/>
        </w:rPr>
        <w:t>，在保留传统讲授法、演示法、讨论法、问答法、案例分析法等的基础上</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应充分利用信息化教学资源，尽量将项目驱动法、探究式教学、翻转课堂等新型教学模式及方法引入课堂，遵循“学生为主体，教师为主导”的原则，积极探索多种教学方法。</w:t>
      </w:r>
    </w:p>
    <w:p>
      <w:pPr>
        <w:autoSpaceDE w:val="0"/>
        <w:autoSpaceDN w:val="0"/>
        <w:adjustRightInd w:val="0"/>
        <w:snapToGrid w:val="0"/>
        <w:spacing w:line="360" w:lineRule="auto"/>
        <w:ind w:firstLine="640" w:firstLineChars="200"/>
        <w:jc w:val="left"/>
        <w:rPr>
          <w:rFonts w:ascii="楷体" w:hAnsi="楷体" w:eastAsia="楷体" w:cs="楷体"/>
          <w:sz w:val="32"/>
          <w:szCs w:val="32"/>
        </w:rPr>
      </w:pPr>
      <w:r>
        <w:rPr>
          <w:rFonts w:hint="eastAsia" w:ascii="楷体" w:hAnsi="楷体" w:eastAsia="楷体" w:cs="楷体"/>
          <w:sz w:val="32"/>
          <w:szCs w:val="32"/>
        </w:rPr>
        <w:t>（五）学习评价</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1.课程考核方法</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课程成绩评定根据学生参与度、作业质量、实训效果与期末考核等项目确定不同比例进行综合评定，评定标准如下：</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（1）A类课程成绩构成（纯理论）</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课程总成绩=期末卷面考试成绩（50%）+平时过程性考核成绩（50%)</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（2）B类课程成绩构成（理论+实践）</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课程总成绩=理论部分期末卷面考试成绩（40%)+技能成绩（30%）+平时过程性考核成绩（30%)。</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（3）C类课程成绩构成(纯实践）</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课程总成绩=技能成绩（50%）+平时过程性考核成绩（50%)</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2.教学评价方式</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pPr>
        <w:autoSpaceDE w:val="0"/>
        <w:autoSpaceDN w:val="0"/>
        <w:adjustRightInd w:val="0"/>
        <w:snapToGrid w:val="0"/>
        <w:spacing w:line="360" w:lineRule="auto"/>
        <w:ind w:firstLine="640" w:firstLineChars="200"/>
        <w:jc w:val="left"/>
        <w:rPr>
          <w:rFonts w:ascii="楷体" w:hAnsi="楷体" w:eastAsia="楷体" w:cs="楷体"/>
          <w:sz w:val="32"/>
          <w:szCs w:val="32"/>
        </w:rPr>
      </w:pPr>
      <w:r>
        <w:rPr>
          <w:rFonts w:hint="eastAsia" w:ascii="楷体" w:hAnsi="楷体" w:eastAsia="楷体" w:cs="楷体"/>
          <w:sz w:val="32"/>
          <w:szCs w:val="32"/>
        </w:rPr>
        <w:t>（六）质量管理</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3.建立毕业生跟踪反馈机制及社会评价机制，并对生源情况、在校生学业水平、毕业生就业情况等进行分析，定期评价人才培养质量和培养目标达成情况。</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4.充分利用评价分析结果有效改进专业教学，持续提高人才培养质量。</w:t>
      </w:r>
    </w:p>
    <w:p>
      <w:pPr>
        <w:autoSpaceDE w:val="0"/>
        <w:autoSpaceDN w:val="0"/>
        <w:adjustRightInd w:val="0"/>
        <w:snapToGrid w:val="0"/>
        <w:spacing w:line="360" w:lineRule="auto"/>
        <w:ind w:firstLine="640" w:firstLineChars="200"/>
        <w:jc w:val="left"/>
        <w:rPr>
          <w:rFonts w:ascii="黑体" w:hAnsi="黑体" w:eastAsia="黑体" w:cs="黑体"/>
          <w:sz w:val="32"/>
          <w:szCs w:val="32"/>
        </w:rPr>
      </w:pPr>
      <w:r>
        <w:rPr>
          <w:rFonts w:hint="eastAsia" w:ascii="黑体" w:hAnsi="黑体" w:eastAsia="黑体" w:cs="黑体"/>
          <w:sz w:val="32"/>
          <w:szCs w:val="32"/>
        </w:rPr>
        <w:t>九、毕业要求</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学生必须具备以下条件，方可毕业：</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（一）满足修业年限的要求：标准修业年限为3年，弹性学分有效修业年限为2-5年。</w:t>
      </w:r>
    </w:p>
    <w:p>
      <w:pPr>
        <w:autoSpaceDE w:val="0"/>
        <w:autoSpaceDN w:val="0"/>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（二）满足学分要求：至少取得151学分，其中，必修课学分133学分，公共选修课不低于12学分，专业选修课不少于6学分，达到专业培养目标和培养规格要求。</w:t>
      </w:r>
    </w:p>
    <w:p>
      <w:pPr>
        <w:autoSpaceDE w:val="0"/>
        <w:autoSpaceDN w:val="0"/>
        <w:adjustRightInd w:val="0"/>
        <w:snapToGrid w:val="0"/>
        <w:spacing w:line="360" w:lineRule="auto"/>
        <w:ind w:firstLine="640" w:firstLineChars="200"/>
        <w:jc w:val="left"/>
      </w:pPr>
      <w:r>
        <w:rPr>
          <w:rFonts w:hint="eastAsia" w:ascii="仿宋_GB2312" w:hAnsi="仿宋_GB2312" w:eastAsia="仿宋_GB2312" w:cs="仿宋_GB2312"/>
          <w:sz w:val="32"/>
          <w:szCs w:val="32"/>
        </w:rPr>
        <w:t>（三）符合学生学籍管理的其它规定。</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新魏">
    <w:altName w:val="宋体"/>
    <w:panose1 w:val="02010800040101010101"/>
    <w:charset w:val="86"/>
    <w:family w:val="auto"/>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mMzNlM2IyYmEwNThlZDE2YWUzMWM1YzFiYWVhNzUifQ=="/>
  </w:docVars>
  <w:rsids>
    <w:rsidRoot w:val="00157AE4"/>
    <w:rsid w:val="00036096"/>
    <w:rsid w:val="00050AA8"/>
    <w:rsid w:val="00084E6F"/>
    <w:rsid w:val="000A72A7"/>
    <w:rsid w:val="000B6F75"/>
    <w:rsid w:val="000C59B4"/>
    <w:rsid w:val="000D083C"/>
    <w:rsid w:val="00126E3A"/>
    <w:rsid w:val="001424AD"/>
    <w:rsid w:val="00157AE4"/>
    <w:rsid w:val="00174720"/>
    <w:rsid w:val="00192236"/>
    <w:rsid w:val="001C2D01"/>
    <w:rsid w:val="001D36CE"/>
    <w:rsid w:val="001E43AB"/>
    <w:rsid w:val="002239D3"/>
    <w:rsid w:val="00230B0B"/>
    <w:rsid w:val="00242226"/>
    <w:rsid w:val="00253C5B"/>
    <w:rsid w:val="00266F5D"/>
    <w:rsid w:val="002735DD"/>
    <w:rsid w:val="00280739"/>
    <w:rsid w:val="00285C17"/>
    <w:rsid w:val="002A562E"/>
    <w:rsid w:val="002C136F"/>
    <w:rsid w:val="002C5912"/>
    <w:rsid w:val="002E05AC"/>
    <w:rsid w:val="002E2E3B"/>
    <w:rsid w:val="002F4673"/>
    <w:rsid w:val="003344D5"/>
    <w:rsid w:val="00357156"/>
    <w:rsid w:val="00373C81"/>
    <w:rsid w:val="00383856"/>
    <w:rsid w:val="00390E06"/>
    <w:rsid w:val="003952BB"/>
    <w:rsid w:val="00395EB3"/>
    <w:rsid w:val="003E338C"/>
    <w:rsid w:val="004100D2"/>
    <w:rsid w:val="004317D2"/>
    <w:rsid w:val="00454E1E"/>
    <w:rsid w:val="00463A84"/>
    <w:rsid w:val="00490F62"/>
    <w:rsid w:val="004B05E0"/>
    <w:rsid w:val="004B1238"/>
    <w:rsid w:val="004B67F0"/>
    <w:rsid w:val="004D220E"/>
    <w:rsid w:val="004E32D3"/>
    <w:rsid w:val="0054550D"/>
    <w:rsid w:val="00555F0B"/>
    <w:rsid w:val="00582683"/>
    <w:rsid w:val="00585A81"/>
    <w:rsid w:val="0059796A"/>
    <w:rsid w:val="005A689E"/>
    <w:rsid w:val="005B2CD7"/>
    <w:rsid w:val="005C2B07"/>
    <w:rsid w:val="005C53A2"/>
    <w:rsid w:val="005D053B"/>
    <w:rsid w:val="006466B1"/>
    <w:rsid w:val="00692ADF"/>
    <w:rsid w:val="006B002B"/>
    <w:rsid w:val="006B4918"/>
    <w:rsid w:val="006B55A2"/>
    <w:rsid w:val="006B592E"/>
    <w:rsid w:val="006D2E15"/>
    <w:rsid w:val="006D6BFB"/>
    <w:rsid w:val="007935BF"/>
    <w:rsid w:val="008658B1"/>
    <w:rsid w:val="0088188B"/>
    <w:rsid w:val="0091016D"/>
    <w:rsid w:val="00917E95"/>
    <w:rsid w:val="00973E77"/>
    <w:rsid w:val="00986B3D"/>
    <w:rsid w:val="00995F5C"/>
    <w:rsid w:val="009A5C16"/>
    <w:rsid w:val="009A64B0"/>
    <w:rsid w:val="009F54D7"/>
    <w:rsid w:val="00AE0395"/>
    <w:rsid w:val="00B07FDB"/>
    <w:rsid w:val="00B148B1"/>
    <w:rsid w:val="00B241FD"/>
    <w:rsid w:val="00B37BD9"/>
    <w:rsid w:val="00B438D8"/>
    <w:rsid w:val="00B439BD"/>
    <w:rsid w:val="00B53476"/>
    <w:rsid w:val="00B76B6F"/>
    <w:rsid w:val="00BB0FB4"/>
    <w:rsid w:val="00BB53EB"/>
    <w:rsid w:val="00BD3558"/>
    <w:rsid w:val="00BE6127"/>
    <w:rsid w:val="00C00506"/>
    <w:rsid w:val="00C235B7"/>
    <w:rsid w:val="00C3052C"/>
    <w:rsid w:val="00CE674A"/>
    <w:rsid w:val="00D04FF1"/>
    <w:rsid w:val="00D22E30"/>
    <w:rsid w:val="00D414D1"/>
    <w:rsid w:val="00D66BE8"/>
    <w:rsid w:val="00D80375"/>
    <w:rsid w:val="00D82C25"/>
    <w:rsid w:val="00D84F84"/>
    <w:rsid w:val="00D944B1"/>
    <w:rsid w:val="00DD6962"/>
    <w:rsid w:val="00DE7C01"/>
    <w:rsid w:val="00E14C23"/>
    <w:rsid w:val="00E15D20"/>
    <w:rsid w:val="00E239A3"/>
    <w:rsid w:val="00E261A7"/>
    <w:rsid w:val="00E33E62"/>
    <w:rsid w:val="00E53E89"/>
    <w:rsid w:val="00E84A37"/>
    <w:rsid w:val="00EA2DFB"/>
    <w:rsid w:val="00EE747F"/>
    <w:rsid w:val="00EF2B00"/>
    <w:rsid w:val="00EF5EC2"/>
    <w:rsid w:val="00F10B41"/>
    <w:rsid w:val="00F647A1"/>
    <w:rsid w:val="00F734C4"/>
    <w:rsid w:val="00FB1930"/>
    <w:rsid w:val="00FD77C2"/>
    <w:rsid w:val="00FE55FF"/>
    <w:rsid w:val="0AB94E21"/>
    <w:rsid w:val="0F8809BE"/>
    <w:rsid w:val="174D0E5F"/>
    <w:rsid w:val="20B97AC4"/>
    <w:rsid w:val="2677009E"/>
    <w:rsid w:val="358E62F7"/>
    <w:rsid w:val="395C33C8"/>
    <w:rsid w:val="3C376132"/>
    <w:rsid w:val="3C4E5A91"/>
    <w:rsid w:val="3F5A514A"/>
    <w:rsid w:val="3F760820"/>
    <w:rsid w:val="50EE54A7"/>
    <w:rsid w:val="579B701A"/>
    <w:rsid w:val="628160D1"/>
    <w:rsid w:val="67B90B06"/>
    <w:rsid w:val="6C953CD8"/>
    <w:rsid w:val="71F01C61"/>
    <w:rsid w:val="7EC70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rFonts w:eastAsia="仿宋"/>
      <w:b/>
      <w:bCs/>
      <w:kern w:val="44"/>
      <w:sz w:val="36"/>
      <w:szCs w:val="44"/>
    </w:rPr>
  </w:style>
  <w:style w:type="paragraph" w:styleId="3">
    <w:name w:val="heading 2"/>
    <w:basedOn w:val="1"/>
    <w:next w:val="1"/>
    <w:link w:val="20"/>
    <w:semiHidden/>
    <w:unhideWhenUsed/>
    <w:qFormat/>
    <w:uiPriority w:val="9"/>
    <w:pPr>
      <w:keepNext/>
      <w:keepLines/>
      <w:spacing w:before="260" w:after="260" w:line="416" w:lineRule="auto"/>
      <w:outlineLvl w:val="1"/>
    </w:pPr>
    <w:rPr>
      <w:rFonts w:eastAsia="仿宋" w:asciiTheme="majorHAnsi" w:hAnsiTheme="majorHAnsi" w:cstheme="majorBidi"/>
      <w:b/>
      <w:bCs/>
      <w:sz w:val="32"/>
      <w:szCs w:val="32"/>
    </w:rPr>
  </w:style>
  <w:style w:type="paragraph" w:styleId="4">
    <w:name w:val="heading 3"/>
    <w:basedOn w:val="1"/>
    <w:next w:val="1"/>
    <w:link w:val="21"/>
    <w:qFormat/>
    <w:uiPriority w:val="9"/>
    <w:pPr>
      <w:keepNext/>
      <w:keepLines/>
      <w:spacing w:before="40"/>
      <w:outlineLvl w:val="2"/>
    </w:pPr>
    <w:rPr>
      <w:rFonts w:ascii="Calibri Light" w:hAnsi="Calibri Light"/>
      <w:color w:val="0D0D0D"/>
      <w:sz w:val="24"/>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2"/>
    <w:unhideWhenUsed/>
    <w:qFormat/>
    <w:uiPriority w:val="99"/>
    <w:pPr>
      <w:jc w:val="left"/>
    </w:pPr>
    <w:rPr>
      <w:rFonts w:eastAsia="仿宋_GB2312"/>
      <w:sz w:val="32"/>
      <w:szCs w:val="22"/>
    </w:rPr>
  </w:style>
  <w:style w:type="paragraph" w:styleId="6">
    <w:name w:val="Plain Text"/>
    <w:basedOn w:val="1"/>
    <w:link w:val="23"/>
    <w:unhideWhenUsed/>
    <w:qFormat/>
    <w:uiPriority w:val="0"/>
    <w:rPr>
      <w:rFonts w:ascii="宋体" w:hAnsi="Courier New" w:eastAsia="仿宋_GB2312"/>
      <w:sz w:val="32"/>
      <w:szCs w:val="20"/>
    </w:rPr>
  </w:style>
  <w:style w:type="paragraph" w:styleId="7">
    <w:name w:val="Balloon Text"/>
    <w:basedOn w:val="1"/>
    <w:link w:val="24"/>
    <w:unhideWhenUsed/>
    <w:qFormat/>
    <w:uiPriority w:val="99"/>
    <w:rPr>
      <w:rFonts w:eastAsia="仿宋_GB2312"/>
      <w:sz w:val="18"/>
      <w:szCs w:val="18"/>
    </w:rPr>
  </w:style>
  <w:style w:type="paragraph" w:styleId="8">
    <w:name w:val="footer"/>
    <w:basedOn w:val="1"/>
    <w:link w:val="25"/>
    <w:unhideWhenUsed/>
    <w:qFormat/>
    <w:uiPriority w:val="0"/>
    <w:pPr>
      <w:tabs>
        <w:tab w:val="center" w:pos="4153"/>
        <w:tab w:val="right" w:pos="8306"/>
      </w:tabs>
      <w:snapToGrid w:val="0"/>
      <w:jc w:val="left"/>
    </w:pPr>
    <w:rPr>
      <w:rFonts w:eastAsia="仿宋_GB2312"/>
      <w:sz w:val="18"/>
      <w:szCs w:val="18"/>
    </w:rPr>
  </w:style>
  <w:style w:type="paragraph" w:styleId="9">
    <w:name w:val="header"/>
    <w:basedOn w:val="1"/>
    <w:link w:val="26"/>
    <w:unhideWhenUsed/>
    <w:qFormat/>
    <w:uiPriority w:val="0"/>
    <w:pPr>
      <w:pBdr>
        <w:bottom w:val="single" w:color="auto" w:sz="6" w:space="1"/>
      </w:pBdr>
      <w:tabs>
        <w:tab w:val="center" w:pos="4153"/>
        <w:tab w:val="right" w:pos="8306"/>
      </w:tabs>
      <w:snapToGrid w:val="0"/>
      <w:jc w:val="center"/>
    </w:pPr>
    <w:rPr>
      <w:rFonts w:eastAsia="仿宋_GB2312"/>
      <w:sz w:val="18"/>
      <w:szCs w:val="18"/>
    </w:rPr>
  </w:style>
  <w:style w:type="paragraph" w:styleId="10">
    <w:name w:val="toc 1"/>
    <w:basedOn w:val="1"/>
    <w:next w:val="1"/>
    <w:unhideWhenUsed/>
    <w:qFormat/>
    <w:uiPriority w:val="39"/>
    <w:pPr>
      <w:tabs>
        <w:tab w:val="right" w:leader="dot" w:pos="8296"/>
      </w:tabs>
      <w:spacing w:line="360" w:lineRule="auto"/>
    </w:pPr>
    <w:rPr>
      <w:rFonts w:eastAsia="仿宋_GB2312"/>
      <w:sz w:val="32"/>
      <w:szCs w:val="22"/>
    </w:rPr>
  </w:style>
  <w:style w:type="paragraph" w:styleId="11">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styleId="16">
    <w:name w:val="FollowedHyperlink"/>
    <w:basedOn w:val="14"/>
    <w:unhideWhenUsed/>
    <w:qFormat/>
    <w:uiPriority w:val="99"/>
    <w:rPr>
      <w:color w:val="800080"/>
      <w:u w:val="single"/>
    </w:rPr>
  </w:style>
  <w:style w:type="character" w:styleId="17">
    <w:name w:val="Hyperlink"/>
    <w:basedOn w:val="14"/>
    <w:unhideWhenUsed/>
    <w:qFormat/>
    <w:uiPriority w:val="99"/>
    <w:rPr>
      <w:color w:val="0000FF"/>
      <w:u w:val="single"/>
    </w:rPr>
  </w:style>
  <w:style w:type="paragraph" w:styleId="18">
    <w:name w:val="List Paragraph"/>
    <w:basedOn w:val="1"/>
    <w:unhideWhenUsed/>
    <w:qFormat/>
    <w:uiPriority w:val="34"/>
    <w:pPr>
      <w:ind w:firstLine="420" w:firstLineChars="200"/>
    </w:pPr>
    <w:rPr>
      <w:rFonts w:eastAsia="仿宋_GB2312"/>
      <w:sz w:val="32"/>
      <w:szCs w:val="22"/>
    </w:rPr>
  </w:style>
  <w:style w:type="character" w:customStyle="1" w:styleId="19">
    <w:name w:val="标题 1 字符"/>
    <w:basedOn w:val="14"/>
    <w:link w:val="2"/>
    <w:qFormat/>
    <w:uiPriority w:val="9"/>
    <w:rPr>
      <w:rFonts w:eastAsia="仿宋"/>
      <w:b/>
      <w:bCs/>
      <w:kern w:val="44"/>
      <w:sz w:val="36"/>
      <w:szCs w:val="44"/>
    </w:rPr>
  </w:style>
  <w:style w:type="character" w:customStyle="1" w:styleId="20">
    <w:name w:val="标题 2 字符"/>
    <w:basedOn w:val="14"/>
    <w:link w:val="3"/>
    <w:semiHidden/>
    <w:qFormat/>
    <w:uiPriority w:val="9"/>
    <w:rPr>
      <w:rFonts w:eastAsia="仿宋" w:asciiTheme="majorHAnsi" w:hAnsiTheme="majorHAnsi" w:cstheme="majorBidi"/>
      <w:b/>
      <w:bCs/>
      <w:kern w:val="2"/>
      <w:sz w:val="32"/>
      <w:szCs w:val="32"/>
    </w:rPr>
  </w:style>
  <w:style w:type="character" w:customStyle="1" w:styleId="21">
    <w:name w:val="标题 3 字符"/>
    <w:basedOn w:val="14"/>
    <w:link w:val="4"/>
    <w:qFormat/>
    <w:uiPriority w:val="9"/>
    <w:rPr>
      <w:rFonts w:ascii="Calibri Light" w:hAnsi="Calibri Light"/>
      <w:color w:val="0D0D0D"/>
      <w:kern w:val="2"/>
      <w:sz w:val="24"/>
      <w:szCs w:val="24"/>
    </w:rPr>
  </w:style>
  <w:style w:type="character" w:customStyle="1" w:styleId="22">
    <w:name w:val="批注文字 字符"/>
    <w:basedOn w:val="14"/>
    <w:link w:val="5"/>
    <w:qFormat/>
    <w:uiPriority w:val="99"/>
    <w:rPr>
      <w:rFonts w:eastAsia="仿宋_GB2312"/>
      <w:kern w:val="2"/>
      <w:sz w:val="32"/>
      <w:szCs w:val="22"/>
    </w:rPr>
  </w:style>
  <w:style w:type="character" w:customStyle="1" w:styleId="23">
    <w:name w:val="纯文本 字符"/>
    <w:basedOn w:val="14"/>
    <w:link w:val="6"/>
    <w:qFormat/>
    <w:uiPriority w:val="0"/>
    <w:rPr>
      <w:rFonts w:ascii="宋体" w:hAnsi="Courier New" w:eastAsia="仿宋_GB2312"/>
      <w:kern w:val="2"/>
      <w:sz w:val="32"/>
    </w:rPr>
  </w:style>
  <w:style w:type="character" w:customStyle="1" w:styleId="24">
    <w:name w:val="批注框文本 字符"/>
    <w:basedOn w:val="14"/>
    <w:link w:val="7"/>
    <w:qFormat/>
    <w:uiPriority w:val="99"/>
    <w:rPr>
      <w:rFonts w:eastAsia="仿宋_GB2312"/>
      <w:kern w:val="2"/>
      <w:sz w:val="18"/>
      <w:szCs w:val="18"/>
    </w:rPr>
  </w:style>
  <w:style w:type="character" w:customStyle="1" w:styleId="25">
    <w:name w:val="页脚 字符"/>
    <w:basedOn w:val="14"/>
    <w:link w:val="8"/>
    <w:qFormat/>
    <w:uiPriority w:val="0"/>
    <w:rPr>
      <w:rFonts w:eastAsia="仿宋_GB2312"/>
      <w:kern w:val="2"/>
      <w:sz w:val="18"/>
      <w:szCs w:val="18"/>
    </w:rPr>
  </w:style>
  <w:style w:type="character" w:customStyle="1" w:styleId="26">
    <w:name w:val="页眉 字符"/>
    <w:basedOn w:val="14"/>
    <w:link w:val="9"/>
    <w:qFormat/>
    <w:uiPriority w:val="0"/>
    <w:rPr>
      <w:rFonts w:eastAsia="仿宋_GB2312"/>
      <w:kern w:val="2"/>
      <w:sz w:val="18"/>
      <w:szCs w:val="18"/>
    </w:rPr>
  </w:style>
  <w:style w:type="paragraph" w:customStyle="1" w:styleId="27">
    <w:name w:val="中等深浅网格 1 - 着色 21"/>
    <w:basedOn w:val="1"/>
    <w:qFormat/>
    <w:uiPriority w:val="0"/>
    <w:pPr>
      <w:spacing w:line="360" w:lineRule="auto"/>
      <w:ind w:firstLine="420" w:firstLineChars="200"/>
    </w:pPr>
    <w:rPr>
      <w:rFonts w:ascii="Calibri" w:hAnsi="Calibri"/>
      <w:szCs w:val="22"/>
    </w:rPr>
  </w:style>
  <w:style w:type="paragraph" w:customStyle="1" w:styleId="28">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29">
    <w:name w:val="font5"/>
    <w:basedOn w:val="1"/>
    <w:qFormat/>
    <w:uiPriority w:val="0"/>
    <w:pPr>
      <w:widowControl/>
      <w:spacing w:before="100" w:beforeAutospacing="1" w:after="100" w:afterAutospacing="1"/>
      <w:jc w:val="left"/>
    </w:pPr>
    <w:rPr>
      <w:kern w:val="0"/>
      <w:sz w:val="18"/>
      <w:szCs w:val="18"/>
    </w:rPr>
  </w:style>
  <w:style w:type="paragraph" w:customStyle="1" w:styleId="30">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1">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
    <w:name w:val="xl63"/>
    <w:basedOn w:val="1"/>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33">
    <w:name w:val="xl64"/>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34">
    <w:name w:val="xl6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pPr>
    <w:rPr>
      <w:rFonts w:ascii="宋体" w:hAnsi="宋体" w:cs="宋体"/>
      <w:color w:val="FF0000"/>
      <w:kern w:val="0"/>
      <w:sz w:val="24"/>
    </w:rPr>
  </w:style>
  <w:style w:type="paragraph" w:customStyle="1" w:styleId="35">
    <w:name w:val="xl66"/>
    <w:basedOn w:val="1"/>
    <w:qFormat/>
    <w:uiPriority w:val="0"/>
    <w:pPr>
      <w:widowControl/>
      <w:pBdr>
        <w:bottom w:val="single" w:color="auto" w:sz="8" w:space="0"/>
        <w:right w:val="single" w:color="auto" w:sz="8" w:space="0"/>
      </w:pBdr>
      <w:spacing w:before="100" w:beforeAutospacing="1" w:after="100" w:afterAutospacing="1"/>
      <w:jc w:val="center"/>
    </w:pPr>
    <w:rPr>
      <w:kern w:val="0"/>
      <w:sz w:val="18"/>
      <w:szCs w:val="18"/>
    </w:rPr>
  </w:style>
  <w:style w:type="paragraph" w:customStyle="1" w:styleId="36">
    <w:name w:val="xl67"/>
    <w:basedOn w:val="1"/>
    <w:qFormat/>
    <w:uiPriority w:val="0"/>
    <w:pPr>
      <w:widowControl/>
      <w:pBdr>
        <w:top w:val="single" w:color="auto" w:sz="8" w:space="0"/>
        <w:right w:val="single" w:color="auto" w:sz="8" w:space="0"/>
      </w:pBdr>
      <w:spacing w:before="100" w:beforeAutospacing="1" w:after="100" w:afterAutospacing="1"/>
      <w:jc w:val="center"/>
      <w:textAlignment w:val="top"/>
    </w:pPr>
    <w:rPr>
      <w:kern w:val="0"/>
      <w:sz w:val="18"/>
      <w:szCs w:val="18"/>
    </w:rPr>
  </w:style>
  <w:style w:type="paragraph" w:customStyle="1" w:styleId="37">
    <w:name w:val="xl68"/>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b/>
      <w:bCs/>
      <w:kern w:val="0"/>
      <w:sz w:val="18"/>
      <w:szCs w:val="18"/>
    </w:rPr>
  </w:style>
  <w:style w:type="paragraph" w:customStyle="1" w:styleId="38">
    <w:name w:val="xl69"/>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b/>
      <w:bCs/>
      <w:kern w:val="0"/>
      <w:sz w:val="18"/>
      <w:szCs w:val="18"/>
    </w:rPr>
  </w:style>
  <w:style w:type="paragraph" w:customStyle="1" w:styleId="39">
    <w:name w:val="xl7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kern w:val="0"/>
      <w:sz w:val="18"/>
      <w:szCs w:val="18"/>
    </w:rPr>
  </w:style>
  <w:style w:type="paragraph" w:customStyle="1" w:styleId="40">
    <w:name w:val="xl71"/>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41">
    <w:name w:val="xl72"/>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42">
    <w:name w:val="xl73"/>
    <w:basedOn w:val="1"/>
    <w:qFormat/>
    <w:uiPriority w:val="0"/>
    <w:pPr>
      <w:widowControl/>
      <w:pBdr>
        <w:bottom w:val="single" w:color="auto" w:sz="8" w:space="0"/>
        <w:right w:val="single" w:color="auto" w:sz="8" w:space="0"/>
      </w:pBdr>
      <w:spacing w:before="100" w:beforeAutospacing="1" w:after="100" w:afterAutospacing="1"/>
      <w:jc w:val="center"/>
      <w:textAlignment w:val="top"/>
    </w:pPr>
    <w:rPr>
      <w:rFonts w:ascii="宋体" w:hAnsi="宋体" w:cs="宋体"/>
      <w:kern w:val="0"/>
      <w:sz w:val="18"/>
      <w:szCs w:val="18"/>
    </w:rPr>
  </w:style>
  <w:style w:type="paragraph" w:customStyle="1" w:styleId="43">
    <w:name w:val="xl74"/>
    <w:basedOn w:val="1"/>
    <w:qFormat/>
    <w:uiPriority w:val="0"/>
    <w:pPr>
      <w:widowControl/>
      <w:pBdr>
        <w:right w:val="single" w:color="auto" w:sz="8" w:space="0"/>
      </w:pBdr>
      <w:spacing w:before="100" w:beforeAutospacing="1" w:after="100" w:afterAutospacing="1"/>
      <w:jc w:val="center"/>
      <w:textAlignment w:val="top"/>
    </w:pPr>
    <w:rPr>
      <w:kern w:val="0"/>
      <w:sz w:val="18"/>
      <w:szCs w:val="18"/>
    </w:rPr>
  </w:style>
  <w:style w:type="paragraph" w:customStyle="1" w:styleId="44">
    <w:name w:val="xl75"/>
    <w:basedOn w:val="1"/>
    <w:qFormat/>
    <w:uiPriority w:val="0"/>
    <w:pPr>
      <w:widowControl/>
      <w:pBdr>
        <w:top w:val="single" w:color="auto" w:sz="8" w:space="0"/>
        <w:right w:val="single" w:color="auto" w:sz="8" w:space="0"/>
      </w:pBdr>
      <w:spacing w:before="100" w:beforeAutospacing="1" w:after="100" w:afterAutospacing="1"/>
      <w:jc w:val="center"/>
      <w:textAlignment w:val="top"/>
    </w:pPr>
    <w:rPr>
      <w:rFonts w:ascii="宋体" w:hAnsi="宋体" w:cs="宋体"/>
      <w:kern w:val="0"/>
      <w:sz w:val="18"/>
      <w:szCs w:val="18"/>
    </w:rPr>
  </w:style>
  <w:style w:type="paragraph" w:customStyle="1" w:styleId="45">
    <w:name w:val="xl76"/>
    <w:basedOn w:val="1"/>
    <w:qFormat/>
    <w:uiPriority w:val="0"/>
    <w:pPr>
      <w:widowControl/>
      <w:pBdr>
        <w:top w:val="single" w:color="auto" w:sz="8"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46">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47">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kern w:val="0"/>
      <w:sz w:val="18"/>
      <w:szCs w:val="18"/>
    </w:rPr>
  </w:style>
  <w:style w:type="paragraph" w:customStyle="1" w:styleId="48">
    <w:name w:val="xl79"/>
    <w:basedOn w:val="1"/>
    <w:qFormat/>
    <w:uiPriority w:val="0"/>
    <w:pPr>
      <w:widowControl/>
      <w:pBdr>
        <w:top w:val="single" w:color="auto" w:sz="8" w:space="0"/>
        <w:right w:val="single" w:color="auto" w:sz="8" w:space="0"/>
      </w:pBdr>
      <w:spacing w:before="100" w:beforeAutospacing="1" w:after="100" w:afterAutospacing="1"/>
      <w:jc w:val="center"/>
      <w:textAlignment w:val="top"/>
    </w:pPr>
    <w:rPr>
      <w:rFonts w:ascii="宋体" w:hAnsi="宋体" w:cs="宋体"/>
      <w:kern w:val="0"/>
      <w:sz w:val="18"/>
      <w:szCs w:val="18"/>
    </w:rPr>
  </w:style>
  <w:style w:type="paragraph" w:customStyle="1" w:styleId="49">
    <w:name w:val="xl80"/>
    <w:basedOn w:val="1"/>
    <w:qFormat/>
    <w:uiPriority w:val="0"/>
    <w:pPr>
      <w:widowControl/>
      <w:pBdr>
        <w:top w:val="single" w:color="auto" w:sz="8" w:space="0"/>
        <w:right w:val="single" w:color="auto" w:sz="8" w:space="0"/>
      </w:pBdr>
      <w:spacing w:before="100" w:beforeAutospacing="1" w:after="100" w:afterAutospacing="1"/>
      <w:jc w:val="center"/>
    </w:pPr>
    <w:rPr>
      <w:kern w:val="0"/>
      <w:sz w:val="18"/>
      <w:szCs w:val="18"/>
    </w:rPr>
  </w:style>
  <w:style w:type="paragraph" w:customStyle="1" w:styleId="50">
    <w:name w:val="xl81"/>
    <w:basedOn w:val="1"/>
    <w:qFormat/>
    <w:uiPriority w:val="0"/>
    <w:pPr>
      <w:widowControl/>
      <w:pBdr>
        <w:right w:val="single" w:color="auto" w:sz="8" w:space="0"/>
      </w:pBdr>
      <w:spacing w:before="100" w:beforeAutospacing="1" w:after="100" w:afterAutospacing="1"/>
      <w:jc w:val="center"/>
    </w:pPr>
    <w:rPr>
      <w:kern w:val="0"/>
      <w:sz w:val="18"/>
      <w:szCs w:val="18"/>
    </w:rPr>
  </w:style>
  <w:style w:type="paragraph" w:customStyle="1" w:styleId="51">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52">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53">
    <w:name w:val="xl84"/>
    <w:basedOn w:val="1"/>
    <w:qFormat/>
    <w:uiPriority w:val="0"/>
    <w:pPr>
      <w:widowControl/>
      <w:pBdr>
        <w:bottom w:val="single" w:color="auto" w:sz="8" w:space="0"/>
      </w:pBdr>
      <w:spacing w:before="100" w:beforeAutospacing="1" w:after="100" w:afterAutospacing="1"/>
      <w:jc w:val="center"/>
    </w:pPr>
    <w:rPr>
      <w:rFonts w:ascii="宋体" w:hAnsi="宋体" w:cs="宋体"/>
      <w:b/>
      <w:bCs/>
      <w:kern w:val="0"/>
      <w:sz w:val="18"/>
      <w:szCs w:val="18"/>
    </w:rPr>
  </w:style>
  <w:style w:type="paragraph" w:customStyle="1" w:styleId="54">
    <w:name w:val="xl85"/>
    <w:basedOn w:val="1"/>
    <w:qFormat/>
    <w:uiPriority w:val="0"/>
    <w:pPr>
      <w:widowControl/>
      <w:pBdr>
        <w:left w:val="single" w:color="auto" w:sz="8" w:space="0"/>
        <w:right w:val="single" w:color="auto" w:sz="8" w:space="0"/>
      </w:pBdr>
      <w:spacing w:before="100" w:beforeAutospacing="1" w:after="100" w:afterAutospacing="1"/>
      <w:jc w:val="center"/>
    </w:pPr>
    <w:rPr>
      <w:rFonts w:ascii="宋体" w:hAnsi="宋体" w:cs="宋体"/>
      <w:b/>
      <w:bCs/>
      <w:kern w:val="0"/>
      <w:sz w:val="18"/>
      <w:szCs w:val="18"/>
    </w:rPr>
  </w:style>
  <w:style w:type="paragraph" w:customStyle="1" w:styleId="55">
    <w:name w:val="xl86"/>
    <w:basedOn w:val="1"/>
    <w:qFormat/>
    <w:uiPriority w:val="0"/>
    <w:pPr>
      <w:widowControl/>
      <w:pBdr>
        <w:right w:val="single" w:color="auto" w:sz="8" w:space="0"/>
      </w:pBdr>
      <w:spacing w:before="100" w:beforeAutospacing="1" w:after="100" w:afterAutospacing="1"/>
      <w:jc w:val="center"/>
    </w:pPr>
    <w:rPr>
      <w:rFonts w:ascii="宋体" w:hAnsi="宋体" w:cs="宋体"/>
      <w:b/>
      <w:bCs/>
      <w:kern w:val="0"/>
      <w:sz w:val="18"/>
      <w:szCs w:val="18"/>
    </w:rPr>
  </w:style>
  <w:style w:type="paragraph" w:customStyle="1" w:styleId="56">
    <w:name w:val="xl87"/>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cs="宋体"/>
      <w:b/>
      <w:bCs/>
      <w:kern w:val="0"/>
      <w:sz w:val="18"/>
      <w:szCs w:val="18"/>
    </w:rPr>
  </w:style>
  <w:style w:type="paragraph" w:customStyle="1" w:styleId="57">
    <w:name w:val="xl8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b/>
      <w:bCs/>
      <w:kern w:val="0"/>
      <w:sz w:val="18"/>
      <w:szCs w:val="18"/>
    </w:rPr>
  </w:style>
  <w:style w:type="paragraph" w:customStyle="1" w:styleId="58">
    <w:name w:val="xl89"/>
    <w:basedOn w:val="1"/>
    <w:qFormat/>
    <w:uiPriority w:val="0"/>
    <w:pPr>
      <w:widowControl/>
      <w:pBdr>
        <w:left w:val="single" w:color="auto" w:sz="8" w:space="0"/>
        <w:right w:val="single" w:color="auto" w:sz="8" w:space="0"/>
      </w:pBdr>
      <w:spacing w:before="100" w:beforeAutospacing="1" w:after="100" w:afterAutospacing="1"/>
      <w:jc w:val="center"/>
    </w:pPr>
    <w:rPr>
      <w:b/>
      <w:bCs/>
      <w:kern w:val="0"/>
      <w:sz w:val="18"/>
      <w:szCs w:val="18"/>
    </w:rPr>
  </w:style>
  <w:style w:type="paragraph" w:customStyle="1" w:styleId="59">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60">
    <w:name w:val="xl91"/>
    <w:basedOn w:val="1"/>
    <w:qFormat/>
    <w:uiPriority w:val="0"/>
    <w:pPr>
      <w:widowControl/>
      <w:spacing w:before="100" w:beforeAutospacing="1" w:after="100" w:afterAutospacing="1"/>
      <w:jc w:val="center"/>
    </w:pPr>
    <w:rPr>
      <w:rFonts w:ascii="宋体" w:hAnsi="宋体" w:cs="宋体"/>
      <w:b/>
      <w:bCs/>
      <w:kern w:val="0"/>
      <w:sz w:val="18"/>
      <w:szCs w:val="18"/>
    </w:rPr>
  </w:style>
  <w:style w:type="paragraph" w:customStyle="1" w:styleId="61">
    <w:name w:val="xl92"/>
    <w:basedOn w:val="1"/>
    <w:qFormat/>
    <w:uiPriority w:val="0"/>
    <w:pPr>
      <w:widowControl/>
      <w:pBdr>
        <w:top w:val="single" w:color="auto" w:sz="8" w:space="0"/>
        <w:left w:val="single" w:color="auto" w:sz="8" w:space="0"/>
      </w:pBdr>
      <w:spacing w:before="100" w:beforeAutospacing="1" w:after="100" w:afterAutospacing="1"/>
      <w:jc w:val="center"/>
    </w:pPr>
    <w:rPr>
      <w:kern w:val="0"/>
      <w:sz w:val="18"/>
      <w:szCs w:val="18"/>
    </w:rPr>
  </w:style>
  <w:style w:type="paragraph" w:customStyle="1" w:styleId="62">
    <w:name w:val="xl93"/>
    <w:basedOn w:val="1"/>
    <w:qFormat/>
    <w:uiPriority w:val="0"/>
    <w:pPr>
      <w:widowControl/>
      <w:pBdr>
        <w:top w:val="single" w:color="auto" w:sz="8" w:space="0"/>
      </w:pBdr>
      <w:spacing w:before="100" w:beforeAutospacing="1" w:after="100" w:afterAutospacing="1"/>
      <w:jc w:val="center"/>
    </w:pPr>
    <w:rPr>
      <w:kern w:val="0"/>
      <w:sz w:val="18"/>
      <w:szCs w:val="18"/>
    </w:rPr>
  </w:style>
  <w:style w:type="paragraph" w:customStyle="1" w:styleId="63">
    <w:name w:val="xl94"/>
    <w:basedOn w:val="1"/>
    <w:qFormat/>
    <w:uiPriority w:val="0"/>
    <w:pPr>
      <w:widowControl/>
      <w:pBdr>
        <w:left w:val="single" w:color="auto" w:sz="8" w:space="0"/>
      </w:pBdr>
      <w:spacing w:before="100" w:beforeAutospacing="1" w:after="100" w:afterAutospacing="1"/>
      <w:jc w:val="center"/>
    </w:pPr>
    <w:rPr>
      <w:kern w:val="0"/>
      <w:sz w:val="18"/>
      <w:szCs w:val="18"/>
    </w:rPr>
  </w:style>
  <w:style w:type="paragraph" w:customStyle="1" w:styleId="64">
    <w:name w:val="xl95"/>
    <w:basedOn w:val="1"/>
    <w:qFormat/>
    <w:uiPriority w:val="0"/>
    <w:pPr>
      <w:widowControl/>
      <w:spacing w:before="100" w:beforeAutospacing="1" w:after="100" w:afterAutospacing="1"/>
      <w:jc w:val="center"/>
    </w:pPr>
    <w:rPr>
      <w:kern w:val="0"/>
      <w:sz w:val="18"/>
      <w:szCs w:val="18"/>
    </w:rPr>
  </w:style>
  <w:style w:type="paragraph" w:customStyle="1" w:styleId="65">
    <w:name w:val="xl96"/>
    <w:basedOn w:val="1"/>
    <w:qFormat/>
    <w:uiPriority w:val="0"/>
    <w:pPr>
      <w:widowControl/>
      <w:pBdr>
        <w:top w:val="single" w:color="auto" w:sz="8" w:space="0"/>
        <w:right w:val="single" w:color="auto" w:sz="8" w:space="0"/>
      </w:pBdr>
      <w:spacing w:before="100" w:beforeAutospacing="1" w:after="100" w:afterAutospacing="1"/>
      <w:jc w:val="center"/>
    </w:pPr>
    <w:rPr>
      <w:rFonts w:ascii="宋体" w:hAnsi="宋体" w:cs="宋体"/>
      <w:b/>
      <w:bCs/>
      <w:kern w:val="0"/>
      <w:sz w:val="18"/>
      <w:szCs w:val="18"/>
    </w:rPr>
  </w:style>
  <w:style w:type="paragraph" w:customStyle="1" w:styleId="66">
    <w:name w:val="xl97"/>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67">
    <w:name w:val="xl9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68">
    <w:name w:val="xl99"/>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9">
    <w:name w:val="xl100"/>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0">
    <w:name w:val="xl10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kern w:val="0"/>
      <w:sz w:val="18"/>
      <w:szCs w:val="18"/>
    </w:rPr>
  </w:style>
  <w:style w:type="paragraph" w:customStyle="1" w:styleId="71">
    <w:name w:val="xl10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kern w:val="0"/>
      <w:sz w:val="18"/>
      <w:szCs w:val="18"/>
    </w:rPr>
  </w:style>
  <w:style w:type="paragraph" w:customStyle="1" w:styleId="72">
    <w:name w:val="xl10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3">
    <w:name w:val="xl10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4">
    <w:name w:val="xl105"/>
    <w:basedOn w:val="1"/>
    <w:qFormat/>
    <w:uiPriority w:val="0"/>
    <w:pPr>
      <w:widowControl/>
      <w:pBdr>
        <w:top w:val="single" w:color="auto" w:sz="8" w:space="0"/>
      </w:pBdr>
      <w:spacing w:before="100" w:beforeAutospacing="1" w:after="100" w:afterAutospacing="1"/>
      <w:jc w:val="center"/>
    </w:pPr>
    <w:rPr>
      <w:rFonts w:ascii="宋体" w:hAnsi="宋体" w:cs="宋体"/>
      <w:kern w:val="0"/>
      <w:sz w:val="18"/>
      <w:szCs w:val="18"/>
    </w:rPr>
  </w:style>
  <w:style w:type="paragraph" w:customStyle="1" w:styleId="75">
    <w:name w:val="xl106"/>
    <w:basedOn w:val="1"/>
    <w:qFormat/>
    <w:uiPriority w:val="0"/>
    <w:pPr>
      <w:widowControl/>
      <w:pBdr>
        <w:bottom w:val="single" w:color="auto" w:sz="8" w:space="0"/>
      </w:pBdr>
      <w:spacing w:before="100" w:beforeAutospacing="1" w:after="100" w:afterAutospacing="1"/>
      <w:jc w:val="center"/>
    </w:pPr>
    <w:rPr>
      <w:rFonts w:ascii="宋体" w:hAnsi="宋体" w:cs="宋体"/>
      <w:kern w:val="0"/>
      <w:sz w:val="18"/>
      <w:szCs w:val="18"/>
    </w:rPr>
  </w:style>
  <w:style w:type="paragraph" w:customStyle="1" w:styleId="76">
    <w:name w:val="xl107"/>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4"/>
    </w:rPr>
  </w:style>
  <w:style w:type="paragraph" w:customStyle="1" w:styleId="77">
    <w:name w:val="xl108"/>
    <w:basedOn w:val="1"/>
    <w:qFormat/>
    <w:uiPriority w:val="0"/>
    <w:pPr>
      <w:widowControl/>
      <w:pBdr>
        <w:top w:val="single" w:color="auto" w:sz="4" w:space="0"/>
      </w:pBdr>
      <w:spacing w:before="100" w:beforeAutospacing="1" w:after="100" w:afterAutospacing="1"/>
      <w:jc w:val="center"/>
    </w:pPr>
    <w:rPr>
      <w:rFonts w:ascii="宋体" w:hAnsi="宋体" w:cs="宋体"/>
      <w:kern w:val="0"/>
      <w:sz w:val="24"/>
    </w:rPr>
  </w:style>
  <w:style w:type="paragraph" w:customStyle="1" w:styleId="78">
    <w:name w:val="xl109"/>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4"/>
    </w:rPr>
  </w:style>
  <w:style w:type="paragraph" w:customStyle="1" w:styleId="79">
    <w:name w:val="xl110"/>
    <w:basedOn w:val="1"/>
    <w:qFormat/>
    <w:uiPriority w:val="0"/>
    <w:pPr>
      <w:widowControl/>
      <w:pBdr>
        <w:bottom w:val="single" w:color="auto" w:sz="4" w:space="0"/>
      </w:pBdr>
      <w:spacing w:before="100" w:beforeAutospacing="1" w:after="100" w:afterAutospacing="1"/>
      <w:jc w:val="center"/>
    </w:pPr>
    <w:rPr>
      <w:rFonts w:ascii="宋体" w:hAnsi="宋体" w:cs="宋体"/>
      <w:kern w:val="0"/>
      <w:sz w:val="24"/>
    </w:rPr>
  </w:style>
  <w:style w:type="paragraph" w:customStyle="1" w:styleId="80">
    <w:name w:val="xl111"/>
    <w:basedOn w:val="1"/>
    <w:qFormat/>
    <w:uiPriority w:val="0"/>
    <w:pPr>
      <w:widowControl/>
      <w:pBdr>
        <w:top w:val="single" w:color="auto" w:sz="8" w:space="0"/>
        <w:left w:val="single" w:color="auto" w:sz="8" w:space="0"/>
      </w:pBdr>
      <w:spacing w:before="100" w:beforeAutospacing="1" w:after="100" w:afterAutospacing="1"/>
      <w:jc w:val="center"/>
    </w:pPr>
    <w:rPr>
      <w:rFonts w:ascii="宋体" w:hAnsi="宋体" w:cs="宋体"/>
      <w:b/>
      <w:bCs/>
      <w:kern w:val="0"/>
      <w:sz w:val="18"/>
      <w:szCs w:val="18"/>
    </w:rPr>
  </w:style>
  <w:style w:type="paragraph" w:customStyle="1" w:styleId="81">
    <w:name w:val="xl112"/>
    <w:basedOn w:val="1"/>
    <w:qFormat/>
    <w:uiPriority w:val="0"/>
    <w:pPr>
      <w:widowControl/>
      <w:pBdr>
        <w:left w:val="single" w:color="auto" w:sz="8" w:space="0"/>
      </w:pBdr>
      <w:spacing w:before="100" w:beforeAutospacing="1" w:after="100" w:afterAutospacing="1"/>
      <w:jc w:val="center"/>
    </w:pPr>
    <w:rPr>
      <w:rFonts w:ascii="宋体" w:hAnsi="宋体" w:cs="宋体"/>
      <w:b/>
      <w:bCs/>
      <w:kern w:val="0"/>
      <w:sz w:val="18"/>
      <w:szCs w:val="18"/>
    </w:rPr>
  </w:style>
  <w:style w:type="paragraph" w:customStyle="1" w:styleId="82">
    <w:name w:val="xl113"/>
    <w:basedOn w:val="1"/>
    <w:qFormat/>
    <w:uiPriority w:val="0"/>
    <w:pPr>
      <w:widowControl/>
      <w:pBdr>
        <w:left w:val="single" w:color="auto" w:sz="8" w:space="0"/>
        <w:bottom w:val="single" w:color="auto" w:sz="8" w:space="0"/>
      </w:pBdr>
      <w:spacing w:before="100" w:beforeAutospacing="1" w:after="100" w:afterAutospacing="1"/>
      <w:jc w:val="center"/>
    </w:pPr>
    <w:rPr>
      <w:rFonts w:ascii="宋体" w:hAnsi="宋体" w:cs="宋体"/>
      <w:b/>
      <w:bCs/>
      <w:kern w:val="0"/>
      <w:sz w:val="18"/>
      <w:szCs w:val="18"/>
    </w:rPr>
  </w:style>
  <w:style w:type="paragraph" w:customStyle="1" w:styleId="83">
    <w:name w:val="xl114"/>
    <w:basedOn w:val="1"/>
    <w:qFormat/>
    <w:uiPriority w:val="0"/>
    <w:pPr>
      <w:widowControl/>
      <w:spacing w:before="100" w:beforeAutospacing="1" w:after="100" w:afterAutospacing="1"/>
      <w:jc w:val="center"/>
    </w:pPr>
    <w:rPr>
      <w:rFonts w:ascii="宋体" w:hAnsi="宋体" w:cs="宋体"/>
      <w:kern w:val="0"/>
      <w:sz w:val="24"/>
    </w:rPr>
  </w:style>
  <w:style w:type="paragraph" w:customStyle="1" w:styleId="84">
    <w:name w:val="xl115"/>
    <w:basedOn w:val="1"/>
    <w:qFormat/>
    <w:uiPriority w:val="0"/>
    <w:pPr>
      <w:widowControl/>
      <w:pBdr>
        <w:right w:val="single" w:color="auto" w:sz="8" w:space="0"/>
      </w:pBdr>
      <w:spacing w:before="100" w:beforeAutospacing="1" w:after="100" w:afterAutospacing="1"/>
      <w:jc w:val="center"/>
    </w:pPr>
    <w:rPr>
      <w:rFonts w:ascii="宋体" w:hAnsi="宋体" w:cs="宋体"/>
      <w:kern w:val="0"/>
      <w:sz w:val="18"/>
      <w:szCs w:val="18"/>
    </w:rPr>
  </w:style>
  <w:style w:type="paragraph" w:customStyle="1" w:styleId="85">
    <w:name w:val="xl116"/>
    <w:basedOn w:val="1"/>
    <w:qFormat/>
    <w:uiPriority w:val="0"/>
    <w:pPr>
      <w:widowControl/>
      <w:pBdr>
        <w:top w:val="single" w:color="auto" w:sz="8" w:space="0"/>
      </w:pBdr>
      <w:spacing w:before="100" w:beforeAutospacing="1" w:after="100" w:afterAutospacing="1"/>
      <w:jc w:val="center"/>
      <w:textAlignment w:val="top"/>
    </w:pPr>
    <w:rPr>
      <w:rFonts w:ascii="宋体" w:hAnsi="宋体" w:cs="宋体"/>
      <w:kern w:val="0"/>
      <w:sz w:val="18"/>
      <w:szCs w:val="18"/>
    </w:rPr>
  </w:style>
  <w:style w:type="paragraph" w:customStyle="1" w:styleId="86">
    <w:name w:val="xl117"/>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宋体" w:hAnsi="宋体" w:cs="宋体"/>
      <w:kern w:val="0"/>
      <w:sz w:val="18"/>
      <w:szCs w:val="18"/>
    </w:rPr>
  </w:style>
  <w:style w:type="paragraph" w:customStyle="1" w:styleId="87">
    <w:name w:val="xl11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88">
    <w:name w:val="xl119"/>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89">
    <w:name w:val="xl120"/>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90">
    <w:name w:val="xl121"/>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91">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2">
    <w:name w:val="xl123"/>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93">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94">
    <w:name w:val="font01"/>
    <w:basedOn w:val="14"/>
    <w:qFormat/>
    <w:uiPriority w:val="0"/>
    <w:rPr>
      <w:rFonts w:hint="eastAsia" w:ascii="宋体" w:hAnsi="宋体" w:eastAsia="宋体" w:cs="宋体"/>
      <w:color w:val="000000"/>
      <w:sz w:val="22"/>
      <w:szCs w:val="22"/>
      <w:u w:val="none"/>
    </w:rPr>
  </w:style>
  <w:style w:type="character" w:customStyle="1" w:styleId="95">
    <w:name w:val="font21"/>
    <w:basedOn w:val="14"/>
    <w:qFormat/>
    <w:uiPriority w:val="0"/>
    <w:rPr>
      <w:rFonts w:hint="eastAsia" w:ascii="宋体" w:hAnsi="宋体" w:eastAsia="宋体" w:cs="宋体"/>
      <w:color w:val="000000"/>
      <w:sz w:val="18"/>
      <w:szCs w:val="18"/>
      <w:u w:val="none"/>
    </w:rPr>
  </w:style>
  <w:style w:type="character" w:customStyle="1" w:styleId="96">
    <w:name w:val="font11"/>
    <w:basedOn w:val="14"/>
    <w:qFormat/>
    <w:uiPriority w:val="0"/>
    <w:rPr>
      <w:rFonts w:hint="eastAsia" w:ascii="宋体" w:hAnsi="宋体" w:eastAsia="宋体" w:cs="宋体"/>
      <w:color w:val="000000"/>
      <w:sz w:val="18"/>
      <w:szCs w:val="18"/>
      <w:u w:val="none"/>
    </w:rPr>
  </w:style>
  <w:style w:type="paragraph" w:customStyle="1" w:styleId="97">
    <w:name w:val="font0"/>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98">
    <w:name w:val="font1"/>
    <w:basedOn w:val="1"/>
    <w:qFormat/>
    <w:uiPriority w:val="0"/>
    <w:pPr>
      <w:widowControl/>
      <w:spacing w:before="100" w:beforeAutospacing="1" w:after="100" w:afterAutospacing="1"/>
      <w:jc w:val="left"/>
    </w:pPr>
    <w:rPr>
      <w:rFonts w:ascii="宋体" w:hAnsi="宋体" w:cs="宋体"/>
      <w:b/>
      <w:bCs/>
      <w:color w:val="000000"/>
      <w:kern w:val="0"/>
      <w:szCs w:val="21"/>
    </w:rPr>
  </w:style>
  <w:style w:type="paragraph" w:customStyle="1" w:styleId="99">
    <w:name w:val="font2"/>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100">
    <w:name w:val="font3"/>
    <w:basedOn w:val="1"/>
    <w:qFormat/>
    <w:uiPriority w:val="0"/>
    <w:pPr>
      <w:widowControl/>
      <w:spacing w:before="100" w:beforeAutospacing="1" w:after="100" w:afterAutospacing="1"/>
      <w:jc w:val="left"/>
    </w:pPr>
    <w:rPr>
      <w:rFonts w:ascii="仿宋_GB2312" w:hAnsi="宋体" w:eastAsia="仿宋_GB2312" w:cs="宋体"/>
      <w:color w:val="000000"/>
      <w:kern w:val="0"/>
      <w:sz w:val="18"/>
      <w:szCs w:val="18"/>
    </w:rPr>
  </w:style>
  <w:style w:type="paragraph" w:customStyle="1" w:styleId="101">
    <w:name w:val="font4"/>
    <w:basedOn w:val="1"/>
    <w:qFormat/>
    <w:uiPriority w:val="0"/>
    <w:pPr>
      <w:widowControl/>
      <w:spacing w:before="100" w:beforeAutospacing="1" w:after="100" w:afterAutospacing="1"/>
      <w:jc w:val="left"/>
    </w:pPr>
    <w:rPr>
      <w:rFonts w:ascii="仿宋_GB2312" w:hAnsi="宋体" w:eastAsia="仿宋_GB2312" w:cs="宋体"/>
      <w:color w:val="000000"/>
      <w:kern w:val="0"/>
      <w:sz w:val="18"/>
      <w:szCs w:val="18"/>
    </w:rPr>
  </w:style>
  <w:style w:type="paragraph" w:customStyle="1" w:styleId="102">
    <w:name w:val="font8"/>
    <w:basedOn w:val="1"/>
    <w:qFormat/>
    <w:uiPriority w:val="0"/>
    <w:pPr>
      <w:widowControl/>
      <w:spacing w:before="100" w:beforeAutospacing="1" w:after="100" w:afterAutospacing="1"/>
      <w:jc w:val="left"/>
    </w:pPr>
    <w:rPr>
      <w:rFonts w:ascii="仿宋_GB2312" w:hAnsi="宋体" w:eastAsia="仿宋_GB2312" w:cs="宋体"/>
      <w:color w:val="000000"/>
      <w:kern w:val="0"/>
      <w:sz w:val="24"/>
    </w:rPr>
  </w:style>
  <w:style w:type="paragraph" w:customStyle="1" w:styleId="103">
    <w:name w:val="font9"/>
    <w:basedOn w:val="1"/>
    <w:qFormat/>
    <w:uiPriority w:val="0"/>
    <w:pPr>
      <w:widowControl/>
      <w:spacing w:before="100" w:beforeAutospacing="1" w:after="100" w:afterAutospacing="1"/>
      <w:jc w:val="left"/>
    </w:pPr>
    <w:rPr>
      <w:color w:val="000000"/>
      <w:kern w:val="0"/>
      <w:sz w:val="24"/>
    </w:rPr>
  </w:style>
  <w:style w:type="paragraph" w:customStyle="1" w:styleId="104">
    <w:name w:val="font10"/>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105">
    <w:name w:val="font12"/>
    <w:basedOn w:val="1"/>
    <w:qFormat/>
    <w:uiPriority w:val="0"/>
    <w:pPr>
      <w:widowControl/>
      <w:spacing w:before="100" w:beforeAutospacing="1" w:after="100" w:afterAutospacing="1"/>
      <w:jc w:val="left"/>
    </w:pPr>
    <w:rPr>
      <w:color w:val="FF0000"/>
      <w:kern w:val="0"/>
      <w:sz w:val="18"/>
      <w:szCs w:val="18"/>
    </w:rPr>
  </w:style>
  <w:style w:type="paragraph" w:customStyle="1" w:styleId="106">
    <w:name w:val="font13"/>
    <w:basedOn w:val="1"/>
    <w:qFormat/>
    <w:uiPriority w:val="0"/>
    <w:pPr>
      <w:widowControl/>
      <w:spacing w:before="100" w:beforeAutospacing="1" w:after="100" w:afterAutospacing="1"/>
      <w:jc w:val="left"/>
    </w:pPr>
    <w:rPr>
      <w:rFonts w:ascii="仿宋_GB2312" w:hAnsi="宋体" w:eastAsia="仿宋_GB2312" w:cs="宋体"/>
      <w:color w:val="000000"/>
      <w:kern w:val="0"/>
      <w:sz w:val="18"/>
      <w:szCs w:val="18"/>
    </w:rPr>
  </w:style>
  <w:style w:type="paragraph" w:customStyle="1" w:styleId="107">
    <w:name w:val="font14"/>
    <w:basedOn w:val="1"/>
    <w:qFormat/>
    <w:uiPriority w:val="0"/>
    <w:pPr>
      <w:widowControl/>
      <w:spacing w:before="100" w:beforeAutospacing="1" w:after="100" w:afterAutospacing="1"/>
      <w:jc w:val="left"/>
    </w:pPr>
    <w:rPr>
      <w:color w:val="000000"/>
      <w:kern w:val="0"/>
      <w:sz w:val="18"/>
      <w:szCs w:val="18"/>
    </w:rPr>
  </w:style>
  <w:style w:type="paragraph" w:customStyle="1" w:styleId="108">
    <w:name w:val="font15"/>
    <w:basedOn w:val="1"/>
    <w:qFormat/>
    <w:uiPriority w:val="0"/>
    <w:pPr>
      <w:widowControl/>
      <w:spacing w:before="100" w:beforeAutospacing="1" w:after="100" w:afterAutospacing="1"/>
      <w:jc w:val="left"/>
    </w:pPr>
    <w:rPr>
      <w:rFonts w:ascii="宋体" w:hAnsi="宋体" w:cs="宋体"/>
      <w:b/>
      <w:bCs/>
      <w:color w:val="000000"/>
      <w:kern w:val="0"/>
      <w:szCs w:val="21"/>
    </w:rPr>
  </w:style>
  <w:style w:type="paragraph" w:customStyle="1" w:styleId="109">
    <w:name w:val="font16"/>
    <w:basedOn w:val="1"/>
    <w:qFormat/>
    <w:uiPriority w:val="0"/>
    <w:pPr>
      <w:widowControl/>
      <w:spacing w:before="100" w:beforeAutospacing="1" w:after="100" w:afterAutospacing="1"/>
      <w:jc w:val="left"/>
    </w:pPr>
    <w:rPr>
      <w:rFonts w:ascii="仿宋_GB2312" w:hAnsi="宋体" w:eastAsia="仿宋_GB2312" w:cs="宋体"/>
      <w:color w:val="000000"/>
      <w:kern w:val="0"/>
      <w:szCs w:val="21"/>
    </w:rPr>
  </w:style>
  <w:style w:type="paragraph" w:customStyle="1" w:styleId="110">
    <w:name w:val="font17"/>
    <w:basedOn w:val="1"/>
    <w:qFormat/>
    <w:uiPriority w:val="0"/>
    <w:pPr>
      <w:widowControl/>
      <w:spacing w:before="100" w:beforeAutospacing="1" w:after="100" w:afterAutospacing="1"/>
      <w:jc w:val="left"/>
    </w:pPr>
    <w:rPr>
      <w:rFonts w:ascii="宋体" w:hAnsi="宋体" w:cs="宋体"/>
      <w:b/>
      <w:bCs/>
      <w:color w:val="000000"/>
      <w:kern w:val="0"/>
      <w:szCs w:val="21"/>
    </w:rPr>
  </w:style>
  <w:style w:type="paragraph" w:customStyle="1" w:styleId="111">
    <w:name w:val="font1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112">
    <w:name w:val="font19"/>
    <w:basedOn w:val="1"/>
    <w:qFormat/>
    <w:uiPriority w:val="0"/>
    <w:pPr>
      <w:widowControl/>
      <w:spacing w:before="100" w:beforeAutospacing="1" w:after="100" w:afterAutospacing="1"/>
      <w:jc w:val="left"/>
    </w:pPr>
    <w:rPr>
      <w:color w:val="000000"/>
      <w:kern w:val="0"/>
      <w:szCs w:val="21"/>
    </w:rPr>
  </w:style>
  <w:style w:type="paragraph" w:customStyle="1" w:styleId="113">
    <w:name w:val="font20"/>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114">
    <w:name w:val="font22"/>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115">
    <w:name w:val="et2"/>
    <w:basedOn w:val="1"/>
    <w:qFormat/>
    <w:uiPriority w:val="0"/>
    <w:pPr>
      <w:widowControl/>
      <w:spacing w:before="100" w:beforeAutospacing="1" w:after="100" w:afterAutospacing="1"/>
      <w:jc w:val="left"/>
    </w:pPr>
    <w:rPr>
      <w:rFonts w:ascii="宋体" w:hAnsi="宋体" w:cs="宋体"/>
      <w:kern w:val="0"/>
      <w:sz w:val="24"/>
    </w:rPr>
  </w:style>
  <w:style w:type="paragraph" w:customStyle="1" w:styleId="116">
    <w:name w:val="et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b/>
      <w:bCs/>
      <w:color w:val="000000"/>
      <w:kern w:val="0"/>
      <w:szCs w:val="21"/>
    </w:rPr>
  </w:style>
  <w:style w:type="paragraph" w:customStyle="1" w:styleId="117">
    <w:name w:val="et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b/>
      <w:bCs/>
      <w:color w:val="000000"/>
      <w:kern w:val="0"/>
      <w:szCs w:val="21"/>
    </w:rPr>
  </w:style>
  <w:style w:type="paragraph" w:customStyle="1" w:styleId="118">
    <w:name w:val="et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color w:val="000000"/>
      <w:kern w:val="0"/>
      <w:szCs w:val="21"/>
    </w:rPr>
  </w:style>
  <w:style w:type="paragraph" w:customStyle="1" w:styleId="119">
    <w:name w:val="et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Cs w:val="21"/>
    </w:rPr>
  </w:style>
  <w:style w:type="paragraph" w:customStyle="1" w:styleId="120">
    <w:name w:val="et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18"/>
      <w:szCs w:val="18"/>
    </w:rPr>
  </w:style>
  <w:style w:type="paragraph" w:customStyle="1" w:styleId="121">
    <w:name w:val="et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kern w:val="0"/>
      <w:sz w:val="18"/>
      <w:szCs w:val="18"/>
    </w:rPr>
  </w:style>
  <w:style w:type="paragraph" w:customStyle="1" w:styleId="122">
    <w:name w:val="et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000000"/>
      <w:kern w:val="0"/>
      <w:sz w:val="22"/>
      <w:szCs w:val="22"/>
    </w:rPr>
  </w:style>
  <w:style w:type="paragraph" w:customStyle="1" w:styleId="123">
    <w:name w:val="et1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000000"/>
      <w:kern w:val="0"/>
      <w:sz w:val="22"/>
      <w:szCs w:val="22"/>
    </w:rPr>
  </w:style>
  <w:style w:type="paragraph" w:customStyle="1" w:styleId="124">
    <w:name w:val="et1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24"/>
    </w:rPr>
  </w:style>
  <w:style w:type="paragraph" w:customStyle="1" w:styleId="125">
    <w:name w:val="et1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kern w:val="0"/>
      <w:sz w:val="24"/>
    </w:rPr>
  </w:style>
  <w:style w:type="paragraph" w:customStyle="1" w:styleId="126">
    <w:name w:val="et1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kern w:val="0"/>
      <w:sz w:val="24"/>
    </w:rPr>
  </w:style>
  <w:style w:type="paragraph" w:customStyle="1" w:styleId="127">
    <w:name w:val="et1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kern w:val="0"/>
      <w:sz w:val="24"/>
    </w:rPr>
  </w:style>
  <w:style w:type="paragraph" w:customStyle="1" w:styleId="128">
    <w:name w:val="et1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kern w:val="0"/>
      <w:sz w:val="24"/>
    </w:rPr>
  </w:style>
  <w:style w:type="paragraph" w:customStyle="1" w:styleId="129">
    <w:name w:val="et1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color w:val="000000"/>
      <w:kern w:val="0"/>
      <w:szCs w:val="21"/>
    </w:rPr>
  </w:style>
  <w:style w:type="paragraph" w:customStyle="1" w:styleId="130">
    <w:name w:val="et1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color w:val="000000"/>
      <w:kern w:val="0"/>
      <w:sz w:val="18"/>
      <w:szCs w:val="18"/>
    </w:rPr>
  </w:style>
  <w:style w:type="paragraph" w:customStyle="1" w:styleId="131">
    <w:name w:val="et1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kern w:val="0"/>
      <w:sz w:val="24"/>
    </w:rPr>
  </w:style>
  <w:style w:type="paragraph" w:customStyle="1" w:styleId="132">
    <w:name w:val="et1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color w:val="000000"/>
      <w:kern w:val="0"/>
      <w:sz w:val="24"/>
    </w:rPr>
  </w:style>
  <w:style w:type="paragraph" w:customStyle="1" w:styleId="133">
    <w:name w:val="et2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000000"/>
      <w:kern w:val="0"/>
      <w:sz w:val="24"/>
    </w:rPr>
  </w:style>
  <w:style w:type="paragraph" w:customStyle="1" w:styleId="134">
    <w:name w:val="et2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4"/>
    </w:rPr>
  </w:style>
  <w:style w:type="paragraph" w:customStyle="1" w:styleId="135">
    <w:name w:val="et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宋体" w:hAnsi="宋体" w:cs="宋体"/>
      <w:color w:val="000000"/>
      <w:kern w:val="0"/>
      <w:sz w:val="24"/>
    </w:rPr>
  </w:style>
  <w:style w:type="paragraph" w:customStyle="1" w:styleId="136">
    <w:name w:val="et2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kern w:val="0"/>
      <w:sz w:val="24"/>
    </w:rPr>
  </w:style>
  <w:style w:type="paragraph" w:customStyle="1" w:styleId="137">
    <w:name w:val="et2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color w:val="FF0000"/>
      <w:kern w:val="0"/>
      <w:sz w:val="18"/>
      <w:szCs w:val="18"/>
    </w:rPr>
  </w:style>
  <w:style w:type="paragraph" w:customStyle="1" w:styleId="138">
    <w:name w:val="et2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仿宋_GB2312" w:hAnsi="宋体" w:eastAsia="仿宋_GB2312" w:cs="宋体"/>
      <w:color w:val="000000"/>
      <w:kern w:val="0"/>
      <w:sz w:val="18"/>
      <w:szCs w:val="18"/>
    </w:rPr>
  </w:style>
  <w:style w:type="paragraph" w:customStyle="1" w:styleId="139">
    <w:name w:val="et2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color w:val="000000"/>
      <w:kern w:val="0"/>
      <w:sz w:val="18"/>
      <w:szCs w:val="18"/>
    </w:rPr>
  </w:style>
  <w:style w:type="paragraph" w:customStyle="1" w:styleId="140">
    <w:name w:val="et2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18"/>
      <w:szCs w:val="18"/>
    </w:rPr>
  </w:style>
  <w:style w:type="paragraph" w:customStyle="1" w:styleId="141">
    <w:name w:val="et2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kern w:val="0"/>
      <w:sz w:val="24"/>
    </w:rPr>
  </w:style>
  <w:style w:type="paragraph" w:customStyle="1" w:styleId="142">
    <w:name w:val="et2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kern w:val="0"/>
      <w:szCs w:val="21"/>
    </w:rPr>
  </w:style>
  <w:style w:type="paragraph" w:customStyle="1" w:styleId="143">
    <w:name w:val="et3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kern w:val="0"/>
      <w:szCs w:val="21"/>
    </w:rPr>
  </w:style>
  <w:style w:type="paragraph" w:customStyle="1" w:styleId="144">
    <w:name w:val="et3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Cs w:val="21"/>
    </w:rPr>
  </w:style>
  <w:style w:type="paragraph" w:customStyle="1" w:styleId="145">
    <w:name w:val="et3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color w:val="000000"/>
      <w:kern w:val="0"/>
      <w:sz w:val="22"/>
      <w:szCs w:val="22"/>
    </w:rPr>
  </w:style>
  <w:style w:type="paragraph" w:customStyle="1" w:styleId="146">
    <w:name w:val="et3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color w:val="000000"/>
      <w:kern w:val="0"/>
      <w:szCs w:val="21"/>
    </w:rPr>
  </w:style>
  <w:style w:type="paragraph" w:customStyle="1" w:styleId="147">
    <w:name w:val="et3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000000"/>
      <w:kern w:val="0"/>
      <w:szCs w:val="21"/>
    </w:rPr>
  </w:style>
  <w:style w:type="paragraph" w:customStyle="1" w:styleId="148">
    <w:name w:val="et3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宋体" w:hAnsi="宋体" w:cs="宋体"/>
      <w:color w:val="000000"/>
      <w:kern w:val="0"/>
      <w:szCs w:val="21"/>
    </w:rPr>
  </w:style>
  <w:style w:type="paragraph" w:customStyle="1" w:styleId="149">
    <w:name w:val="et3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000000"/>
      <w:kern w:val="0"/>
      <w:szCs w:val="21"/>
    </w:rPr>
  </w:style>
  <w:style w:type="paragraph" w:customStyle="1" w:styleId="150">
    <w:name w:val="et3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pPr>
    <w:rPr>
      <w:kern w:val="0"/>
      <w:sz w:val="24"/>
    </w:rPr>
  </w:style>
  <w:style w:type="paragraph" w:customStyle="1" w:styleId="151">
    <w:name w:val="et3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kern w:val="0"/>
      <w:sz w:val="24"/>
    </w:rPr>
  </w:style>
  <w:style w:type="paragraph" w:customStyle="1" w:styleId="152">
    <w:name w:val="et3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pPr>
    <w:rPr>
      <w:kern w:val="0"/>
      <w:sz w:val="24"/>
    </w:rPr>
  </w:style>
  <w:style w:type="paragraph" w:customStyle="1" w:styleId="153">
    <w:name w:val="et4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kern w:val="0"/>
      <w:sz w:val="24"/>
    </w:rPr>
  </w:style>
  <w:style w:type="paragraph" w:customStyle="1" w:styleId="154">
    <w:name w:val="et4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color w:val="000000"/>
      <w:kern w:val="0"/>
      <w:szCs w:val="21"/>
    </w:rPr>
  </w:style>
  <w:style w:type="paragraph" w:customStyle="1" w:styleId="155">
    <w:name w:val="et4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color w:val="000000"/>
      <w:kern w:val="0"/>
      <w:szCs w:val="21"/>
    </w:rPr>
  </w:style>
  <w:style w:type="paragraph" w:customStyle="1" w:styleId="156">
    <w:name w:val="et4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kern w:val="0"/>
      <w:szCs w:val="21"/>
    </w:rPr>
  </w:style>
  <w:style w:type="character" w:customStyle="1" w:styleId="157">
    <w:name w:val="font201"/>
    <w:basedOn w:val="14"/>
    <w:qFormat/>
    <w:uiPriority w:val="0"/>
    <w:rPr>
      <w:rFonts w:hint="eastAsia" w:ascii="宋体" w:hAnsi="宋体" w:eastAsia="宋体"/>
      <w:color w:val="000000"/>
      <w:sz w:val="22"/>
      <w:szCs w:val="22"/>
      <w:u w:val="none"/>
    </w:rPr>
  </w:style>
  <w:style w:type="character" w:customStyle="1" w:styleId="158">
    <w:name w:val="font211"/>
    <w:basedOn w:val="14"/>
    <w:qFormat/>
    <w:uiPriority w:val="0"/>
    <w:rPr>
      <w:rFonts w:hint="eastAsia" w:ascii="仿宋_GB2312" w:eastAsia="仿宋_GB2312"/>
      <w:color w:val="000000"/>
      <w:sz w:val="24"/>
      <w:szCs w:val="24"/>
      <w:u w:val="none"/>
    </w:rPr>
  </w:style>
  <w:style w:type="character" w:customStyle="1" w:styleId="159">
    <w:name w:val="font221"/>
    <w:basedOn w:val="14"/>
    <w:qFormat/>
    <w:uiPriority w:val="0"/>
    <w:rPr>
      <w:rFonts w:hint="eastAsia" w:ascii="宋体" w:hAnsi="宋体" w:eastAsia="宋体"/>
      <w:color w:val="000000"/>
      <w:sz w:val="24"/>
      <w:szCs w:val="24"/>
      <w:u w:val="none"/>
    </w:rPr>
  </w:style>
  <w:style w:type="character" w:customStyle="1" w:styleId="160">
    <w:name w:val="font81"/>
    <w:basedOn w:val="14"/>
    <w:qFormat/>
    <w:uiPriority w:val="0"/>
    <w:rPr>
      <w:rFonts w:hint="eastAsia" w:ascii="仿宋_GB2312" w:eastAsia="仿宋_GB2312"/>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D4ACAF-55CC-4293-9D4C-B1649A7D80C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22132</Words>
  <Characters>22610</Characters>
  <Lines>216</Lines>
  <Paragraphs>60</Paragraphs>
  <TotalTime>25</TotalTime>
  <ScaleCrop>false</ScaleCrop>
  <LinksUpToDate>false</LinksUpToDate>
  <CharactersWithSpaces>22610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斯呖小姐</cp:lastModifiedBy>
  <cp:lastPrinted>2024-10-18T08:11:00Z</cp:lastPrinted>
  <dcterms:modified xsi:type="dcterms:W3CDTF">2025-02-28T09:25:27Z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2A0666B9C644489DA59364C9392E077A_12</vt:lpwstr>
  </property>
  <property fmtid="{D5CDD505-2E9C-101B-9397-08002B2CF9AE}" pid="4" name="KSOTemplateDocerSaveRecord">
    <vt:lpwstr>eyJoZGlkIjoiNzM5OTM0YTc4MDY1NGEzZmZkZDY5MDBiZGVmNTA4OTIiLCJ1c2VySWQiOiIxMjYwNDA5ODE0In0=</vt:lpwstr>
  </property>
</Properties>
</file>