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06EE3">
      <w:pPr>
        <w:overflowPunct w:val="0"/>
        <w:adjustRightInd w:val="0"/>
        <w:snapToGrid w:val="0"/>
        <w:jc w:val="left"/>
        <w:rPr>
          <w:rFonts w:hint="default" w:ascii="Times New Roman" w:hAnsi="Times New Roman" w:eastAsia="仿宋_GB2312" w:cs="仿宋_GB2312"/>
          <w:color w:val="auto"/>
          <w:sz w:val="32"/>
          <w:szCs w:val="32"/>
          <w:highlight w:val="none"/>
          <w:lang w:val="en-US" w:eastAsia="zh-CN"/>
        </w:rPr>
      </w:pPr>
    </w:p>
    <w:p w14:paraId="58E09089">
      <w:pPr>
        <w:overflowPunct w:val="0"/>
        <w:adjustRightInd w:val="0"/>
        <w:snapToGrid w:val="0"/>
        <w:jc w:val="left"/>
        <w:rPr>
          <w:rFonts w:hint="eastAsia" w:ascii="Times New Roman" w:hAnsi="Times New Roman" w:eastAsia="仿宋_GB2312" w:cs="仿宋_GB2312"/>
          <w:color w:val="auto"/>
          <w:sz w:val="32"/>
          <w:szCs w:val="32"/>
          <w:highlight w:val="none"/>
        </w:rPr>
      </w:pPr>
    </w:p>
    <w:p w14:paraId="0E1A57CC">
      <w:pPr>
        <w:overflowPunct w:val="0"/>
        <w:adjustRightInd w:val="0"/>
        <w:snapToGrid w:val="0"/>
        <w:jc w:val="left"/>
        <w:rPr>
          <w:rFonts w:hint="eastAsia" w:ascii="Times New Roman" w:hAnsi="Times New Roman" w:eastAsia="仿宋"/>
          <w:color w:val="auto"/>
          <w:szCs w:val="32"/>
          <w:highlight w:val="none"/>
        </w:rPr>
      </w:pPr>
    </w:p>
    <w:p w14:paraId="6DC3E41C">
      <w:pPr>
        <w:overflowPunct w:val="0"/>
        <w:adjustRightInd w:val="0"/>
        <w:snapToGrid w:val="0"/>
        <w:jc w:val="center"/>
        <w:rPr>
          <w:rFonts w:hint="eastAsia" w:ascii="Times New Roman" w:hAnsi="Times New Roman" w:eastAsia="仿宋"/>
          <w:color w:val="auto"/>
          <w:szCs w:val="32"/>
          <w:highlight w:val="none"/>
        </w:rPr>
      </w:pPr>
    </w:p>
    <w:p w14:paraId="2495A340">
      <w:pPr>
        <w:overflowPunct w:val="0"/>
        <w:adjustRightInd w:val="0"/>
        <w:snapToGrid w:val="0"/>
        <w:jc w:val="center"/>
        <w:rPr>
          <w:rFonts w:hint="eastAsia" w:ascii="Times New Roman" w:hAnsi="Times New Roman" w:eastAsia="仿宋"/>
          <w:color w:val="auto"/>
          <w:szCs w:val="32"/>
          <w:highlight w:val="none"/>
        </w:rPr>
      </w:pPr>
    </w:p>
    <w:p w14:paraId="5F0BA26E">
      <w:pPr>
        <w:overflowPunct w:val="0"/>
        <w:adjustRightInd w:val="0"/>
        <w:snapToGrid w:val="0"/>
        <w:jc w:val="center"/>
        <w:rPr>
          <w:rFonts w:hint="eastAsia" w:ascii="Times New Roman" w:hAnsi="Times New Roman" w:eastAsia="仿宋"/>
          <w:color w:val="auto"/>
          <w:szCs w:val="32"/>
          <w:highlight w:val="none"/>
        </w:rPr>
      </w:pPr>
    </w:p>
    <w:p w14:paraId="3996727C">
      <w:pPr>
        <w:overflowPunct w:val="0"/>
        <w:adjustRightInd w:val="0"/>
        <w:snapToGrid w:val="0"/>
        <w:jc w:val="center"/>
        <w:rPr>
          <w:rFonts w:ascii="Times New Roman" w:hAnsi="Times New Roman" w:eastAsia="仿宋"/>
          <w:color w:val="auto"/>
          <w:szCs w:val="32"/>
          <w:highlight w:val="none"/>
        </w:rPr>
      </w:pPr>
      <w:r>
        <w:rPr>
          <w:rFonts w:hint="eastAsia" w:ascii="Times New Roman" w:hAnsi="Times New Roman" w:eastAsia="仿宋"/>
          <w:color w:val="auto"/>
          <w:szCs w:val="32"/>
          <w:highlight w:val="none"/>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4"/>
                    <a:stretch>
                      <a:fillRect/>
                    </a:stretch>
                  </pic:blipFill>
                  <pic:spPr>
                    <a:xfrm>
                      <a:off x="0" y="0"/>
                      <a:ext cx="1760220" cy="1760220"/>
                    </a:xfrm>
                    <a:prstGeom prst="rect">
                      <a:avLst/>
                    </a:prstGeom>
                    <a:noFill/>
                    <a:ln>
                      <a:noFill/>
                    </a:ln>
                  </pic:spPr>
                </pic:pic>
              </a:graphicData>
            </a:graphic>
          </wp:inline>
        </w:drawing>
      </w:r>
    </w:p>
    <w:p w14:paraId="2649AB3B">
      <w:pPr>
        <w:overflowPunct w:val="0"/>
        <w:adjustRightInd w:val="0"/>
        <w:snapToGrid w:val="0"/>
        <w:jc w:val="center"/>
        <w:rPr>
          <w:rFonts w:ascii="Times New Roman" w:hAnsi="Times New Roman" w:eastAsia="仿宋"/>
          <w:color w:val="auto"/>
          <w:szCs w:val="32"/>
          <w:highlight w:val="none"/>
        </w:rPr>
      </w:pPr>
    </w:p>
    <w:p w14:paraId="33049DD1">
      <w:pPr>
        <w:overflowPunct w:val="0"/>
        <w:adjustRightInd w:val="0"/>
        <w:snapToGrid w:val="0"/>
        <w:rPr>
          <w:rFonts w:hint="eastAsia" w:ascii="Times New Roman" w:hAnsi="Times New Roman" w:eastAsia="华文新魏"/>
          <w:b/>
          <w:color w:val="auto"/>
          <w:sz w:val="100"/>
          <w:szCs w:val="100"/>
          <w:highlight w:val="none"/>
        </w:rPr>
      </w:pPr>
      <w:r>
        <w:rPr>
          <w:rFonts w:hint="eastAsia" w:ascii="Times New Roman" w:hAnsi="Times New Roman" w:eastAsia="华文新魏"/>
          <w:b/>
          <w:color w:val="auto"/>
          <w:sz w:val="100"/>
          <w:szCs w:val="100"/>
          <w:highlight w:val="none"/>
        </w:rPr>
        <w:t>广西工程职业学院</w:t>
      </w:r>
    </w:p>
    <w:p w14:paraId="50812550">
      <w:pPr>
        <w:overflowPunct w:val="0"/>
        <w:adjustRightInd w:val="0"/>
        <w:snapToGrid w:val="0"/>
        <w:jc w:val="center"/>
        <w:rPr>
          <w:rFonts w:ascii="Times New Roman" w:hAnsi="Times New Roman" w:eastAsia="仿宋"/>
          <w:color w:val="auto"/>
          <w:szCs w:val="32"/>
          <w:highlight w:val="none"/>
        </w:rPr>
      </w:pPr>
    </w:p>
    <w:p w14:paraId="46436151">
      <w:pPr>
        <w:overflowPunct w:val="0"/>
        <w:adjustRightInd w:val="0"/>
        <w:snapToGrid w:val="0"/>
        <w:jc w:val="center"/>
        <w:rPr>
          <w:rFonts w:ascii="Times New Roman" w:hAnsi="Times New Roman" w:eastAsia="仿宋"/>
          <w:color w:val="auto"/>
          <w:szCs w:val="32"/>
          <w:highlight w:val="none"/>
        </w:rPr>
      </w:pPr>
    </w:p>
    <w:p w14:paraId="6A3A157F">
      <w:pPr>
        <w:overflowPunct w:val="0"/>
        <w:adjustRightInd w:val="0"/>
        <w:snapToGrid w:val="0"/>
        <w:jc w:val="center"/>
        <w:rPr>
          <w:rFonts w:ascii="Times New Roman" w:hAnsi="Times New Roman" w:eastAsia="仿宋"/>
          <w:color w:val="auto"/>
          <w:szCs w:val="32"/>
          <w:highlight w:val="none"/>
        </w:rPr>
      </w:pPr>
    </w:p>
    <w:p w14:paraId="282D8166">
      <w:pPr>
        <w:overflowPunct w:val="0"/>
        <w:adjustRightInd w:val="0"/>
        <w:snapToGrid w:val="0"/>
        <w:jc w:val="center"/>
        <w:rPr>
          <w:rFonts w:ascii="Times New Roman" w:hAnsi="Times New Roman" w:eastAsia="仿宋"/>
          <w:color w:val="auto"/>
          <w:szCs w:val="32"/>
          <w:highlight w:val="none"/>
        </w:rPr>
      </w:pPr>
    </w:p>
    <w:p w14:paraId="1AFD69DC">
      <w:pPr>
        <w:overflowPunct w:val="0"/>
        <w:adjustRightInd w:val="0"/>
        <w:snapToGrid w:val="0"/>
        <w:jc w:val="center"/>
        <w:rPr>
          <w:rFonts w:ascii="Times New Roman" w:hAnsi="Times New Roman" w:eastAsia="仿宋"/>
          <w:color w:val="auto"/>
          <w:szCs w:val="32"/>
          <w:highlight w:val="none"/>
        </w:rPr>
      </w:pPr>
    </w:p>
    <w:p w14:paraId="264F3915">
      <w:pPr>
        <w:overflowPunct w:val="0"/>
        <w:adjustRightInd w:val="0"/>
        <w:snapToGrid w:val="0"/>
        <w:jc w:val="center"/>
        <w:rPr>
          <w:rFonts w:hint="eastAsia" w:ascii="Times New Roman" w:hAnsi="Times New Roman" w:eastAsia="华文中宋"/>
          <w:color w:val="auto"/>
          <w:sz w:val="56"/>
          <w:szCs w:val="52"/>
          <w:highlight w:val="none"/>
        </w:rPr>
      </w:pPr>
      <w:r>
        <w:rPr>
          <w:rFonts w:hint="eastAsia" w:ascii="Times New Roman" w:hAnsi="Times New Roman" w:eastAsia="华文中宋"/>
          <w:color w:val="auto"/>
          <w:sz w:val="56"/>
          <w:szCs w:val="52"/>
          <w:highlight w:val="none"/>
          <w:lang w:val="en-US" w:eastAsia="zh-CN"/>
        </w:rPr>
        <w:t>2024</w:t>
      </w:r>
      <w:r>
        <w:rPr>
          <w:rFonts w:hint="eastAsia" w:ascii="Times New Roman" w:hAnsi="Times New Roman" w:eastAsia="华文中宋"/>
          <w:color w:val="auto"/>
          <w:sz w:val="56"/>
          <w:szCs w:val="52"/>
          <w:highlight w:val="none"/>
        </w:rPr>
        <w:t>级</w:t>
      </w:r>
      <w:r>
        <w:rPr>
          <w:rFonts w:hint="eastAsia" w:ascii="Times New Roman" w:hAnsi="Times New Roman" w:eastAsia="华文中宋"/>
          <w:color w:val="auto"/>
          <w:sz w:val="56"/>
          <w:szCs w:val="52"/>
          <w:highlight w:val="none"/>
          <w:lang w:val="en-US" w:eastAsia="zh-CN"/>
        </w:rPr>
        <w:t>道路与桥梁工程技术</w:t>
      </w:r>
      <w:r>
        <w:rPr>
          <w:rFonts w:hint="eastAsia" w:ascii="Times New Roman" w:hAnsi="Times New Roman" w:eastAsia="华文中宋"/>
          <w:color w:val="auto"/>
          <w:sz w:val="56"/>
          <w:szCs w:val="52"/>
          <w:highlight w:val="none"/>
        </w:rPr>
        <w:t>专业人才培养方案</w:t>
      </w:r>
    </w:p>
    <w:p w14:paraId="32AD3630">
      <w:pPr>
        <w:overflowPunct w:val="0"/>
        <w:adjustRightInd w:val="0"/>
        <w:snapToGrid w:val="0"/>
        <w:jc w:val="center"/>
        <w:rPr>
          <w:rFonts w:ascii="Times New Roman" w:hAnsi="Times New Roman" w:eastAsia="仿宋"/>
          <w:color w:val="auto"/>
          <w:szCs w:val="32"/>
          <w:highlight w:val="none"/>
        </w:rPr>
      </w:pPr>
    </w:p>
    <w:p w14:paraId="4CF015E2">
      <w:pPr>
        <w:overflowPunct w:val="0"/>
        <w:adjustRightInd w:val="0"/>
        <w:snapToGrid w:val="0"/>
        <w:jc w:val="center"/>
        <w:rPr>
          <w:rFonts w:ascii="Times New Roman" w:hAnsi="Times New Roman" w:eastAsia="仿宋"/>
          <w:color w:val="auto"/>
          <w:szCs w:val="32"/>
          <w:highlight w:val="none"/>
        </w:rPr>
      </w:pPr>
    </w:p>
    <w:p w14:paraId="73F04919">
      <w:pPr>
        <w:overflowPunct w:val="0"/>
        <w:adjustRightInd w:val="0"/>
        <w:snapToGrid w:val="0"/>
        <w:jc w:val="center"/>
        <w:rPr>
          <w:rFonts w:ascii="Times New Roman" w:hAnsi="Times New Roman" w:eastAsia="仿宋"/>
          <w:color w:val="auto"/>
          <w:szCs w:val="32"/>
          <w:highlight w:val="none"/>
        </w:rPr>
      </w:pPr>
    </w:p>
    <w:p w14:paraId="3BFD2F98">
      <w:pPr>
        <w:overflowPunct w:val="0"/>
        <w:adjustRightInd w:val="0"/>
        <w:snapToGrid w:val="0"/>
        <w:jc w:val="center"/>
        <w:rPr>
          <w:rFonts w:ascii="Times New Roman" w:hAnsi="Times New Roman" w:eastAsia="仿宋"/>
          <w:color w:val="auto"/>
          <w:szCs w:val="32"/>
          <w:highlight w:val="none"/>
        </w:rPr>
      </w:pPr>
    </w:p>
    <w:p w14:paraId="70D1D29F">
      <w:pPr>
        <w:overflowPunct w:val="0"/>
        <w:adjustRightInd w:val="0"/>
        <w:snapToGrid w:val="0"/>
        <w:jc w:val="center"/>
        <w:rPr>
          <w:rFonts w:ascii="Times New Roman" w:hAnsi="Times New Roman" w:eastAsia="仿宋"/>
          <w:color w:val="auto"/>
          <w:szCs w:val="32"/>
          <w:highlight w:val="none"/>
        </w:rPr>
      </w:pPr>
    </w:p>
    <w:p w14:paraId="37D56047">
      <w:pPr>
        <w:overflowPunct w:val="0"/>
        <w:adjustRightInd w:val="0"/>
        <w:snapToGrid w:val="0"/>
        <w:jc w:val="center"/>
        <w:rPr>
          <w:rFonts w:ascii="Times New Roman" w:hAnsi="Times New Roman" w:eastAsia="仿宋"/>
          <w:color w:val="auto"/>
          <w:szCs w:val="32"/>
          <w:highlight w:val="none"/>
        </w:rPr>
      </w:pPr>
    </w:p>
    <w:p w14:paraId="4A80EAE2">
      <w:pPr>
        <w:overflowPunct w:val="0"/>
        <w:adjustRightInd w:val="0"/>
        <w:snapToGrid w:val="0"/>
        <w:jc w:val="center"/>
        <w:rPr>
          <w:rFonts w:ascii="Times New Roman" w:hAnsi="Times New Roman" w:eastAsia="仿宋"/>
          <w:color w:val="auto"/>
          <w:szCs w:val="32"/>
          <w:highlight w:val="none"/>
        </w:rPr>
      </w:pPr>
    </w:p>
    <w:p w14:paraId="4756D698">
      <w:pPr>
        <w:overflowPunct w:val="0"/>
        <w:adjustRightInd w:val="0"/>
        <w:snapToGrid w:val="0"/>
        <w:jc w:val="center"/>
        <w:rPr>
          <w:rFonts w:ascii="Times New Roman" w:hAnsi="Times New Roman" w:eastAsia="仿宋"/>
          <w:color w:val="auto"/>
          <w:szCs w:val="32"/>
          <w:highlight w:val="none"/>
        </w:rPr>
      </w:pPr>
    </w:p>
    <w:p w14:paraId="65EC931F">
      <w:pPr>
        <w:overflowPunct w:val="0"/>
        <w:adjustRightInd w:val="0"/>
        <w:snapToGrid w:val="0"/>
        <w:jc w:val="center"/>
        <w:rPr>
          <w:rFonts w:ascii="Times New Roman" w:hAnsi="Times New Roman" w:eastAsia="仿宋"/>
          <w:color w:val="auto"/>
          <w:szCs w:val="32"/>
          <w:highlight w:val="none"/>
        </w:rPr>
      </w:pPr>
    </w:p>
    <w:p w14:paraId="779A9A50">
      <w:pPr>
        <w:overflowPunct w:val="0"/>
        <w:adjustRightInd w:val="0"/>
        <w:snapToGrid w:val="0"/>
        <w:jc w:val="center"/>
        <w:rPr>
          <w:rFonts w:ascii="Times New Roman" w:hAnsi="Times New Roman" w:eastAsia="仿宋"/>
          <w:color w:val="auto"/>
          <w:szCs w:val="32"/>
          <w:highlight w:val="none"/>
        </w:rPr>
      </w:pPr>
    </w:p>
    <w:p w14:paraId="7067D63C">
      <w:pPr>
        <w:overflowPunct w:val="0"/>
        <w:adjustRightInd w:val="0"/>
        <w:snapToGrid w:val="0"/>
        <w:jc w:val="center"/>
        <w:rPr>
          <w:rFonts w:ascii="Times New Roman" w:hAnsi="Times New Roman" w:eastAsia="仿宋"/>
          <w:color w:val="auto"/>
          <w:szCs w:val="32"/>
          <w:highlight w:val="none"/>
        </w:rPr>
      </w:pPr>
    </w:p>
    <w:p w14:paraId="471E316E">
      <w:pPr>
        <w:overflowPunct w:val="0"/>
        <w:adjustRightInd w:val="0"/>
        <w:snapToGrid w:val="0"/>
        <w:jc w:val="center"/>
        <w:rPr>
          <w:rFonts w:ascii="Times New Roman" w:hAnsi="Times New Roman" w:eastAsia="仿宋"/>
          <w:color w:val="auto"/>
          <w:szCs w:val="32"/>
          <w:highlight w:val="none"/>
        </w:rPr>
      </w:pPr>
    </w:p>
    <w:p w14:paraId="6AF895A9">
      <w:pPr>
        <w:overflowPunct w:val="0"/>
        <w:adjustRightInd w:val="0"/>
        <w:snapToGrid w:val="0"/>
        <w:jc w:val="center"/>
        <w:rPr>
          <w:rFonts w:ascii="Times New Roman" w:hAnsi="Times New Roman" w:eastAsia="仿宋"/>
          <w:color w:val="auto"/>
          <w:szCs w:val="32"/>
          <w:highlight w:val="none"/>
        </w:rPr>
      </w:pPr>
    </w:p>
    <w:p w14:paraId="528ED0C1">
      <w:pPr>
        <w:overflowPunct w:val="0"/>
        <w:adjustRightInd w:val="0"/>
        <w:snapToGrid w:val="0"/>
        <w:jc w:val="center"/>
        <w:rPr>
          <w:rFonts w:ascii="Times New Roman" w:hAnsi="Times New Roman" w:eastAsia="仿宋"/>
          <w:color w:val="auto"/>
          <w:szCs w:val="32"/>
          <w:highlight w:val="none"/>
        </w:rPr>
      </w:pPr>
    </w:p>
    <w:p w14:paraId="5480C419">
      <w:pPr>
        <w:overflowPunct w:val="0"/>
        <w:adjustRightInd w:val="0"/>
        <w:snapToGrid w:val="0"/>
        <w:jc w:val="center"/>
        <w:rPr>
          <w:rFonts w:ascii="Times New Roman" w:hAnsi="Times New Roman" w:eastAsia="仿宋"/>
          <w:color w:val="auto"/>
          <w:szCs w:val="32"/>
          <w:highlight w:val="none"/>
        </w:rPr>
      </w:pPr>
    </w:p>
    <w:p w14:paraId="6DA132BD">
      <w:pPr>
        <w:overflowPunct w:val="0"/>
        <w:adjustRightInd w:val="0"/>
        <w:snapToGrid w:val="0"/>
        <w:jc w:val="center"/>
        <w:rPr>
          <w:rFonts w:ascii="Times New Roman" w:hAnsi="Times New Roman" w:eastAsia="仿宋"/>
          <w:color w:val="auto"/>
          <w:szCs w:val="32"/>
          <w:highlight w:val="none"/>
        </w:rPr>
      </w:pPr>
    </w:p>
    <w:p w14:paraId="49C01A5E">
      <w:pPr>
        <w:overflowPunct w:val="0"/>
        <w:adjustRightInd w:val="0"/>
        <w:snapToGrid w:val="0"/>
        <w:jc w:val="center"/>
        <w:rPr>
          <w:rFonts w:ascii="Times New Roman" w:hAnsi="Times New Roman" w:eastAsia="仿宋"/>
          <w:color w:val="auto"/>
          <w:szCs w:val="32"/>
          <w:highlight w:val="none"/>
        </w:rPr>
      </w:pPr>
    </w:p>
    <w:p w14:paraId="72C833EE">
      <w:pPr>
        <w:overflowPunct w:val="0"/>
        <w:adjustRightInd w:val="0"/>
        <w:snapToGrid w:val="0"/>
        <w:jc w:val="center"/>
        <w:rPr>
          <w:rFonts w:ascii="Times New Roman" w:hAnsi="Times New Roman" w:eastAsia="仿宋"/>
          <w:color w:val="auto"/>
          <w:szCs w:val="32"/>
          <w:highlight w:val="none"/>
        </w:rPr>
      </w:pPr>
    </w:p>
    <w:p w14:paraId="402A7325">
      <w:pPr>
        <w:overflowPunct w:val="0"/>
        <w:adjustRightInd w:val="0"/>
        <w:snapToGrid w:val="0"/>
        <w:jc w:val="center"/>
        <w:rPr>
          <w:rFonts w:ascii="Times New Roman" w:hAnsi="Times New Roman" w:eastAsia="仿宋"/>
          <w:color w:val="auto"/>
          <w:szCs w:val="32"/>
          <w:highlight w:val="none"/>
        </w:rPr>
        <w:sectPr>
          <w:pgSz w:w="11906" w:h="16838"/>
          <w:pgMar w:top="1440" w:right="1800" w:bottom="1440" w:left="1800" w:header="851" w:footer="992" w:gutter="0"/>
          <w:cols w:space="425" w:num="1"/>
          <w:docGrid w:type="lines" w:linePitch="312" w:charSpace="0"/>
        </w:sectPr>
      </w:pPr>
    </w:p>
    <w:p w14:paraId="09FF2D07">
      <w:pPr>
        <w:overflowPunct w:val="0"/>
        <w:adjustRightInd w:val="0"/>
        <w:snapToGrid w:val="0"/>
        <w:jc w:val="center"/>
        <w:rPr>
          <w:rFonts w:ascii="Times New Roman" w:hAnsi="Times New Roman" w:eastAsia="仿宋"/>
          <w:color w:val="auto"/>
          <w:szCs w:val="32"/>
          <w:highlight w:val="none"/>
        </w:rPr>
        <w:sectPr>
          <w:pgSz w:w="11906" w:h="16838"/>
          <w:pgMar w:top="1440" w:right="1800" w:bottom="1440" w:left="1800" w:header="851" w:footer="992" w:gutter="0"/>
          <w:cols w:space="425" w:num="1"/>
          <w:docGrid w:type="lines" w:linePitch="312" w:charSpace="0"/>
        </w:sectPr>
      </w:pPr>
    </w:p>
    <w:p w14:paraId="471ECA85">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hint="eastAsia" w:ascii="Times New Roman" w:hAnsi="Times New Roman" w:eastAsia="方正小标宋简体" w:cs="方正小标宋简体"/>
          <w:b w:val="0"/>
          <w:bCs/>
          <w:color w:val="auto"/>
          <w:sz w:val="44"/>
          <w:szCs w:val="44"/>
          <w:highlight w:val="none"/>
        </w:rPr>
      </w:pPr>
      <w:r>
        <w:rPr>
          <w:rFonts w:hint="eastAsia" w:ascii="Times New Roman" w:hAnsi="Times New Roman" w:eastAsia="方正小标宋简体" w:cs="方正小标宋简体"/>
          <w:b w:val="0"/>
          <w:bCs/>
          <w:color w:val="auto"/>
          <w:sz w:val="44"/>
          <w:szCs w:val="44"/>
          <w:highlight w:val="none"/>
          <w:lang w:val="en-US" w:eastAsia="zh-CN"/>
        </w:rPr>
        <w:t>广西工程职业学院2024级</w:t>
      </w:r>
      <w:r>
        <w:rPr>
          <w:rFonts w:hint="eastAsia" w:ascii="Times New Roman" w:hAnsi="Times New Roman" w:eastAsia="方正小标宋简体" w:cs="方正小标宋简体"/>
          <w:b w:val="0"/>
          <w:bCs/>
          <w:color w:val="auto"/>
          <w:sz w:val="44"/>
          <w:szCs w:val="44"/>
          <w:highlight w:val="none"/>
        </w:rPr>
        <w:t>道路与桥梁工程技术专业人才培养方案</w:t>
      </w:r>
    </w:p>
    <w:p w14:paraId="7BD8F7D7">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ascii="Times New Roman" w:hAnsi="Times New Roman" w:eastAsia="仿宋"/>
          <w:color w:val="auto"/>
          <w:szCs w:val="32"/>
          <w:highlight w:val="none"/>
        </w:rPr>
      </w:pPr>
    </w:p>
    <w:p w14:paraId="73059AE0">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lang w:val="en-US" w:eastAsia="zh-CN"/>
        </w:rPr>
        <w:t>一、</w:t>
      </w:r>
      <w:r>
        <w:rPr>
          <w:rFonts w:hint="eastAsia" w:ascii="Times New Roman" w:hAnsi="Times New Roman" w:eastAsia="黑体" w:cs="黑体"/>
          <w:b w:val="0"/>
          <w:bCs w:val="0"/>
          <w:color w:val="auto"/>
          <w:sz w:val="32"/>
          <w:szCs w:val="32"/>
          <w:highlight w:val="none"/>
        </w:rPr>
        <w:t>专业名称及代码</w:t>
      </w:r>
    </w:p>
    <w:p w14:paraId="312B2FDA">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专业名称：道路与桥梁工程技术</w:t>
      </w:r>
    </w:p>
    <w:p w14:paraId="5BB8F73A">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 w:cs="仿宋"/>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专业代码：</w:t>
      </w:r>
      <w:r>
        <w:rPr>
          <w:rFonts w:hint="eastAsia" w:ascii="Times New Roman" w:hAnsi="Times New Roman" w:eastAsia="仿宋" w:cs="仿宋"/>
          <w:b w:val="0"/>
          <w:bCs w:val="0"/>
          <w:color w:val="auto"/>
          <w:sz w:val="32"/>
          <w:szCs w:val="32"/>
          <w:highlight w:val="none"/>
        </w:rPr>
        <w:t>500201</w:t>
      </w:r>
    </w:p>
    <w:p w14:paraId="3EA40627">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rPr>
        <w:t>二、入学要求</w:t>
      </w:r>
    </w:p>
    <w:p w14:paraId="4E67C932">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普通高级中学毕业、中等职业学校毕业或具备同等学力。</w:t>
      </w:r>
    </w:p>
    <w:p w14:paraId="7678BCDD">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rPr>
        <w:t>三、修业年限</w:t>
      </w:r>
    </w:p>
    <w:p w14:paraId="140AC77D">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lang w:eastAsia="zh-CN"/>
        </w:rPr>
      </w:pPr>
      <w:r>
        <w:rPr>
          <w:rFonts w:hint="eastAsia" w:ascii="Times New Roman" w:hAnsi="Times New Roman" w:eastAsia="仿宋_GB2312" w:cs="仿宋_GB2312"/>
          <w:b w:val="0"/>
          <w:bCs w:val="0"/>
          <w:color w:val="auto"/>
          <w:sz w:val="32"/>
          <w:szCs w:val="32"/>
          <w:highlight w:val="none"/>
        </w:rPr>
        <w:t>标准修业年限为3年，弹性学分有效修业年限为</w:t>
      </w:r>
      <w:r>
        <w:rPr>
          <w:rFonts w:hint="eastAsia" w:ascii="Times New Roman" w:hAnsi="Times New Roman" w:eastAsia="仿宋_GB2312" w:cs="仿宋_GB2312"/>
          <w:b w:val="0"/>
          <w:bCs w:val="0"/>
          <w:color w:val="auto"/>
          <w:sz w:val="32"/>
          <w:szCs w:val="32"/>
          <w:highlight w:val="none"/>
          <w:lang w:val="en-US" w:eastAsia="zh-CN"/>
        </w:rPr>
        <w:t>2</w:t>
      </w:r>
      <w:r>
        <w:rPr>
          <w:rFonts w:hint="eastAsia" w:ascii="Times New Roman" w:hAnsi="Times New Roman" w:eastAsia="仿宋_GB2312" w:cs="仿宋_GB2312"/>
          <w:b w:val="0"/>
          <w:bCs w:val="0"/>
          <w:color w:val="auto"/>
          <w:sz w:val="32"/>
          <w:szCs w:val="32"/>
          <w:highlight w:val="none"/>
        </w:rPr>
        <w:t>-5年。</w:t>
      </w:r>
    </w:p>
    <w:p w14:paraId="5E79B1F6">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rPr>
        <w:t>四、职业面向</w:t>
      </w:r>
    </w:p>
    <w:p w14:paraId="3A79BB01">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center"/>
        <w:textAlignment w:val="auto"/>
        <w:rPr>
          <w:rFonts w:ascii="Times New Roman" w:hAnsi="Times New Roman" w:eastAsia="仿宋"/>
          <w:color w:val="auto"/>
          <w:sz w:val="24"/>
          <w:highlight w:val="none"/>
        </w:rPr>
      </w:pPr>
      <w:r>
        <w:rPr>
          <w:rFonts w:hint="eastAsia" w:ascii="Times New Roman" w:hAnsi="Times New Roman" w:eastAsia="仿宋_GB2312" w:cs="仿宋_GB2312"/>
          <w:b w:val="0"/>
          <w:bCs w:val="0"/>
          <w:color w:val="auto"/>
          <w:sz w:val="32"/>
          <w:szCs w:val="32"/>
          <w:highlight w:val="none"/>
        </w:rPr>
        <w:t>表1 道路与桥梁工程技术专业职业岗位分析表</w:t>
      </w:r>
    </w:p>
    <w:tbl>
      <w:tblPr>
        <w:tblStyle w:val="5"/>
        <w:tblW w:w="9622" w:type="dxa"/>
        <w:tblInd w:w="-2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2"/>
        <w:gridCol w:w="1388"/>
        <w:gridCol w:w="1237"/>
        <w:gridCol w:w="1575"/>
        <w:gridCol w:w="1770"/>
        <w:gridCol w:w="2220"/>
      </w:tblGrid>
      <w:tr w14:paraId="6A4A2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432" w:type="dxa"/>
            <w:noWrap w:val="0"/>
            <w:vAlign w:val="center"/>
          </w:tcPr>
          <w:p w14:paraId="57DECEB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所属专业大类（代码）</w:t>
            </w:r>
          </w:p>
        </w:tc>
        <w:tc>
          <w:tcPr>
            <w:tcW w:w="1388" w:type="dxa"/>
            <w:noWrap w:val="0"/>
            <w:vAlign w:val="center"/>
          </w:tcPr>
          <w:p w14:paraId="038F667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所属专业类（代码）</w:t>
            </w:r>
          </w:p>
        </w:tc>
        <w:tc>
          <w:tcPr>
            <w:tcW w:w="1237" w:type="dxa"/>
            <w:noWrap w:val="0"/>
            <w:vAlign w:val="center"/>
          </w:tcPr>
          <w:p w14:paraId="36C41A4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对应行业</w:t>
            </w:r>
          </w:p>
          <w:p w14:paraId="2A470CE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（代码）</w:t>
            </w:r>
          </w:p>
        </w:tc>
        <w:tc>
          <w:tcPr>
            <w:tcW w:w="1575" w:type="dxa"/>
            <w:noWrap w:val="0"/>
            <w:vAlign w:val="center"/>
          </w:tcPr>
          <w:p w14:paraId="7347FBA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主要职业类别（代码）</w:t>
            </w:r>
          </w:p>
        </w:tc>
        <w:tc>
          <w:tcPr>
            <w:tcW w:w="1770" w:type="dxa"/>
            <w:noWrap w:val="0"/>
            <w:vAlign w:val="center"/>
          </w:tcPr>
          <w:p w14:paraId="540C0B0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主要岗位类别（或技术领域）</w:t>
            </w:r>
          </w:p>
        </w:tc>
        <w:tc>
          <w:tcPr>
            <w:tcW w:w="2220" w:type="dxa"/>
            <w:noWrap w:val="0"/>
            <w:vAlign w:val="center"/>
          </w:tcPr>
          <w:p w14:paraId="48D1AFC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职业资格证书或技能等级证书举例</w:t>
            </w:r>
          </w:p>
        </w:tc>
      </w:tr>
      <w:tr w14:paraId="75AAA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432" w:type="dxa"/>
            <w:noWrap w:val="0"/>
            <w:vAlign w:val="center"/>
          </w:tcPr>
          <w:p w14:paraId="7C4280C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交通运输大类</w:t>
            </w:r>
          </w:p>
          <w:p w14:paraId="2BEBE6B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（50）</w:t>
            </w:r>
          </w:p>
        </w:tc>
        <w:tc>
          <w:tcPr>
            <w:tcW w:w="1388" w:type="dxa"/>
            <w:noWrap w:val="0"/>
            <w:vAlign w:val="center"/>
          </w:tcPr>
          <w:p w14:paraId="6EEE73C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道路运输类(5002)</w:t>
            </w:r>
          </w:p>
        </w:tc>
        <w:tc>
          <w:tcPr>
            <w:tcW w:w="1237" w:type="dxa"/>
            <w:noWrap w:val="0"/>
            <w:vAlign w:val="center"/>
          </w:tcPr>
          <w:p w14:paraId="41E02D5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土木工程建筑业</w:t>
            </w:r>
          </w:p>
          <w:p w14:paraId="30E48FC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（45）</w:t>
            </w:r>
          </w:p>
        </w:tc>
        <w:tc>
          <w:tcPr>
            <w:tcW w:w="1575" w:type="dxa"/>
            <w:noWrap w:val="0"/>
            <w:vAlign w:val="center"/>
          </w:tcPr>
          <w:p w14:paraId="205C2BE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道路与桥梁工程技术人员</w:t>
            </w:r>
          </w:p>
          <w:p w14:paraId="1458117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(2-02-18-09 )</w:t>
            </w:r>
          </w:p>
        </w:tc>
        <w:tc>
          <w:tcPr>
            <w:tcW w:w="1770" w:type="dxa"/>
            <w:noWrap w:val="0"/>
            <w:vAlign w:val="center"/>
          </w:tcPr>
          <w:p w14:paraId="7B41B58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工程测量；</w:t>
            </w:r>
          </w:p>
          <w:p w14:paraId="5883511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材料试验；</w:t>
            </w:r>
          </w:p>
          <w:p w14:paraId="0AB7047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工程质检；</w:t>
            </w:r>
          </w:p>
          <w:p w14:paraId="0E58DB3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工程施工；</w:t>
            </w:r>
          </w:p>
          <w:p w14:paraId="39D4A14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工程预算</w:t>
            </w:r>
          </w:p>
        </w:tc>
        <w:tc>
          <w:tcPr>
            <w:tcW w:w="2220" w:type="dxa"/>
            <w:noWrap w:val="0"/>
            <w:vAlign w:val="center"/>
          </w:tcPr>
          <w:p w14:paraId="1B0D5E9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施工员、</w:t>
            </w:r>
            <w:r>
              <w:rPr>
                <w:rFonts w:hint="eastAsia" w:ascii="Times New Roman" w:hAnsi="Times New Roman" w:eastAsia="仿宋" w:cs="仿宋"/>
                <w:color w:val="auto"/>
                <w:sz w:val="24"/>
                <w:szCs w:val="24"/>
                <w:highlight w:val="none"/>
                <w:lang w:eastAsia="zh-CN"/>
              </w:rPr>
              <w:t>质量员</w:t>
            </w:r>
            <w:r>
              <w:rPr>
                <w:rFonts w:hint="eastAsia" w:ascii="Times New Roman" w:hAnsi="Times New Roman" w:eastAsia="仿宋" w:cs="仿宋"/>
                <w:color w:val="auto"/>
                <w:sz w:val="24"/>
                <w:szCs w:val="24"/>
                <w:highlight w:val="none"/>
              </w:rPr>
              <w:t>、资料员、安全员、</w:t>
            </w:r>
          </w:p>
          <w:p w14:paraId="593E205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lang w:eastAsia="zh-CN"/>
              </w:rPr>
              <w:t>材料员</w:t>
            </w:r>
          </w:p>
        </w:tc>
      </w:tr>
    </w:tbl>
    <w:p w14:paraId="51BA40B6">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rPr>
        <w:t>五、培养目标与培养规格</w:t>
      </w:r>
    </w:p>
    <w:p w14:paraId="49181646">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楷体" w:cs="楷体"/>
          <w:b w:val="0"/>
          <w:bCs w:val="0"/>
          <w:color w:val="auto"/>
          <w:sz w:val="32"/>
          <w:szCs w:val="32"/>
          <w:highlight w:val="none"/>
        </w:rPr>
      </w:pPr>
      <w:r>
        <w:rPr>
          <w:rFonts w:hint="eastAsia" w:ascii="Times New Roman" w:hAnsi="Times New Roman" w:eastAsia="楷体" w:cs="楷体"/>
          <w:b w:val="0"/>
          <w:bCs w:val="0"/>
          <w:color w:val="auto"/>
          <w:sz w:val="32"/>
          <w:szCs w:val="32"/>
          <w:highlight w:val="none"/>
        </w:rPr>
        <w:t>（一）培养目标</w:t>
      </w:r>
    </w:p>
    <w:p w14:paraId="40C64B2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lang w:eastAsia="zh-CN"/>
        </w:rPr>
      </w:pPr>
      <w:r>
        <w:rPr>
          <w:rFonts w:hint="eastAsia" w:ascii="Times New Roman" w:hAnsi="Times New Roman" w:eastAsia="仿宋_GB2312" w:cs="仿宋_GB2312"/>
          <w:b w:val="0"/>
          <w:bCs w:val="0"/>
          <w:color w:val="auto"/>
          <w:sz w:val="32"/>
          <w:szCs w:val="32"/>
          <w:highlight w:val="none"/>
        </w:rPr>
        <w:t>本专业培养理想信念坚定，德、智、体、美、劳全面发展，具有一定的科学文化水平，良好的人文素养、职业道德和创新意识，精益求精的工匠精神，较强的就业能力和可持续发展的能力，掌握本专业知识和技术技能</w:t>
      </w:r>
      <w:r>
        <w:rPr>
          <w:rFonts w:hint="eastAsia" w:ascii="Times New Roman" w:hAnsi="Times New Roman" w:eastAsia="仿宋_GB2312" w:cs="仿宋_GB2312"/>
          <w:b w:val="0"/>
          <w:bCs w:val="0"/>
          <w:color w:val="auto"/>
          <w:sz w:val="32"/>
          <w:szCs w:val="32"/>
          <w:highlight w:val="none"/>
          <w:lang w:val="en-US" w:eastAsia="zh-CN"/>
        </w:rPr>
        <w:t>，</w:t>
      </w:r>
      <w:r>
        <w:rPr>
          <w:rFonts w:hint="eastAsia" w:ascii="Times New Roman" w:hAnsi="Times New Roman" w:eastAsia="仿宋_GB2312" w:cs="仿宋_GB2312"/>
          <w:b w:val="0"/>
          <w:bCs w:val="0"/>
          <w:color w:val="auto"/>
          <w:sz w:val="32"/>
          <w:szCs w:val="32"/>
          <w:highlight w:val="none"/>
        </w:rPr>
        <w:t>面向土木工程建筑业的道路与桥梁工程技术人员等职业群，能够从事工程测量、材料试验、工程质检、工程施工、工程预算等工作的高素质技术技能人才</w:t>
      </w:r>
      <w:r>
        <w:rPr>
          <w:rFonts w:hint="eastAsia" w:ascii="Times New Roman" w:hAnsi="Times New Roman" w:eastAsia="仿宋_GB2312" w:cs="仿宋_GB2312"/>
          <w:b w:val="0"/>
          <w:bCs w:val="0"/>
          <w:color w:val="auto"/>
          <w:sz w:val="32"/>
          <w:szCs w:val="32"/>
          <w:highlight w:val="none"/>
          <w:lang w:eastAsia="zh-CN"/>
        </w:rPr>
        <w:t>。</w:t>
      </w:r>
    </w:p>
    <w:p w14:paraId="389C4609">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楷体" w:cs="楷体"/>
          <w:b w:val="0"/>
          <w:bCs w:val="0"/>
          <w:color w:val="auto"/>
          <w:sz w:val="32"/>
          <w:szCs w:val="32"/>
          <w:highlight w:val="none"/>
        </w:rPr>
      </w:pPr>
      <w:r>
        <w:rPr>
          <w:rFonts w:hint="eastAsia" w:ascii="Times New Roman" w:hAnsi="Times New Roman" w:eastAsia="楷体" w:cs="楷体"/>
          <w:b w:val="0"/>
          <w:bCs w:val="0"/>
          <w:color w:val="auto"/>
          <w:sz w:val="32"/>
          <w:szCs w:val="32"/>
          <w:highlight w:val="none"/>
        </w:rPr>
        <w:t>（二）培养规格</w:t>
      </w:r>
    </w:p>
    <w:p w14:paraId="1CCB2430">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本专业毕业生应在素质、知识和能力等方面达到以下要求：</w:t>
      </w:r>
    </w:p>
    <w:p w14:paraId="7E406B04">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素质</w:t>
      </w:r>
    </w:p>
    <w:p w14:paraId="67519C01">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（1）坚定拥护中国共产党领导和我国社会主义制度，在习近平新时代中国特色社会主义思想指引下，践行社会主义核心价值观，具有深厚的爱国情感和中华民族自豪感。</w:t>
      </w:r>
    </w:p>
    <w:p w14:paraId="59456E6D">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（2）崇尚宪法、遵法守纪、崇德向善、诚实守信、尊重生命、热爱劳动，履行道德准则和行为规范，具有社会责任感和社会参与意识。</w:t>
      </w:r>
    </w:p>
    <w:p w14:paraId="38A1D6BB">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（3）具有质量意识、环保意识、安全意识、信息素养、工匠精神、创新思维。</w:t>
      </w:r>
    </w:p>
    <w:p w14:paraId="2C2839F1">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（4）勇于奋斗、乐观向上，具有自我管理能力、职业生涯规划的意识，有较强的集体意识和团队合作精神。</w:t>
      </w:r>
    </w:p>
    <w:p w14:paraId="0F65E8C2">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（5）具有健康的体魄、心理和健全的人格，掌握基本运动知识和1—2项运动技能，养成良好的健身与卫生习惯，以及良好的行为习惯。</w:t>
      </w:r>
    </w:p>
    <w:p w14:paraId="73B2DBFA">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（6）具有一定的审美和人文素养，能够形成1—2项艺术特长或爱好。</w:t>
      </w:r>
    </w:p>
    <w:p w14:paraId="66566FAD">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2</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知识</w:t>
      </w:r>
    </w:p>
    <w:p w14:paraId="2043646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（1）掌握必备的思想政治理论、科学文化基础知识和中华优秀传统文化知识。</w:t>
      </w:r>
    </w:p>
    <w:p w14:paraId="7B72569B">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（2）熟悉与本专业相关的法律法规以及环境保护、安全消防等知识。</w:t>
      </w:r>
    </w:p>
    <w:p w14:paraId="33A5C08B">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（3）掌握必要的高等数学知识，熟悉基本的数学分析计算方法。</w:t>
      </w:r>
    </w:p>
    <w:p w14:paraId="7F84BB78">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（4）熟悉必需的画法几何、工程制图知识，掌握识读和审核工程施工图纸的方法。</w:t>
      </w:r>
    </w:p>
    <w:p w14:paraId="4A259521">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（5）熟悉必需的测量学知识，掌握公路与桥涵勘测、施工放样方法。</w:t>
      </w:r>
    </w:p>
    <w:p w14:paraId="2EA500A1">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（6）掌握必要的道路建筑材料性质、试验检测原理和方法，熟悉原材料试验和质量评价方法。</w:t>
      </w:r>
    </w:p>
    <w:p w14:paraId="30D980CD">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（7）掌握路基路面的平、纵、横断面结构形式以及设计原理、设计方法，熟悉道路的外内勘测和内业设计程序。</w:t>
      </w:r>
    </w:p>
    <w:p w14:paraId="61F65389">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（8）掌握桥涵、隧道的结构形式、设计原理，熟悉简单的桥梁设计计算方法。</w:t>
      </w:r>
    </w:p>
    <w:p w14:paraId="7A4C598B">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（9）掌握公路工程施工组织原理和方法，熟悉公路施工方案编制程序。</w:t>
      </w:r>
    </w:p>
    <w:p w14:paraId="23C3E0FF">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（10）掌握工程造价的基本知识，熟悉施工图预算和投标报价编制程序。</w:t>
      </w:r>
    </w:p>
    <w:p w14:paraId="51FEB4E2">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（11）熟悉道路与桥梁工程技术相关国家标准和行业规范。</w:t>
      </w:r>
    </w:p>
    <w:p w14:paraId="42DBC731">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3</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能力</w:t>
      </w:r>
    </w:p>
    <w:p w14:paraId="216A710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lang w:val="en-US" w:eastAsia="zh-CN"/>
        </w:rPr>
        <w:t>1</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具有探究学习、终身学习、分析问题和解决问题的能力。</w:t>
      </w:r>
    </w:p>
    <w:p w14:paraId="09BD4492">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lang w:val="en-US" w:eastAsia="zh-CN"/>
        </w:rPr>
        <w:t>2</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具有良好的语言、文字表达能力和沟通能力。</w:t>
      </w:r>
    </w:p>
    <w:p w14:paraId="5B4204E2">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（3）具有本专业必需的信息技术应用和维护能力，能够利用计算机信息处理软件收集、整理、分析工程技术问题。</w:t>
      </w:r>
    </w:p>
    <w:p w14:paraId="59354111">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（4）具有基本的工程勘察与路桥设计能力，能够参与完成路线外业勘测、路线内业设计、路基路面设计和桥梁设计等工作。</w:t>
      </w:r>
    </w:p>
    <w:p w14:paraId="71F1E234">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（5）具有初步的工程概预算与招投标能力，能够参与编制施工组织设计、施工图预算文件、编制报价文件和编制投标文件等工作。</w:t>
      </w:r>
    </w:p>
    <w:p w14:paraId="3D38B9EA">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（6）具有基本的材料试验与检测能力，能够独立完成集料、钢筋、水泥、沥青等原材料质量检测工作，参与水泥混凝土、沥青混合料和无机结合稳定材料配合比设计工作。</w:t>
      </w:r>
    </w:p>
    <w:p w14:paraId="2E6DC9B2">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（7）具有基本的道桥工程施工与组织能力，能够识读施工图，核算工程量，独立完成施工放样、工程内业资料填写工作，参与编制施工组织设计、工程计量和施工组织工作。</w:t>
      </w:r>
    </w:p>
    <w:p w14:paraId="6EF6A0F9">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（8）具有基本的工程质量验收与评定能力，能够完成工程各结构的现场质量检测、参与组织竣工验收、编制竣工验收资料等工作。</w:t>
      </w:r>
    </w:p>
    <w:p w14:paraId="3FDC7B71">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lang w:val="en-US" w:eastAsia="zh-CN"/>
        </w:rPr>
        <w:t>六、</w:t>
      </w:r>
      <w:r>
        <w:rPr>
          <w:rFonts w:hint="eastAsia" w:ascii="Times New Roman" w:hAnsi="Times New Roman" w:eastAsia="黑体" w:cs="黑体"/>
          <w:color w:val="auto"/>
          <w:sz w:val="32"/>
          <w:szCs w:val="32"/>
          <w:highlight w:val="none"/>
        </w:rPr>
        <w:t>课程设置及要求</w:t>
      </w:r>
    </w:p>
    <w:p w14:paraId="2F254FB6">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主要包括公共基础课程和专业（技能）课程。</w:t>
      </w:r>
    </w:p>
    <w:p w14:paraId="715BDBE7">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楷体" w:cs="楷体"/>
          <w:b w:val="0"/>
          <w:bCs w:val="0"/>
          <w:color w:val="auto"/>
          <w:sz w:val="32"/>
          <w:szCs w:val="32"/>
          <w:highlight w:val="none"/>
        </w:rPr>
      </w:pPr>
      <w:r>
        <w:rPr>
          <w:rFonts w:hint="eastAsia" w:ascii="Times New Roman" w:hAnsi="Times New Roman" w:eastAsia="楷体" w:cs="楷体"/>
          <w:b w:val="0"/>
          <w:bCs w:val="0"/>
          <w:color w:val="auto"/>
          <w:sz w:val="32"/>
          <w:szCs w:val="32"/>
          <w:highlight w:val="none"/>
          <w:lang w:eastAsia="zh-CN"/>
        </w:rPr>
        <w:t>（</w:t>
      </w:r>
      <w:r>
        <w:rPr>
          <w:rFonts w:hint="eastAsia" w:ascii="Times New Roman" w:hAnsi="Times New Roman" w:eastAsia="楷体" w:cs="楷体"/>
          <w:b w:val="0"/>
          <w:bCs w:val="0"/>
          <w:color w:val="auto"/>
          <w:sz w:val="32"/>
          <w:szCs w:val="32"/>
          <w:highlight w:val="none"/>
          <w:lang w:val="en-US" w:eastAsia="zh-CN"/>
        </w:rPr>
        <w:t>一</w:t>
      </w:r>
      <w:r>
        <w:rPr>
          <w:rFonts w:hint="eastAsia" w:ascii="Times New Roman" w:hAnsi="Times New Roman" w:eastAsia="楷体" w:cs="楷体"/>
          <w:b w:val="0"/>
          <w:bCs w:val="0"/>
          <w:color w:val="auto"/>
          <w:sz w:val="32"/>
          <w:szCs w:val="32"/>
          <w:highlight w:val="none"/>
          <w:lang w:eastAsia="zh-CN"/>
        </w:rPr>
        <w:t>）</w:t>
      </w:r>
      <w:r>
        <w:rPr>
          <w:rFonts w:hint="eastAsia" w:ascii="Times New Roman" w:hAnsi="Times New Roman" w:eastAsia="楷体" w:cs="楷体"/>
          <w:b w:val="0"/>
          <w:bCs w:val="0"/>
          <w:color w:val="auto"/>
          <w:sz w:val="32"/>
          <w:szCs w:val="32"/>
          <w:highlight w:val="none"/>
        </w:rPr>
        <w:t>公共基础课程</w:t>
      </w:r>
    </w:p>
    <w:p w14:paraId="225EFBC7">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bookmarkStart w:id="0" w:name="_Toc90734974"/>
      <w:r>
        <w:rPr>
          <w:rFonts w:hint="eastAsia" w:ascii="Times New Roman" w:hAnsi="Times New Roman" w:eastAsia="仿宋_GB2312" w:cs="仿宋"/>
          <w:b w:val="0"/>
          <w:bCs w:val="0"/>
          <w:color w:val="auto"/>
          <w:sz w:val="32"/>
          <w:szCs w:val="32"/>
          <w:highlight w:val="none"/>
          <w:lang w:eastAsia="zh-CN"/>
        </w:rPr>
        <w:t>按照教育部要求设置公共基础必修选修课程，</w:t>
      </w:r>
      <w:r>
        <w:rPr>
          <w:rFonts w:hint="eastAsia" w:ascii="Times New Roman" w:hAnsi="Times New Roman" w:eastAsia="仿宋_GB2312" w:cs="仿宋"/>
          <w:b w:val="0"/>
          <w:bCs w:val="0"/>
          <w:color w:val="auto"/>
          <w:sz w:val="32"/>
          <w:szCs w:val="32"/>
          <w:highlight w:val="none"/>
        </w:rPr>
        <w:t>公共基础</w:t>
      </w:r>
      <w:r>
        <w:rPr>
          <w:rFonts w:hint="eastAsia" w:ascii="Times New Roman" w:hAnsi="Times New Roman" w:eastAsia="仿宋_GB2312" w:cs="仿宋"/>
          <w:b w:val="0"/>
          <w:bCs w:val="0"/>
          <w:color w:val="auto"/>
          <w:sz w:val="32"/>
          <w:szCs w:val="32"/>
          <w:highlight w:val="none"/>
          <w:lang w:eastAsia="zh-CN"/>
        </w:rPr>
        <w:t>必修</w:t>
      </w:r>
      <w:r>
        <w:rPr>
          <w:rFonts w:hint="eastAsia" w:ascii="Times New Roman" w:hAnsi="Times New Roman" w:eastAsia="仿宋_GB2312" w:cs="仿宋"/>
          <w:b w:val="0"/>
          <w:bCs w:val="0"/>
          <w:color w:val="auto"/>
          <w:sz w:val="32"/>
          <w:szCs w:val="32"/>
          <w:highlight w:val="none"/>
        </w:rPr>
        <w:t>课程包括</w:t>
      </w:r>
      <w:bookmarkEnd w:id="0"/>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思想道德与法治</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毛泽东思想和中国特色社会主义理论体系概论</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形势与政策</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习近平新时代中国特色社会主义思想概论</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lang w:val="en-US" w:eastAsia="zh-CN"/>
        </w:rPr>
        <w:t>大学</w:t>
      </w:r>
      <w:r>
        <w:rPr>
          <w:rFonts w:hint="eastAsia" w:ascii="Times New Roman" w:hAnsi="Times New Roman" w:eastAsia="仿宋_GB2312" w:cs="仿宋"/>
          <w:b w:val="0"/>
          <w:bCs w:val="0"/>
          <w:color w:val="auto"/>
          <w:sz w:val="32"/>
          <w:szCs w:val="32"/>
          <w:highlight w:val="none"/>
        </w:rPr>
        <w:t>体育</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军事理论及军事技能</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大学生心理健康教育</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大学英语</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高等数学</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计算机基础</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大学生职业发展与就业指导</w:t>
      </w:r>
      <w:r>
        <w:rPr>
          <w:rFonts w:hint="eastAsia" w:ascii="Times New Roman" w:hAnsi="Times New Roman" w:eastAsia="仿宋_GB2312" w:cs="仿宋"/>
          <w:b w:val="0"/>
          <w:bCs w:val="0"/>
          <w:color w:val="auto"/>
          <w:sz w:val="32"/>
          <w:szCs w:val="32"/>
          <w:highlight w:val="none"/>
          <w:lang w:eastAsia="zh-CN"/>
        </w:rPr>
        <w:t>、劳动教育。</w:t>
      </w:r>
    </w:p>
    <w:p w14:paraId="393BC5D4">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eastAsia="zh-CN"/>
        </w:rPr>
        <w:t>公共基础选修课程包括：大学生礼仪修养、中国民俗剪纸技法、影视与鉴赏、人际交流与沟通、演讲与口才、创新创业教育、中国共产党简史、改革开放简史、中华人民共和国简史、社会主义发展简史、国家安全教育、</w:t>
      </w:r>
      <w:r>
        <w:rPr>
          <w:rFonts w:hint="eastAsia" w:ascii="Times New Roman" w:hAnsi="Times New Roman" w:eastAsia="仿宋_GB2312" w:cs="仿宋"/>
          <w:b w:val="0"/>
          <w:bCs w:val="0"/>
          <w:color w:val="auto"/>
          <w:sz w:val="32"/>
          <w:szCs w:val="32"/>
          <w:highlight w:val="none"/>
          <w:lang w:val="en-US" w:eastAsia="zh-CN"/>
        </w:rPr>
        <w:t>语文</w:t>
      </w:r>
      <w:r>
        <w:rPr>
          <w:rFonts w:hint="eastAsia" w:ascii="Times New Roman" w:hAnsi="Times New Roman" w:eastAsia="仿宋_GB2312" w:cs="仿宋"/>
          <w:b w:val="0"/>
          <w:bCs w:val="0"/>
          <w:color w:val="auto"/>
          <w:sz w:val="32"/>
          <w:szCs w:val="32"/>
          <w:highlight w:val="none"/>
          <w:lang w:eastAsia="zh-CN"/>
        </w:rPr>
        <w:t>。</w:t>
      </w:r>
    </w:p>
    <w:p w14:paraId="1E7EEE66">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Times New Roman" w:hAnsi="Times New Roman" w:eastAsia="仿宋" w:cs="仿宋"/>
          <w:b w:val="0"/>
          <w:bCs w:val="0"/>
          <w:color w:val="auto"/>
          <w:sz w:val="32"/>
          <w:szCs w:val="32"/>
          <w:highlight w:val="none"/>
        </w:rPr>
      </w:pPr>
    </w:p>
    <w:p w14:paraId="53B06975">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Times New Roman" w:hAnsi="Times New Roman" w:eastAsia="仿宋" w:cs="仿宋"/>
          <w:b w:val="0"/>
          <w:bCs w:val="0"/>
          <w:color w:val="auto"/>
          <w:sz w:val="32"/>
          <w:szCs w:val="32"/>
          <w:highlight w:val="none"/>
          <w:lang w:eastAsia="zh-CN"/>
        </w:rPr>
      </w:pPr>
      <w:r>
        <w:rPr>
          <w:rFonts w:hint="eastAsia" w:ascii="Times New Roman" w:hAnsi="Times New Roman" w:eastAsia="仿宋" w:cs="仿宋"/>
          <w:b w:val="0"/>
          <w:bCs w:val="0"/>
          <w:color w:val="auto"/>
          <w:sz w:val="32"/>
          <w:szCs w:val="32"/>
          <w:highlight w:val="none"/>
        </w:rPr>
        <w:t>公共基础课程描述表</w:t>
      </w:r>
    </w:p>
    <w:tbl>
      <w:tblPr>
        <w:tblStyle w:val="4"/>
        <w:tblW w:w="111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1275"/>
        <w:gridCol w:w="3131"/>
        <w:gridCol w:w="2982"/>
        <w:gridCol w:w="2982"/>
      </w:tblGrid>
      <w:tr w14:paraId="51D35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79569B2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bookmarkStart w:id="1" w:name="_Toc2022"/>
            <w:bookmarkStart w:id="2" w:name="_Toc90734979"/>
            <w:r>
              <w:rPr>
                <w:rFonts w:hint="eastAsia" w:ascii="Times New Roman" w:hAnsi="Times New Roman" w:eastAsia="仿宋" w:cs="仿宋"/>
                <w:color w:val="auto"/>
                <w:sz w:val="24"/>
                <w:szCs w:val="24"/>
                <w:highlight w:val="none"/>
              </w:rPr>
              <w:t>序号</w:t>
            </w:r>
            <w:bookmarkEnd w:id="1"/>
            <w:bookmarkEnd w:id="2"/>
          </w:p>
        </w:tc>
        <w:tc>
          <w:tcPr>
            <w:tcW w:w="1275" w:type="dxa"/>
            <w:noWrap w:val="0"/>
            <w:vAlign w:val="center"/>
          </w:tcPr>
          <w:p w14:paraId="5DB8EA5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bookmarkStart w:id="3" w:name="_Toc90734980"/>
            <w:bookmarkStart w:id="4" w:name="_Toc2635"/>
            <w:r>
              <w:rPr>
                <w:rFonts w:hint="eastAsia" w:ascii="Times New Roman" w:hAnsi="Times New Roman" w:eastAsia="仿宋" w:cs="仿宋"/>
                <w:color w:val="auto"/>
                <w:sz w:val="24"/>
                <w:szCs w:val="24"/>
                <w:highlight w:val="none"/>
              </w:rPr>
              <w:t>课程名称</w:t>
            </w:r>
            <w:bookmarkEnd w:id="3"/>
            <w:bookmarkEnd w:id="4"/>
          </w:p>
        </w:tc>
        <w:tc>
          <w:tcPr>
            <w:tcW w:w="3131" w:type="dxa"/>
            <w:noWrap w:val="0"/>
            <w:vAlign w:val="center"/>
          </w:tcPr>
          <w:p w14:paraId="53EEDA9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bookmarkStart w:id="5" w:name="_Toc90734981"/>
            <w:bookmarkStart w:id="6" w:name="_Toc24608"/>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目标</w:t>
            </w:r>
            <w:bookmarkEnd w:id="5"/>
            <w:bookmarkEnd w:id="6"/>
          </w:p>
        </w:tc>
        <w:tc>
          <w:tcPr>
            <w:tcW w:w="2982" w:type="dxa"/>
            <w:noWrap w:val="0"/>
            <w:vAlign w:val="center"/>
          </w:tcPr>
          <w:p w14:paraId="154776D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bookmarkStart w:id="7" w:name="_Toc90734982"/>
            <w:bookmarkStart w:id="8" w:name="_Toc23051"/>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内容</w:t>
            </w:r>
            <w:bookmarkEnd w:id="7"/>
            <w:bookmarkEnd w:id="8"/>
          </w:p>
        </w:tc>
        <w:tc>
          <w:tcPr>
            <w:tcW w:w="2982" w:type="dxa"/>
            <w:noWrap w:val="0"/>
            <w:vAlign w:val="center"/>
          </w:tcPr>
          <w:p w14:paraId="142348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lang w:eastAsia="zh-CN"/>
              </w:rPr>
              <w:t>课程教学要求</w:t>
            </w:r>
          </w:p>
        </w:tc>
      </w:tr>
      <w:tr w14:paraId="513F8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3D17E19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w:t>
            </w:r>
          </w:p>
        </w:tc>
        <w:tc>
          <w:tcPr>
            <w:tcW w:w="1275" w:type="dxa"/>
            <w:noWrap w:val="0"/>
            <w:vAlign w:val="center"/>
          </w:tcPr>
          <w:p w14:paraId="133210F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思想道德与法治</w:t>
            </w:r>
          </w:p>
        </w:tc>
        <w:tc>
          <w:tcPr>
            <w:tcW w:w="3131" w:type="dxa"/>
            <w:noWrap w:val="0"/>
            <w:vAlign w:val="center"/>
          </w:tcPr>
          <w:p w14:paraId="35D374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lang w:val="en-US" w:eastAsia="zh-CN"/>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82" w:type="dxa"/>
            <w:noWrap w:val="0"/>
            <w:vAlign w:val="center"/>
          </w:tcPr>
          <w:p w14:paraId="2D63FF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i w:val="0"/>
                <w:caps w:val="0"/>
                <w:color w:val="auto"/>
                <w:spacing w:val="0"/>
                <w:sz w:val="24"/>
                <w:szCs w:val="24"/>
                <w:highlight w:val="none"/>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982" w:type="dxa"/>
            <w:noWrap w:val="0"/>
            <w:vAlign w:val="center"/>
          </w:tcPr>
          <w:p w14:paraId="137B94F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rPr>
              <w:t>通</w:t>
            </w:r>
            <w:r>
              <w:rPr>
                <w:rFonts w:hint="eastAsia" w:ascii="Times New Roman" w:hAnsi="Times New Roman" w:eastAsia="仿宋" w:cs="仿宋"/>
                <w:i w:val="0"/>
                <w:caps w:val="0"/>
                <w:color w:val="auto"/>
                <w:spacing w:val="0"/>
                <w:sz w:val="24"/>
                <w:szCs w:val="24"/>
                <w:highlight w:val="none"/>
                <w:shd w:val="clear" w:color="auto" w:fill="FFFFFF"/>
                <w:lang w:eastAsia="zh-CN"/>
              </w:rPr>
              <w:t>过</w:t>
            </w:r>
            <w:r>
              <w:rPr>
                <w:rFonts w:hint="eastAsia" w:ascii="Times New Roman" w:hAnsi="Times New Roman" w:eastAsia="仿宋" w:cs="仿宋"/>
                <w:i w:val="0"/>
                <w:caps w:val="0"/>
                <w:color w:val="auto"/>
                <w:spacing w:val="0"/>
                <w:sz w:val="24"/>
                <w:szCs w:val="24"/>
                <w:highlight w:val="none"/>
                <w:shd w:val="clear" w:color="auto" w:fill="FFFFFF"/>
              </w:rPr>
              <w:t>教师的理论讲授和学生的实践体验，让大学生形成崇高的理想信念，弘扬伟大的爱国主义精</w:t>
            </w:r>
          </w:p>
          <w:p w14:paraId="691170F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rPr>
              <w:t>神，确立正确的人生观和价值观，牢固树立社</w:t>
            </w:r>
          </w:p>
          <w:p w14:paraId="1477AF6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rPr>
              <w:t>会主义核心价值观，培养良好的思想道德素质和法律素质，成长为德、智、体、</w:t>
            </w:r>
          </w:p>
          <w:p w14:paraId="7314EA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rPr>
              <w:t>美、劳全面发展的中国特色社会主义伟大事业的合格建设者和可靠接班人。</w:t>
            </w:r>
          </w:p>
        </w:tc>
      </w:tr>
      <w:tr w14:paraId="75D30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47F646F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w:t>
            </w:r>
          </w:p>
        </w:tc>
        <w:tc>
          <w:tcPr>
            <w:tcW w:w="1275" w:type="dxa"/>
            <w:noWrap w:val="0"/>
            <w:vAlign w:val="center"/>
          </w:tcPr>
          <w:p w14:paraId="01DB361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毛泽东思想和中国特色社会主义理论体系概论</w:t>
            </w:r>
          </w:p>
        </w:tc>
        <w:tc>
          <w:tcPr>
            <w:tcW w:w="3131" w:type="dxa"/>
            <w:noWrap w:val="0"/>
            <w:vAlign w:val="center"/>
          </w:tcPr>
          <w:p w14:paraId="7F0CE3E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82" w:type="dxa"/>
            <w:noWrap w:val="0"/>
            <w:vAlign w:val="center"/>
          </w:tcPr>
          <w:p w14:paraId="6387EE3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982" w:type="dxa"/>
            <w:noWrap w:val="0"/>
            <w:vAlign w:val="center"/>
          </w:tcPr>
          <w:p w14:paraId="71630E5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14:paraId="6362E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660B038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3</w:t>
            </w:r>
          </w:p>
        </w:tc>
        <w:tc>
          <w:tcPr>
            <w:tcW w:w="1275" w:type="dxa"/>
            <w:noWrap w:val="0"/>
            <w:vAlign w:val="center"/>
          </w:tcPr>
          <w:p w14:paraId="1BB0D7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形势与政策</w:t>
            </w:r>
          </w:p>
        </w:tc>
        <w:tc>
          <w:tcPr>
            <w:tcW w:w="3131" w:type="dxa"/>
            <w:noWrap w:val="0"/>
            <w:vAlign w:val="center"/>
          </w:tcPr>
          <w:p w14:paraId="5173DA2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帮助学生全面、准确地了解国内外形势发展的新动态、新特点和新趋势，引导学生深入学习贯彻党和国家的方针政策，增强学生的国家意识和社会责任感，提高学生的综合素质和社会适应能力。</w:t>
            </w:r>
          </w:p>
        </w:tc>
        <w:tc>
          <w:tcPr>
            <w:tcW w:w="2982" w:type="dxa"/>
            <w:noWrap w:val="0"/>
            <w:vAlign w:val="center"/>
          </w:tcPr>
          <w:p w14:paraId="45F5BDA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982" w:type="dxa"/>
            <w:noWrap w:val="0"/>
            <w:vAlign w:val="center"/>
          </w:tcPr>
          <w:p w14:paraId="40AF284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14:paraId="39AE5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5E290D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4</w:t>
            </w:r>
          </w:p>
        </w:tc>
        <w:tc>
          <w:tcPr>
            <w:tcW w:w="1275" w:type="dxa"/>
            <w:noWrap w:val="0"/>
            <w:vAlign w:val="center"/>
          </w:tcPr>
          <w:p w14:paraId="69C670E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习近平新时代中国特色社会主义思想概论</w:t>
            </w:r>
          </w:p>
        </w:tc>
        <w:tc>
          <w:tcPr>
            <w:tcW w:w="3131" w:type="dxa"/>
            <w:noWrap w:val="0"/>
            <w:vAlign w:val="center"/>
          </w:tcPr>
          <w:p w14:paraId="62E608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14:paraId="60EB0E0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p>
        </w:tc>
        <w:tc>
          <w:tcPr>
            <w:tcW w:w="2982" w:type="dxa"/>
            <w:noWrap w:val="0"/>
            <w:vAlign w:val="center"/>
          </w:tcPr>
          <w:p w14:paraId="0F7F28B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982" w:type="dxa"/>
            <w:noWrap w:val="0"/>
            <w:vAlign w:val="center"/>
          </w:tcPr>
          <w:p w14:paraId="6A4B89B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14:paraId="0D450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29FF7C6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5</w:t>
            </w:r>
          </w:p>
        </w:tc>
        <w:tc>
          <w:tcPr>
            <w:tcW w:w="1275" w:type="dxa"/>
            <w:noWrap w:val="0"/>
            <w:vAlign w:val="center"/>
          </w:tcPr>
          <w:p w14:paraId="45836BD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lang w:val="en-US" w:eastAsia="zh-CN"/>
              </w:rPr>
              <w:t>大学</w:t>
            </w:r>
            <w:r>
              <w:rPr>
                <w:rFonts w:hint="eastAsia" w:ascii="Times New Roman" w:hAnsi="Times New Roman" w:eastAsia="仿宋" w:cs="仿宋"/>
                <w:color w:val="auto"/>
                <w:sz w:val="24"/>
                <w:szCs w:val="24"/>
                <w:highlight w:val="none"/>
              </w:rPr>
              <w:t>体育</w:t>
            </w:r>
          </w:p>
        </w:tc>
        <w:tc>
          <w:tcPr>
            <w:tcW w:w="3131" w:type="dxa"/>
            <w:noWrap w:val="0"/>
            <w:vAlign w:val="center"/>
          </w:tcPr>
          <w:p w14:paraId="2FC8D43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rPr>
              <w:t>旨在培养学生的体育兴趣，增强其身体素质，提高运动技能，并通过体育运动促进身心健康发展，为未来的学习和生活打下坚实的健康基础。</w:t>
            </w:r>
          </w:p>
        </w:tc>
        <w:tc>
          <w:tcPr>
            <w:tcW w:w="2982" w:type="dxa"/>
            <w:noWrap w:val="0"/>
            <w:vAlign w:val="center"/>
          </w:tcPr>
          <w:p w14:paraId="66BA33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i w:val="0"/>
                <w:caps w:val="0"/>
                <w:color w:val="auto"/>
                <w:spacing w:val="0"/>
                <w:sz w:val="24"/>
                <w:szCs w:val="24"/>
                <w:highlight w:val="none"/>
                <w:shd w:val="clear" w:color="auto" w:fill="FFFFFF"/>
              </w:rPr>
              <w:t>内容涵盖体育基础理论知识、实践技能训练、身体素质训练和心理健康教育等方面</w:t>
            </w:r>
            <w:r>
              <w:rPr>
                <w:rFonts w:hint="eastAsia" w:ascii="Times New Roman" w:hAnsi="Times New Roman" w:eastAsia="仿宋" w:cs="仿宋"/>
                <w:i w:val="0"/>
                <w:caps w:val="0"/>
                <w:color w:val="auto"/>
                <w:spacing w:val="0"/>
                <w:sz w:val="24"/>
                <w:szCs w:val="24"/>
                <w:highlight w:val="none"/>
                <w:shd w:val="clear" w:color="auto" w:fill="FFFFFF"/>
                <w:lang w:eastAsia="zh-CN"/>
              </w:rPr>
              <w:t>。</w:t>
            </w:r>
          </w:p>
        </w:tc>
        <w:tc>
          <w:tcPr>
            <w:tcW w:w="2982" w:type="dxa"/>
            <w:noWrap w:val="0"/>
            <w:vAlign w:val="center"/>
          </w:tcPr>
          <w:p w14:paraId="7FAC785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eastAsia="zh-CN"/>
              </w:rPr>
            </w:pPr>
            <w:r>
              <w:rPr>
                <w:rFonts w:hint="eastAsia" w:ascii="Times New Roman" w:hAnsi="Times New Roman" w:eastAsia="仿宋" w:cs="仿宋"/>
                <w:i w:val="0"/>
                <w:caps w:val="0"/>
                <w:color w:val="auto"/>
                <w:spacing w:val="0"/>
                <w:sz w:val="24"/>
                <w:szCs w:val="24"/>
                <w:highlight w:val="none"/>
                <w:shd w:val="clear" w:color="auto" w:fill="FFFFFF"/>
                <w:lang w:eastAsia="zh-CN"/>
              </w:rPr>
              <w:t>循序渐进，由浅入深，逐步提高学生的体育技能；注重示范指导，通过示范动作带动学生的学习兴趣；强化实践训练，让学生通过实际操作掌握体育技能。</w:t>
            </w:r>
          </w:p>
        </w:tc>
      </w:tr>
      <w:tr w14:paraId="7B4B0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35FCFF6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6</w:t>
            </w:r>
          </w:p>
        </w:tc>
        <w:tc>
          <w:tcPr>
            <w:tcW w:w="1275" w:type="dxa"/>
            <w:noWrap w:val="0"/>
            <w:vAlign w:val="center"/>
          </w:tcPr>
          <w:p w14:paraId="0DAA84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军事理论及军事技能</w:t>
            </w:r>
          </w:p>
        </w:tc>
        <w:tc>
          <w:tcPr>
            <w:tcW w:w="3131" w:type="dxa"/>
            <w:noWrap w:val="0"/>
            <w:vAlign w:val="center"/>
          </w:tcPr>
          <w:p w14:paraId="76A3D7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旨在让学生了解基本的军事理论知识，掌握基本的军事技能，增强国家安全意识和国防观念，培养爱国主义精神，为培养合格公民和后备军事人才打下基础。</w:t>
            </w:r>
          </w:p>
        </w:tc>
        <w:tc>
          <w:tcPr>
            <w:tcW w:w="2982" w:type="dxa"/>
            <w:noWrap w:val="0"/>
            <w:vAlign w:val="center"/>
          </w:tcPr>
          <w:p w14:paraId="25643C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课程内容包括军事基础知识、国家安全形势分析、军事技能训练等。</w:t>
            </w:r>
          </w:p>
          <w:p w14:paraId="0200AF1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p>
        </w:tc>
        <w:tc>
          <w:tcPr>
            <w:tcW w:w="2982" w:type="dxa"/>
            <w:noWrap w:val="0"/>
            <w:vAlign w:val="center"/>
          </w:tcPr>
          <w:p w14:paraId="0126CB9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lang w:eastAsia="zh-CN"/>
              </w:rPr>
              <w:t>循序渐进，由浅入深，逐步提高学生的军训技能；注重示范指导，通过示范动作带动学生的学习兴趣；强化实践训练，让学生通过实际操作掌握军事技能。</w:t>
            </w:r>
          </w:p>
        </w:tc>
      </w:tr>
      <w:tr w14:paraId="23E03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7" w:type="dxa"/>
            <w:noWrap w:val="0"/>
            <w:vAlign w:val="center"/>
          </w:tcPr>
          <w:p w14:paraId="789353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7</w:t>
            </w:r>
          </w:p>
        </w:tc>
        <w:tc>
          <w:tcPr>
            <w:tcW w:w="1275" w:type="dxa"/>
            <w:noWrap w:val="0"/>
            <w:vAlign w:val="center"/>
          </w:tcPr>
          <w:p w14:paraId="6990042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大学生心理健康教育</w:t>
            </w:r>
          </w:p>
        </w:tc>
        <w:tc>
          <w:tcPr>
            <w:tcW w:w="3131" w:type="dxa"/>
            <w:noWrap w:val="0"/>
            <w:vAlign w:val="center"/>
          </w:tcPr>
          <w:p w14:paraId="0AB91A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旨在帮助学生建立正确的心理健康观念，提高心理素质，增强心理调适能力，预防和解决心理问题，促进个人全面发展，为未来的学习和生活奠定坚实的心理基础。</w:t>
            </w:r>
          </w:p>
        </w:tc>
        <w:tc>
          <w:tcPr>
            <w:tcW w:w="2982" w:type="dxa"/>
            <w:noWrap w:val="0"/>
            <w:vAlign w:val="center"/>
          </w:tcPr>
          <w:p w14:paraId="4C8DFE3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课程内容涵盖了心理学基础知识、自我认知与情绪管理、人际关系处理、学业与职业规划、心理健康维护与危机应对等方面。</w:t>
            </w:r>
          </w:p>
        </w:tc>
        <w:tc>
          <w:tcPr>
            <w:tcW w:w="2982" w:type="dxa"/>
            <w:noWrap w:val="0"/>
            <w:vAlign w:val="center"/>
          </w:tcPr>
          <w:p w14:paraId="0EB458E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eastAsia="zh-CN"/>
              </w:rPr>
              <w:t>要注重理论联系实际，注重培养学生实际应用能力；既有心理知识的传授，心理活动的体验，还有心理调适技能的训练等。</w:t>
            </w:r>
          </w:p>
        </w:tc>
      </w:tr>
      <w:tr w14:paraId="0F416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4BDE189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8</w:t>
            </w:r>
          </w:p>
        </w:tc>
        <w:tc>
          <w:tcPr>
            <w:tcW w:w="1275" w:type="dxa"/>
            <w:noWrap w:val="0"/>
            <w:vAlign w:val="center"/>
          </w:tcPr>
          <w:p w14:paraId="3FDBAD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大学英语</w:t>
            </w:r>
          </w:p>
        </w:tc>
        <w:tc>
          <w:tcPr>
            <w:tcW w:w="3131" w:type="dxa"/>
            <w:noWrap w:val="0"/>
            <w:vAlign w:val="center"/>
          </w:tcPr>
          <w:p w14:paraId="7C8DBE1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培养学生具备基本的英语听、说、读、写、译能力，增强其跨文化交际意识和沟通能力，同时提高其综合素养，为未来的学术、职业和国际交流做好准备。</w:t>
            </w:r>
          </w:p>
        </w:tc>
        <w:tc>
          <w:tcPr>
            <w:tcW w:w="2982" w:type="dxa"/>
            <w:noWrap w:val="0"/>
            <w:vAlign w:val="center"/>
          </w:tcPr>
          <w:p w14:paraId="5627141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课程内容主要包括英语语言知识、语言技能和文化知识。具体涵盖词汇、语法、听力理解、口语表达、阅读理解、写作技巧和跨文化交际等方面的知识与技能。</w:t>
            </w:r>
          </w:p>
        </w:tc>
        <w:tc>
          <w:tcPr>
            <w:tcW w:w="2982" w:type="dxa"/>
            <w:noWrap w:val="0"/>
            <w:vAlign w:val="center"/>
          </w:tcPr>
          <w:p w14:paraId="3C11D50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eastAsia="zh-CN"/>
              </w:rPr>
              <w:t>视听说部分加强对听说能力的培养和训练；读写部分加强对文章的理解和运用，引导学生提高全面理解整篇文章的能力。</w:t>
            </w:r>
          </w:p>
        </w:tc>
      </w:tr>
      <w:tr w14:paraId="0DF2C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5EF6067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9</w:t>
            </w:r>
          </w:p>
        </w:tc>
        <w:tc>
          <w:tcPr>
            <w:tcW w:w="1275" w:type="dxa"/>
            <w:noWrap w:val="0"/>
            <w:vAlign w:val="center"/>
          </w:tcPr>
          <w:p w14:paraId="7290E56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高等数学</w:t>
            </w:r>
          </w:p>
        </w:tc>
        <w:tc>
          <w:tcPr>
            <w:tcW w:w="3131" w:type="dxa"/>
            <w:noWrap w:val="0"/>
            <w:vAlign w:val="center"/>
          </w:tcPr>
          <w:p w14:paraId="287A0A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培养学生的数学逻辑思维、抽象思维和问题解决能力，使其掌握高等数学的基本概念和方法，为后续的学术研究、工程应用以及科学探索打下坚实的数学基础。</w:t>
            </w:r>
          </w:p>
        </w:tc>
        <w:tc>
          <w:tcPr>
            <w:tcW w:w="2982" w:type="dxa"/>
            <w:noWrap w:val="0"/>
            <w:vAlign w:val="center"/>
          </w:tcPr>
          <w:p w14:paraId="60796D1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课程内容包括函数、极限与连续、一元函数微积分、多元微积分、级数、常微分方程等。</w:t>
            </w:r>
          </w:p>
        </w:tc>
        <w:tc>
          <w:tcPr>
            <w:tcW w:w="2982" w:type="dxa"/>
            <w:noWrap w:val="0"/>
            <w:vAlign w:val="center"/>
          </w:tcPr>
          <w:p w14:paraId="725A6B6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根据教学内容，结合学情分析以及教学重点、难点突破等，采用混合式教学模式，综合运用讲授法、案例教学法、启发式教学法、练习法教学方法。</w:t>
            </w:r>
          </w:p>
        </w:tc>
      </w:tr>
      <w:tr w14:paraId="6F6CC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6253003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10</w:t>
            </w:r>
          </w:p>
        </w:tc>
        <w:tc>
          <w:tcPr>
            <w:tcW w:w="1275" w:type="dxa"/>
            <w:noWrap w:val="0"/>
            <w:vAlign w:val="center"/>
          </w:tcPr>
          <w:p w14:paraId="147B1A9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计算机基础</w:t>
            </w:r>
          </w:p>
        </w:tc>
        <w:tc>
          <w:tcPr>
            <w:tcW w:w="3131" w:type="dxa"/>
            <w:noWrap w:val="0"/>
            <w:vAlign w:val="center"/>
          </w:tcPr>
          <w:p w14:paraId="33842E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让学生掌握计算机的基本概念和操作技能，培养其利用计算机解决实际问题的能力，为其未来的学习和工作提供必要的计算机技能支持。</w:t>
            </w:r>
          </w:p>
        </w:tc>
        <w:tc>
          <w:tcPr>
            <w:tcW w:w="2982" w:type="dxa"/>
            <w:noWrap w:val="0"/>
            <w:vAlign w:val="center"/>
          </w:tcPr>
          <w:p w14:paraId="0788886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课程内容涵盖计算机基础知识、操作系统、办公软件应用、网络基础等方面。</w:t>
            </w:r>
          </w:p>
        </w:tc>
        <w:tc>
          <w:tcPr>
            <w:tcW w:w="2982" w:type="dxa"/>
            <w:noWrap w:val="0"/>
            <w:vAlign w:val="center"/>
          </w:tcPr>
          <w:p w14:paraId="303FDE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注重实践操作，加强实际操作练习。</w:t>
            </w:r>
          </w:p>
        </w:tc>
      </w:tr>
      <w:tr w14:paraId="38C1A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19550F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11</w:t>
            </w:r>
          </w:p>
        </w:tc>
        <w:tc>
          <w:tcPr>
            <w:tcW w:w="1275" w:type="dxa"/>
            <w:noWrap w:val="0"/>
            <w:vAlign w:val="center"/>
          </w:tcPr>
          <w:p w14:paraId="017FEDF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大学生职业发展与就业指导</w:t>
            </w:r>
          </w:p>
        </w:tc>
        <w:tc>
          <w:tcPr>
            <w:tcW w:w="3131" w:type="dxa"/>
            <w:noWrap w:val="0"/>
            <w:vAlign w:val="center"/>
          </w:tcPr>
          <w:p w14:paraId="2F9661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帮助学生明确职业方向，提升就业竞争力，培养创业意识，以及提供个性化的职业规划指导，为未来的职业生涯发展奠定坚实基础。</w:t>
            </w:r>
          </w:p>
        </w:tc>
        <w:tc>
          <w:tcPr>
            <w:tcW w:w="2982" w:type="dxa"/>
            <w:noWrap w:val="0"/>
            <w:vAlign w:val="center"/>
          </w:tcPr>
          <w:p w14:paraId="57B2FFA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课程内容包括自我认知与职业定位、就业市场分析、求职技巧与方法、职业生涯规划、创业基础知识等。</w:t>
            </w:r>
          </w:p>
        </w:tc>
        <w:tc>
          <w:tcPr>
            <w:tcW w:w="2982" w:type="dxa"/>
            <w:noWrap w:val="0"/>
            <w:vAlign w:val="center"/>
          </w:tcPr>
          <w:p w14:paraId="7ABCF34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14:paraId="6CD76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2059CE8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12</w:t>
            </w:r>
          </w:p>
        </w:tc>
        <w:tc>
          <w:tcPr>
            <w:tcW w:w="1275" w:type="dxa"/>
            <w:noWrap w:val="0"/>
            <w:vAlign w:val="center"/>
          </w:tcPr>
          <w:p w14:paraId="0AE08B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lang w:eastAsia="zh-CN"/>
              </w:rPr>
              <w:t>劳动教育</w:t>
            </w:r>
          </w:p>
        </w:tc>
        <w:tc>
          <w:tcPr>
            <w:tcW w:w="3131" w:type="dxa"/>
            <w:noWrap w:val="0"/>
            <w:vAlign w:val="center"/>
          </w:tcPr>
          <w:p w14:paraId="7711A94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82" w:type="dxa"/>
            <w:noWrap w:val="0"/>
            <w:vAlign w:val="center"/>
          </w:tcPr>
          <w:p w14:paraId="5455BBF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以实习实训课为主要载体开展劳动教育，包含劳动精神、劳模精神、工匠精神专题教育。</w:t>
            </w:r>
          </w:p>
        </w:tc>
        <w:tc>
          <w:tcPr>
            <w:tcW w:w="2982" w:type="dxa"/>
            <w:noWrap w:val="0"/>
            <w:vAlign w:val="center"/>
          </w:tcPr>
          <w:p w14:paraId="1F82A21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注重围绕创新创业，结合学科和专业积极开展实习实训、专业服务、社会实践、勤工助学等，重视新知识、新技术、新工艺、新方法应用，创造性地解决实际问题。</w:t>
            </w:r>
          </w:p>
        </w:tc>
      </w:tr>
      <w:tr w14:paraId="72916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42B0E9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13</w:t>
            </w:r>
          </w:p>
        </w:tc>
        <w:tc>
          <w:tcPr>
            <w:tcW w:w="1275" w:type="dxa"/>
            <w:noWrap w:val="0"/>
            <w:vAlign w:val="center"/>
          </w:tcPr>
          <w:p w14:paraId="24A134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大学生礼仪修养</w:t>
            </w:r>
          </w:p>
        </w:tc>
        <w:tc>
          <w:tcPr>
            <w:tcW w:w="3131" w:type="dxa"/>
            <w:noWrap w:val="0"/>
            <w:vAlign w:val="center"/>
          </w:tcPr>
          <w:p w14:paraId="2D0B5A7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培养学生具备优雅得体的社交礼仪，提高其人际交往能力和社会适应能力，为未来的职业生涯和个人发展打下良好的社交基础。</w:t>
            </w:r>
          </w:p>
        </w:tc>
        <w:tc>
          <w:tcPr>
            <w:tcW w:w="2982" w:type="dxa"/>
            <w:noWrap w:val="0"/>
            <w:vAlign w:val="center"/>
          </w:tcPr>
          <w:p w14:paraId="6C3F0DA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课程涵盖仪表仪态、日常社交礼仪、商务礼仪、公共礼仪、国际礼仪等方面。</w:t>
            </w:r>
          </w:p>
        </w:tc>
        <w:tc>
          <w:tcPr>
            <w:tcW w:w="2982" w:type="dxa"/>
            <w:noWrap w:val="0"/>
            <w:vAlign w:val="center"/>
          </w:tcPr>
          <w:p w14:paraId="0F9F652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eastAsia="zh-CN"/>
              </w:rPr>
              <w:t>注重礼仪示范指导，通过礼仪示范动作带动学生的学习兴趣；强化礼仪实践训练，让学生通过礼仪实际操作掌握礼仪技能。</w:t>
            </w:r>
          </w:p>
        </w:tc>
      </w:tr>
      <w:tr w14:paraId="35C80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72F2D1F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14</w:t>
            </w:r>
          </w:p>
        </w:tc>
        <w:tc>
          <w:tcPr>
            <w:tcW w:w="1275" w:type="dxa"/>
            <w:noWrap w:val="0"/>
            <w:vAlign w:val="center"/>
          </w:tcPr>
          <w:p w14:paraId="3207A8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中国民俗剪纸技法</w:t>
            </w:r>
          </w:p>
        </w:tc>
        <w:tc>
          <w:tcPr>
            <w:tcW w:w="3131" w:type="dxa"/>
            <w:noWrap w:val="0"/>
            <w:vAlign w:val="center"/>
          </w:tcPr>
          <w:p w14:paraId="0989A0E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传承和弘扬中华传统文化，让学生掌握基本的剪纸技法和创作思维，培养其创意实践能力，并增进对中国传统民间艺术的了解与欣赏。</w:t>
            </w:r>
          </w:p>
          <w:p w14:paraId="3D0215B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p>
        </w:tc>
        <w:tc>
          <w:tcPr>
            <w:tcW w:w="2982" w:type="dxa"/>
            <w:noWrap w:val="0"/>
            <w:vAlign w:val="center"/>
          </w:tcPr>
          <w:p w14:paraId="150E6BB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982" w:type="dxa"/>
            <w:noWrap w:val="0"/>
            <w:vAlign w:val="center"/>
          </w:tcPr>
          <w:p w14:paraId="0F709CB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通过示范教学，直观的了解剪纸的技法和要领，通过剪纸创作，提高剪纸技能。</w:t>
            </w:r>
          </w:p>
        </w:tc>
      </w:tr>
      <w:tr w14:paraId="4CDA6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1F61BC6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15</w:t>
            </w:r>
          </w:p>
        </w:tc>
        <w:tc>
          <w:tcPr>
            <w:tcW w:w="1275" w:type="dxa"/>
            <w:noWrap w:val="0"/>
            <w:vAlign w:val="center"/>
          </w:tcPr>
          <w:p w14:paraId="60095A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影视与鉴赏</w:t>
            </w:r>
          </w:p>
        </w:tc>
        <w:tc>
          <w:tcPr>
            <w:tcW w:w="3131" w:type="dxa"/>
            <w:noWrap w:val="0"/>
            <w:vAlign w:val="center"/>
          </w:tcPr>
          <w:p w14:paraId="5532544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培养学生具备对影视作品的基本鉴赏能力，理解影视艺术的内涵与特点，提高审美水平，同时引导学生思考影视作品所反映的社会、文化和人性问题，促进批判性思维的形成。</w:t>
            </w:r>
          </w:p>
        </w:tc>
        <w:tc>
          <w:tcPr>
            <w:tcW w:w="2982" w:type="dxa"/>
            <w:noWrap w:val="0"/>
            <w:vAlign w:val="center"/>
          </w:tcPr>
          <w:p w14:paraId="708841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课程内容涵盖影视作品分析、影视艺术理论、影视史论等方面。</w:t>
            </w:r>
          </w:p>
        </w:tc>
        <w:tc>
          <w:tcPr>
            <w:tcW w:w="2982" w:type="dxa"/>
            <w:noWrap w:val="0"/>
            <w:vAlign w:val="center"/>
          </w:tcPr>
          <w:p w14:paraId="32E10F1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利用启发诱导提升、优秀案例赏析、项目分组讨论等教学方法，引导学生主动思索，参与创新来达成有效提升学习效果目标。</w:t>
            </w:r>
          </w:p>
        </w:tc>
      </w:tr>
      <w:tr w14:paraId="12C41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626D729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16</w:t>
            </w:r>
          </w:p>
        </w:tc>
        <w:tc>
          <w:tcPr>
            <w:tcW w:w="1275" w:type="dxa"/>
            <w:noWrap w:val="0"/>
            <w:vAlign w:val="center"/>
          </w:tcPr>
          <w:p w14:paraId="3100DC1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人际交流与沟通</w:t>
            </w:r>
          </w:p>
        </w:tc>
        <w:tc>
          <w:tcPr>
            <w:tcW w:w="3131" w:type="dxa"/>
            <w:noWrap w:val="0"/>
            <w:vAlign w:val="center"/>
          </w:tcPr>
          <w:p w14:paraId="2CA3825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课程旨在帮助学生掌握有效的人际沟通技巧，提升其在工作、学习和日常生活中的沟通能力，以更好地建立和维护人际关系，实现有效合作与问题解决。</w:t>
            </w:r>
          </w:p>
        </w:tc>
        <w:tc>
          <w:tcPr>
            <w:tcW w:w="2982" w:type="dxa"/>
            <w:noWrap w:val="0"/>
            <w:vAlign w:val="center"/>
          </w:tcPr>
          <w:p w14:paraId="14D678D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课程内容包括沟通基础理论、沟通技巧、冲突处理、团队合作等方面。</w:t>
            </w:r>
          </w:p>
        </w:tc>
        <w:tc>
          <w:tcPr>
            <w:tcW w:w="2982" w:type="dxa"/>
            <w:noWrap w:val="0"/>
            <w:vAlign w:val="center"/>
          </w:tcPr>
          <w:p w14:paraId="1FC9AC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通过案例引导、深度解析，情景模拟，角色扮演，媒体演示，专项实践，让学生达到掌握知识技能目的。</w:t>
            </w:r>
          </w:p>
        </w:tc>
      </w:tr>
      <w:tr w14:paraId="1D6B2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7F9E09A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17</w:t>
            </w:r>
          </w:p>
        </w:tc>
        <w:tc>
          <w:tcPr>
            <w:tcW w:w="1275" w:type="dxa"/>
            <w:noWrap w:val="0"/>
            <w:vAlign w:val="center"/>
          </w:tcPr>
          <w:p w14:paraId="0516A40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演讲与口才</w:t>
            </w:r>
          </w:p>
        </w:tc>
        <w:tc>
          <w:tcPr>
            <w:tcW w:w="3131" w:type="dxa"/>
            <w:noWrap w:val="0"/>
            <w:vAlign w:val="center"/>
          </w:tcPr>
          <w:p w14:paraId="49468A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培养学生的口头表达能力，使其具备清晰、准确、有逻辑的语言表达能力，同时增强学生的自信心和应变能力，为未来的公众演讲和职场沟通打下坚实基础。</w:t>
            </w:r>
          </w:p>
        </w:tc>
        <w:tc>
          <w:tcPr>
            <w:tcW w:w="2982" w:type="dxa"/>
            <w:noWrap w:val="0"/>
            <w:vAlign w:val="center"/>
          </w:tcPr>
          <w:p w14:paraId="1A79CC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课程内容包括演讲基础理论、演讲技巧、口才训练、实践演练等方面。学生将学习演讲的基本结构、语言技巧、肢体语言以及应对紧张情绪的方法。</w:t>
            </w:r>
          </w:p>
        </w:tc>
        <w:tc>
          <w:tcPr>
            <w:tcW w:w="2982" w:type="dxa"/>
            <w:noWrap w:val="0"/>
            <w:vAlign w:val="center"/>
          </w:tcPr>
          <w:p w14:paraId="39B031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14:paraId="23052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06E1AB5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18</w:t>
            </w:r>
          </w:p>
        </w:tc>
        <w:tc>
          <w:tcPr>
            <w:tcW w:w="1275" w:type="dxa"/>
            <w:noWrap w:val="0"/>
            <w:vAlign w:val="center"/>
          </w:tcPr>
          <w:p w14:paraId="146582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创新创业教育</w:t>
            </w:r>
          </w:p>
        </w:tc>
        <w:tc>
          <w:tcPr>
            <w:tcW w:w="3131" w:type="dxa"/>
            <w:noWrap w:val="0"/>
            <w:vAlign w:val="center"/>
          </w:tcPr>
          <w:p w14:paraId="3F295B8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培养学生的创新思维、创业意识和创业能力，让学生了解创业的基本知识和流程，掌握创业所需的基本技能，为未来的创业实践或职业发展打下坚实基础。</w:t>
            </w:r>
          </w:p>
        </w:tc>
        <w:tc>
          <w:tcPr>
            <w:tcW w:w="2982" w:type="dxa"/>
            <w:noWrap w:val="0"/>
            <w:vAlign w:val="center"/>
          </w:tcPr>
          <w:p w14:paraId="6977FBC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课程内容涵盖创新思维培养、创业理念引导、市场调研分析、商业模式构建、团队建设与管理、创业计划书撰写、资金筹措与投资等方面。</w:t>
            </w:r>
          </w:p>
        </w:tc>
        <w:tc>
          <w:tcPr>
            <w:tcW w:w="2982" w:type="dxa"/>
            <w:noWrap w:val="0"/>
            <w:vAlign w:val="center"/>
          </w:tcPr>
          <w:p w14:paraId="274D6A3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i w:val="0"/>
                <w:caps w:val="0"/>
                <w:color w:val="auto"/>
                <w:spacing w:val="0"/>
                <w:sz w:val="21"/>
                <w:szCs w:val="21"/>
                <w:highlight w:val="none"/>
                <w:shd w:val="clear" w:color="auto" w:fill="FFFFFF"/>
              </w:rPr>
              <w:t>理</w:t>
            </w:r>
            <w:r>
              <w:rPr>
                <w:rFonts w:hint="eastAsia" w:ascii="Times New Roman" w:hAnsi="Times New Roman" w:eastAsia="仿宋" w:cs="仿宋"/>
                <w:color w:val="auto"/>
                <w:sz w:val="24"/>
                <w:szCs w:val="24"/>
                <w:highlight w:val="none"/>
                <w:lang w:val="en-US" w:eastAsia="zh-CN"/>
              </w:rPr>
              <w:t>论讲授与案例分析相结合、小组讨论与角色体验相结合、经验传授与创业实践相结合，把知识传授、思想碰撞和实践体验有机统一起来，调动学生学习的积极性、主动性和创造性，不断提高教学质量和水平。</w:t>
            </w:r>
          </w:p>
        </w:tc>
      </w:tr>
      <w:tr w14:paraId="6D5DA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7562023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19</w:t>
            </w:r>
          </w:p>
        </w:tc>
        <w:tc>
          <w:tcPr>
            <w:tcW w:w="1275" w:type="dxa"/>
            <w:noWrap w:val="0"/>
            <w:vAlign w:val="center"/>
          </w:tcPr>
          <w:p w14:paraId="0F8DCA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中国共产党简史</w:t>
            </w:r>
          </w:p>
        </w:tc>
        <w:tc>
          <w:tcPr>
            <w:tcW w:w="3131" w:type="dxa"/>
            <w:shd w:val="clear" w:color="auto" w:fill="auto"/>
            <w:noWrap w:val="0"/>
            <w:vAlign w:val="center"/>
          </w:tcPr>
          <w:p w14:paraId="76DF592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中国共产党简史课程的目的是让学生了解中国共产党的光辉历程、伟大成就和宝贵经验，加深对中国特色社会主义道路、理论、制度、文化的认识，增强对党的信仰和对中国特色社会主义的信念。</w:t>
            </w:r>
          </w:p>
        </w:tc>
        <w:tc>
          <w:tcPr>
            <w:tcW w:w="2982" w:type="dxa"/>
            <w:shd w:val="clear" w:color="auto" w:fill="auto"/>
            <w:noWrap w:val="0"/>
            <w:vAlign w:val="center"/>
          </w:tcPr>
          <w:p w14:paraId="7A06D2E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tc>
        <w:tc>
          <w:tcPr>
            <w:tcW w:w="2982" w:type="dxa"/>
            <w:shd w:val="clear" w:color="auto" w:fill="auto"/>
            <w:noWrap w:val="0"/>
            <w:vAlign w:val="center"/>
          </w:tcPr>
          <w:p w14:paraId="06DF79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14:paraId="689EC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7B4C840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20</w:t>
            </w:r>
          </w:p>
        </w:tc>
        <w:tc>
          <w:tcPr>
            <w:tcW w:w="1275" w:type="dxa"/>
            <w:noWrap w:val="0"/>
            <w:vAlign w:val="center"/>
          </w:tcPr>
          <w:p w14:paraId="75E805F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改革开放简史</w:t>
            </w:r>
          </w:p>
        </w:tc>
        <w:tc>
          <w:tcPr>
            <w:tcW w:w="3131" w:type="dxa"/>
            <w:shd w:val="clear" w:color="auto" w:fill="auto"/>
            <w:noWrap w:val="0"/>
            <w:vAlign w:val="center"/>
          </w:tcPr>
          <w:p w14:paraId="27D391E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让学生全面了解改革开放的历史背景、进程和成就，深刻理解改革开放对中国现代化建设的深远影响，增强对中国特色社会主义道路、理论、制度、文化的自信。</w:t>
            </w:r>
          </w:p>
        </w:tc>
        <w:tc>
          <w:tcPr>
            <w:tcW w:w="2982" w:type="dxa"/>
            <w:shd w:val="clear" w:color="auto" w:fill="auto"/>
            <w:noWrap w:val="0"/>
            <w:vAlign w:val="center"/>
          </w:tcPr>
          <w:p w14:paraId="780691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982" w:type="dxa"/>
            <w:shd w:val="clear" w:color="auto" w:fill="auto"/>
            <w:noWrap w:val="0"/>
            <w:vAlign w:val="center"/>
          </w:tcPr>
          <w:p w14:paraId="2F526D2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通过专题讲授法、情境教学法，让学生能够系统把握中国改革开放事业的辉煌成就、重大贡献、重要经验和深刻启示。</w:t>
            </w:r>
          </w:p>
        </w:tc>
      </w:tr>
      <w:tr w14:paraId="031E5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64679B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21</w:t>
            </w:r>
          </w:p>
        </w:tc>
        <w:tc>
          <w:tcPr>
            <w:tcW w:w="1275" w:type="dxa"/>
            <w:noWrap w:val="0"/>
            <w:vAlign w:val="center"/>
          </w:tcPr>
          <w:p w14:paraId="5331E3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中华人民共和国简史</w:t>
            </w:r>
          </w:p>
        </w:tc>
        <w:tc>
          <w:tcPr>
            <w:tcW w:w="3131" w:type="dxa"/>
            <w:shd w:val="clear" w:color="auto" w:fill="auto"/>
            <w:noWrap w:val="0"/>
            <w:vAlign w:val="center"/>
          </w:tcPr>
          <w:p w14:paraId="650C7A4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让学生全面了解中华人民共和国从成立至今的历史进程、主要成就和基本经验，加深对中国特色社会主义道路、理论、制度、文化的认识，增强国家认同感和民族自豪感。</w:t>
            </w:r>
          </w:p>
        </w:tc>
        <w:tc>
          <w:tcPr>
            <w:tcW w:w="2982" w:type="dxa"/>
            <w:shd w:val="clear" w:color="auto" w:fill="auto"/>
            <w:noWrap w:val="0"/>
            <w:vAlign w:val="center"/>
          </w:tcPr>
          <w:p w14:paraId="15796BA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982" w:type="dxa"/>
            <w:shd w:val="clear" w:color="auto" w:fill="auto"/>
            <w:noWrap w:val="0"/>
            <w:vAlign w:val="center"/>
          </w:tcPr>
          <w:p w14:paraId="24F060C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通过课堂讲解、案例分析、小组讨论、模拟实践等方式，促进学生进一步增强民族自尊心、自信心和自豪感, 坚定对马克思主义的信仰、对中国共产党的信任、对社会主义的信心。</w:t>
            </w:r>
          </w:p>
        </w:tc>
      </w:tr>
      <w:tr w14:paraId="0B543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757" w:type="dxa"/>
            <w:noWrap w:val="0"/>
            <w:vAlign w:val="center"/>
          </w:tcPr>
          <w:p w14:paraId="0799792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22</w:t>
            </w:r>
          </w:p>
        </w:tc>
        <w:tc>
          <w:tcPr>
            <w:tcW w:w="1275" w:type="dxa"/>
            <w:noWrap w:val="0"/>
            <w:vAlign w:val="center"/>
          </w:tcPr>
          <w:p w14:paraId="3982F99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社会主义发展简史</w:t>
            </w:r>
          </w:p>
        </w:tc>
        <w:tc>
          <w:tcPr>
            <w:tcW w:w="3131" w:type="dxa"/>
            <w:shd w:val="clear" w:color="auto" w:fill="auto"/>
            <w:noWrap w:val="0"/>
            <w:vAlign w:val="center"/>
          </w:tcPr>
          <w:p w14:paraId="06DCC2E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让学生全面了解社会主义思想和实践的历史演变，深入理解社会主义的基本原则和核心价值，认识社会主义在不同国家和时期的发展与挑战，从而增强对社会主义制度的认识与信心。</w:t>
            </w:r>
          </w:p>
        </w:tc>
        <w:tc>
          <w:tcPr>
            <w:tcW w:w="2982" w:type="dxa"/>
            <w:shd w:val="clear" w:color="auto" w:fill="auto"/>
            <w:noWrap w:val="0"/>
            <w:vAlign w:val="center"/>
          </w:tcPr>
          <w:p w14:paraId="1A7D51D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982" w:type="dxa"/>
            <w:shd w:val="clear" w:color="auto" w:fill="auto"/>
            <w:noWrap w:val="0"/>
            <w:vAlign w:val="center"/>
          </w:tcPr>
          <w:p w14:paraId="45C8BCC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通过文本解读法、故事穿插法、存疑追问法等方式，帮助学生掌握关于当代社会主义的基本知识，以更深刻的视角理解认识当代中国社会，强化共产主义世界观。</w:t>
            </w:r>
          </w:p>
        </w:tc>
      </w:tr>
      <w:tr w14:paraId="097EB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4" w:hRule="atLeast"/>
          <w:jc w:val="center"/>
        </w:trPr>
        <w:tc>
          <w:tcPr>
            <w:tcW w:w="757" w:type="dxa"/>
            <w:noWrap w:val="0"/>
            <w:vAlign w:val="center"/>
          </w:tcPr>
          <w:p w14:paraId="5EEC2B6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23</w:t>
            </w:r>
          </w:p>
        </w:tc>
        <w:tc>
          <w:tcPr>
            <w:tcW w:w="1275" w:type="dxa"/>
            <w:noWrap w:val="0"/>
            <w:vAlign w:val="center"/>
          </w:tcPr>
          <w:p w14:paraId="2F00B6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lang w:eastAsia="zh-CN"/>
              </w:rPr>
              <w:t>国家安全教育</w:t>
            </w:r>
          </w:p>
        </w:tc>
        <w:tc>
          <w:tcPr>
            <w:tcW w:w="3131" w:type="dxa"/>
            <w:shd w:val="clear" w:color="auto" w:fill="auto"/>
            <w:noWrap w:val="0"/>
            <w:vAlign w:val="center"/>
          </w:tcPr>
          <w:p w14:paraId="234391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让学生系统掌握总体国家安全观的内涵和精神实质，理解中国特色国家安全体系，树立国家安全底线思维，将国家安全意识转化为自觉行动，强化责任担当。</w:t>
            </w:r>
          </w:p>
        </w:tc>
        <w:tc>
          <w:tcPr>
            <w:tcW w:w="2982" w:type="dxa"/>
            <w:shd w:val="clear" w:color="auto" w:fill="auto"/>
            <w:noWrap w:val="0"/>
            <w:vAlign w:val="center"/>
          </w:tcPr>
          <w:p w14:paraId="00C78B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政治安全、国土安全、军事安全、经济安全、文化安全、社会安全、科技安全、网络安全、生态安全、资源安全、核安全、海外利益安全、新型领域安全</w:t>
            </w:r>
          </w:p>
        </w:tc>
        <w:tc>
          <w:tcPr>
            <w:tcW w:w="2982" w:type="dxa"/>
            <w:shd w:val="clear" w:color="auto" w:fill="auto"/>
            <w:noWrap w:val="0"/>
            <w:vAlign w:val="center"/>
          </w:tcPr>
          <w:p w14:paraId="4B06664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通过组织讲座、参观、调研、体验式、实践活动等方式，进行案例分析、实地考察、访谈探究、行动反思，积极引导学生自主参与、体验感悟。</w:t>
            </w:r>
          </w:p>
        </w:tc>
      </w:tr>
      <w:tr w14:paraId="13A1D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8" w:hRule="atLeast"/>
          <w:jc w:val="center"/>
        </w:trPr>
        <w:tc>
          <w:tcPr>
            <w:tcW w:w="757" w:type="dxa"/>
            <w:noWrap w:val="0"/>
            <w:vAlign w:val="center"/>
          </w:tcPr>
          <w:p w14:paraId="6E91903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24</w:t>
            </w:r>
          </w:p>
        </w:tc>
        <w:tc>
          <w:tcPr>
            <w:tcW w:w="1275" w:type="dxa"/>
            <w:noWrap w:val="0"/>
            <w:vAlign w:val="center"/>
          </w:tcPr>
          <w:p w14:paraId="1116959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语文</w:t>
            </w:r>
          </w:p>
        </w:tc>
        <w:tc>
          <w:tcPr>
            <w:tcW w:w="3131" w:type="dxa"/>
            <w:shd w:val="clear" w:color="auto" w:fill="auto"/>
            <w:noWrap w:val="0"/>
            <w:vAlign w:val="center"/>
          </w:tcPr>
          <w:p w14:paraId="6ABD1E9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982" w:type="dxa"/>
            <w:shd w:val="clear" w:color="auto" w:fill="auto"/>
            <w:noWrap w:val="0"/>
            <w:vAlign w:val="center"/>
          </w:tcPr>
          <w:p w14:paraId="5DB2FA1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982" w:type="dxa"/>
            <w:shd w:val="clear" w:color="auto" w:fill="auto"/>
            <w:noWrap w:val="0"/>
            <w:vAlign w:val="center"/>
          </w:tcPr>
          <w:p w14:paraId="26E7B89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通过多媒体教学设备展示文学作品的相关图片、视频和音频资料，帮助学生更好理解作品。其次组织课堂讨论、小组合作等教学活动，鼓励学生积极参与，培养其合作意识和创新能力。</w:t>
            </w:r>
          </w:p>
        </w:tc>
      </w:tr>
    </w:tbl>
    <w:p w14:paraId="4514271E">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楷体" w:cs="楷体"/>
          <w:color w:val="auto"/>
          <w:sz w:val="32"/>
          <w:szCs w:val="32"/>
          <w:highlight w:val="none"/>
          <w:lang w:val="en-US" w:eastAsia="zh-CN"/>
        </w:rPr>
      </w:pPr>
      <w:r>
        <w:rPr>
          <w:rFonts w:hint="eastAsia" w:ascii="Times New Roman" w:hAnsi="Times New Roman" w:eastAsia="楷体" w:cs="楷体"/>
          <w:color w:val="auto"/>
          <w:sz w:val="32"/>
          <w:szCs w:val="32"/>
          <w:highlight w:val="none"/>
          <w:lang w:val="en-US" w:eastAsia="zh-CN"/>
        </w:rPr>
        <w:t>（二）专业（技能）课程</w:t>
      </w:r>
    </w:p>
    <w:p w14:paraId="26FF41D7">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color w:val="auto"/>
          <w:kern w:val="2"/>
          <w:sz w:val="32"/>
          <w:szCs w:val="32"/>
          <w:highlight w:val="none"/>
          <w:lang w:val="en-US" w:eastAsia="zh-CN" w:bidi="ar-SA"/>
        </w:rPr>
      </w:pPr>
      <w:r>
        <w:rPr>
          <w:rFonts w:hint="eastAsia" w:ascii="Times New Roman" w:hAnsi="Times New Roman" w:eastAsia="仿宋_GB2312" w:cs="仿宋"/>
          <w:color w:val="auto"/>
          <w:kern w:val="2"/>
          <w:sz w:val="32"/>
          <w:szCs w:val="32"/>
          <w:highlight w:val="none"/>
          <w:lang w:val="en-US" w:eastAsia="zh-CN" w:bidi="ar-SA"/>
        </w:rPr>
        <w:t>专业（技能）课程包括专业基础课程、专业核心课程、专业拓展课程，并涵盖有关实践性教学环节。</w:t>
      </w:r>
    </w:p>
    <w:p w14:paraId="378FD02C">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color w:val="auto"/>
          <w:kern w:val="2"/>
          <w:sz w:val="32"/>
          <w:szCs w:val="32"/>
          <w:highlight w:val="none"/>
          <w:lang w:val="en-US" w:eastAsia="zh-CN" w:bidi="ar-SA"/>
        </w:rPr>
      </w:pPr>
      <w:bookmarkStart w:id="9" w:name="_Toc90734975"/>
      <w:r>
        <w:rPr>
          <w:rFonts w:hint="eastAsia" w:ascii="Times New Roman" w:hAnsi="Times New Roman" w:eastAsia="仿宋_GB2312" w:cs="仿宋"/>
          <w:color w:val="auto"/>
          <w:kern w:val="2"/>
          <w:sz w:val="32"/>
          <w:szCs w:val="32"/>
          <w:highlight w:val="none"/>
          <w:lang w:val="en-US" w:eastAsia="zh-CN" w:bidi="ar-SA"/>
        </w:rPr>
        <w:t>1.专业基础课程</w:t>
      </w:r>
      <w:bookmarkEnd w:id="9"/>
    </w:p>
    <w:p w14:paraId="7CB00FF7">
      <w:pPr>
        <w:pageBreakBefore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color w:val="auto"/>
          <w:kern w:val="2"/>
          <w:sz w:val="32"/>
          <w:szCs w:val="32"/>
          <w:highlight w:val="none"/>
          <w:lang w:val="en-US" w:eastAsia="zh-CN" w:bidi="ar-SA"/>
        </w:rPr>
      </w:pPr>
      <w:r>
        <w:rPr>
          <w:rFonts w:hint="eastAsia" w:ascii="Times New Roman" w:hAnsi="Times New Roman" w:eastAsia="仿宋_GB2312" w:cs="仿宋"/>
          <w:color w:val="auto"/>
          <w:kern w:val="2"/>
          <w:sz w:val="32"/>
          <w:szCs w:val="32"/>
          <w:highlight w:val="none"/>
          <w:lang w:val="en-US" w:eastAsia="zh-CN" w:bidi="ar-SA"/>
        </w:rPr>
        <w:t>专业基础课是为后续专业课程学习打基础的课程。包括：</w:t>
      </w:r>
      <w:r>
        <w:rPr>
          <w:rFonts w:hint="eastAsia" w:ascii="Times New Roman" w:hAnsi="Times New Roman" w:eastAsia="仿宋_GB2312" w:cs="仿宋"/>
          <w:color w:val="auto"/>
          <w:spacing w:val="-2"/>
          <w:sz w:val="32"/>
          <w:szCs w:val="32"/>
          <w:highlight w:val="none"/>
        </w:rPr>
        <w:t>建筑材料、土木工程概论、工程制图、工程建设法规、计算机辅助设计（CAD）、测量学、</w:t>
      </w:r>
      <w:r>
        <w:rPr>
          <w:rFonts w:hint="eastAsia" w:ascii="Times New Roman" w:hAnsi="Times New Roman" w:eastAsia="仿宋_GB2312" w:cs="仿宋"/>
          <w:color w:val="auto"/>
          <w:spacing w:val="-2"/>
          <w:sz w:val="32"/>
          <w:szCs w:val="32"/>
          <w:highlight w:val="none"/>
          <w:lang w:eastAsia="zh-CN"/>
        </w:rPr>
        <w:t>工程地质与水文、建筑力学与结构、</w:t>
      </w:r>
      <w:r>
        <w:rPr>
          <w:rFonts w:hint="eastAsia" w:ascii="Times New Roman" w:hAnsi="Times New Roman" w:eastAsia="仿宋_GB2312" w:cs="仿宋"/>
          <w:color w:val="auto"/>
          <w:spacing w:val="-2"/>
          <w:sz w:val="32"/>
          <w:szCs w:val="32"/>
          <w:highlight w:val="none"/>
        </w:rPr>
        <w:t>道桥施工识图、</w:t>
      </w:r>
      <w:r>
        <w:rPr>
          <w:rFonts w:hint="eastAsia" w:ascii="Times New Roman" w:hAnsi="Times New Roman" w:eastAsia="仿宋_GB2312" w:cs="仿宋"/>
          <w:color w:val="auto"/>
          <w:spacing w:val="-2"/>
          <w:sz w:val="32"/>
          <w:szCs w:val="32"/>
          <w:highlight w:val="none"/>
          <w:lang w:eastAsia="zh-CN"/>
        </w:rPr>
        <w:t>建筑工程定额与预算、</w:t>
      </w:r>
      <w:r>
        <w:rPr>
          <w:rFonts w:hint="eastAsia" w:ascii="Times New Roman" w:hAnsi="Times New Roman" w:eastAsia="仿宋_GB2312" w:cs="仿宋"/>
          <w:color w:val="auto"/>
          <w:spacing w:val="-2"/>
          <w:sz w:val="32"/>
          <w:szCs w:val="32"/>
          <w:highlight w:val="none"/>
        </w:rPr>
        <w:t>土力学与地基基础、建筑施工组织与管理</w:t>
      </w:r>
      <w:r>
        <w:rPr>
          <w:rFonts w:hint="eastAsia" w:ascii="Times New Roman" w:hAnsi="Times New Roman" w:eastAsia="仿宋_GB2312" w:cs="仿宋"/>
          <w:color w:val="auto"/>
          <w:spacing w:val="-2"/>
          <w:sz w:val="32"/>
          <w:szCs w:val="32"/>
          <w:highlight w:val="none"/>
          <w:lang w:eastAsia="zh-CN"/>
        </w:rPr>
        <w:t>、</w:t>
      </w:r>
      <w:r>
        <w:rPr>
          <w:rFonts w:hint="eastAsia" w:ascii="Times New Roman" w:hAnsi="Times New Roman" w:eastAsia="仿宋_GB2312" w:cs="仿宋"/>
          <w:color w:val="auto"/>
          <w:spacing w:val="-2"/>
          <w:sz w:val="32"/>
          <w:szCs w:val="32"/>
          <w:highlight w:val="none"/>
        </w:rPr>
        <w:t>建设工程监理概论</w:t>
      </w:r>
      <w:r>
        <w:rPr>
          <w:rFonts w:hint="eastAsia" w:ascii="Times New Roman" w:hAnsi="Times New Roman" w:eastAsia="仿宋_GB2312" w:cs="仿宋"/>
          <w:color w:val="auto"/>
          <w:spacing w:val="-2"/>
          <w:sz w:val="32"/>
          <w:szCs w:val="32"/>
          <w:highlight w:val="none"/>
          <w:lang w:val="en-US" w:eastAsia="zh-CN"/>
        </w:rPr>
        <w:t>等</w:t>
      </w:r>
      <w:r>
        <w:rPr>
          <w:rFonts w:hint="eastAsia" w:ascii="Times New Roman" w:hAnsi="Times New Roman" w:eastAsia="仿宋_GB2312" w:cs="仿宋"/>
          <w:color w:val="auto"/>
          <w:spacing w:val="-4"/>
          <w:sz w:val="32"/>
          <w:szCs w:val="32"/>
          <w:highlight w:val="none"/>
          <w:lang w:eastAsia="zh-CN"/>
        </w:rPr>
        <w:t>。</w:t>
      </w:r>
    </w:p>
    <w:p w14:paraId="691F6DFE">
      <w:pPr>
        <w:pageBreakBefore w:val="0"/>
        <w:numPr>
          <w:ilvl w:val="0"/>
          <w:numId w:val="0"/>
        </w:numPr>
        <w:kinsoku/>
        <w:wordWrap/>
        <w:overflowPunct w:val="0"/>
        <w:topLinePunct w:val="0"/>
        <w:autoSpaceDE/>
        <w:autoSpaceDN/>
        <w:bidi w:val="0"/>
        <w:adjustRightInd w:val="0"/>
        <w:snapToGrid/>
        <w:spacing w:line="520" w:lineRule="exact"/>
        <w:ind w:firstLine="2880" w:firstLineChars="900"/>
        <w:jc w:val="both"/>
        <w:textAlignment w:val="auto"/>
        <w:rPr>
          <w:rFonts w:hint="eastAsia" w:ascii="Times New Roman" w:hAnsi="Times New Roman" w:eastAsia="仿宋_GB2312" w:cs="仿宋"/>
          <w:color w:val="auto"/>
          <w:kern w:val="2"/>
          <w:sz w:val="32"/>
          <w:szCs w:val="32"/>
          <w:highlight w:val="none"/>
          <w:lang w:val="en-US" w:eastAsia="zh-CN" w:bidi="ar-SA"/>
        </w:rPr>
      </w:pPr>
      <w:bookmarkStart w:id="10" w:name="_Toc90734977"/>
      <w:r>
        <w:rPr>
          <w:rFonts w:hint="eastAsia" w:ascii="Times New Roman" w:hAnsi="Times New Roman" w:eastAsia="仿宋_GB2312" w:cs="仿宋"/>
          <w:color w:val="auto"/>
          <w:kern w:val="2"/>
          <w:sz w:val="32"/>
          <w:szCs w:val="32"/>
          <w:highlight w:val="none"/>
          <w:lang w:val="en-US" w:eastAsia="zh-CN" w:bidi="ar-SA"/>
        </w:rPr>
        <w:t>专业基础课程描述表</w:t>
      </w:r>
    </w:p>
    <w:tbl>
      <w:tblPr>
        <w:tblStyle w:val="5"/>
        <w:tblW w:w="103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6"/>
        <w:gridCol w:w="900"/>
        <w:gridCol w:w="2811"/>
        <w:gridCol w:w="2959"/>
        <w:gridCol w:w="3167"/>
      </w:tblGrid>
      <w:tr w14:paraId="0785B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noWrap w:val="0"/>
            <w:vAlign w:val="center"/>
          </w:tcPr>
          <w:p w14:paraId="069073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序号</w:t>
            </w:r>
          </w:p>
        </w:tc>
        <w:tc>
          <w:tcPr>
            <w:tcW w:w="900" w:type="dxa"/>
            <w:noWrap w:val="0"/>
            <w:vAlign w:val="center"/>
          </w:tcPr>
          <w:p w14:paraId="2B50725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课程名称</w:t>
            </w:r>
          </w:p>
        </w:tc>
        <w:tc>
          <w:tcPr>
            <w:tcW w:w="2811" w:type="dxa"/>
            <w:noWrap w:val="0"/>
            <w:vAlign w:val="center"/>
          </w:tcPr>
          <w:p w14:paraId="10F63D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目标</w:t>
            </w:r>
          </w:p>
        </w:tc>
        <w:tc>
          <w:tcPr>
            <w:tcW w:w="2959" w:type="dxa"/>
            <w:noWrap w:val="0"/>
            <w:vAlign w:val="center"/>
          </w:tcPr>
          <w:p w14:paraId="461A4C8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内容</w:t>
            </w:r>
          </w:p>
        </w:tc>
        <w:tc>
          <w:tcPr>
            <w:tcW w:w="3167" w:type="dxa"/>
            <w:noWrap w:val="0"/>
            <w:vAlign w:val="center"/>
          </w:tcPr>
          <w:p w14:paraId="4F3EBA0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教学要求</w:t>
            </w:r>
          </w:p>
        </w:tc>
      </w:tr>
      <w:tr w14:paraId="61DDC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noWrap w:val="0"/>
            <w:vAlign w:val="center"/>
          </w:tcPr>
          <w:p w14:paraId="3D8E24C4">
            <w:pPr>
              <w:keepNext w:val="0"/>
              <w:keepLines w:val="0"/>
              <w:widowControl w:val="0"/>
              <w:suppressLineNumbers w:val="0"/>
              <w:spacing w:before="0" w:beforeAutospacing="0" w:after="0" w:afterAutospacing="0" w:line="300" w:lineRule="auto"/>
              <w:ind w:left="0" w:leftChars="0" w:right="0" w:rightChars="0"/>
              <w:jc w:val="center"/>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1</w:t>
            </w:r>
          </w:p>
        </w:tc>
        <w:tc>
          <w:tcPr>
            <w:tcW w:w="900" w:type="dxa"/>
            <w:noWrap w:val="0"/>
            <w:vAlign w:val="center"/>
          </w:tcPr>
          <w:p w14:paraId="7F8B1A24">
            <w:pPr>
              <w:keepNext w:val="0"/>
              <w:keepLines w:val="0"/>
              <w:widowControl w:val="0"/>
              <w:suppressLineNumbers w:val="0"/>
              <w:spacing w:before="0" w:beforeAutospacing="0" w:after="0" w:afterAutospacing="0" w:line="300" w:lineRule="auto"/>
              <w:ind w:left="0" w:leftChars="0" w:right="0" w:rightChars="0"/>
              <w:jc w:val="center"/>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建筑材料</w:t>
            </w:r>
          </w:p>
        </w:tc>
        <w:tc>
          <w:tcPr>
            <w:tcW w:w="2811" w:type="dxa"/>
            <w:noWrap w:val="0"/>
            <w:vAlign w:val="center"/>
          </w:tcPr>
          <w:p w14:paraId="7D0C47F3">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通过全面介绍各类建筑材料的性质、用途、制备及应用技术，使学生掌握建筑材料的基本知识，能够合理选择和应用建筑材料于实际工程中，以确保建筑物的安全性、耐久性和经济性。</w:t>
            </w:r>
          </w:p>
        </w:tc>
        <w:tc>
          <w:tcPr>
            <w:tcW w:w="2959" w:type="dxa"/>
            <w:noWrap w:val="0"/>
            <w:vAlign w:val="center"/>
          </w:tcPr>
          <w:p w14:paraId="6A710D2D">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本课程涵盖广泛，包括无机非金属材料（如水泥、混凝土、玻璃等）、金属材料（如钢材、铝合金等）、有机高分子材料（如塑料、涂料、防水材料等）以及复合材料等各类建筑材料的物理力学性能、生产工艺、质量检验、环境影响及可持续发展等方面的知识。</w:t>
            </w:r>
          </w:p>
        </w:tc>
        <w:tc>
          <w:tcPr>
            <w:tcW w:w="3167" w:type="dxa"/>
            <w:noWrap w:val="0"/>
            <w:vAlign w:val="center"/>
          </w:tcPr>
          <w:p w14:paraId="1F551A62">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强调理论与实践相结合，通过实验、参观、案例分析等多种教学手段，加深学生对建筑材料性能和应用的理解，培养其分析问题和解决问题的能力，同时注重培养学生的环保意识，倡导使用绿色建筑材料，推动建筑行业的可持续发展。</w:t>
            </w:r>
          </w:p>
        </w:tc>
      </w:tr>
      <w:tr w14:paraId="00DF7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noWrap w:val="0"/>
            <w:vAlign w:val="center"/>
          </w:tcPr>
          <w:p w14:paraId="74C97F7B">
            <w:pPr>
              <w:keepNext w:val="0"/>
              <w:keepLines w:val="0"/>
              <w:widowControl w:val="0"/>
              <w:suppressLineNumbers w:val="0"/>
              <w:spacing w:before="0" w:beforeAutospacing="0" w:after="0" w:afterAutospacing="0" w:line="300" w:lineRule="auto"/>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2</w:t>
            </w:r>
          </w:p>
        </w:tc>
        <w:tc>
          <w:tcPr>
            <w:tcW w:w="900" w:type="dxa"/>
            <w:noWrap w:val="0"/>
            <w:vAlign w:val="center"/>
          </w:tcPr>
          <w:p w14:paraId="2C6C2DB6">
            <w:pPr>
              <w:keepNext w:val="0"/>
              <w:keepLines w:val="0"/>
              <w:widowControl w:val="0"/>
              <w:suppressLineNumbers w:val="0"/>
              <w:spacing w:before="0" w:beforeAutospacing="0" w:after="0" w:afterAutospacing="0" w:line="300" w:lineRule="auto"/>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土木工程概论</w:t>
            </w:r>
          </w:p>
        </w:tc>
        <w:tc>
          <w:tcPr>
            <w:tcW w:w="2811" w:type="dxa"/>
            <w:noWrap w:val="0"/>
            <w:vAlign w:val="center"/>
          </w:tcPr>
          <w:p w14:paraId="0585927E">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使学生全面了解土木工程的各个领域，包括建筑工程、道路与桥梁工程、岩土工程、水利工程等，掌握土木工程的基本概念、原理和方法，熟悉土木工程中常用的材料、结构和施工技术。培养学生的空间想象能力、逻辑思维能力和分析解决问题的能力，提高学生对土木工程实际问题的理解和应对能力。通过课程学习，学生能够初步具备运用所学知识进行简单工程设计和分析的能力。激发学生对土木工程专业的兴趣和热情，培养学生的创新意识和团队合作精神，使学生具备良好的职业道德和社会责任感，为学生未来的职业发展奠定坚实的基础。</w:t>
            </w:r>
          </w:p>
        </w:tc>
        <w:tc>
          <w:tcPr>
            <w:tcW w:w="2959" w:type="dxa"/>
            <w:noWrap w:val="0"/>
            <w:vAlign w:val="center"/>
          </w:tcPr>
          <w:p w14:paraId="32B73F19">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本课程涵盖了丰富的土木工程领域知识。首先，会介绍土木工程的基本概念、发展历程以及其在社会中的重要地位。其次，深入讲解建筑工程、道路与桥梁工程、岩土工程、水利工程等主要分支的特点和应用。同时，对土木工程中常用的材料，如钢材、混凝土等，以及相关的结构设计和施工技术进行阐述。还会探讨土木工程面临的挑战，如可持续发展、智能化建造等，并介绍前沿的创新技术与理念。此外，通过实际案例分析，让学生更好地理解理论知识在实践中的应用。最后，组织实地参观，让学生亲身体验土木工程的实际运作，增强对专业的认知和兴趣。通过这些教学内容，为学生开启土木工程的精彩之门。</w:t>
            </w:r>
          </w:p>
        </w:tc>
        <w:tc>
          <w:tcPr>
            <w:tcW w:w="3167" w:type="dxa"/>
            <w:noWrap w:val="0"/>
            <w:vAlign w:val="center"/>
          </w:tcPr>
          <w:p w14:paraId="56A2E03E">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学生要深入理解土木工程的基本概念、理论体系和发展历程，掌握其在社会建设中的重要地位和作用。通过学习，能够分析土木工程领域的实际问题，并运用所学知识提出合理的解决方案。注重培养学生的实践能力，通过实验、案例分析等环节，让学生亲身体验土木工程的实际操作，提高解决实际问题的能力。激发学生对土木工程专业的兴趣和热情，引导其积极主动地探索和学习，培养其创新思维和创新能力。同时，要让学生了解土木工程领域的前沿动态和最新技术，拓宽学生的专业视野，使其具备与时俱进的专业素养。此外，还要培养学生的团队协作精神和沟通能力，让他们在团队中能够相互配合、共同进步。引导学生树立正确的工程伦理观念和职业道德意识，为今后成为优秀的土木工程专业人才奠定坚实基础。</w:t>
            </w:r>
          </w:p>
        </w:tc>
      </w:tr>
      <w:tr w14:paraId="5E148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noWrap w:val="0"/>
            <w:vAlign w:val="center"/>
          </w:tcPr>
          <w:p w14:paraId="12DBEC67">
            <w:pPr>
              <w:keepNext w:val="0"/>
              <w:keepLines w:val="0"/>
              <w:widowControl w:val="0"/>
              <w:suppressLineNumbers w:val="0"/>
              <w:spacing w:before="0" w:beforeAutospacing="0" w:after="0" w:afterAutospacing="0" w:line="300" w:lineRule="auto"/>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3</w:t>
            </w:r>
          </w:p>
        </w:tc>
        <w:tc>
          <w:tcPr>
            <w:tcW w:w="900" w:type="dxa"/>
            <w:noWrap w:val="0"/>
            <w:vAlign w:val="center"/>
          </w:tcPr>
          <w:p w14:paraId="4834E623">
            <w:pPr>
              <w:keepNext w:val="0"/>
              <w:keepLines w:val="0"/>
              <w:widowControl w:val="0"/>
              <w:suppressLineNumbers w:val="0"/>
              <w:spacing w:before="0" w:beforeAutospacing="0" w:after="0" w:afterAutospacing="0" w:line="300" w:lineRule="auto"/>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工程制图</w:t>
            </w:r>
          </w:p>
        </w:tc>
        <w:tc>
          <w:tcPr>
            <w:tcW w:w="2811" w:type="dxa"/>
            <w:noWrap w:val="0"/>
            <w:vAlign w:val="center"/>
          </w:tcPr>
          <w:p w14:paraId="2483B4C4">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培养学生掌握工程制图的基本理论、方法和技能，能够熟练运用绘图工具进行工程图纸的绘制和解读。通过本课程的学习，学生将具备对工程项目进行准确、规范、美观的图纸表达能力，为后续的工程设计、施工和管理提供有力的技术支持。同时，课程还将注重培养学生的空间思维能力、创新能力和实践能力，以适应现代工程领域对制图人才的多元化需求。</w:t>
            </w:r>
          </w:p>
        </w:tc>
        <w:tc>
          <w:tcPr>
            <w:tcW w:w="2959" w:type="dxa"/>
            <w:noWrap w:val="0"/>
            <w:vAlign w:val="center"/>
          </w:tcPr>
          <w:p w14:paraId="418FCCDF">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工程制图》课程内容主要包括：制图基础知识、投影与视图、工程形体的表达方法、组合体的绘制与识读、轴测图与透视图、工程图样的绘制与标注、专业工程图的绘制等。此外，课程还将涉及计算机绘图技术、工程制图标准与规范等内容。通过这些内容的学习，学生将能够全面掌握工程制图的核心知识和技能，为未来的职业生涯奠定坚实的基础。</w:t>
            </w:r>
          </w:p>
        </w:tc>
        <w:tc>
          <w:tcPr>
            <w:tcW w:w="3167" w:type="dxa"/>
            <w:noWrap w:val="0"/>
            <w:vAlign w:val="center"/>
          </w:tcPr>
          <w:p w14:paraId="25201F83">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全面融合技术实践与法律规范，确保学生在掌握工程制图专业技能的同时，也深刻理解并遵循相关的行业标准和法律法规。具体而言，本课程不仅要求学生熟练掌握制图软件的操作、图纸的规范绘制与表达技巧，还需深入理解工程制图在工程项目全生命周期中的应用及其法律合规性。课程将结合实例分析，让学生认识到工程图纸作为工程语言的重要性，以及其在项目设计、施工、验收及后期维护等阶段所承担的法律责任。</w:t>
            </w:r>
          </w:p>
        </w:tc>
      </w:tr>
      <w:tr w14:paraId="6F419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noWrap w:val="0"/>
            <w:vAlign w:val="center"/>
          </w:tcPr>
          <w:p w14:paraId="3EF95791">
            <w:pPr>
              <w:keepNext w:val="0"/>
              <w:keepLines w:val="0"/>
              <w:widowControl w:val="0"/>
              <w:suppressLineNumbers w:val="0"/>
              <w:spacing w:before="0" w:beforeAutospacing="0" w:after="0" w:afterAutospacing="0" w:line="300" w:lineRule="auto"/>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4</w:t>
            </w:r>
          </w:p>
        </w:tc>
        <w:tc>
          <w:tcPr>
            <w:tcW w:w="900" w:type="dxa"/>
            <w:noWrap w:val="0"/>
            <w:vAlign w:val="center"/>
          </w:tcPr>
          <w:p w14:paraId="0158CF55">
            <w:pPr>
              <w:keepNext w:val="0"/>
              <w:keepLines w:val="0"/>
              <w:widowControl w:val="0"/>
              <w:suppressLineNumbers w:val="0"/>
              <w:spacing w:before="0" w:beforeAutospacing="0" w:after="0" w:afterAutospacing="0" w:line="300" w:lineRule="auto"/>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工程建设法规</w:t>
            </w:r>
          </w:p>
        </w:tc>
        <w:tc>
          <w:tcPr>
            <w:tcW w:w="2811" w:type="dxa"/>
            <w:noWrap w:val="0"/>
            <w:vAlign w:val="center"/>
          </w:tcPr>
          <w:p w14:paraId="60E650D0">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 w:bidi="ar"/>
              </w:rPr>
              <w:t>在工程建设法规的课程中，我们的目标是让学生深入理解法规体系，掌握工程建设中的法律知识，培养他们运用法规解决实际问题的能力，增强法律意识和责任感，使他们成为懂法、守法、用法的专业人才，为工程建设领域的规范发展贡献力量。</w:t>
            </w:r>
          </w:p>
        </w:tc>
        <w:tc>
          <w:tcPr>
            <w:tcW w:w="2959" w:type="dxa"/>
            <w:noWrap w:val="0"/>
            <w:vAlign w:val="center"/>
          </w:tcPr>
          <w:p w14:paraId="483255CB">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 w:bidi="ar"/>
              </w:rPr>
              <w:t>课程教学内容丰富多样。涵盖建设工程基本法律制度、招标投标法、合同法、安全生产法、质量管理法等诸多方面。通过理论讲解与案例分析相结合，使学生了解法规条文的具体含义和应用场景。同时，引导学生探讨实际工程中的法律问题，培养他们的分析和解决能力。还将介绍相关法规的发展历程和最新动态，让学生紧跟时代步伐。通过系统学习，帮助学生树立正确的法律观念，为未来从事建设工程相关工作奠定坚实基础。</w:t>
            </w:r>
          </w:p>
        </w:tc>
        <w:tc>
          <w:tcPr>
            <w:tcW w:w="3167" w:type="dxa"/>
            <w:noWrap w:val="0"/>
            <w:vAlign w:val="center"/>
          </w:tcPr>
          <w:p w14:paraId="125BB7F1">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 w:bidi="ar"/>
              </w:rPr>
              <w:t>学生需认真学习法规条文，深刻理解其内涵与意义。积极参与课堂讨论，分享自己的观点与见解。主动完成作业，巩固所学知识。注重实践应用，能运用法规分析和解决实际工程问题。培养严谨的思维和法律意识，提升自身综合素养。密切关注法规的更新与变化，不断更新知识体系。以达到学以致用，为建设工程领域的合规发展贡献力量的目的。</w:t>
            </w:r>
          </w:p>
        </w:tc>
      </w:tr>
      <w:tr w14:paraId="4A581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vAlign w:val="center"/>
          </w:tcPr>
          <w:p w14:paraId="6AC8BDD8">
            <w:pPr>
              <w:keepNext w:val="0"/>
              <w:keepLines w:val="0"/>
              <w:widowControl w:val="0"/>
              <w:suppressLineNumbers w:val="0"/>
              <w:spacing w:before="0" w:beforeAutospacing="0" w:after="0" w:afterAutospacing="0" w:line="300" w:lineRule="auto"/>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5</w:t>
            </w:r>
          </w:p>
        </w:tc>
        <w:tc>
          <w:tcPr>
            <w:tcW w:w="900" w:type="dxa"/>
            <w:vAlign w:val="center"/>
          </w:tcPr>
          <w:p w14:paraId="074FAAE5">
            <w:pPr>
              <w:keepNext w:val="0"/>
              <w:keepLines w:val="0"/>
              <w:widowControl w:val="0"/>
              <w:suppressLineNumbers w:val="0"/>
              <w:spacing w:before="0" w:beforeAutospacing="0" w:after="0" w:afterAutospacing="0" w:line="300" w:lineRule="auto"/>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计算机辅助设计（CAD）</w:t>
            </w:r>
          </w:p>
        </w:tc>
        <w:tc>
          <w:tcPr>
            <w:tcW w:w="2811" w:type="dxa"/>
            <w:vAlign w:val="center"/>
          </w:tcPr>
          <w:p w14:paraId="5BF8C71B">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课程教学以工程设计软件应用能力为培养目标，学习工程设计中的计算机绘图以及计算机辅助设计软件应用的基本方法和技巧，使学生具备用CAD绘图软件绘制建筑图的能力以及达到、解决工程设计实际问题的能力。</w:t>
            </w:r>
          </w:p>
        </w:tc>
        <w:tc>
          <w:tcPr>
            <w:tcW w:w="2959" w:type="dxa"/>
            <w:vAlign w:val="center"/>
          </w:tcPr>
          <w:p w14:paraId="66E9E739">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教学内容主要包括CAD操作基础、辅助工具的使用、绘图环境的设置、二维基本绘图命令、文字与表格、尺寸标注六大部分。专业的实践教学内容主要以绘制建筑图为主，包括平面图、立面图、剖面图和详图等。</w:t>
            </w:r>
          </w:p>
        </w:tc>
        <w:tc>
          <w:tcPr>
            <w:tcW w:w="3167" w:type="dxa"/>
            <w:vAlign w:val="center"/>
          </w:tcPr>
          <w:p w14:paraId="697D419C">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在深度融合技术创新与法律法规意识，确保学生在精通CAD软件操作与高级设计技巧的同时，也深刻理解并遵循相关的行业标准和法律法规。具体而言，本课程不仅要求学生熟练掌握CAD软件的基本操作、三维建模、装配设计、工程图绘制等核心技能，还需深入理解CAD技术在工程设计、制造、建筑等行业中的广泛应用及其在法律框架下的合规性。</w:t>
            </w:r>
          </w:p>
        </w:tc>
      </w:tr>
      <w:tr w14:paraId="3F0C5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vAlign w:val="center"/>
          </w:tcPr>
          <w:p w14:paraId="65680522">
            <w:pPr>
              <w:keepNext w:val="0"/>
              <w:keepLines w:val="0"/>
              <w:widowControl w:val="0"/>
              <w:suppressLineNumbers w:val="0"/>
              <w:spacing w:before="0" w:beforeAutospacing="0" w:after="0" w:afterAutospacing="0" w:line="300" w:lineRule="auto"/>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6</w:t>
            </w:r>
          </w:p>
        </w:tc>
        <w:tc>
          <w:tcPr>
            <w:tcW w:w="900" w:type="dxa"/>
            <w:vAlign w:val="center"/>
          </w:tcPr>
          <w:p w14:paraId="519EF5D9">
            <w:pPr>
              <w:keepNext w:val="0"/>
              <w:keepLines w:val="0"/>
              <w:widowControl w:val="0"/>
              <w:suppressLineNumbers w:val="0"/>
              <w:spacing w:before="0" w:beforeAutospacing="0" w:after="0" w:afterAutospacing="0" w:line="300" w:lineRule="auto"/>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测量学</w:t>
            </w:r>
          </w:p>
        </w:tc>
        <w:tc>
          <w:tcPr>
            <w:tcW w:w="2811" w:type="dxa"/>
            <w:vAlign w:val="center"/>
          </w:tcPr>
          <w:p w14:paraId="2A6DC270">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测量学课程旨在使学生掌握测量学的基本原理、方法和技术，包括测量仪器的使用、地形图的测绘、工程测量的实施等，培养学生具备解决实际测量问题的能力，为未来从事土木工程、测绘工程、地理信息科学等领域的工作奠定坚实的理论基础和实践技能。</w:t>
            </w:r>
          </w:p>
        </w:tc>
        <w:tc>
          <w:tcPr>
            <w:tcW w:w="2959" w:type="dxa"/>
            <w:vAlign w:val="center"/>
          </w:tcPr>
          <w:p w14:paraId="37F1522D">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本课程系统介绍测量学的基本概念、误差理论与数据处理、水准测量、角度测量、距离测量、控制测量、地形图测绘与应用、以及工程测量等内容。通过理论讲授、实验实训和实地测量，使学生掌握测量仪器的操作技能，学会地形图的绘制与判读，理解并能实施各类工程测量任务。</w:t>
            </w:r>
          </w:p>
        </w:tc>
        <w:tc>
          <w:tcPr>
            <w:tcW w:w="3167" w:type="dxa"/>
            <w:vAlign w:val="center"/>
          </w:tcPr>
          <w:p w14:paraId="7000D491">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学生需认真听讲，积极参与课堂讨论，深入理解测量学的基本原理和方法；熟练掌握常用测量仪器的操作与维护，能够独立完成测量实验和实训项目；注重实践经验的积累，积极参与实地测量任务，提升解决实际测量问题的能力；完成课程作业和项目报告，展示个人学习成果，并准备通过课程考核，检验对测量学知识的掌握程度。</w:t>
            </w:r>
          </w:p>
        </w:tc>
      </w:tr>
      <w:tr w14:paraId="1726A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vAlign w:val="center"/>
          </w:tcPr>
          <w:p w14:paraId="0E429656">
            <w:pPr>
              <w:keepNext w:val="0"/>
              <w:keepLines w:val="0"/>
              <w:widowControl w:val="0"/>
              <w:suppressLineNumbers w:val="0"/>
              <w:spacing w:before="0" w:beforeAutospacing="0" w:after="0" w:afterAutospacing="0" w:line="300" w:lineRule="auto"/>
              <w:ind w:left="0" w:leftChars="0" w:right="0" w:rightChars="0"/>
              <w:jc w:val="center"/>
              <w:rPr>
                <w:rFonts w:hint="eastAsia" w:ascii="Times New Roman" w:hAnsi="Times New Roman" w:eastAsia="仿宋" w:cs="仿宋"/>
                <w:b w:val="0"/>
                <w:bCs w:val="0"/>
                <w:i w:val="0"/>
                <w:iCs w:val="0"/>
                <w:color w:val="auto"/>
                <w:kern w:val="0"/>
                <w:sz w:val="24"/>
                <w:szCs w:val="24"/>
                <w:highlight w:val="none"/>
                <w:u w:val="none"/>
                <w:lang w:val="en-US" w:eastAsia="zh-CN" w:bidi="ar"/>
              </w:rPr>
            </w:pPr>
            <w:r>
              <w:rPr>
                <w:rFonts w:hint="eastAsia" w:ascii="Times New Roman" w:hAnsi="Times New Roman" w:eastAsia="仿宋" w:cs="仿宋"/>
                <w:color w:val="auto"/>
                <w:kern w:val="2"/>
                <w:sz w:val="24"/>
                <w:szCs w:val="24"/>
                <w:highlight w:val="none"/>
                <w:lang w:val="en-US" w:eastAsia="zh-CN" w:bidi="ar"/>
              </w:rPr>
              <w:t>7</w:t>
            </w:r>
          </w:p>
        </w:tc>
        <w:tc>
          <w:tcPr>
            <w:tcW w:w="900" w:type="dxa"/>
            <w:vAlign w:val="center"/>
          </w:tcPr>
          <w:p w14:paraId="5C7065BB">
            <w:pPr>
              <w:keepNext w:val="0"/>
              <w:keepLines w:val="0"/>
              <w:widowControl w:val="0"/>
              <w:suppressLineNumbers w:val="0"/>
              <w:spacing w:before="0" w:beforeAutospacing="0" w:after="0" w:afterAutospacing="0" w:line="300" w:lineRule="auto"/>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工程地质与水文</w:t>
            </w:r>
          </w:p>
        </w:tc>
        <w:tc>
          <w:tcPr>
            <w:tcW w:w="2811" w:type="dxa"/>
            <w:vAlign w:val="center"/>
          </w:tcPr>
          <w:p w14:paraId="18CF56C7">
            <w:pPr>
              <w:keepNext w:val="0"/>
              <w:keepLines w:val="0"/>
              <w:widowControl w:val="0"/>
              <w:suppressLineNumbers w:val="0"/>
              <w:spacing w:before="0" w:beforeAutospacing="0" w:after="0" w:afterAutospacing="0" w:line="300" w:lineRule="auto"/>
              <w:ind w:left="0" w:right="0"/>
              <w:jc w:val="both"/>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工程地质与水文课程的教学目标主要包括以下几个方面：知识掌握：使学生掌握工程地质及水文地质的基本知识，包括地质基础、构造地质、岩石学、地下水文等。</w:t>
            </w:r>
          </w:p>
          <w:p w14:paraId="506250FB">
            <w:pPr>
              <w:keepNext w:val="0"/>
              <w:keepLines w:val="0"/>
              <w:widowControl w:val="0"/>
              <w:suppressLineNumbers w:val="0"/>
              <w:spacing w:before="0" w:beforeAutospacing="0" w:after="0" w:afterAutospacing="0" w:line="300" w:lineRule="auto"/>
              <w:ind w:left="0" w:right="0"/>
              <w:jc w:val="both"/>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技能培养：培养学生分析水工建筑物的工程地质条件和问题的基本方法，能阅读和分析水工建筑中常用的地质图件和资料。</w:t>
            </w:r>
          </w:p>
          <w:p w14:paraId="781673B6">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zh-CN" w:eastAsia="zh-CN" w:bidi="ar-SA"/>
              </w:rPr>
            </w:pPr>
            <w:r>
              <w:rPr>
                <w:rFonts w:hint="eastAsia" w:ascii="Times New Roman" w:hAnsi="Times New Roman" w:eastAsia="仿宋" w:cs="仿宋"/>
                <w:color w:val="auto"/>
                <w:kern w:val="2"/>
                <w:sz w:val="24"/>
                <w:szCs w:val="24"/>
                <w:highlight w:val="none"/>
                <w:lang w:val="en-US" w:eastAsia="zh-CN" w:bidi="ar"/>
              </w:rPr>
              <w:t>实践应用：通过课程学习，学生能够利用所学知识进行工程地质勘察与评价、水文地质勘察与评价等工作，为今后的专业学习及职业生涯打下坚实基础。</w:t>
            </w:r>
          </w:p>
        </w:tc>
        <w:tc>
          <w:tcPr>
            <w:tcW w:w="2959" w:type="dxa"/>
            <w:vAlign w:val="center"/>
          </w:tcPr>
          <w:p w14:paraId="5CF1A311">
            <w:pPr>
              <w:keepNext w:val="0"/>
              <w:keepLines w:val="0"/>
              <w:widowControl w:val="0"/>
              <w:suppressLineNumbers w:val="0"/>
              <w:spacing w:before="0" w:beforeAutospacing="0" w:after="0" w:afterAutospacing="0" w:line="300" w:lineRule="auto"/>
              <w:ind w:left="0" w:right="0"/>
              <w:jc w:val="both"/>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工程地质与水文课程的教学内容通常涵盖以下几个部分</w:t>
            </w:r>
          </w:p>
          <w:p w14:paraId="7D1CAD23">
            <w:pPr>
              <w:keepNext w:val="0"/>
              <w:keepLines w:val="0"/>
              <w:widowControl w:val="0"/>
              <w:suppressLineNumbers w:val="0"/>
              <w:spacing w:before="0" w:beforeAutospacing="0" w:after="0" w:afterAutospacing="0" w:line="300" w:lineRule="auto"/>
              <w:ind w:left="0" w:right="0"/>
              <w:jc w:val="both"/>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地质基础：介绍地球的结构、地质作用、岩石及矿物等基础知识。</w:t>
            </w:r>
          </w:p>
          <w:p w14:paraId="7FDBC5DA">
            <w:pPr>
              <w:keepNext w:val="0"/>
              <w:keepLines w:val="0"/>
              <w:widowControl w:val="0"/>
              <w:suppressLineNumbers w:val="0"/>
              <w:spacing w:before="0" w:beforeAutospacing="0" w:after="0" w:afterAutospacing="0" w:line="300" w:lineRule="auto"/>
              <w:ind w:left="0" w:right="0"/>
              <w:jc w:val="both"/>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构造地质：学习地壳运动、地质构造（如褶皱、节理、断层）及其与工程的关系。</w:t>
            </w:r>
          </w:p>
          <w:p w14:paraId="4CB9681A">
            <w:pPr>
              <w:keepNext w:val="0"/>
              <w:keepLines w:val="0"/>
              <w:widowControl w:val="0"/>
              <w:suppressLineNumbers w:val="0"/>
              <w:spacing w:before="0" w:beforeAutospacing="0" w:after="0" w:afterAutospacing="0" w:line="300" w:lineRule="auto"/>
              <w:ind w:left="0" w:right="0"/>
              <w:jc w:val="both"/>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水文地质：讲解地下水的形成、分布、运动规律及其工程意义，包括地下水文地质勘察的基本方法。</w:t>
            </w:r>
          </w:p>
          <w:p w14:paraId="15C6403C">
            <w:pPr>
              <w:keepNext w:val="0"/>
              <w:keepLines w:val="0"/>
              <w:widowControl w:val="0"/>
              <w:suppressLineNumbers w:val="0"/>
              <w:spacing w:before="0" w:beforeAutospacing="0" w:after="0" w:afterAutospacing="0" w:line="300" w:lineRule="auto"/>
              <w:ind w:left="0" w:right="0"/>
              <w:jc w:val="both"/>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岩土工程：分析岩土体的物理力学性质、岩土工程勘察技术、岩土体的稳定性评价及工程处理措施。</w:t>
            </w:r>
          </w:p>
          <w:p w14:paraId="6A89CB69">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工程地质分析：结合实际工程案例，学习如何分析工程地质条件、预测和评估工程地质问题</w:t>
            </w:r>
          </w:p>
        </w:tc>
        <w:tc>
          <w:tcPr>
            <w:tcW w:w="3167" w:type="dxa"/>
            <w:vAlign w:val="center"/>
          </w:tcPr>
          <w:p w14:paraId="1FEB2EB8">
            <w:pPr>
              <w:keepNext w:val="0"/>
              <w:keepLines w:val="0"/>
              <w:widowControl w:val="0"/>
              <w:suppressLineNumbers w:val="0"/>
              <w:spacing w:before="0" w:beforeAutospacing="0" w:after="0" w:afterAutospacing="0" w:line="300" w:lineRule="auto"/>
              <w:ind w:left="0" w:right="0"/>
              <w:jc w:val="both"/>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工程地质与水文课程的教学要求通常包括以下几个方面</w:t>
            </w:r>
          </w:p>
          <w:p w14:paraId="77409A01">
            <w:pPr>
              <w:keepNext w:val="0"/>
              <w:keepLines w:val="0"/>
              <w:widowControl w:val="0"/>
              <w:suppressLineNumbers w:val="0"/>
              <w:spacing w:before="0" w:beforeAutospacing="0" w:after="0" w:afterAutospacing="0" w:line="300" w:lineRule="auto"/>
              <w:ind w:left="0" w:right="0"/>
              <w:jc w:val="both"/>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理论学习：要求学生扎实掌握工程地质与水文地质的基本概念和原理，理解相关理论知识的内涵和外延。</w:t>
            </w:r>
          </w:p>
          <w:p w14:paraId="4C4C01F6">
            <w:pPr>
              <w:keepNext w:val="0"/>
              <w:keepLines w:val="0"/>
              <w:widowControl w:val="0"/>
              <w:suppressLineNumbers w:val="0"/>
              <w:spacing w:before="0" w:beforeAutospacing="0" w:after="0" w:afterAutospacing="0" w:line="300" w:lineRule="auto"/>
              <w:ind w:left="0" w:right="0"/>
              <w:jc w:val="both"/>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技能提升：通过实践教学环节，培养学生的动手能力、分析能力和解决问题的能力</w:t>
            </w:r>
          </w:p>
          <w:p w14:paraId="41261E95">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综合素质：注重学生综合素质的培养，包括科学思维、创新精神、团队协作和社会责任感等。</w:t>
            </w:r>
          </w:p>
        </w:tc>
      </w:tr>
      <w:tr w14:paraId="09061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vAlign w:val="center"/>
          </w:tcPr>
          <w:p w14:paraId="19A5A7C2">
            <w:pPr>
              <w:keepNext w:val="0"/>
              <w:keepLines w:val="0"/>
              <w:widowControl w:val="0"/>
              <w:suppressLineNumbers w:val="0"/>
              <w:spacing w:before="0" w:beforeAutospacing="0" w:after="0" w:afterAutospacing="0" w:line="300" w:lineRule="auto"/>
              <w:ind w:left="0" w:leftChars="0" w:right="0" w:rightChars="0"/>
              <w:jc w:val="center"/>
              <w:rPr>
                <w:rFonts w:hint="default" w:ascii="Times New Roman" w:hAnsi="Times New Roman" w:eastAsia="仿宋" w:cs="仿宋"/>
                <w:color w:val="auto"/>
                <w:kern w:val="2"/>
                <w:sz w:val="24"/>
                <w:szCs w:val="24"/>
                <w:highlight w:val="none"/>
                <w:vertAlign w:val="baseline"/>
                <w:lang w:val="en-US" w:eastAsia="zh-CN" w:bidi="ar-SA"/>
              </w:rPr>
            </w:pPr>
            <w:r>
              <w:rPr>
                <w:rFonts w:hint="eastAsia" w:eastAsia="仿宋" w:cs="仿宋"/>
                <w:color w:val="auto"/>
                <w:kern w:val="2"/>
                <w:sz w:val="24"/>
                <w:szCs w:val="24"/>
                <w:highlight w:val="none"/>
                <w:vertAlign w:val="baseline"/>
                <w:lang w:val="en-US" w:eastAsia="zh-CN" w:bidi="ar-SA"/>
              </w:rPr>
              <w:t>8</w:t>
            </w:r>
          </w:p>
        </w:tc>
        <w:tc>
          <w:tcPr>
            <w:tcW w:w="900" w:type="dxa"/>
            <w:vAlign w:val="center"/>
          </w:tcPr>
          <w:p w14:paraId="53B46208">
            <w:pPr>
              <w:keepNext w:val="0"/>
              <w:keepLines w:val="0"/>
              <w:widowControl w:val="0"/>
              <w:suppressLineNumbers w:val="0"/>
              <w:spacing w:before="0" w:beforeAutospacing="0" w:after="0" w:afterAutospacing="0" w:line="300" w:lineRule="auto"/>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道桥施工识图</w:t>
            </w:r>
          </w:p>
        </w:tc>
        <w:tc>
          <w:tcPr>
            <w:tcW w:w="2811" w:type="dxa"/>
            <w:vAlign w:val="center"/>
          </w:tcPr>
          <w:p w14:paraId="23864D44">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旨在让学生全面且深入地理解道桥工程识图的基本原理与方法，严格遵循相关规范与标准。通过系统学习，学生能够精准、熟练地解读道桥施工图纸，具备出色的空间想象能力和图形分析能力，能在脑海中构建出清晰的道桥工程三维模型。同时，学生还将提升运用识图技能进行问题分析与解决的能力，确保施工的准确与安全。在此过程中，引导学生关注行业发展动态，及时了解最新的道桥施工识图技术与理念，不断提升专业素养和创新意识。此外，还注重培养学生的团队协作精神，使他们在小组识图讨论与实践中，学会与他人高效沟通与合作，共同完成任务，最终成为具备扎实识图能力的高素质道桥专业人才。</w:t>
            </w:r>
          </w:p>
        </w:tc>
        <w:tc>
          <w:tcPr>
            <w:tcW w:w="2959" w:type="dxa"/>
            <w:vAlign w:val="center"/>
          </w:tcPr>
          <w:p w14:paraId="0B1A84BB">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首先是识图基础部分，介绍制图标准、投影原理等基本概念，让学生掌握识图的基本方法。其次是道路工程识图，涵盖道路平面图、纵断面图、横断面图等的识读，了解道路的线型设计和结构组成。再者是桥梁工程识图，包括桥梁总体布置图、构件详图等的解读，熟悉桥梁的构造和施工要点。同时，还会讲解施工工艺与识图的结合，通过实际案例分析，帮助学生理解如何将图纸与施工过程对应起来。另外，还会介绍相关软件在识图中的应用，提高学生的识图效率和准确性。最后，注重培养学生的实践能力，安排识图实践环节，让学生在实际操作中巩固所学知识，提升识图技能。通过这些丰富的教学内容，使学生能够全面掌握道桥施工识图的技能，为今后的工作打下坚实基础。</w:t>
            </w:r>
          </w:p>
        </w:tc>
        <w:tc>
          <w:tcPr>
            <w:tcW w:w="3167" w:type="dxa"/>
            <w:vAlign w:val="center"/>
          </w:tcPr>
          <w:p w14:paraId="4B02FA7B">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掌握结构计算理论：学习并掌握建筑结构的基本计算理论，包括内力分析、应力计算、位移计算等，以及这些理论在结构设计中的应用。了解结构设计方法及建筑结构的设计原则、掌握结构设计的基本步骤和要点</w:t>
            </w:r>
          </w:p>
        </w:tc>
      </w:tr>
      <w:tr w14:paraId="1C1C4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vAlign w:val="center"/>
          </w:tcPr>
          <w:p w14:paraId="139EA1FD">
            <w:pPr>
              <w:keepNext w:val="0"/>
              <w:keepLines w:val="0"/>
              <w:widowControl w:val="0"/>
              <w:suppressLineNumbers w:val="0"/>
              <w:spacing w:before="0" w:beforeAutospacing="0" w:after="0" w:afterAutospacing="0" w:line="300" w:lineRule="auto"/>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eastAsia="仿宋" w:cs="仿宋"/>
                <w:color w:val="auto"/>
                <w:kern w:val="2"/>
                <w:sz w:val="24"/>
                <w:szCs w:val="24"/>
                <w:highlight w:val="none"/>
                <w:lang w:val="en-US" w:eastAsia="zh-CN" w:bidi="ar"/>
              </w:rPr>
              <w:t>9</w:t>
            </w:r>
          </w:p>
        </w:tc>
        <w:tc>
          <w:tcPr>
            <w:tcW w:w="900" w:type="dxa"/>
            <w:vAlign w:val="center"/>
          </w:tcPr>
          <w:p w14:paraId="5E2C4DB3">
            <w:pPr>
              <w:keepNext w:val="0"/>
              <w:keepLines w:val="0"/>
              <w:widowControl w:val="0"/>
              <w:suppressLineNumbers w:val="0"/>
              <w:spacing w:before="0" w:beforeAutospacing="0" w:after="0" w:afterAutospacing="0" w:line="300" w:lineRule="auto"/>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建筑工程定额与预算</w:t>
            </w:r>
          </w:p>
        </w:tc>
        <w:tc>
          <w:tcPr>
            <w:tcW w:w="2811" w:type="dxa"/>
            <w:vAlign w:val="center"/>
          </w:tcPr>
          <w:p w14:paraId="128C0E38">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建筑工程定额与预算课程旨在培养学生具备扎实的专业知识和实践技能，掌握建筑工程定额的分类及其作用，包括预算定额、施工定额、概算定额与概算指标等，理解各类定额在预算编制中的应用场景和作用。掌握建筑工程造价的组成部分，包括直接费、间接费、利润和税金等，以及各项费用的计算方法和标准。</w:t>
            </w:r>
          </w:p>
        </w:tc>
        <w:tc>
          <w:tcPr>
            <w:tcW w:w="2959" w:type="dxa"/>
            <w:vAlign w:val="center"/>
          </w:tcPr>
          <w:p w14:paraId="266C14D4">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本课程教学内容主要包括建筑工程概预算概述、建设工程定额、工程单价、建筑工程费用构成和计算原理、建筑面积及主要基数计算、工程计量与计价等方面的内容。</w:t>
            </w:r>
          </w:p>
        </w:tc>
        <w:tc>
          <w:tcPr>
            <w:tcW w:w="3167" w:type="dxa"/>
            <w:vAlign w:val="center"/>
          </w:tcPr>
          <w:p w14:paraId="16C5F4E5">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1.学生要掌握建筑工程定额与预算的基本概念、分类、作用和意义，了解建筑工程定额的制定方法和应用。2.熟悉建筑工程预算编制的原则、步骤和技巧，有分析和解决建筑工程定额与预算实际问题的能力。</w:t>
            </w:r>
          </w:p>
        </w:tc>
      </w:tr>
      <w:tr w14:paraId="25008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vAlign w:val="center"/>
          </w:tcPr>
          <w:p w14:paraId="0A841200">
            <w:pPr>
              <w:keepNext w:val="0"/>
              <w:keepLines w:val="0"/>
              <w:widowControl w:val="0"/>
              <w:suppressLineNumbers w:val="0"/>
              <w:spacing w:before="0" w:beforeAutospacing="0" w:after="0" w:afterAutospacing="0" w:line="300" w:lineRule="auto"/>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1</w:t>
            </w:r>
            <w:r>
              <w:rPr>
                <w:rFonts w:hint="eastAsia" w:eastAsia="仿宋" w:cs="仿宋"/>
                <w:color w:val="auto"/>
                <w:kern w:val="2"/>
                <w:sz w:val="24"/>
                <w:szCs w:val="24"/>
                <w:highlight w:val="none"/>
                <w:lang w:val="en-US" w:eastAsia="zh-CN" w:bidi="ar"/>
              </w:rPr>
              <w:t>0</w:t>
            </w:r>
          </w:p>
        </w:tc>
        <w:tc>
          <w:tcPr>
            <w:tcW w:w="900" w:type="dxa"/>
            <w:vAlign w:val="center"/>
          </w:tcPr>
          <w:p w14:paraId="405D5192">
            <w:pPr>
              <w:keepNext w:val="0"/>
              <w:keepLines w:val="0"/>
              <w:widowControl w:val="0"/>
              <w:suppressLineNumbers w:val="0"/>
              <w:spacing w:before="0" w:beforeAutospacing="0" w:after="0" w:afterAutospacing="0" w:line="300" w:lineRule="auto"/>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建筑施工组织与管理</w:t>
            </w:r>
          </w:p>
        </w:tc>
        <w:tc>
          <w:tcPr>
            <w:tcW w:w="2811" w:type="dxa"/>
            <w:vAlign w:val="center"/>
          </w:tcPr>
          <w:p w14:paraId="0C6EF1BF">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建筑施工组织与管理课程旨在通过理论教学和实训教学培养学生扎实的基础理论知识和专业知识，提升学生在面对复杂工程现象时，对施工现场运用所学知识分析问题、解决问题的能力。提升协调、布置和综合安排能力。包括对人、材、机、方法、环境、技术资料、资金、文明施工、安全施工等方面的管理。</w:t>
            </w:r>
          </w:p>
        </w:tc>
        <w:tc>
          <w:tcPr>
            <w:tcW w:w="2959" w:type="dxa"/>
            <w:vAlign w:val="center"/>
          </w:tcPr>
          <w:p w14:paraId="08BC671E">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本课程教学内容主要包括建筑施工组织与管理的基本概念、流水施工原理、网络计划技术、施工准备工作、单位工程施工组织设计、施工组织总设计等方面的内容。</w:t>
            </w:r>
          </w:p>
        </w:tc>
        <w:tc>
          <w:tcPr>
            <w:tcW w:w="3167" w:type="dxa"/>
            <w:vAlign w:val="center"/>
          </w:tcPr>
          <w:p w14:paraId="4E322EFD">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学生应深入理解和掌握流水施工原理和掌握网络计划技术，懂得绘制横道图和网络图并能够完成相应参数的计算。熟悉施工准备工作的内容，包括施工现场的准备、技术资料的准备、物资的准备工作等。熟悉和掌握单位工程施工组织设计的步骤和内容，能够独立完成单位工程施工组织设计。</w:t>
            </w:r>
          </w:p>
        </w:tc>
      </w:tr>
      <w:tr w14:paraId="48D97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vAlign w:val="center"/>
          </w:tcPr>
          <w:p w14:paraId="32B9C9DF">
            <w:pPr>
              <w:keepNext w:val="0"/>
              <w:keepLines w:val="0"/>
              <w:widowControl w:val="0"/>
              <w:suppressLineNumbers w:val="0"/>
              <w:spacing w:before="0" w:beforeAutospacing="0" w:after="0" w:afterAutospacing="0" w:line="300" w:lineRule="auto"/>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1</w:t>
            </w:r>
            <w:r>
              <w:rPr>
                <w:rFonts w:hint="eastAsia" w:eastAsia="仿宋" w:cs="仿宋"/>
                <w:color w:val="auto"/>
                <w:kern w:val="2"/>
                <w:sz w:val="24"/>
                <w:szCs w:val="24"/>
                <w:highlight w:val="none"/>
                <w:lang w:val="en-US" w:eastAsia="zh-CN" w:bidi="ar"/>
              </w:rPr>
              <w:t>1</w:t>
            </w:r>
          </w:p>
        </w:tc>
        <w:tc>
          <w:tcPr>
            <w:tcW w:w="900" w:type="dxa"/>
            <w:vAlign w:val="center"/>
          </w:tcPr>
          <w:p w14:paraId="4FB3679B">
            <w:pPr>
              <w:keepNext w:val="0"/>
              <w:keepLines w:val="0"/>
              <w:widowControl w:val="0"/>
              <w:suppressLineNumbers w:val="0"/>
              <w:spacing w:before="0" w:beforeAutospacing="0" w:after="0" w:afterAutospacing="0" w:line="300" w:lineRule="auto"/>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建设工程监理概论</w:t>
            </w:r>
          </w:p>
        </w:tc>
        <w:tc>
          <w:tcPr>
            <w:tcW w:w="2811" w:type="dxa"/>
            <w:vAlign w:val="center"/>
          </w:tcPr>
          <w:p w14:paraId="5552B4B0">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首先，要使学生深刻理解并熟练掌握建设工程监理的核心概念、原理及方法，为后续深入学习打下坚实基础。其次，培养学生具备敏锐的洞察力和分析能力，能够准确解读建设工程中的各类问题，并运用所学知识提出合理有效的解决方案。同时，注重提升学生的实践操作能力，让他们能够在实际工程中灵活运用监理知识，切实保障工程质量、进度、安全等目标的实现。此外，还要引导学生了解建设工程监理的最新发展动态和趋势，不断拓宽学生的专业视野，使他们能够与时俱进，适应行业发展需求。并且，培养学生的团队协作精神和沟通能力，使他们在监理工作中能够与各相关方进行高效协作与交流。最后，强化学生的职业道德和责任意识，让他们树立正确的价值观，以严谨、负责的态度对待建设工程监理工作，为行业的发展贡献自己的力量。</w:t>
            </w:r>
          </w:p>
        </w:tc>
        <w:tc>
          <w:tcPr>
            <w:tcW w:w="2959" w:type="dxa"/>
            <w:vAlign w:val="center"/>
          </w:tcPr>
          <w:p w14:paraId="2D17B672">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首先，从基础理论入手，深入讲解建设工程监理的概念、性质、作用等，使学生对监理工作有清晰而全面的认知。接着，详细阐述监理单位的设立、组织形式，以及监理工程师的职责、权利和义务等，让学生了解监理行业的运作机制。然后，聚焦建设工程监理的工作程序和方法，包括投资控制、进度控制、质量控制、合同管理、信息管理等，培养学生的实际操作能力。同时，还会介绍建设工程监理的法律法规和标准规范，让学生在工作中能够依法依规行事。此外，探讨建设工程监理的风险管理与安全控制，提升学生应对各种风险挑战的能力。最后，关注建设工程监理的发展趋势和前沿动态，拓宽学生的专业视野，使他们更好地适应行业发展的需求。</w:t>
            </w:r>
          </w:p>
        </w:tc>
        <w:tc>
          <w:tcPr>
            <w:tcW w:w="3167" w:type="dxa"/>
            <w:vAlign w:val="center"/>
          </w:tcPr>
          <w:p w14:paraId="3D76751C">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首先，学生要深刻领悟建设工程监理的核心要义，灵活运用各种理论和方法。要培养学生敏锐的洞察力和分析判断能力，能在复杂的工程环境中迅速捕捉关键问题，并提出切实可行的解决方案。学生需具备扎实的实践操作技能，能够熟练运用监理工具和技术，有效地开展监理工作。同时，要注重培养学生的团队协作精神和沟通能力，使他们能与各方紧密配合，共同推进工程建设还要引导学生关注行业发展动态，及时掌握最新的监理理念和技术，不断提升自身专业素养。此外，强调学生的职业道德和责任意识，使其以严谨、认真的态度对待每一项监理任务。通过这些要求的落实，努力培养出适应行业需求的高素质建设工程监理人才。</w:t>
            </w:r>
          </w:p>
        </w:tc>
      </w:tr>
    </w:tbl>
    <w:p w14:paraId="4F15D2D4">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color w:val="auto"/>
          <w:kern w:val="2"/>
          <w:sz w:val="32"/>
          <w:szCs w:val="32"/>
          <w:highlight w:val="none"/>
          <w:lang w:val="en-US" w:eastAsia="zh-CN" w:bidi="ar-SA"/>
        </w:rPr>
      </w:pPr>
      <w:r>
        <w:rPr>
          <w:rFonts w:hint="eastAsia" w:ascii="Times New Roman" w:hAnsi="Times New Roman" w:eastAsia="仿宋_GB2312" w:cs="仿宋"/>
          <w:color w:val="auto"/>
          <w:kern w:val="2"/>
          <w:sz w:val="32"/>
          <w:szCs w:val="32"/>
          <w:highlight w:val="none"/>
          <w:lang w:val="en-US" w:eastAsia="zh-CN" w:bidi="ar-SA"/>
        </w:rPr>
        <w:t>2.专业核心课程</w:t>
      </w:r>
      <w:bookmarkEnd w:id="10"/>
    </w:p>
    <w:p w14:paraId="5BD21579">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Times New Roman" w:hAnsi="Times New Roman" w:eastAsia="仿宋_GB2312" w:cs="仿宋"/>
          <w:color w:val="auto"/>
          <w:spacing w:val="-4"/>
          <w:sz w:val="32"/>
          <w:szCs w:val="32"/>
          <w:highlight w:val="none"/>
          <w:lang w:eastAsia="zh-CN"/>
        </w:rPr>
      </w:pPr>
      <w:r>
        <w:rPr>
          <w:rFonts w:hint="eastAsia" w:ascii="Times New Roman" w:hAnsi="Times New Roman" w:eastAsia="仿宋_GB2312" w:cs="仿宋"/>
          <w:color w:val="auto"/>
          <w:sz w:val="32"/>
          <w:szCs w:val="32"/>
          <w:highlight w:val="none"/>
          <w:lang w:val="en-US" w:eastAsia="zh-CN"/>
        </w:rPr>
        <w:t>专业核心课是面向</w:t>
      </w:r>
      <w:r>
        <w:rPr>
          <w:rFonts w:hint="eastAsia" w:ascii="Times New Roman" w:hAnsi="Times New Roman" w:eastAsia="仿宋_GB2312" w:cs="仿宋"/>
          <w:color w:val="auto"/>
          <w:spacing w:val="-2"/>
          <w:sz w:val="32"/>
          <w:szCs w:val="32"/>
          <w:highlight w:val="none"/>
        </w:rPr>
        <w:t>工程测量</w:t>
      </w:r>
      <w:r>
        <w:rPr>
          <w:rFonts w:hint="eastAsia" w:ascii="Times New Roman" w:hAnsi="Times New Roman" w:eastAsia="仿宋_GB2312" w:cs="仿宋"/>
          <w:color w:val="auto"/>
          <w:spacing w:val="-2"/>
          <w:sz w:val="32"/>
          <w:szCs w:val="32"/>
          <w:highlight w:val="none"/>
          <w:lang w:eastAsia="zh-CN"/>
        </w:rPr>
        <w:t>、</w:t>
      </w:r>
      <w:r>
        <w:rPr>
          <w:rFonts w:hint="eastAsia" w:ascii="Times New Roman" w:hAnsi="Times New Roman" w:eastAsia="仿宋_GB2312" w:cs="仿宋"/>
          <w:color w:val="auto"/>
          <w:spacing w:val="-2"/>
          <w:sz w:val="32"/>
          <w:szCs w:val="32"/>
          <w:highlight w:val="none"/>
        </w:rPr>
        <w:t>材料试验</w:t>
      </w:r>
      <w:r>
        <w:rPr>
          <w:rFonts w:hint="eastAsia" w:ascii="Times New Roman" w:hAnsi="Times New Roman" w:eastAsia="仿宋_GB2312" w:cs="仿宋"/>
          <w:color w:val="auto"/>
          <w:spacing w:val="-2"/>
          <w:sz w:val="32"/>
          <w:szCs w:val="32"/>
          <w:highlight w:val="none"/>
          <w:lang w:eastAsia="zh-CN"/>
        </w:rPr>
        <w:t>、</w:t>
      </w:r>
      <w:r>
        <w:rPr>
          <w:rFonts w:hint="eastAsia" w:ascii="Times New Roman" w:hAnsi="Times New Roman" w:eastAsia="仿宋_GB2312" w:cs="仿宋"/>
          <w:color w:val="auto"/>
          <w:spacing w:val="-2"/>
          <w:sz w:val="32"/>
          <w:szCs w:val="32"/>
          <w:highlight w:val="none"/>
        </w:rPr>
        <w:t>工程质检</w:t>
      </w:r>
      <w:r>
        <w:rPr>
          <w:rFonts w:hint="eastAsia" w:ascii="Times New Roman" w:hAnsi="Times New Roman" w:eastAsia="仿宋_GB2312" w:cs="仿宋"/>
          <w:color w:val="auto"/>
          <w:spacing w:val="-2"/>
          <w:sz w:val="32"/>
          <w:szCs w:val="32"/>
          <w:highlight w:val="none"/>
          <w:lang w:eastAsia="zh-CN"/>
        </w:rPr>
        <w:t>、</w:t>
      </w:r>
      <w:r>
        <w:rPr>
          <w:rFonts w:hint="eastAsia" w:ascii="Times New Roman" w:hAnsi="Times New Roman" w:eastAsia="仿宋_GB2312" w:cs="仿宋"/>
          <w:color w:val="auto"/>
          <w:spacing w:val="-2"/>
          <w:sz w:val="32"/>
          <w:szCs w:val="32"/>
          <w:highlight w:val="none"/>
        </w:rPr>
        <w:t>工程施工</w:t>
      </w:r>
      <w:r>
        <w:rPr>
          <w:rFonts w:hint="eastAsia" w:ascii="Times New Roman" w:hAnsi="Times New Roman" w:eastAsia="仿宋_GB2312" w:cs="仿宋"/>
          <w:color w:val="auto"/>
          <w:spacing w:val="-2"/>
          <w:sz w:val="32"/>
          <w:szCs w:val="32"/>
          <w:highlight w:val="none"/>
          <w:lang w:val="en-US" w:eastAsia="zh-CN"/>
        </w:rPr>
        <w:t>和</w:t>
      </w:r>
      <w:r>
        <w:rPr>
          <w:rFonts w:hint="eastAsia" w:ascii="Times New Roman" w:hAnsi="Times New Roman" w:eastAsia="仿宋_GB2312" w:cs="仿宋"/>
          <w:color w:val="auto"/>
          <w:spacing w:val="-2"/>
          <w:sz w:val="32"/>
          <w:szCs w:val="32"/>
          <w:highlight w:val="none"/>
        </w:rPr>
        <w:t>工程预算</w:t>
      </w:r>
      <w:r>
        <w:rPr>
          <w:rFonts w:hint="eastAsia" w:ascii="Times New Roman" w:hAnsi="Times New Roman" w:eastAsia="仿宋_GB2312" w:cs="仿宋"/>
          <w:color w:val="auto"/>
          <w:sz w:val="32"/>
          <w:szCs w:val="32"/>
          <w:highlight w:val="none"/>
          <w:lang w:val="en-US" w:eastAsia="zh-CN"/>
        </w:rPr>
        <w:t>等岗位（群），结合</w:t>
      </w:r>
      <w:r>
        <w:rPr>
          <w:rFonts w:hint="eastAsia" w:ascii="Times New Roman" w:hAnsi="Times New Roman" w:eastAsia="仿宋_GB2312" w:cs="仿宋"/>
          <w:color w:val="auto"/>
          <w:spacing w:val="-2"/>
          <w:sz w:val="32"/>
          <w:szCs w:val="32"/>
          <w:highlight w:val="none"/>
          <w:lang w:val="en-US" w:eastAsia="zh-CN"/>
        </w:rPr>
        <w:t>施工员</w:t>
      </w:r>
      <w:r>
        <w:rPr>
          <w:rFonts w:hint="eastAsia" w:ascii="Times New Roman" w:hAnsi="Times New Roman" w:eastAsia="仿宋_GB2312" w:cs="仿宋"/>
          <w:color w:val="auto"/>
          <w:spacing w:val="-60"/>
          <w:sz w:val="32"/>
          <w:szCs w:val="32"/>
          <w:highlight w:val="none"/>
        </w:rPr>
        <w:t>、</w:t>
      </w:r>
      <w:r>
        <w:rPr>
          <w:rFonts w:hint="eastAsia" w:ascii="Times New Roman" w:hAnsi="Times New Roman" w:eastAsia="仿宋_GB2312" w:cs="仿宋"/>
          <w:color w:val="auto"/>
          <w:spacing w:val="-2"/>
          <w:sz w:val="32"/>
          <w:szCs w:val="32"/>
          <w:highlight w:val="none"/>
          <w:lang w:val="en-US" w:eastAsia="zh-CN"/>
        </w:rPr>
        <w:t>质量员</w:t>
      </w:r>
      <w:r>
        <w:rPr>
          <w:rFonts w:hint="eastAsia" w:ascii="Times New Roman" w:hAnsi="Times New Roman" w:eastAsia="仿宋_GB2312" w:cs="仿宋"/>
          <w:color w:val="auto"/>
          <w:spacing w:val="-60"/>
          <w:sz w:val="32"/>
          <w:szCs w:val="32"/>
          <w:highlight w:val="none"/>
        </w:rPr>
        <w:t>、</w:t>
      </w:r>
      <w:r>
        <w:rPr>
          <w:rFonts w:hint="eastAsia" w:ascii="Times New Roman" w:hAnsi="Times New Roman" w:eastAsia="仿宋_GB2312" w:cs="仿宋"/>
          <w:color w:val="auto"/>
          <w:spacing w:val="-2"/>
          <w:sz w:val="32"/>
          <w:szCs w:val="32"/>
          <w:highlight w:val="none"/>
          <w:lang w:val="en-US" w:eastAsia="zh-CN"/>
        </w:rPr>
        <w:t>安全员</w:t>
      </w:r>
      <w:r>
        <w:rPr>
          <w:rFonts w:hint="eastAsia" w:ascii="Times New Roman" w:hAnsi="Times New Roman" w:eastAsia="仿宋_GB2312" w:cs="仿宋"/>
          <w:color w:val="auto"/>
          <w:sz w:val="32"/>
          <w:szCs w:val="32"/>
          <w:highlight w:val="none"/>
          <w:lang w:val="en-US" w:eastAsia="zh-CN"/>
        </w:rPr>
        <w:t>的就业岗位，建立</w:t>
      </w:r>
      <w:r>
        <w:rPr>
          <w:rFonts w:hint="eastAsia" w:ascii="Times New Roman" w:hAnsi="Times New Roman" w:eastAsia="仿宋_GB2312" w:cs="仿宋"/>
          <w:color w:val="auto"/>
          <w:spacing w:val="-2"/>
          <w:sz w:val="32"/>
          <w:szCs w:val="32"/>
          <w:highlight w:val="none"/>
        </w:rPr>
        <w:t>道路与桥梁工程技术</w:t>
      </w:r>
      <w:r>
        <w:rPr>
          <w:rFonts w:hint="eastAsia" w:ascii="Times New Roman" w:hAnsi="Times New Roman" w:eastAsia="仿宋_GB2312" w:cs="仿宋"/>
          <w:color w:val="auto"/>
          <w:sz w:val="32"/>
          <w:szCs w:val="32"/>
          <w:highlight w:val="none"/>
          <w:lang w:val="en-US" w:eastAsia="zh-CN"/>
        </w:rPr>
        <w:t>专业核心课程，培养学生</w:t>
      </w:r>
      <w:r>
        <w:rPr>
          <w:rFonts w:hint="eastAsia" w:ascii="Times New Roman" w:hAnsi="Times New Roman" w:eastAsia="仿宋_GB2312" w:cs="仿宋"/>
          <w:color w:val="auto"/>
          <w:sz w:val="32"/>
          <w:szCs w:val="32"/>
          <w:highlight w:val="none"/>
          <w:lang w:val="en-US" w:eastAsia="zh-CN"/>
        </w:rPr>
        <w:t>实际现场技术管理</w:t>
      </w:r>
      <w:r>
        <w:rPr>
          <w:rFonts w:hint="eastAsia" w:ascii="Times New Roman" w:hAnsi="Times New Roman" w:eastAsia="仿宋_GB2312" w:cs="仿宋"/>
          <w:color w:val="auto"/>
          <w:sz w:val="32"/>
          <w:szCs w:val="32"/>
          <w:highlight w:val="none"/>
          <w:lang w:val="en-US" w:eastAsia="zh-CN"/>
        </w:rPr>
        <w:t>等方面的能力。包括公路勘测设计、公路工程施工技术、路基路面工程、桥梁工程、道路桥梁检测技术、隧道工程</w:t>
      </w:r>
      <w:r>
        <w:rPr>
          <w:rFonts w:hint="eastAsia" w:ascii="Times New Roman" w:hAnsi="Times New Roman" w:eastAsia="仿宋_GB2312" w:cs="仿宋"/>
          <w:color w:val="auto"/>
          <w:spacing w:val="-4"/>
          <w:sz w:val="32"/>
          <w:szCs w:val="32"/>
          <w:highlight w:val="none"/>
        </w:rPr>
        <w:t>等课程</w:t>
      </w:r>
      <w:r>
        <w:rPr>
          <w:rFonts w:hint="eastAsia" w:ascii="Times New Roman" w:hAnsi="Times New Roman" w:eastAsia="仿宋_GB2312" w:cs="仿宋"/>
          <w:color w:val="auto"/>
          <w:spacing w:val="-4"/>
          <w:sz w:val="32"/>
          <w:szCs w:val="32"/>
          <w:highlight w:val="none"/>
          <w:lang w:eastAsia="zh-CN"/>
        </w:rPr>
        <w:t>。</w:t>
      </w:r>
    </w:p>
    <w:p w14:paraId="1EA5323A">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center"/>
        <w:textAlignment w:val="auto"/>
        <w:rPr>
          <w:rFonts w:hint="eastAsia" w:ascii="Times New Roman" w:hAnsi="Times New Roman" w:eastAsia="仿宋_GB2312" w:cs="仿宋"/>
          <w:color w:val="auto"/>
          <w:sz w:val="32"/>
          <w:szCs w:val="32"/>
          <w:highlight w:val="none"/>
          <w:lang w:val="en-US" w:eastAsia="zh-CN"/>
        </w:rPr>
      </w:pPr>
      <w:r>
        <w:rPr>
          <w:rFonts w:hint="eastAsia" w:ascii="Times New Roman" w:hAnsi="Times New Roman" w:eastAsia="仿宋_GB2312" w:cs="仿宋"/>
          <w:color w:val="auto"/>
          <w:sz w:val="32"/>
          <w:szCs w:val="32"/>
          <w:highlight w:val="none"/>
          <w:lang w:val="en-US" w:eastAsia="zh-CN"/>
        </w:rPr>
        <w:t>专业核心课程描述表</w:t>
      </w:r>
    </w:p>
    <w:tbl>
      <w:tblPr>
        <w:tblStyle w:val="5"/>
        <w:tblW w:w="105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0"/>
        <w:gridCol w:w="794"/>
        <w:gridCol w:w="1759"/>
        <w:gridCol w:w="3483"/>
        <w:gridCol w:w="3951"/>
      </w:tblGrid>
      <w:tr w14:paraId="030E1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0" w:type="dxa"/>
            <w:noWrap w:val="0"/>
            <w:vAlign w:val="center"/>
          </w:tcPr>
          <w:p w14:paraId="29A4642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序号</w:t>
            </w:r>
          </w:p>
        </w:tc>
        <w:tc>
          <w:tcPr>
            <w:tcW w:w="794" w:type="dxa"/>
            <w:noWrap w:val="0"/>
            <w:vAlign w:val="center"/>
          </w:tcPr>
          <w:p w14:paraId="3A27F03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课程名称</w:t>
            </w:r>
          </w:p>
        </w:tc>
        <w:tc>
          <w:tcPr>
            <w:tcW w:w="1759" w:type="dxa"/>
            <w:noWrap w:val="0"/>
            <w:vAlign w:val="center"/>
          </w:tcPr>
          <w:p w14:paraId="524591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目标</w:t>
            </w:r>
          </w:p>
        </w:tc>
        <w:tc>
          <w:tcPr>
            <w:tcW w:w="3483" w:type="dxa"/>
            <w:noWrap w:val="0"/>
            <w:vAlign w:val="center"/>
          </w:tcPr>
          <w:p w14:paraId="3430CEA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内容</w:t>
            </w:r>
          </w:p>
        </w:tc>
        <w:tc>
          <w:tcPr>
            <w:tcW w:w="3951" w:type="dxa"/>
            <w:noWrap w:val="0"/>
            <w:vAlign w:val="center"/>
          </w:tcPr>
          <w:p w14:paraId="53C9838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教学要求</w:t>
            </w:r>
          </w:p>
        </w:tc>
      </w:tr>
      <w:tr w14:paraId="0F468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0" w:type="dxa"/>
            <w:noWrap w:val="0"/>
            <w:vAlign w:val="center"/>
          </w:tcPr>
          <w:p w14:paraId="0AC076A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1</w:t>
            </w:r>
          </w:p>
        </w:tc>
        <w:tc>
          <w:tcPr>
            <w:tcW w:w="794" w:type="dxa"/>
            <w:noWrap w:val="0"/>
            <w:vAlign w:val="center"/>
          </w:tcPr>
          <w:p w14:paraId="3E81E8C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公路勘测设计</w:t>
            </w:r>
          </w:p>
        </w:tc>
        <w:tc>
          <w:tcPr>
            <w:tcW w:w="1759" w:type="dxa"/>
            <w:noWrap w:val="0"/>
            <w:vAlign w:val="center"/>
          </w:tcPr>
          <w:p w14:paraId="335E025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both"/>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kern w:val="2"/>
                <w:sz w:val="24"/>
                <w:szCs w:val="24"/>
                <w:highlight w:val="none"/>
                <w:lang w:val="en-US" w:eastAsia="zh-CN" w:bidi="ar"/>
              </w:rPr>
              <w:t>掌握公路平、纵横断面设计和计算要素，具备初步的设计能力和勘测能力</w:t>
            </w:r>
          </w:p>
        </w:tc>
        <w:tc>
          <w:tcPr>
            <w:tcW w:w="3483" w:type="dxa"/>
            <w:noWrap w:val="0"/>
            <w:vAlign w:val="center"/>
          </w:tcPr>
          <w:p w14:paraId="3238498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公路路线设计常识的课程导论和公路平面设计、公路纵断面设计、公路横断面设计、公路勘测技术</w:t>
            </w:r>
          </w:p>
        </w:tc>
        <w:tc>
          <w:tcPr>
            <w:tcW w:w="3951" w:type="dxa"/>
            <w:noWrap w:val="0"/>
            <w:vAlign w:val="top"/>
          </w:tcPr>
          <w:p w14:paraId="6556925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采用多媒体教学、案例分析、课堂讨论等多种教学方法，提高教学效果。</w:t>
            </w:r>
            <w:r>
              <w:rPr>
                <w:rFonts w:hint="eastAsia" w:ascii="Times New Roman" w:hAnsi="Times New Roman" w:eastAsia="仿宋" w:cs="仿宋"/>
                <w:color w:val="auto"/>
                <w:kern w:val="2"/>
                <w:sz w:val="24"/>
                <w:szCs w:val="24"/>
                <w:highlight w:val="none"/>
                <w:lang w:val="en-US" w:eastAsia="zh" w:bidi="ar"/>
              </w:rPr>
              <w:t>使学生</w:t>
            </w:r>
            <w:r>
              <w:rPr>
                <w:rFonts w:hint="eastAsia" w:ascii="Times New Roman" w:hAnsi="Times New Roman" w:eastAsia="仿宋" w:cs="仿宋"/>
                <w:color w:val="auto"/>
                <w:kern w:val="2"/>
                <w:sz w:val="24"/>
                <w:szCs w:val="24"/>
                <w:highlight w:val="none"/>
                <w:lang w:val="en-US" w:eastAsia="zh-CN" w:bidi="ar"/>
              </w:rPr>
              <w:t>掌握公路线路选线、定线、勘测技术及设计方法，注重理论与实践相结合。学生需理解公路设计标准与规范，熟悉地形图应用与现场勘测流程，掌握平、纵、横断面设计原理及CAD等设计软件应用。通过案例分析、小组讨论与实地调研，培养解决复杂工程问题的能力，同时强调环保、安全与经济效益的综合考量，为从事公路设计与管理工作奠定坚实基础。</w:t>
            </w:r>
          </w:p>
        </w:tc>
      </w:tr>
      <w:tr w14:paraId="3A4C4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0" w:type="dxa"/>
            <w:noWrap w:val="0"/>
            <w:vAlign w:val="center"/>
          </w:tcPr>
          <w:p w14:paraId="11E491C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2</w:t>
            </w:r>
          </w:p>
        </w:tc>
        <w:tc>
          <w:tcPr>
            <w:tcW w:w="794" w:type="dxa"/>
            <w:noWrap w:val="0"/>
            <w:vAlign w:val="center"/>
          </w:tcPr>
          <w:p w14:paraId="2C76EE9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公路工程施工技术</w:t>
            </w:r>
          </w:p>
        </w:tc>
        <w:tc>
          <w:tcPr>
            <w:tcW w:w="1759" w:type="dxa"/>
            <w:noWrap w:val="0"/>
            <w:vAlign w:val="top"/>
          </w:tcPr>
          <w:p w14:paraId="32BA709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培养学生的创新能力、学习能力、协调能力等关键能力和公路施工技术专业技能，提高学生的综合职业能力，力求适应我国土木工程建设对工程公路专业人才的需求</w:t>
            </w:r>
          </w:p>
        </w:tc>
        <w:tc>
          <w:tcPr>
            <w:tcW w:w="3483" w:type="dxa"/>
            <w:noWrap w:val="0"/>
            <w:vAlign w:val="top"/>
          </w:tcPr>
          <w:p w14:paraId="7B5817C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教学内容主要是路基施工部分和路面施工部分。其中路基施工部分包括：一般路基认识、路基施工准备、路堤填筑、路堑开挖、防护与支护工程施工、路基病害处理。路面施工部分包括：路面认识、路面施工准备、路面垫层施工、路面基层（底基层）施工、沥青类路面面层施工、水泥混凝土路面面层施工、路面病害处理；专业实践教学的主要内容是路面施工质量评估、路基工程质量检验；等各分部分项工程基本的施工工艺和检验。</w:t>
            </w:r>
          </w:p>
        </w:tc>
        <w:tc>
          <w:tcPr>
            <w:tcW w:w="3951" w:type="dxa"/>
            <w:noWrap w:val="0"/>
            <w:vAlign w:val="top"/>
          </w:tcPr>
          <w:p w14:paraId="69EACA6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采用多媒体教学、案例分析、课堂讨论等多种教学方法，提高教学效果。</w:t>
            </w:r>
            <w:r>
              <w:rPr>
                <w:rFonts w:hint="eastAsia" w:ascii="Times New Roman" w:hAnsi="Times New Roman" w:eastAsia="仿宋" w:cs="仿宋"/>
                <w:color w:val="auto"/>
                <w:kern w:val="2"/>
                <w:sz w:val="24"/>
                <w:szCs w:val="24"/>
                <w:highlight w:val="none"/>
                <w:lang w:val="en-US" w:eastAsia="zh" w:bidi="ar"/>
              </w:rPr>
              <w:t>使学生</w:t>
            </w:r>
            <w:r>
              <w:rPr>
                <w:rFonts w:hint="eastAsia" w:ascii="Times New Roman" w:hAnsi="Times New Roman" w:eastAsia="仿宋" w:cs="仿宋"/>
                <w:color w:val="auto"/>
                <w:kern w:val="2"/>
                <w:sz w:val="24"/>
                <w:szCs w:val="24"/>
                <w:highlight w:val="none"/>
                <w:lang w:val="en-US" w:eastAsia="zh-CN" w:bidi="ar"/>
              </w:rPr>
              <w:t>掌握施工流程、技术要点与质量控制，强调理论与实践深度融合。学生需掌握路基、路面、桥梁、隧道等施工关键技术，了解新材料、新工艺的应用，熟悉施工机械操作与维护。通过案例分析、模拟实训与现场实习，培养解决实际施工问题的能力，注重安全管理与环保意识，确保工程质量与效率，为成为合格的公路工程施工技术人员做好准备。</w:t>
            </w:r>
          </w:p>
        </w:tc>
      </w:tr>
      <w:tr w14:paraId="7E770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0" w:type="dxa"/>
            <w:noWrap w:val="0"/>
            <w:vAlign w:val="center"/>
          </w:tcPr>
          <w:p w14:paraId="045E07D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3</w:t>
            </w:r>
          </w:p>
        </w:tc>
        <w:tc>
          <w:tcPr>
            <w:tcW w:w="794" w:type="dxa"/>
            <w:noWrap w:val="0"/>
            <w:vAlign w:val="center"/>
          </w:tcPr>
          <w:p w14:paraId="4961FA3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路基路面工程</w:t>
            </w:r>
          </w:p>
        </w:tc>
        <w:tc>
          <w:tcPr>
            <w:tcW w:w="1759" w:type="dxa"/>
            <w:noWrap w:val="0"/>
            <w:vAlign w:val="top"/>
          </w:tcPr>
          <w:p w14:paraId="215ECD8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使学生掌握路基路面的基本理论，熟悉施工技术与质量控制要求。培养学生分析和解决实际工程问题的能力，为从事道路工程相关工作奠定基础。</w:t>
            </w:r>
          </w:p>
        </w:tc>
        <w:tc>
          <w:tcPr>
            <w:tcW w:w="3483" w:type="dxa"/>
            <w:noWrap w:val="0"/>
            <w:vAlign w:val="top"/>
          </w:tcPr>
          <w:p w14:paraId="7EA460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路基施工准备；一般路基施工；路基排水工程施工；路基防护与加固工程.</w:t>
            </w:r>
          </w:p>
          <w:p w14:paraId="37DC0E5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施工；特殊路基施工等.</w:t>
            </w:r>
          </w:p>
          <w:p w14:paraId="476D3A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路面结构设计与计算；路面工程施工准备；路面基(垫)层施工；沥青混</w:t>
            </w:r>
          </w:p>
          <w:p w14:paraId="65AAEF0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凝土路面施工；水泥混凝土路面施工；路面施工质量检查与评定等.</w:t>
            </w:r>
          </w:p>
        </w:tc>
        <w:tc>
          <w:tcPr>
            <w:tcW w:w="3951" w:type="dxa"/>
            <w:noWrap w:val="0"/>
            <w:vAlign w:val="top"/>
          </w:tcPr>
          <w:p w14:paraId="2DCC68F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采用多媒体教学、案例分析、课堂讨论等多种教学方法，提高教学效果。讲解要清晰、准确，注重理论与实际工程的结合。实验教学应紧密结合理论教学内容，开设与路基路面工程相关的实验项目。如土的物理性质实验、路面材料性能实验、路面平整度检测实验等。</w:t>
            </w:r>
          </w:p>
        </w:tc>
      </w:tr>
      <w:tr w14:paraId="3E189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0" w:type="dxa"/>
            <w:noWrap w:val="0"/>
            <w:vAlign w:val="center"/>
          </w:tcPr>
          <w:p w14:paraId="28ECE85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4</w:t>
            </w:r>
          </w:p>
        </w:tc>
        <w:tc>
          <w:tcPr>
            <w:tcW w:w="794" w:type="dxa"/>
            <w:noWrap w:val="0"/>
            <w:vAlign w:val="center"/>
          </w:tcPr>
          <w:p w14:paraId="6F9F13B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桥梁工程</w:t>
            </w:r>
          </w:p>
        </w:tc>
        <w:tc>
          <w:tcPr>
            <w:tcW w:w="1759" w:type="dxa"/>
            <w:noWrap w:val="0"/>
            <w:vAlign w:val="center"/>
          </w:tcPr>
          <w:p w14:paraId="496848D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了解桥梁工程施工流程，掌握桥梁工程施工技术的方法和要求</w:t>
            </w:r>
          </w:p>
        </w:tc>
        <w:tc>
          <w:tcPr>
            <w:tcW w:w="3483" w:type="dxa"/>
            <w:noWrap w:val="0"/>
            <w:vAlign w:val="top"/>
          </w:tcPr>
          <w:p w14:paraId="3E17A88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刚性扩大基础设计与施工；桩基础设计与施工；沉井施工；墩台施工；附</w:t>
            </w:r>
          </w:p>
          <w:p w14:paraId="3DE8D58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属设施施工等</w:t>
            </w:r>
          </w:p>
          <w:p w14:paraId="55F59D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钢筋混凝土简支板；梁桥的设计与施工；先张法预应力混凝土空心板预制</w:t>
            </w:r>
          </w:p>
          <w:p w14:paraId="4E1022B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施工；后张法预应力混凝土T梁预制施工；拱桥施工；满堂支架现浇施</w:t>
            </w:r>
          </w:p>
          <w:p w14:paraId="67C2A7D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工；悬臂现浇施工等</w:t>
            </w:r>
          </w:p>
        </w:tc>
        <w:tc>
          <w:tcPr>
            <w:tcW w:w="3951" w:type="dxa"/>
            <w:noWrap w:val="0"/>
            <w:vAlign w:val="top"/>
          </w:tcPr>
          <w:p w14:paraId="3043F09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采用多媒体教学、案例分析、课堂讨论等多种教学方法，提高教学效果。</w:t>
            </w:r>
            <w:r>
              <w:rPr>
                <w:rFonts w:hint="eastAsia" w:ascii="Times New Roman" w:hAnsi="Times New Roman" w:eastAsia="仿宋" w:cs="仿宋"/>
                <w:color w:val="auto"/>
                <w:kern w:val="2"/>
                <w:sz w:val="24"/>
                <w:szCs w:val="24"/>
                <w:highlight w:val="none"/>
                <w:lang w:val="en-US" w:eastAsia="zh" w:bidi="ar"/>
              </w:rPr>
              <w:t>使学生</w:t>
            </w:r>
            <w:r>
              <w:rPr>
                <w:rFonts w:hint="eastAsia" w:ascii="Times New Roman" w:hAnsi="Times New Roman" w:eastAsia="仿宋" w:cs="仿宋"/>
                <w:color w:val="auto"/>
                <w:kern w:val="2"/>
                <w:sz w:val="24"/>
                <w:szCs w:val="24"/>
                <w:highlight w:val="none"/>
                <w:lang w:val="en-US" w:eastAsia="zh-CN" w:bidi="ar"/>
              </w:rPr>
              <w:t>掌握桥梁的基本组成、受力特点、构造原理及设计施工方法，熟悉桥梁设计的一般原则和程序，了解大跨径桥梁的施工技术。课程注重理论与实践结合，通过案例分析、实验教学等方式，培养学生的设计、施工能力和创新思维。同时，要求学生掌握相关标准和规范，注重培养学生的专业素养和团队合作精神。</w:t>
            </w:r>
          </w:p>
        </w:tc>
      </w:tr>
      <w:tr w14:paraId="2FEC1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0" w:type="dxa"/>
            <w:vAlign w:val="center"/>
          </w:tcPr>
          <w:p w14:paraId="7157B44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5</w:t>
            </w:r>
          </w:p>
        </w:tc>
        <w:tc>
          <w:tcPr>
            <w:tcW w:w="794" w:type="dxa"/>
            <w:vAlign w:val="center"/>
          </w:tcPr>
          <w:p w14:paraId="667940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道路桥梁检测技术</w:t>
            </w:r>
          </w:p>
        </w:tc>
        <w:tc>
          <w:tcPr>
            <w:tcW w:w="1759" w:type="dxa"/>
            <w:vAlign w:val="center"/>
          </w:tcPr>
          <w:p w14:paraId="19EB62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了解桥梁检测技术施工流程，掌握桥梁检测技术施工技术的方法和要求</w:t>
            </w:r>
          </w:p>
        </w:tc>
        <w:tc>
          <w:tcPr>
            <w:tcW w:w="3483" w:type="dxa"/>
            <w:vAlign w:val="top"/>
          </w:tcPr>
          <w:p w14:paraId="09884C0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地基承载力检测；混凝土钻孔灌注桩的完整性和承载力检测；张拉设备校</w:t>
            </w:r>
          </w:p>
          <w:p w14:paraId="5F6ABB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验；预应力钢筋性能检测；桥梁混凝土与预应力混凝土结构试验检测；桥</w:t>
            </w:r>
          </w:p>
          <w:p w14:paraId="21817BA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梁支座和伸缩装置检测；桥梁荷载试验；隧道材料检测；隧道开挖质量检</w:t>
            </w:r>
          </w:p>
          <w:p w14:paraId="00986A1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测；隧道支护施工质量检测；隧道混凝土衬砌检测等</w:t>
            </w:r>
          </w:p>
        </w:tc>
        <w:tc>
          <w:tcPr>
            <w:tcW w:w="3951" w:type="dxa"/>
            <w:vAlign w:val="top"/>
          </w:tcPr>
          <w:p w14:paraId="17E8FBC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采用多媒体教学、案例分析、课堂讨论等多种教学方法，提高教学效果。使学生掌握道路桥梁检测的基本理论、方法及现代检测技术，熟悉常用检测仪器设备的操作与维护，了解相关标准和规范。通过理论与实践结合的教学模式，培养学生解决实际问题的能力，包括进行常规检测、编制检测报告及数据分析。同时，注重培养学生的团队合作精神、创新能力和职业素养，为从事道路桥梁工程检测工作奠定坚实基础。</w:t>
            </w:r>
          </w:p>
        </w:tc>
      </w:tr>
      <w:tr w14:paraId="07113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0" w:type="dxa"/>
            <w:vAlign w:val="center"/>
          </w:tcPr>
          <w:p w14:paraId="342D017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i w:val="0"/>
                <w:iCs w:val="0"/>
                <w:color w:val="auto"/>
                <w:kern w:val="0"/>
                <w:sz w:val="21"/>
                <w:szCs w:val="21"/>
                <w:highlight w:val="none"/>
                <w:u w:val="none"/>
                <w:lang w:val="en-US" w:eastAsia="zh-CN" w:bidi="ar"/>
              </w:rPr>
              <w:t>6</w:t>
            </w:r>
          </w:p>
        </w:tc>
        <w:tc>
          <w:tcPr>
            <w:tcW w:w="794" w:type="dxa"/>
            <w:vAlign w:val="center"/>
          </w:tcPr>
          <w:p w14:paraId="478DDE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隧道工程</w:t>
            </w:r>
          </w:p>
        </w:tc>
        <w:tc>
          <w:tcPr>
            <w:tcW w:w="1759" w:type="dxa"/>
            <w:vAlign w:val="center"/>
          </w:tcPr>
          <w:p w14:paraId="27B344F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通过学习，使学生能够了解隧道工程施工流程，并掌握隧道施工技术的方法与要求。</w:t>
            </w:r>
          </w:p>
        </w:tc>
        <w:tc>
          <w:tcPr>
            <w:tcW w:w="3483" w:type="dxa"/>
            <w:vAlign w:val="center"/>
          </w:tcPr>
          <w:p w14:paraId="57084CA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隧道的围岩等级划分；隧道构造；隧道新奥法施工；隧道超前预支护与预加固；隧道的监控量测；隧道不良地质和特殊岩土地段施工；隧道盾构法施工等。</w:t>
            </w:r>
          </w:p>
        </w:tc>
        <w:tc>
          <w:tcPr>
            <w:tcW w:w="3951" w:type="dxa"/>
            <w:vAlign w:val="top"/>
          </w:tcPr>
          <w:p w14:paraId="4B3E66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采用多媒体教学、案例分析、课堂讨论等多种教学方法，提高教学效果。</w:t>
            </w:r>
            <w:r>
              <w:rPr>
                <w:rFonts w:hint="eastAsia" w:ascii="Times New Roman" w:hAnsi="Times New Roman" w:eastAsia="仿宋" w:cs="仿宋"/>
                <w:color w:val="auto"/>
                <w:kern w:val="2"/>
                <w:sz w:val="24"/>
                <w:szCs w:val="24"/>
                <w:highlight w:val="none"/>
                <w:lang w:val="en-US" w:eastAsia="zh" w:bidi="ar"/>
              </w:rPr>
              <w:t>使学生</w:t>
            </w:r>
            <w:r>
              <w:rPr>
                <w:rFonts w:hint="eastAsia" w:ascii="Times New Roman" w:hAnsi="Times New Roman" w:eastAsia="仿宋" w:cs="仿宋"/>
                <w:color w:val="auto"/>
                <w:kern w:val="2"/>
                <w:sz w:val="24"/>
                <w:szCs w:val="24"/>
                <w:highlight w:val="none"/>
                <w:lang w:val="en-US" w:eastAsia="zh-CN" w:bidi="ar"/>
              </w:rPr>
              <w:t>掌握隧道工程设计与施工的基本理论、方法及规范，熟悉隧道开挖、支护、衬砌等施工技术，了解隧道防排水、通风照明等配套设施的施工与维护。课程强调理论与实践结合，通过案例分析、实验教学等方式，培养学生解决实际工程问题的能力。同时，注重培养学生的安全意识、团队合作精神和创新能力，为从事隧道工程相关工作奠定坚实基础。</w:t>
            </w:r>
          </w:p>
        </w:tc>
      </w:tr>
      <w:tr w14:paraId="2F8CA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0" w:type="dxa"/>
            <w:shd w:val="clear" w:color="auto" w:fill="auto"/>
            <w:vAlign w:val="center"/>
          </w:tcPr>
          <w:p w14:paraId="648BA4B1">
            <w:pPr>
              <w:keepNext w:val="0"/>
              <w:keepLines w:val="0"/>
              <w:widowControl w:val="0"/>
              <w:suppressLineNumbers w:val="0"/>
              <w:spacing w:before="0" w:beforeAutospacing="0" w:after="0" w:afterAutospacing="0" w:line="300" w:lineRule="auto"/>
              <w:ind w:left="0" w:leftChars="0" w:right="0" w:rightChars="0"/>
              <w:jc w:val="center"/>
              <w:rPr>
                <w:rFonts w:hint="default" w:ascii="Times New Roman" w:hAnsi="Times New Roman" w:eastAsia="仿宋" w:cs="仿宋"/>
                <w:color w:val="auto"/>
                <w:kern w:val="2"/>
                <w:sz w:val="24"/>
                <w:szCs w:val="24"/>
                <w:highlight w:val="none"/>
                <w:vertAlign w:val="baseline"/>
                <w:lang w:val="en-US" w:eastAsia="zh-CN" w:bidi="ar-SA"/>
              </w:rPr>
            </w:pPr>
            <w:bookmarkStart w:id="11" w:name="_Toc90734991"/>
            <w:r>
              <w:rPr>
                <w:rFonts w:hint="eastAsia" w:eastAsia="仿宋" w:cs="仿宋"/>
                <w:color w:val="auto"/>
                <w:kern w:val="2"/>
                <w:sz w:val="24"/>
                <w:szCs w:val="24"/>
                <w:highlight w:val="none"/>
                <w:vertAlign w:val="baseline"/>
                <w:lang w:val="en-US" w:eastAsia="zh-CN" w:bidi="ar-SA"/>
              </w:rPr>
              <w:t>7</w:t>
            </w:r>
          </w:p>
        </w:tc>
        <w:tc>
          <w:tcPr>
            <w:tcW w:w="794" w:type="dxa"/>
            <w:shd w:val="clear" w:color="auto" w:fill="auto"/>
            <w:vAlign w:val="center"/>
          </w:tcPr>
          <w:p w14:paraId="794381C3">
            <w:pPr>
              <w:keepNext w:val="0"/>
              <w:keepLines w:val="0"/>
              <w:widowControl w:val="0"/>
              <w:suppressLineNumbers w:val="0"/>
              <w:spacing w:before="0" w:beforeAutospacing="0" w:after="0" w:afterAutospacing="0" w:line="300" w:lineRule="auto"/>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建筑力学与结构</w:t>
            </w:r>
          </w:p>
        </w:tc>
        <w:tc>
          <w:tcPr>
            <w:tcW w:w="1759" w:type="dxa"/>
            <w:shd w:val="clear" w:color="auto" w:fill="auto"/>
            <w:vAlign w:val="center"/>
          </w:tcPr>
          <w:p w14:paraId="6D43E8DC">
            <w:pPr>
              <w:keepNext w:val="0"/>
              <w:keepLines w:val="0"/>
              <w:widowControl w:val="0"/>
              <w:suppressLineNumbers w:val="0"/>
              <w:spacing w:before="0" w:beforeAutospacing="0" w:after="0" w:afterAutospacing="0" w:line="300" w:lineRule="auto"/>
              <w:ind w:left="0" w:right="0"/>
              <w:jc w:val="both"/>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明确力、平衡、约束、约束反力的概念。深刻理解静力学公理。掌握常见约束的特点及相应约束反力能对单个物体和简单的物体系统进行正确的受力分析并正确绘出受力图。培养学生具有对基本构件进行验算的能力，包括强度、刚度和稳定性的验算。</w:t>
            </w:r>
          </w:p>
          <w:p w14:paraId="00509A3D">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能够判定力学传递途径及危险截面，识别结构中的薄弱环节</w:t>
            </w:r>
          </w:p>
        </w:tc>
        <w:tc>
          <w:tcPr>
            <w:tcW w:w="3483" w:type="dxa"/>
            <w:shd w:val="clear" w:color="auto" w:fill="auto"/>
            <w:vAlign w:val="center"/>
          </w:tcPr>
          <w:p w14:paraId="5373A41E">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物体的受力分析与受力图；力矩与力偶；平面力系向一点的简化；平面力系的平衡方程及其应用；物体系统的平衡问题。建筑结构常用材料的种类和性质，不同材料在结构中的应用及其力学性能；建筑结构及结构构件的构造知识，包括各种结构体系（如框架结构、剪力墙结构、框架-剪力墙结构、筒体结构等）的受力特点和构造要求。一般建筑结构构件（或连接）的设计原理与方法。</w:t>
            </w:r>
          </w:p>
        </w:tc>
        <w:tc>
          <w:tcPr>
            <w:tcW w:w="3951" w:type="dxa"/>
            <w:shd w:val="clear" w:color="auto" w:fill="auto"/>
            <w:vAlign w:val="center"/>
          </w:tcPr>
          <w:p w14:paraId="5739F375">
            <w:pPr>
              <w:keepNext w:val="0"/>
              <w:keepLines w:val="0"/>
              <w:widowControl w:val="0"/>
              <w:suppressLineNumbers w:val="0"/>
              <w:spacing w:before="0" w:beforeAutospacing="0" w:after="0" w:afterAutospacing="0" w:line="300" w:lineRule="auto"/>
              <w:ind w:left="0" w:right="0"/>
              <w:jc w:val="both"/>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了解建筑结构常用材料的种类、性质及其在工程中的应用，如混凝土、钢材、砌体等。掌握结构计算理论：掌握建筑结构的基本计算理论，包括内力分析、应力计算、位移计算等，以及这些理论在结构设计中的应用。了解结构设计方法及建筑结构的设计原则、掌握结构设计的基本步骤和要点。具有对一般结构进行受力分析的能力，能够准确判断结构在各种荷载作用下的受力状态。</w:t>
            </w:r>
          </w:p>
          <w:p w14:paraId="3E210F66">
            <w:pPr>
              <w:keepNext w:val="0"/>
              <w:keepLines w:val="0"/>
              <w:widowControl w:val="0"/>
              <w:suppressLineNumbers w:val="0"/>
              <w:spacing w:before="0" w:beforeAutospacing="0" w:after="0" w:afterAutospacing="0" w:line="300" w:lineRule="auto"/>
              <w:ind w:left="0" w:right="0"/>
              <w:jc w:val="both"/>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掌握结构内力的计算方法，能够绘制结构的内力图，并进行内力分析。</w:t>
            </w:r>
          </w:p>
          <w:p w14:paraId="74294993">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能够运用所学知识进行简单建筑结构的设计，包括结构选型、构件尺寸确定、配筋计算等。</w:t>
            </w:r>
          </w:p>
        </w:tc>
      </w:tr>
      <w:tr w14:paraId="6998C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0" w:type="dxa"/>
            <w:vAlign w:val="center"/>
          </w:tcPr>
          <w:p w14:paraId="0D6814F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default" w:ascii="Times New Roman" w:hAnsi="Times New Roman" w:eastAsia="仿宋" w:cs="仿宋"/>
                <w:i w:val="0"/>
                <w:iCs w:val="0"/>
                <w:color w:val="auto"/>
                <w:kern w:val="0"/>
                <w:sz w:val="21"/>
                <w:szCs w:val="21"/>
                <w:highlight w:val="none"/>
                <w:u w:val="none"/>
                <w:lang w:val="en-US" w:eastAsia="zh-CN" w:bidi="ar"/>
              </w:rPr>
            </w:pPr>
            <w:r>
              <w:rPr>
                <w:rFonts w:hint="eastAsia" w:eastAsia="仿宋" w:cs="仿宋"/>
                <w:i w:val="0"/>
                <w:iCs w:val="0"/>
                <w:color w:val="auto"/>
                <w:kern w:val="0"/>
                <w:sz w:val="21"/>
                <w:szCs w:val="21"/>
                <w:highlight w:val="none"/>
                <w:u w:val="none"/>
                <w:lang w:val="en-US" w:eastAsia="zh-CN" w:bidi="ar"/>
              </w:rPr>
              <w:t>8</w:t>
            </w:r>
          </w:p>
        </w:tc>
        <w:tc>
          <w:tcPr>
            <w:tcW w:w="794" w:type="dxa"/>
            <w:shd w:val="clear" w:color="auto" w:fill="auto"/>
            <w:vAlign w:val="center"/>
          </w:tcPr>
          <w:p w14:paraId="07891BD1">
            <w:pPr>
              <w:keepNext w:val="0"/>
              <w:keepLines w:val="0"/>
              <w:widowControl w:val="0"/>
              <w:suppressLineNumbers w:val="0"/>
              <w:spacing w:before="0" w:beforeAutospacing="0" w:after="0" w:afterAutospacing="0" w:line="300" w:lineRule="auto"/>
              <w:ind w:left="0" w:leftChars="0" w:right="0" w:rightChars="0"/>
              <w:jc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土力学与地基基础</w:t>
            </w:r>
          </w:p>
        </w:tc>
        <w:tc>
          <w:tcPr>
            <w:tcW w:w="1759" w:type="dxa"/>
            <w:shd w:val="clear" w:color="auto" w:fill="auto"/>
            <w:vAlign w:val="center"/>
          </w:tcPr>
          <w:p w14:paraId="7F45F26F">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土力学与地基基础课程旨在通过理论教学、实践训练、问题解决和职业素养培养等多个方面，全面提升学生在地基与基础工程领域的综合素质和能力。</w:t>
            </w:r>
          </w:p>
        </w:tc>
        <w:tc>
          <w:tcPr>
            <w:tcW w:w="3483" w:type="dxa"/>
            <w:shd w:val="clear" w:color="auto" w:fill="auto"/>
            <w:vAlign w:val="center"/>
          </w:tcPr>
          <w:p w14:paraId="428318E0">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本课程教学内容主要包括土的物理性质及工程分类、地基中的应力和变形、土的强度问题、土压力与挡土墙设计、地基勘察、浅基础常规设计、桩基础及地基处理八大方面的内容。</w:t>
            </w:r>
          </w:p>
        </w:tc>
        <w:tc>
          <w:tcPr>
            <w:tcW w:w="3951" w:type="dxa"/>
            <w:shd w:val="clear" w:color="auto" w:fill="auto"/>
            <w:vAlign w:val="center"/>
          </w:tcPr>
          <w:p w14:paraId="131F69E8">
            <w:pPr>
              <w:keepNext w:val="0"/>
              <w:keepLines w:val="0"/>
              <w:widowControl w:val="0"/>
              <w:suppressLineNumbers w:val="0"/>
              <w:spacing w:before="0" w:beforeAutospacing="0" w:after="0" w:afterAutospacing="0" w:line="300" w:lineRule="auto"/>
              <w:ind w:left="0" w:leftChars="0" w:right="0" w:rightChars="0"/>
              <w:jc w:val="both"/>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lang w:val="en-US" w:eastAsia="zh-CN" w:bidi="ar"/>
              </w:rPr>
              <w:t>学生应深入理解土力学与地基基础的基本概念、基本原理和计算方法。这包括土的物理性质、力学性质、渗透性、土中应力、土的压缩性与沉降计算、土的抗剪强度等。掌握地基基础的基本知识，包括地基承载力、地基稳定性分析、基础类型及设计原理等。了解地基处理的各种方法及其适用条件。</w:t>
            </w:r>
          </w:p>
        </w:tc>
      </w:tr>
    </w:tbl>
    <w:p w14:paraId="2427228A">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仿宋"/>
          <w:color w:val="auto"/>
          <w:sz w:val="32"/>
          <w:szCs w:val="32"/>
          <w:highlight w:val="none"/>
          <w:lang w:val="en-US" w:eastAsia="zh-CN"/>
        </w:rPr>
      </w:pPr>
    </w:p>
    <w:p w14:paraId="555810B1">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仿宋"/>
          <w:color w:val="auto"/>
          <w:sz w:val="32"/>
          <w:szCs w:val="32"/>
          <w:highlight w:val="none"/>
          <w:lang w:val="en-US" w:eastAsia="zh-CN"/>
        </w:rPr>
      </w:pPr>
    </w:p>
    <w:p w14:paraId="081FB49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仿宋"/>
          <w:color w:val="auto"/>
          <w:sz w:val="32"/>
          <w:szCs w:val="32"/>
          <w:highlight w:val="none"/>
          <w:lang w:val="en-US" w:eastAsia="zh-CN"/>
        </w:rPr>
      </w:pPr>
    </w:p>
    <w:p w14:paraId="19718B98">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仿宋"/>
          <w:color w:val="auto"/>
          <w:sz w:val="32"/>
          <w:szCs w:val="32"/>
          <w:highlight w:val="none"/>
          <w:lang w:val="en-US" w:eastAsia="zh-CN"/>
        </w:rPr>
      </w:pPr>
    </w:p>
    <w:p w14:paraId="3B07C10B">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仿宋"/>
          <w:color w:val="auto"/>
          <w:sz w:val="32"/>
          <w:szCs w:val="32"/>
          <w:highlight w:val="none"/>
          <w:lang w:val="en-US" w:eastAsia="zh-CN"/>
        </w:rPr>
      </w:pPr>
    </w:p>
    <w:p w14:paraId="0DC7F2EE">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仿宋"/>
          <w:color w:val="auto"/>
          <w:sz w:val="32"/>
          <w:szCs w:val="32"/>
          <w:highlight w:val="none"/>
          <w:lang w:val="en-US" w:eastAsia="zh-CN"/>
        </w:rPr>
      </w:pPr>
      <w:r>
        <w:rPr>
          <w:rFonts w:hint="eastAsia" w:ascii="Times New Roman" w:hAnsi="Times New Roman" w:eastAsia="仿宋_GB2312" w:cs="仿宋"/>
          <w:color w:val="auto"/>
          <w:sz w:val="32"/>
          <w:szCs w:val="32"/>
          <w:highlight w:val="none"/>
          <w:lang w:val="en-US" w:eastAsia="zh-CN"/>
        </w:rPr>
        <w:t>3.主要实践性课程：</w:t>
      </w:r>
      <w:r>
        <w:rPr>
          <w:rFonts w:hint="eastAsia" w:ascii="Times New Roman" w:hAnsi="Times New Roman" w:eastAsia="仿宋_GB2312" w:cs="仿宋"/>
          <w:color w:val="auto"/>
          <w:sz w:val="32"/>
          <w:szCs w:val="32"/>
          <w:highlight w:val="none"/>
          <w:lang w:val="en-US" w:eastAsia="zh"/>
        </w:rPr>
        <w:t>土木实训</w:t>
      </w:r>
      <w:r>
        <w:rPr>
          <w:rFonts w:hint="eastAsia" w:ascii="Times New Roman" w:hAnsi="Times New Roman" w:eastAsia="仿宋_GB2312" w:cs="仿宋"/>
          <w:color w:val="auto"/>
          <w:sz w:val="32"/>
          <w:szCs w:val="32"/>
          <w:highlight w:val="none"/>
          <w:lang w:val="en-US" w:eastAsia="zh-CN"/>
        </w:rPr>
        <w:t>、毕业设计、岗位实习</w:t>
      </w:r>
    </w:p>
    <w:p w14:paraId="3EDACBA2">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3200" w:firstLineChars="1000"/>
        <w:textAlignment w:val="auto"/>
        <w:rPr>
          <w:rFonts w:hint="eastAsia" w:ascii="Times New Roman" w:hAnsi="Times New Roman" w:eastAsia="仿宋" w:cs="仿宋"/>
          <w:color w:val="auto"/>
          <w:sz w:val="32"/>
          <w:szCs w:val="32"/>
          <w:highlight w:val="none"/>
        </w:rPr>
      </w:pPr>
      <w:r>
        <w:rPr>
          <w:rFonts w:hint="eastAsia" w:ascii="Times New Roman" w:hAnsi="Times New Roman" w:eastAsia="仿宋" w:cs="仿宋"/>
          <w:color w:val="auto"/>
          <w:sz w:val="32"/>
          <w:szCs w:val="32"/>
          <w:highlight w:val="none"/>
        </w:rPr>
        <w:t>主要实践课程描述表</w:t>
      </w:r>
    </w:p>
    <w:tbl>
      <w:tblPr>
        <w:tblStyle w:val="5"/>
        <w:tblW w:w="112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5"/>
        <w:gridCol w:w="1317"/>
        <w:gridCol w:w="2756"/>
        <w:gridCol w:w="2918"/>
        <w:gridCol w:w="3498"/>
      </w:tblGrid>
      <w:tr w14:paraId="57B2B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051F622F">
            <w:pPr>
              <w:keepNext w:val="0"/>
              <w:keepLines w:val="0"/>
              <w:widowControl w:val="0"/>
              <w:suppressLineNumbers w:val="0"/>
              <w:spacing w:before="0" w:beforeAutospacing="0" w:after="0" w:afterAutospacing="0" w:line="300" w:lineRule="auto"/>
              <w:ind w:left="0" w:right="0"/>
              <w:jc w:val="center"/>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序号</w:t>
            </w:r>
          </w:p>
        </w:tc>
        <w:tc>
          <w:tcPr>
            <w:tcW w:w="1317" w:type="dxa"/>
            <w:noWrap w:val="0"/>
            <w:vAlign w:val="center"/>
          </w:tcPr>
          <w:p w14:paraId="67A952B5">
            <w:pPr>
              <w:keepNext w:val="0"/>
              <w:keepLines w:val="0"/>
              <w:widowControl w:val="0"/>
              <w:suppressLineNumbers w:val="0"/>
              <w:spacing w:before="0" w:beforeAutospacing="0" w:after="0" w:afterAutospacing="0" w:line="300" w:lineRule="auto"/>
              <w:ind w:left="0" w:right="0"/>
              <w:jc w:val="center"/>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课程名称</w:t>
            </w:r>
          </w:p>
        </w:tc>
        <w:tc>
          <w:tcPr>
            <w:tcW w:w="2756" w:type="dxa"/>
            <w:noWrap w:val="0"/>
            <w:vAlign w:val="center"/>
          </w:tcPr>
          <w:p w14:paraId="1AA39C29">
            <w:pPr>
              <w:keepNext w:val="0"/>
              <w:keepLines w:val="0"/>
              <w:widowControl w:val="0"/>
              <w:suppressLineNumbers w:val="0"/>
              <w:spacing w:before="0" w:beforeAutospacing="0" w:after="0" w:afterAutospacing="0" w:line="300" w:lineRule="auto"/>
              <w:ind w:left="0" w:right="0"/>
              <w:jc w:val="center"/>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课程教学目标</w:t>
            </w:r>
          </w:p>
        </w:tc>
        <w:tc>
          <w:tcPr>
            <w:tcW w:w="2918" w:type="dxa"/>
            <w:noWrap w:val="0"/>
            <w:vAlign w:val="center"/>
          </w:tcPr>
          <w:p w14:paraId="652CA9F6">
            <w:pPr>
              <w:keepNext w:val="0"/>
              <w:keepLines w:val="0"/>
              <w:widowControl w:val="0"/>
              <w:suppressLineNumbers w:val="0"/>
              <w:spacing w:before="0" w:beforeAutospacing="0" w:after="0" w:afterAutospacing="0" w:line="300" w:lineRule="auto"/>
              <w:ind w:left="0" w:right="0"/>
              <w:jc w:val="center"/>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课程教学内容</w:t>
            </w:r>
          </w:p>
        </w:tc>
        <w:tc>
          <w:tcPr>
            <w:tcW w:w="3498" w:type="dxa"/>
            <w:noWrap w:val="0"/>
            <w:vAlign w:val="center"/>
          </w:tcPr>
          <w:p w14:paraId="747AFD52">
            <w:pPr>
              <w:keepNext w:val="0"/>
              <w:keepLines w:val="0"/>
              <w:widowControl w:val="0"/>
              <w:suppressLineNumbers w:val="0"/>
              <w:spacing w:before="0" w:beforeAutospacing="0" w:after="0" w:afterAutospacing="0" w:line="300" w:lineRule="auto"/>
              <w:ind w:left="0" w:right="0"/>
              <w:jc w:val="center"/>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课程教学要求</w:t>
            </w:r>
          </w:p>
        </w:tc>
      </w:tr>
      <w:tr w14:paraId="56DCB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7" w:hRule="atLeast"/>
          <w:jc w:val="center"/>
        </w:trPr>
        <w:tc>
          <w:tcPr>
            <w:tcW w:w="765" w:type="dxa"/>
            <w:noWrap w:val="0"/>
            <w:vAlign w:val="center"/>
          </w:tcPr>
          <w:p w14:paraId="2D4B331A">
            <w:pPr>
              <w:keepNext w:val="0"/>
              <w:keepLines w:val="0"/>
              <w:widowControl w:val="0"/>
              <w:suppressLineNumbers w:val="0"/>
              <w:spacing w:before="0" w:beforeAutospacing="0" w:after="0" w:afterAutospacing="0" w:line="300" w:lineRule="auto"/>
              <w:ind w:left="0" w:right="0"/>
              <w:jc w:val="center"/>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1</w:t>
            </w:r>
          </w:p>
        </w:tc>
        <w:tc>
          <w:tcPr>
            <w:tcW w:w="1317" w:type="dxa"/>
            <w:noWrap w:val="0"/>
            <w:vAlign w:val="center"/>
          </w:tcPr>
          <w:p w14:paraId="488596D8">
            <w:pPr>
              <w:keepNext w:val="0"/>
              <w:keepLines w:val="0"/>
              <w:widowControl w:val="0"/>
              <w:suppressLineNumbers w:val="0"/>
              <w:spacing w:before="0" w:beforeAutospacing="0" w:after="0" w:afterAutospacing="0" w:line="300" w:lineRule="auto"/>
              <w:ind w:left="0" w:right="0"/>
              <w:jc w:val="center"/>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土木实训</w:t>
            </w:r>
          </w:p>
        </w:tc>
        <w:tc>
          <w:tcPr>
            <w:tcW w:w="2756" w:type="dxa"/>
            <w:noWrap w:val="0"/>
            <w:vAlign w:val="center"/>
          </w:tcPr>
          <w:p w14:paraId="78C3342A">
            <w:pPr>
              <w:keepNext w:val="0"/>
              <w:keepLines w:val="0"/>
              <w:widowControl w:val="0"/>
              <w:suppressLineNumbers w:val="0"/>
              <w:spacing w:before="0" w:beforeAutospacing="0" w:after="0" w:afterAutospacing="0" w:line="300" w:lineRule="auto"/>
              <w:ind w:left="0" w:right="0"/>
              <w:jc w:val="left"/>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通过实践操作，使学生掌握土木工程领域的基本技能与理论知识应用，强化学生解决土木工程实际问题的能力，培养其团队协作精神、创新思维能力和职业素养，为未来从事土木工程相关工作奠定坚实基础。</w:t>
            </w:r>
          </w:p>
        </w:tc>
        <w:tc>
          <w:tcPr>
            <w:tcW w:w="2918" w:type="dxa"/>
            <w:noWrap w:val="0"/>
            <w:vAlign w:val="center"/>
          </w:tcPr>
          <w:p w14:paraId="3F493D43">
            <w:pPr>
              <w:keepNext w:val="0"/>
              <w:keepLines w:val="0"/>
              <w:widowControl w:val="0"/>
              <w:suppressLineNumbers w:val="0"/>
              <w:spacing w:before="0" w:beforeAutospacing="0" w:after="0" w:afterAutospacing="0" w:line="300" w:lineRule="auto"/>
              <w:ind w:left="0" w:right="0"/>
              <w:jc w:val="left"/>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水泥强度、凝结时间、安定性、细度测定；混凝土和易性、强度、凝结时间、含气量、抗渗性检测；钢筋拉伸性能、冷弯性能检测</w:t>
            </w:r>
            <w:r>
              <w:rPr>
                <w:rFonts w:hint="eastAsia" w:ascii="Times New Roman" w:hAnsi="Times New Roman" w:eastAsia="仿宋" w:cs="仿宋"/>
                <w:color w:val="auto"/>
                <w:kern w:val="2"/>
                <w:sz w:val="24"/>
                <w:szCs w:val="24"/>
                <w:highlight w:val="none"/>
                <w:lang w:val="en-US" w:eastAsia="zh" w:bidi="ar"/>
              </w:rPr>
              <w:t>、沥青混合料性能试验、道路施工放样和测量仪器使用、道路桥梁工程现场检测</w:t>
            </w:r>
            <w:r>
              <w:rPr>
                <w:rFonts w:hint="eastAsia" w:ascii="Times New Roman" w:hAnsi="Times New Roman" w:eastAsia="仿宋" w:cs="仿宋"/>
                <w:color w:val="auto"/>
                <w:kern w:val="2"/>
                <w:sz w:val="24"/>
                <w:szCs w:val="24"/>
                <w:highlight w:val="none"/>
                <w:lang w:val="en-US" w:eastAsia="zh-CN" w:bidi="ar"/>
              </w:rPr>
              <w:t>。</w:t>
            </w:r>
          </w:p>
        </w:tc>
        <w:tc>
          <w:tcPr>
            <w:tcW w:w="3498" w:type="dxa"/>
            <w:noWrap w:val="0"/>
            <w:vAlign w:val="center"/>
          </w:tcPr>
          <w:p w14:paraId="6FD68A78">
            <w:pPr>
              <w:keepNext w:val="0"/>
              <w:keepLines w:val="0"/>
              <w:widowControl w:val="0"/>
              <w:suppressLineNumbers w:val="0"/>
              <w:spacing w:before="0" w:beforeAutospacing="0" w:after="0" w:afterAutospacing="0" w:line="300" w:lineRule="auto"/>
              <w:ind w:left="0" w:right="0"/>
              <w:jc w:val="left"/>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学生需积极参与各项实训活动，掌握并熟练运用土木工程相关仪器设备，准确记录实验数据，分析实验结果；能够独立或团队合作完成实训项目，撰写实训报告，展现良好的实验设计、数据处理和问题解决能力；同时，注重安全规范操作，培养良好的职业素养和工程伦理观念。</w:t>
            </w:r>
          </w:p>
        </w:tc>
      </w:tr>
      <w:tr w14:paraId="43EC3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4" w:hRule="atLeast"/>
          <w:jc w:val="center"/>
        </w:trPr>
        <w:tc>
          <w:tcPr>
            <w:tcW w:w="765" w:type="dxa"/>
            <w:noWrap w:val="0"/>
            <w:vAlign w:val="center"/>
          </w:tcPr>
          <w:p w14:paraId="35AE4A3A">
            <w:pPr>
              <w:keepNext w:val="0"/>
              <w:keepLines w:val="0"/>
              <w:widowControl w:val="0"/>
              <w:suppressLineNumbers w:val="0"/>
              <w:spacing w:before="0" w:beforeAutospacing="0" w:after="0" w:afterAutospacing="0" w:line="300" w:lineRule="auto"/>
              <w:ind w:left="0" w:right="0"/>
              <w:jc w:val="center"/>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2</w:t>
            </w:r>
          </w:p>
        </w:tc>
        <w:tc>
          <w:tcPr>
            <w:tcW w:w="1317" w:type="dxa"/>
            <w:noWrap w:val="0"/>
            <w:vAlign w:val="center"/>
          </w:tcPr>
          <w:p w14:paraId="4AD1D87D">
            <w:pPr>
              <w:keepNext w:val="0"/>
              <w:keepLines w:val="0"/>
              <w:widowControl w:val="0"/>
              <w:suppressLineNumbers w:val="0"/>
              <w:spacing w:before="0" w:beforeAutospacing="0" w:after="0" w:afterAutospacing="0" w:line="300" w:lineRule="auto"/>
              <w:ind w:left="0" w:right="0"/>
              <w:jc w:val="center"/>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毕业设计</w:t>
            </w:r>
          </w:p>
        </w:tc>
        <w:tc>
          <w:tcPr>
            <w:tcW w:w="2756" w:type="dxa"/>
            <w:noWrap w:val="0"/>
            <w:vAlign w:val="center"/>
          </w:tcPr>
          <w:p w14:paraId="0884B8DC">
            <w:pPr>
              <w:keepNext w:val="0"/>
              <w:keepLines w:val="0"/>
              <w:widowControl w:val="0"/>
              <w:suppressLineNumbers w:val="0"/>
              <w:spacing w:before="0" w:beforeAutospacing="0" w:after="0" w:afterAutospacing="0" w:line="300" w:lineRule="auto"/>
              <w:ind w:left="0" w:right="0"/>
              <w:jc w:val="left"/>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培养学生的开发和设计能力，提高综合应用所学知识和技能去分析、解决实际问题，检验学生的学习效果。</w:t>
            </w:r>
          </w:p>
        </w:tc>
        <w:tc>
          <w:tcPr>
            <w:tcW w:w="2918" w:type="dxa"/>
            <w:noWrap w:val="0"/>
            <w:vAlign w:val="center"/>
          </w:tcPr>
          <w:p w14:paraId="2024CB37">
            <w:pPr>
              <w:keepNext w:val="0"/>
              <w:keepLines w:val="0"/>
              <w:widowControl w:val="0"/>
              <w:suppressLineNumbers w:val="0"/>
              <w:spacing w:before="0" w:beforeAutospacing="0" w:after="0" w:afterAutospacing="0" w:line="300" w:lineRule="auto"/>
              <w:ind w:left="0" w:right="0"/>
              <w:jc w:val="left"/>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论文必须以所在实习企业</w:t>
            </w:r>
            <w:r>
              <w:rPr>
                <w:rFonts w:hint="eastAsia" w:ascii="Times New Roman" w:hAnsi="Times New Roman" w:eastAsia="仿宋" w:cs="仿宋"/>
                <w:color w:val="auto"/>
                <w:kern w:val="2"/>
                <w:sz w:val="24"/>
                <w:szCs w:val="24"/>
                <w:highlight w:val="none"/>
                <w:lang w:val="en-US" w:eastAsia="zh" w:bidi="ar"/>
              </w:rPr>
              <w:t>项目</w:t>
            </w:r>
            <w:r>
              <w:rPr>
                <w:rFonts w:hint="eastAsia" w:ascii="Times New Roman" w:hAnsi="Times New Roman" w:eastAsia="仿宋" w:cs="仿宋"/>
                <w:color w:val="auto"/>
                <w:kern w:val="2"/>
                <w:sz w:val="24"/>
                <w:szCs w:val="24"/>
                <w:highlight w:val="none"/>
                <w:lang w:val="en-US" w:eastAsia="zh-CN" w:bidi="ar"/>
              </w:rPr>
              <w:t>为研究对象，通过实地调查、收集资料，参照其他</w:t>
            </w:r>
            <w:r>
              <w:rPr>
                <w:rFonts w:hint="eastAsia" w:ascii="Times New Roman" w:hAnsi="Times New Roman" w:eastAsia="仿宋" w:cs="仿宋"/>
                <w:color w:val="auto"/>
                <w:kern w:val="2"/>
                <w:sz w:val="24"/>
                <w:szCs w:val="24"/>
                <w:highlight w:val="none"/>
                <w:lang w:val="en-US" w:eastAsia="zh" w:bidi="ar"/>
              </w:rPr>
              <w:t>项目</w:t>
            </w:r>
            <w:r>
              <w:rPr>
                <w:rFonts w:hint="eastAsia" w:ascii="Times New Roman" w:hAnsi="Times New Roman" w:eastAsia="仿宋" w:cs="仿宋"/>
                <w:color w:val="auto"/>
                <w:kern w:val="2"/>
                <w:sz w:val="24"/>
                <w:szCs w:val="24"/>
                <w:highlight w:val="none"/>
                <w:lang w:val="en-US" w:eastAsia="zh-CN" w:bidi="ar"/>
              </w:rPr>
              <w:t>状况或其他案例进行分析研究。</w:t>
            </w:r>
          </w:p>
        </w:tc>
        <w:tc>
          <w:tcPr>
            <w:tcW w:w="3498" w:type="dxa"/>
            <w:noWrap w:val="0"/>
            <w:vAlign w:val="center"/>
          </w:tcPr>
          <w:p w14:paraId="11EE66C9">
            <w:pPr>
              <w:keepNext w:val="0"/>
              <w:keepLines w:val="0"/>
              <w:widowControl w:val="0"/>
              <w:suppressLineNumbers w:val="0"/>
              <w:spacing w:before="0" w:beforeAutospacing="0" w:after="0" w:afterAutospacing="0" w:line="300" w:lineRule="auto"/>
              <w:ind w:left="0" w:right="0"/>
              <w:jc w:val="left"/>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要求学生在导师指导下，综合运用所学专业知识与技能，完成具有创新性和实用性的设计项目或研究课题。通过毕业设计，培养学生独立分析问题、解决问题的能力，提升研究能力、创新能力及团队协作精神，为职业生涯奠定坚实基础。</w:t>
            </w:r>
          </w:p>
        </w:tc>
      </w:tr>
      <w:tr w14:paraId="2C303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3166CFDE">
            <w:pPr>
              <w:keepNext w:val="0"/>
              <w:keepLines w:val="0"/>
              <w:widowControl w:val="0"/>
              <w:suppressLineNumbers w:val="0"/>
              <w:spacing w:before="0" w:beforeAutospacing="0" w:after="0" w:afterAutospacing="0" w:line="300" w:lineRule="auto"/>
              <w:ind w:left="0" w:right="0"/>
              <w:jc w:val="center"/>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3</w:t>
            </w:r>
          </w:p>
        </w:tc>
        <w:tc>
          <w:tcPr>
            <w:tcW w:w="1317" w:type="dxa"/>
            <w:noWrap w:val="0"/>
            <w:vAlign w:val="center"/>
          </w:tcPr>
          <w:p w14:paraId="6AC4C7AF">
            <w:pPr>
              <w:keepNext w:val="0"/>
              <w:keepLines w:val="0"/>
              <w:widowControl w:val="0"/>
              <w:suppressLineNumbers w:val="0"/>
              <w:spacing w:before="0" w:beforeAutospacing="0" w:after="0" w:afterAutospacing="0" w:line="300" w:lineRule="auto"/>
              <w:ind w:left="0" w:right="0"/>
              <w:jc w:val="center"/>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岗位实习</w:t>
            </w:r>
          </w:p>
        </w:tc>
        <w:tc>
          <w:tcPr>
            <w:tcW w:w="2756" w:type="dxa"/>
            <w:noWrap w:val="0"/>
            <w:vAlign w:val="center"/>
          </w:tcPr>
          <w:p w14:paraId="546230A7">
            <w:pPr>
              <w:keepNext w:val="0"/>
              <w:keepLines w:val="0"/>
              <w:widowControl w:val="0"/>
              <w:suppressLineNumbers w:val="0"/>
              <w:spacing w:before="0" w:beforeAutospacing="0" w:after="0" w:afterAutospacing="0" w:line="300" w:lineRule="auto"/>
              <w:ind w:left="0" w:right="0"/>
              <w:jc w:val="left"/>
              <w:rPr>
                <w:rFonts w:hint="eastAsia" w:ascii="Times New Roman" w:hAnsi="Times New Roman" w:eastAsia="仿宋" w:cs="仿宋"/>
                <w:color w:val="auto"/>
                <w:kern w:val="2"/>
                <w:sz w:val="24"/>
                <w:szCs w:val="24"/>
                <w:highlight w:val="none"/>
                <w:lang w:val="en-US" w:eastAsia="zh" w:bidi="ar"/>
              </w:rPr>
            </w:pPr>
            <w:r>
              <w:rPr>
                <w:rFonts w:hint="eastAsia" w:ascii="Times New Roman" w:hAnsi="Times New Roman" w:eastAsia="仿宋" w:cs="仿宋"/>
                <w:color w:val="auto"/>
                <w:kern w:val="2"/>
                <w:sz w:val="24"/>
                <w:szCs w:val="24"/>
                <w:highlight w:val="none"/>
                <w:lang w:val="en-US" w:eastAsia="zh-CN" w:bidi="ar"/>
              </w:rPr>
              <w:t>能够运用所学专业知识和技能，具备</w:t>
            </w:r>
            <w:r>
              <w:rPr>
                <w:rFonts w:hint="eastAsia" w:ascii="Times New Roman" w:hAnsi="Times New Roman" w:eastAsia="仿宋" w:cs="仿宋"/>
                <w:color w:val="auto"/>
                <w:kern w:val="2"/>
                <w:sz w:val="24"/>
                <w:szCs w:val="24"/>
                <w:highlight w:val="none"/>
                <w:lang w:val="en-US" w:eastAsia="zh" w:bidi="ar"/>
              </w:rPr>
              <w:t>道路桥梁专业方面的施工的</w:t>
            </w:r>
            <w:r>
              <w:rPr>
                <w:rFonts w:hint="eastAsia" w:ascii="Times New Roman" w:hAnsi="Times New Roman" w:eastAsia="仿宋" w:cs="仿宋"/>
                <w:color w:val="auto"/>
                <w:kern w:val="2"/>
                <w:sz w:val="24"/>
                <w:szCs w:val="24"/>
                <w:highlight w:val="none"/>
                <w:lang w:val="en-US" w:eastAsia="zh-CN" w:bidi="ar"/>
              </w:rPr>
              <w:t>能力</w:t>
            </w:r>
            <w:r>
              <w:rPr>
                <w:rFonts w:hint="eastAsia" w:ascii="Times New Roman" w:hAnsi="Times New Roman" w:eastAsia="仿宋" w:cs="仿宋"/>
                <w:color w:val="auto"/>
                <w:kern w:val="2"/>
                <w:sz w:val="24"/>
                <w:szCs w:val="24"/>
                <w:highlight w:val="none"/>
                <w:lang w:val="en-US" w:eastAsia="zh" w:bidi="ar"/>
              </w:rPr>
              <w:t>。</w:t>
            </w:r>
          </w:p>
        </w:tc>
        <w:tc>
          <w:tcPr>
            <w:tcW w:w="2918" w:type="dxa"/>
            <w:noWrap w:val="0"/>
            <w:vAlign w:val="center"/>
          </w:tcPr>
          <w:p w14:paraId="19E4A867">
            <w:pPr>
              <w:keepNext w:val="0"/>
              <w:keepLines w:val="0"/>
              <w:widowControl w:val="0"/>
              <w:suppressLineNumbers w:val="0"/>
              <w:spacing w:before="0" w:beforeAutospacing="0" w:after="0" w:afterAutospacing="0" w:line="300" w:lineRule="auto"/>
              <w:ind w:left="0" w:right="0"/>
              <w:jc w:val="left"/>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施工员岗位实习</w:t>
            </w:r>
            <w:r>
              <w:rPr>
                <w:rFonts w:hint="eastAsia" w:ascii="Times New Roman" w:hAnsi="Times New Roman" w:eastAsia="仿宋" w:cs="仿宋"/>
                <w:color w:val="auto"/>
                <w:kern w:val="2"/>
                <w:sz w:val="24"/>
                <w:szCs w:val="24"/>
                <w:highlight w:val="none"/>
                <w:lang w:val="en-US" w:eastAsia="zh" w:bidi="ar"/>
              </w:rPr>
              <w:t>、</w:t>
            </w:r>
            <w:r>
              <w:rPr>
                <w:rFonts w:hint="eastAsia" w:ascii="Times New Roman" w:hAnsi="Times New Roman" w:eastAsia="仿宋" w:cs="仿宋"/>
                <w:color w:val="auto"/>
                <w:kern w:val="2"/>
                <w:sz w:val="24"/>
                <w:szCs w:val="24"/>
                <w:highlight w:val="none"/>
                <w:lang w:val="en-US" w:eastAsia="zh-CN" w:bidi="ar"/>
              </w:rPr>
              <w:t>质量员岗位实习</w:t>
            </w:r>
            <w:r>
              <w:rPr>
                <w:rFonts w:hint="eastAsia" w:ascii="Times New Roman" w:hAnsi="Times New Roman" w:eastAsia="仿宋" w:cs="仿宋"/>
                <w:color w:val="auto"/>
                <w:kern w:val="2"/>
                <w:sz w:val="24"/>
                <w:szCs w:val="24"/>
                <w:highlight w:val="none"/>
                <w:lang w:val="en-US" w:eastAsia="zh" w:bidi="ar"/>
              </w:rPr>
              <w:t>、</w:t>
            </w:r>
            <w:r>
              <w:rPr>
                <w:rFonts w:hint="eastAsia" w:ascii="Times New Roman" w:hAnsi="Times New Roman" w:eastAsia="仿宋" w:cs="仿宋"/>
                <w:color w:val="auto"/>
                <w:kern w:val="2"/>
                <w:sz w:val="24"/>
                <w:szCs w:val="24"/>
                <w:highlight w:val="none"/>
                <w:lang w:val="en-US" w:eastAsia="zh-CN" w:bidi="ar"/>
              </w:rPr>
              <w:t>安全员岗位实习。</w:t>
            </w:r>
          </w:p>
        </w:tc>
        <w:tc>
          <w:tcPr>
            <w:tcW w:w="3498" w:type="dxa"/>
            <w:noWrap w:val="0"/>
            <w:vAlign w:val="center"/>
          </w:tcPr>
          <w:p w14:paraId="1BB7AE72">
            <w:pPr>
              <w:keepNext w:val="0"/>
              <w:keepLines w:val="0"/>
              <w:widowControl w:val="0"/>
              <w:suppressLineNumbers w:val="0"/>
              <w:spacing w:before="0" w:beforeAutospacing="0" w:after="0" w:afterAutospacing="0" w:line="300" w:lineRule="auto"/>
              <w:ind w:left="0" w:right="0"/>
              <w:jc w:val="left"/>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安排学生到相关企事业单位进行岗位实习，亲身体验</w:t>
            </w:r>
            <w:r>
              <w:rPr>
                <w:rFonts w:hint="eastAsia" w:ascii="Times New Roman" w:hAnsi="Times New Roman" w:eastAsia="仿宋" w:cs="仿宋"/>
                <w:color w:val="auto"/>
                <w:kern w:val="2"/>
                <w:sz w:val="24"/>
                <w:szCs w:val="24"/>
                <w:highlight w:val="none"/>
                <w:lang w:val="en-US" w:eastAsia="zh" w:bidi="ar"/>
              </w:rPr>
              <w:t>道路桥梁专业</w:t>
            </w:r>
            <w:r>
              <w:rPr>
                <w:rFonts w:hint="eastAsia" w:ascii="Times New Roman" w:hAnsi="Times New Roman" w:eastAsia="仿宋" w:cs="仿宋"/>
                <w:color w:val="auto"/>
                <w:kern w:val="2"/>
                <w:sz w:val="24"/>
                <w:szCs w:val="24"/>
                <w:highlight w:val="none"/>
                <w:lang w:val="en-US" w:eastAsia="zh-CN" w:bidi="ar"/>
              </w:rPr>
              <w:t>的工作环境，了解行业规范与工作流程。通过实习，学生能够将所学理论知识与实际工作相结合，增强职业素养与就业竞争力，为毕业后顺利进入职场做好准备。</w:t>
            </w:r>
          </w:p>
        </w:tc>
      </w:tr>
    </w:tbl>
    <w:p w14:paraId="3C70E1AD">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lang w:val="en-US" w:eastAsia="zh-CN"/>
        </w:rPr>
        <w:t>4.</w:t>
      </w:r>
      <w:r>
        <w:rPr>
          <w:rFonts w:hint="eastAsia" w:ascii="Times New Roman" w:hAnsi="Times New Roman" w:eastAsia="仿宋_GB2312" w:cs="仿宋"/>
          <w:color w:val="auto"/>
          <w:sz w:val="32"/>
          <w:szCs w:val="32"/>
          <w:highlight w:val="none"/>
        </w:rPr>
        <w:t>专业</w:t>
      </w:r>
      <w:r>
        <w:rPr>
          <w:rFonts w:hint="eastAsia" w:ascii="Times New Roman" w:hAnsi="Times New Roman" w:eastAsia="仿宋_GB2312" w:cs="仿宋"/>
          <w:color w:val="auto"/>
          <w:sz w:val="32"/>
          <w:szCs w:val="32"/>
          <w:highlight w:val="none"/>
          <w:lang w:eastAsia="zh-CN"/>
        </w:rPr>
        <w:t>拓展</w:t>
      </w:r>
      <w:r>
        <w:rPr>
          <w:rFonts w:hint="eastAsia" w:ascii="Times New Roman" w:hAnsi="Times New Roman" w:eastAsia="仿宋_GB2312" w:cs="仿宋"/>
          <w:color w:val="auto"/>
          <w:sz w:val="32"/>
          <w:szCs w:val="32"/>
          <w:highlight w:val="none"/>
        </w:rPr>
        <w:t>课程：</w:t>
      </w:r>
      <w:bookmarkEnd w:id="11"/>
    </w:p>
    <w:p w14:paraId="5FBC92A5">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仿宋"/>
          <w:color w:val="auto"/>
          <w:sz w:val="32"/>
          <w:szCs w:val="32"/>
          <w:highlight w:val="none"/>
          <w:lang w:val="en-US" w:eastAsia="zh-CN"/>
        </w:rPr>
      </w:pPr>
      <w:r>
        <w:rPr>
          <w:rFonts w:hint="eastAsia" w:ascii="Times New Roman" w:hAnsi="Times New Roman" w:eastAsia="仿宋_GB2312" w:cs="仿宋"/>
          <w:color w:val="auto"/>
          <w:sz w:val="32"/>
          <w:szCs w:val="32"/>
          <w:highlight w:val="none"/>
          <w:lang w:val="en-US" w:eastAsia="zh-CN"/>
        </w:rPr>
        <w:t>专业拓展课程是按照岗位迁移，根据道桥行业发展的趋势，依据企业用人需求调研，企业对复合型人才素养、交通行业多元认知、建筑文化传承与创新、美学与工程融合等方面日益增加的需求，建立了道路与桥梁工程技术专业拓展课，并将辅修方向课程纳入其中。由交通运输概论、建筑遗产保护概论、建筑艺术与赏析、中外建筑史等课程构成专业拓展课。</w:t>
      </w:r>
    </w:p>
    <w:p w14:paraId="12D6D667">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3200" w:firstLineChars="1000"/>
        <w:jc w:val="both"/>
        <w:textAlignment w:val="auto"/>
        <w:rPr>
          <w:rFonts w:hint="eastAsia" w:ascii="Times New Roman" w:hAnsi="Times New Roman" w:eastAsia="仿宋" w:cs="仿宋"/>
          <w:color w:val="auto"/>
          <w:sz w:val="32"/>
          <w:szCs w:val="32"/>
          <w:highlight w:val="none"/>
          <w:lang w:val="en-US" w:eastAsia="zh-CN"/>
        </w:rPr>
      </w:pPr>
      <w:r>
        <w:rPr>
          <w:rFonts w:hint="eastAsia" w:ascii="Times New Roman" w:hAnsi="Times New Roman" w:eastAsia="仿宋" w:cs="仿宋"/>
          <w:color w:val="auto"/>
          <w:sz w:val="32"/>
          <w:szCs w:val="32"/>
          <w:highlight w:val="none"/>
          <w:lang w:val="en-US" w:eastAsia="zh-CN"/>
        </w:rPr>
        <w:t>专业拓展课程描述表</w:t>
      </w:r>
    </w:p>
    <w:tbl>
      <w:tblPr>
        <w:tblStyle w:val="5"/>
        <w:tblW w:w="104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1185"/>
        <w:gridCol w:w="2868"/>
        <w:gridCol w:w="2610"/>
        <w:gridCol w:w="3097"/>
      </w:tblGrid>
      <w:tr w14:paraId="60E84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noWrap w:val="0"/>
            <w:vAlign w:val="center"/>
          </w:tcPr>
          <w:p w14:paraId="17A9DA1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序号</w:t>
            </w:r>
          </w:p>
        </w:tc>
        <w:tc>
          <w:tcPr>
            <w:tcW w:w="1185" w:type="dxa"/>
            <w:noWrap w:val="0"/>
            <w:vAlign w:val="center"/>
          </w:tcPr>
          <w:p w14:paraId="33E611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课程名称</w:t>
            </w:r>
          </w:p>
        </w:tc>
        <w:tc>
          <w:tcPr>
            <w:tcW w:w="2868" w:type="dxa"/>
            <w:noWrap w:val="0"/>
            <w:vAlign w:val="center"/>
          </w:tcPr>
          <w:p w14:paraId="6916A5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目标</w:t>
            </w:r>
          </w:p>
        </w:tc>
        <w:tc>
          <w:tcPr>
            <w:tcW w:w="2610" w:type="dxa"/>
            <w:noWrap w:val="0"/>
            <w:vAlign w:val="center"/>
          </w:tcPr>
          <w:p w14:paraId="7B40C1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内容</w:t>
            </w:r>
          </w:p>
        </w:tc>
        <w:tc>
          <w:tcPr>
            <w:tcW w:w="3097" w:type="dxa"/>
            <w:noWrap w:val="0"/>
            <w:vAlign w:val="center"/>
          </w:tcPr>
          <w:p w14:paraId="3308D35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教学要求</w:t>
            </w:r>
          </w:p>
        </w:tc>
      </w:tr>
      <w:tr w14:paraId="3C042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noWrap w:val="0"/>
            <w:vAlign w:val="center"/>
          </w:tcPr>
          <w:p w14:paraId="6DC9D577">
            <w:pPr>
              <w:keepNext w:val="0"/>
              <w:keepLines w:val="0"/>
              <w:widowControl w:val="0"/>
              <w:suppressLineNumbers w:val="0"/>
              <w:spacing w:before="0" w:beforeAutospacing="0" w:after="0" w:afterAutospacing="0" w:line="300" w:lineRule="auto"/>
              <w:ind w:left="0" w:right="0"/>
              <w:jc w:val="center"/>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1</w:t>
            </w:r>
          </w:p>
        </w:tc>
        <w:tc>
          <w:tcPr>
            <w:tcW w:w="1185" w:type="dxa"/>
            <w:noWrap w:val="0"/>
            <w:vAlign w:val="center"/>
          </w:tcPr>
          <w:p w14:paraId="0F4F76AE">
            <w:pPr>
              <w:keepNext w:val="0"/>
              <w:keepLines w:val="0"/>
              <w:widowControl w:val="0"/>
              <w:suppressLineNumbers w:val="0"/>
              <w:spacing w:before="0" w:beforeAutospacing="0" w:after="0" w:afterAutospacing="0" w:line="300" w:lineRule="auto"/>
              <w:ind w:left="0" w:right="0"/>
              <w:jc w:val="center"/>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交通运输概论</w:t>
            </w:r>
          </w:p>
        </w:tc>
        <w:tc>
          <w:tcPr>
            <w:tcW w:w="2868" w:type="dxa"/>
            <w:noWrap w:val="0"/>
            <w:vAlign w:val="center"/>
          </w:tcPr>
          <w:p w14:paraId="4DC95D38">
            <w:pPr>
              <w:keepNext w:val="0"/>
              <w:keepLines w:val="0"/>
              <w:widowControl w:val="0"/>
              <w:suppressLineNumbers w:val="0"/>
              <w:spacing w:before="0" w:beforeAutospacing="0" w:after="0" w:afterAutospacing="0" w:line="300" w:lineRule="auto"/>
              <w:ind w:left="0" w:right="0"/>
              <w:jc w:val="left"/>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掌握交通运输的基本概念、原理和方法。了解交通运输系统的构成、功能及其在社会经济中的作用。熟悉各种运输方式（如公路、铁路、水运、航空、管道等）的特点、优缺点及适用范围。掌握交通运输规划、设计、运营、管理等方面的基本知识和技能。</w:t>
            </w:r>
          </w:p>
        </w:tc>
        <w:tc>
          <w:tcPr>
            <w:tcW w:w="2610" w:type="dxa"/>
            <w:noWrap w:val="0"/>
            <w:vAlign w:val="center"/>
          </w:tcPr>
          <w:p w14:paraId="62FBBCFF">
            <w:pPr>
              <w:keepNext w:val="0"/>
              <w:keepLines w:val="0"/>
              <w:widowControl w:val="0"/>
              <w:suppressLineNumbers w:val="0"/>
              <w:spacing w:before="0" w:beforeAutospacing="0" w:after="0" w:afterAutospacing="0" w:line="300" w:lineRule="auto"/>
              <w:ind w:left="0" w:right="0"/>
              <w:jc w:val="left"/>
              <w:rPr>
                <w:rFonts w:hint="eastAsia" w:ascii="Times New Roman" w:hAnsi="Times New Roman" w:eastAsia="仿宋" w:cs="仿宋"/>
                <w:color w:val="auto"/>
                <w:kern w:val="2"/>
                <w:sz w:val="24"/>
                <w:szCs w:val="24"/>
                <w:highlight w:val="none"/>
                <w:lang w:val="en-US" w:eastAsia="zh" w:bidi="ar"/>
              </w:rPr>
            </w:pPr>
            <w:r>
              <w:rPr>
                <w:rFonts w:hint="eastAsia" w:ascii="Times New Roman" w:hAnsi="Times New Roman" w:eastAsia="仿宋" w:cs="仿宋"/>
                <w:color w:val="auto"/>
                <w:kern w:val="2"/>
                <w:sz w:val="24"/>
                <w:szCs w:val="24"/>
                <w:highlight w:val="none"/>
                <w:lang w:val="en-US" w:eastAsia="zh-CN" w:bidi="ar"/>
              </w:rPr>
              <w:t>交通运输概论的课程教学内容涵盖了多个方面，旨在为学生提供全面的交通运输领域知识。主要教学内容：1.交通运输的基本概念与分类</w:t>
            </w:r>
            <w:r>
              <w:rPr>
                <w:rFonts w:hint="eastAsia" w:ascii="Times New Roman" w:hAnsi="Times New Roman" w:eastAsia="仿宋" w:cs="仿宋"/>
                <w:color w:val="auto"/>
                <w:kern w:val="2"/>
                <w:sz w:val="24"/>
                <w:szCs w:val="24"/>
                <w:highlight w:val="none"/>
                <w:lang w:val="en-US" w:eastAsia="zh" w:bidi="ar"/>
              </w:rPr>
              <w:t>；2</w:t>
            </w:r>
            <w:r>
              <w:rPr>
                <w:rFonts w:hint="eastAsia" w:ascii="Times New Roman" w:hAnsi="Times New Roman" w:eastAsia="仿宋" w:cs="仿宋"/>
                <w:color w:val="auto"/>
                <w:kern w:val="2"/>
                <w:sz w:val="24"/>
                <w:szCs w:val="24"/>
                <w:highlight w:val="none"/>
                <w:lang w:val="en-US" w:eastAsia="zh-CN" w:bidi="ar"/>
              </w:rPr>
              <w:t>.</w:t>
            </w:r>
            <w:r>
              <w:rPr>
                <w:rFonts w:hint="eastAsia" w:ascii="Times New Roman" w:hAnsi="Times New Roman" w:eastAsia="仿宋" w:cs="仿宋"/>
                <w:color w:val="auto"/>
                <w:kern w:val="2"/>
                <w:sz w:val="24"/>
                <w:szCs w:val="24"/>
                <w:highlight w:val="none"/>
                <w:lang w:val="en-US" w:eastAsia="zh" w:bidi="ar"/>
              </w:rPr>
              <w:t>交通运输系统与基础设施；3</w:t>
            </w:r>
            <w:r>
              <w:rPr>
                <w:rFonts w:hint="eastAsia" w:ascii="Times New Roman" w:hAnsi="Times New Roman" w:eastAsia="仿宋" w:cs="仿宋"/>
                <w:color w:val="auto"/>
                <w:kern w:val="2"/>
                <w:sz w:val="24"/>
                <w:szCs w:val="24"/>
                <w:highlight w:val="none"/>
                <w:lang w:val="en-US" w:eastAsia="zh-CN" w:bidi="ar"/>
              </w:rPr>
              <w:t>.</w:t>
            </w:r>
            <w:r>
              <w:rPr>
                <w:rFonts w:hint="eastAsia" w:ascii="Times New Roman" w:hAnsi="Times New Roman" w:eastAsia="仿宋" w:cs="仿宋"/>
                <w:color w:val="auto"/>
                <w:kern w:val="2"/>
                <w:sz w:val="24"/>
                <w:szCs w:val="24"/>
                <w:highlight w:val="none"/>
                <w:lang w:val="en-US" w:eastAsia="zh" w:bidi="ar"/>
              </w:rPr>
              <w:t>交通运输规划与管理；4</w:t>
            </w:r>
            <w:r>
              <w:rPr>
                <w:rFonts w:hint="eastAsia" w:ascii="Times New Roman" w:hAnsi="Times New Roman" w:eastAsia="仿宋" w:cs="仿宋"/>
                <w:color w:val="auto"/>
                <w:kern w:val="2"/>
                <w:sz w:val="24"/>
                <w:szCs w:val="24"/>
                <w:highlight w:val="none"/>
                <w:lang w:val="en-US" w:eastAsia="zh-CN" w:bidi="ar"/>
              </w:rPr>
              <w:t>.</w:t>
            </w:r>
            <w:r>
              <w:rPr>
                <w:rFonts w:hint="eastAsia" w:ascii="Times New Roman" w:hAnsi="Times New Roman" w:eastAsia="仿宋" w:cs="仿宋"/>
                <w:color w:val="auto"/>
                <w:kern w:val="2"/>
                <w:sz w:val="24"/>
                <w:szCs w:val="24"/>
                <w:highlight w:val="none"/>
                <w:lang w:val="en-US" w:eastAsia="zh" w:bidi="ar"/>
              </w:rPr>
              <w:t>交通运输经济与政策；5</w:t>
            </w:r>
            <w:r>
              <w:rPr>
                <w:rFonts w:hint="eastAsia" w:ascii="Times New Roman" w:hAnsi="Times New Roman" w:eastAsia="仿宋" w:cs="仿宋"/>
                <w:color w:val="auto"/>
                <w:kern w:val="2"/>
                <w:sz w:val="24"/>
                <w:szCs w:val="24"/>
                <w:highlight w:val="none"/>
                <w:lang w:val="en-US" w:eastAsia="zh-CN" w:bidi="ar"/>
              </w:rPr>
              <w:t>.</w:t>
            </w:r>
            <w:r>
              <w:rPr>
                <w:rFonts w:hint="eastAsia" w:ascii="Times New Roman" w:hAnsi="Times New Roman" w:eastAsia="仿宋" w:cs="仿宋"/>
                <w:color w:val="auto"/>
                <w:kern w:val="2"/>
                <w:sz w:val="24"/>
                <w:szCs w:val="24"/>
                <w:highlight w:val="none"/>
                <w:lang w:val="en-US" w:eastAsia="zh" w:bidi="ar"/>
              </w:rPr>
              <w:t>交通运输技术与创新；6</w:t>
            </w:r>
            <w:r>
              <w:rPr>
                <w:rFonts w:hint="eastAsia" w:ascii="Times New Roman" w:hAnsi="Times New Roman" w:eastAsia="仿宋" w:cs="仿宋"/>
                <w:color w:val="auto"/>
                <w:kern w:val="2"/>
                <w:sz w:val="24"/>
                <w:szCs w:val="24"/>
                <w:highlight w:val="none"/>
                <w:lang w:val="en-US" w:eastAsia="zh-CN" w:bidi="ar"/>
              </w:rPr>
              <w:t>.</w:t>
            </w:r>
            <w:r>
              <w:rPr>
                <w:rFonts w:hint="eastAsia" w:ascii="Times New Roman" w:hAnsi="Times New Roman" w:eastAsia="仿宋" w:cs="仿宋"/>
                <w:color w:val="auto"/>
                <w:kern w:val="2"/>
                <w:sz w:val="24"/>
                <w:szCs w:val="24"/>
                <w:highlight w:val="none"/>
                <w:lang w:val="en-US" w:eastAsia="zh" w:bidi="ar"/>
              </w:rPr>
              <w:t>交通运输安全与环保</w:t>
            </w:r>
          </w:p>
        </w:tc>
        <w:tc>
          <w:tcPr>
            <w:tcW w:w="3097" w:type="dxa"/>
            <w:noWrap w:val="0"/>
            <w:vAlign w:val="center"/>
          </w:tcPr>
          <w:p w14:paraId="7FBD49CC">
            <w:pPr>
              <w:keepNext w:val="0"/>
              <w:keepLines w:val="0"/>
              <w:widowControl w:val="0"/>
              <w:suppressLineNumbers w:val="0"/>
              <w:spacing w:before="0" w:beforeAutospacing="0" w:after="0" w:afterAutospacing="0" w:line="300" w:lineRule="auto"/>
              <w:ind w:left="0" w:right="0"/>
              <w:jc w:val="left"/>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理解交通运输的基本概念和原理，包括运输方式、运输工具、运输网络、运输需求等。</w:t>
            </w:r>
          </w:p>
          <w:p w14:paraId="29F889A2">
            <w:pPr>
              <w:keepNext w:val="0"/>
              <w:keepLines w:val="0"/>
              <w:widowControl w:val="0"/>
              <w:suppressLineNumbers w:val="0"/>
              <w:spacing w:before="0" w:beforeAutospacing="0" w:after="0" w:afterAutospacing="0" w:line="300" w:lineRule="auto"/>
              <w:ind w:left="0" w:right="0"/>
              <w:jc w:val="left"/>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掌握各种运输方式（如公路、铁路、航空、水运和管道）的特点、优缺点以及适用范围。</w:t>
            </w:r>
          </w:p>
          <w:p w14:paraId="7F798BC3">
            <w:pPr>
              <w:keepNext w:val="0"/>
              <w:keepLines w:val="0"/>
              <w:widowControl w:val="0"/>
              <w:suppressLineNumbers w:val="0"/>
              <w:spacing w:before="0" w:beforeAutospacing="0" w:after="0" w:afterAutospacing="0" w:line="300" w:lineRule="auto"/>
              <w:ind w:left="0" w:right="0"/>
              <w:jc w:val="left"/>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了解交通运输系统的组成，包括基础设施、运输设备、运输组织和管理等。</w:t>
            </w:r>
          </w:p>
        </w:tc>
      </w:tr>
      <w:tr w14:paraId="26505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noWrap w:val="0"/>
            <w:vAlign w:val="center"/>
          </w:tcPr>
          <w:p w14:paraId="2C46F154">
            <w:pPr>
              <w:keepNext w:val="0"/>
              <w:keepLines w:val="0"/>
              <w:widowControl w:val="0"/>
              <w:suppressLineNumbers w:val="0"/>
              <w:spacing w:before="0" w:beforeAutospacing="0" w:after="0" w:afterAutospacing="0" w:line="300" w:lineRule="auto"/>
              <w:ind w:left="0" w:right="0"/>
              <w:jc w:val="center"/>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2</w:t>
            </w:r>
          </w:p>
        </w:tc>
        <w:tc>
          <w:tcPr>
            <w:tcW w:w="1185" w:type="dxa"/>
            <w:noWrap w:val="0"/>
            <w:vAlign w:val="center"/>
          </w:tcPr>
          <w:p w14:paraId="16D5ED38">
            <w:pPr>
              <w:keepNext w:val="0"/>
              <w:keepLines w:val="0"/>
              <w:widowControl w:val="0"/>
              <w:suppressLineNumbers w:val="0"/>
              <w:spacing w:before="0" w:beforeAutospacing="0" w:after="0" w:afterAutospacing="0" w:line="300" w:lineRule="auto"/>
              <w:ind w:left="0" w:right="0"/>
              <w:jc w:val="center"/>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建筑遗产保护概论</w:t>
            </w:r>
          </w:p>
        </w:tc>
        <w:tc>
          <w:tcPr>
            <w:tcW w:w="2868" w:type="dxa"/>
            <w:noWrap w:val="0"/>
            <w:vAlign w:val="center"/>
          </w:tcPr>
          <w:p w14:paraId="3A90F936">
            <w:pPr>
              <w:keepNext w:val="0"/>
              <w:keepLines w:val="0"/>
              <w:widowControl w:val="0"/>
              <w:suppressLineNumbers w:val="0"/>
              <w:spacing w:before="0" w:beforeAutospacing="0" w:after="0" w:afterAutospacing="0" w:line="300" w:lineRule="auto"/>
              <w:ind w:left="0" w:right="0"/>
              <w:jc w:val="left"/>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建筑遗产保护概论的课程教学目标是全面而多元的，旨在通过知识传授、技能培养、态度与价值观塑造、跨学科融合以及实践能力提升等多个方面，为学生提供全面的建筑遗产保护教育。</w:t>
            </w:r>
          </w:p>
        </w:tc>
        <w:tc>
          <w:tcPr>
            <w:tcW w:w="2610" w:type="dxa"/>
            <w:noWrap w:val="0"/>
            <w:vAlign w:val="center"/>
          </w:tcPr>
          <w:p w14:paraId="3A8A609A">
            <w:pPr>
              <w:keepNext w:val="0"/>
              <w:keepLines w:val="0"/>
              <w:widowControl w:val="0"/>
              <w:suppressLineNumbers w:val="0"/>
              <w:spacing w:before="0" w:beforeAutospacing="0" w:after="0" w:afterAutospacing="0" w:line="300" w:lineRule="auto"/>
              <w:ind w:left="0" w:right="0"/>
              <w:jc w:val="left"/>
              <w:rPr>
                <w:rFonts w:hint="eastAsia" w:ascii="Times New Roman" w:hAnsi="Times New Roman" w:eastAsia="仿宋" w:cs="仿宋"/>
                <w:color w:val="auto"/>
                <w:kern w:val="2"/>
                <w:sz w:val="24"/>
                <w:szCs w:val="24"/>
                <w:highlight w:val="none"/>
                <w:lang w:val="en-US" w:eastAsia="zh" w:bidi="ar"/>
              </w:rPr>
            </w:pPr>
            <w:r>
              <w:rPr>
                <w:rFonts w:hint="eastAsia" w:ascii="Times New Roman" w:hAnsi="Times New Roman" w:eastAsia="仿宋" w:cs="仿宋"/>
                <w:color w:val="auto"/>
                <w:kern w:val="2"/>
                <w:sz w:val="24"/>
                <w:szCs w:val="24"/>
                <w:highlight w:val="none"/>
                <w:lang w:val="en-US" w:eastAsia="zh-CN" w:bidi="ar"/>
              </w:rPr>
              <w:t>建筑遗产保护概论的课程教学内容通常涵盖多个方面，旨在培养学生对建筑遗产保护的全面理解和实践能力。</w:t>
            </w:r>
            <w:r>
              <w:rPr>
                <w:rFonts w:hint="eastAsia" w:ascii="Times New Roman" w:hAnsi="Times New Roman" w:eastAsia="仿宋" w:cs="仿宋"/>
                <w:color w:val="auto"/>
                <w:kern w:val="2"/>
                <w:sz w:val="24"/>
                <w:szCs w:val="24"/>
                <w:highlight w:val="none"/>
                <w:lang w:val="en-US" w:eastAsia="zh" w:bidi="ar"/>
              </w:rPr>
              <w:t>内容包括：1</w:t>
            </w:r>
            <w:r>
              <w:rPr>
                <w:rFonts w:hint="eastAsia" w:ascii="Times New Roman" w:hAnsi="Times New Roman" w:eastAsia="仿宋" w:cs="仿宋"/>
                <w:color w:val="auto"/>
                <w:kern w:val="2"/>
                <w:sz w:val="24"/>
                <w:szCs w:val="24"/>
                <w:highlight w:val="none"/>
                <w:lang w:val="en-US" w:eastAsia="zh-CN" w:bidi="ar"/>
              </w:rPr>
              <w:t>.建筑遗产保护的基本概念与理论</w:t>
            </w:r>
            <w:r>
              <w:rPr>
                <w:rFonts w:hint="eastAsia" w:ascii="Times New Roman" w:hAnsi="Times New Roman" w:eastAsia="仿宋" w:cs="仿宋"/>
                <w:color w:val="auto"/>
                <w:kern w:val="2"/>
                <w:sz w:val="24"/>
                <w:szCs w:val="24"/>
                <w:highlight w:val="none"/>
                <w:lang w:val="en-US" w:eastAsia="zh" w:bidi="ar"/>
              </w:rPr>
              <w:t>；2</w:t>
            </w:r>
            <w:r>
              <w:rPr>
                <w:rFonts w:hint="eastAsia" w:ascii="Times New Roman" w:hAnsi="Times New Roman" w:eastAsia="仿宋" w:cs="仿宋"/>
                <w:color w:val="auto"/>
                <w:kern w:val="2"/>
                <w:sz w:val="24"/>
                <w:szCs w:val="24"/>
                <w:highlight w:val="none"/>
                <w:lang w:val="en-US" w:eastAsia="zh-CN" w:bidi="ar"/>
              </w:rPr>
              <w:t>.</w:t>
            </w:r>
            <w:r>
              <w:rPr>
                <w:rFonts w:hint="eastAsia" w:ascii="Times New Roman" w:hAnsi="Times New Roman" w:eastAsia="仿宋" w:cs="仿宋"/>
                <w:color w:val="auto"/>
                <w:kern w:val="2"/>
                <w:sz w:val="24"/>
                <w:szCs w:val="24"/>
                <w:highlight w:val="none"/>
                <w:lang w:val="en-US" w:eastAsia="zh" w:bidi="ar"/>
              </w:rPr>
              <w:t>建筑遗产保护的历史与发展；3</w:t>
            </w:r>
            <w:r>
              <w:rPr>
                <w:rFonts w:hint="eastAsia" w:ascii="Times New Roman" w:hAnsi="Times New Roman" w:eastAsia="仿宋" w:cs="仿宋"/>
                <w:color w:val="auto"/>
                <w:kern w:val="2"/>
                <w:sz w:val="24"/>
                <w:szCs w:val="24"/>
                <w:highlight w:val="none"/>
                <w:lang w:val="en-US" w:eastAsia="zh-CN" w:bidi="ar"/>
              </w:rPr>
              <w:t>.</w:t>
            </w:r>
            <w:r>
              <w:rPr>
                <w:rFonts w:hint="eastAsia" w:ascii="Times New Roman" w:hAnsi="Times New Roman" w:eastAsia="仿宋" w:cs="仿宋"/>
                <w:color w:val="auto"/>
                <w:kern w:val="2"/>
                <w:sz w:val="24"/>
                <w:szCs w:val="24"/>
                <w:highlight w:val="none"/>
                <w:lang w:val="en-US" w:eastAsia="zh" w:bidi="ar"/>
              </w:rPr>
              <w:t>建筑遗产保护的技术与方法；4</w:t>
            </w:r>
            <w:r>
              <w:rPr>
                <w:rFonts w:hint="eastAsia" w:ascii="Times New Roman" w:hAnsi="Times New Roman" w:eastAsia="仿宋" w:cs="仿宋"/>
                <w:color w:val="auto"/>
                <w:kern w:val="2"/>
                <w:sz w:val="24"/>
                <w:szCs w:val="24"/>
                <w:highlight w:val="none"/>
                <w:lang w:val="en-US" w:eastAsia="zh-CN" w:bidi="ar"/>
              </w:rPr>
              <w:t>.</w:t>
            </w:r>
            <w:r>
              <w:rPr>
                <w:rFonts w:hint="eastAsia" w:ascii="Times New Roman" w:hAnsi="Times New Roman" w:eastAsia="仿宋" w:cs="仿宋"/>
                <w:color w:val="auto"/>
                <w:kern w:val="2"/>
                <w:sz w:val="24"/>
                <w:szCs w:val="24"/>
                <w:highlight w:val="none"/>
                <w:lang w:val="en-US" w:eastAsia="zh" w:bidi="ar"/>
              </w:rPr>
              <w:t>建筑遗产保护的法规与政策；5</w:t>
            </w:r>
            <w:r>
              <w:rPr>
                <w:rFonts w:hint="eastAsia" w:ascii="Times New Roman" w:hAnsi="Times New Roman" w:eastAsia="仿宋" w:cs="仿宋"/>
                <w:color w:val="auto"/>
                <w:kern w:val="2"/>
                <w:sz w:val="24"/>
                <w:szCs w:val="24"/>
                <w:highlight w:val="none"/>
                <w:lang w:val="en-US" w:eastAsia="zh-CN" w:bidi="ar"/>
              </w:rPr>
              <w:t>.</w:t>
            </w:r>
            <w:r>
              <w:rPr>
                <w:rFonts w:hint="eastAsia" w:ascii="Times New Roman" w:hAnsi="Times New Roman" w:eastAsia="仿宋" w:cs="仿宋"/>
                <w:color w:val="auto"/>
                <w:kern w:val="2"/>
                <w:sz w:val="24"/>
                <w:szCs w:val="24"/>
                <w:highlight w:val="none"/>
                <w:lang w:val="en-US" w:eastAsia="zh" w:bidi="ar"/>
              </w:rPr>
              <w:t>建筑遗产保护的实践与案例分析</w:t>
            </w:r>
          </w:p>
        </w:tc>
        <w:tc>
          <w:tcPr>
            <w:tcW w:w="3097" w:type="dxa"/>
            <w:noWrap w:val="0"/>
            <w:vAlign w:val="center"/>
          </w:tcPr>
          <w:p w14:paraId="419AFC5D">
            <w:pPr>
              <w:keepNext w:val="0"/>
              <w:keepLines w:val="0"/>
              <w:widowControl w:val="0"/>
              <w:suppressLineNumbers w:val="0"/>
              <w:spacing w:before="0" w:beforeAutospacing="0" w:after="0" w:afterAutospacing="0" w:line="300" w:lineRule="auto"/>
              <w:ind w:left="0" w:right="0"/>
              <w:jc w:val="left"/>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理论学习：学生需要掌握建筑遗产保护的基本概念、原则和方法，了解国内外建筑遗产保护的历史和现状。这包括对建筑遗产的定义、价值、分类以及保护的重要性有深入的理解</w:t>
            </w:r>
            <w:r>
              <w:rPr>
                <w:rFonts w:hint="eastAsia" w:ascii="Times New Roman" w:hAnsi="Times New Roman" w:eastAsia="仿宋" w:cs="仿宋"/>
                <w:color w:val="auto"/>
                <w:kern w:val="2"/>
                <w:sz w:val="24"/>
                <w:szCs w:val="24"/>
                <w:highlight w:val="none"/>
                <w:lang w:val="en-US" w:eastAsia="zh" w:bidi="ar"/>
              </w:rPr>
              <w:t>。</w:t>
            </w:r>
            <w:r>
              <w:rPr>
                <w:rFonts w:hint="eastAsia" w:ascii="Times New Roman" w:hAnsi="Times New Roman" w:eastAsia="仿宋" w:cs="仿宋"/>
                <w:color w:val="auto"/>
                <w:kern w:val="2"/>
                <w:sz w:val="24"/>
                <w:szCs w:val="24"/>
                <w:highlight w:val="none"/>
                <w:lang w:val="en-US" w:eastAsia="zh-CN" w:bidi="ar"/>
              </w:rPr>
              <w:t>案例分析：通过分析国内外成功的建筑遗产保护案例，学生可以学习到具体的保护策略和技术，理解不同类型和时期建筑遗产的保护方法。</w:t>
            </w:r>
          </w:p>
        </w:tc>
      </w:tr>
      <w:tr w14:paraId="7DA1A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noWrap w:val="0"/>
            <w:vAlign w:val="center"/>
          </w:tcPr>
          <w:p w14:paraId="67D46FD7">
            <w:pPr>
              <w:keepNext w:val="0"/>
              <w:keepLines w:val="0"/>
              <w:widowControl w:val="0"/>
              <w:suppressLineNumbers w:val="0"/>
              <w:spacing w:before="0" w:beforeAutospacing="0" w:after="0" w:afterAutospacing="0" w:line="300" w:lineRule="auto"/>
              <w:ind w:left="0" w:right="0"/>
              <w:jc w:val="center"/>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3</w:t>
            </w:r>
          </w:p>
        </w:tc>
        <w:tc>
          <w:tcPr>
            <w:tcW w:w="1185" w:type="dxa"/>
            <w:noWrap w:val="0"/>
            <w:vAlign w:val="center"/>
          </w:tcPr>
          <w:p w14:paraId="1797C9D7">
            <w:pPr>
              <w:keepNext w:val="0"/>
              <w:keepLines w:val="0"/>
              <w:widowControl w:val="0"/>
              <w:suppressLineNumbers w:val="0"/>
              <w:spacing w:before="0" w:beforeAutospacing="0" w:after="0" w:afterAutospacing="0" w:line="300" w:lineRule="auto"/>
              <w:ind w:left="0" w:right="0"/>
              <w:jc w:val="center"/>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建筑艺术与赏析</w:t>
            </w:r>
          </w:p>
        </w:tc>
        <w:tc>
          <w:tcPr>
            <w:tcW w:w="2868" w:type="dxa"/>
            <w:noWrap w:val="0"/>
            <w:vAlign w:val="center"/>
          </w:tcPr>
          <w:p w14:paraId="59E3B9B7">
            <w:pPr>
              <w:keepNext w:val="0"/>
              <w:keepLines w:val="0"/>
              <w:widowControl w:val="0"/>
              <w:suppressLineNumbers w:val="0"/>
              <w:spacing w:before="0" w:beforeAutospacing="0" w:after="0" w:afterAutospacing="0" w:line="300" w:lineRule="auto"/>
              <w:ind w:left="0" w:right="0"/>
              <w:jc w:val="left"/>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了解建筑艺术的基本概念、历史背景、流派特点及代表作品。掌握建筑艺术赏析的基本方法，包括形式美法则、空间布局、材料运用等。激发学生对建筑艺术的兴趣和热爱，培养他们的审美情趣。引导学生关注建筑与环境、社会的关系，树立可持续发展的建筑观念。</w:t>
            </w:r>
          </w:p>
        </w:tc>
        <w:tc>
          <w:tcPr>
            <w:tcW w:w="2610" w:type="dxa"/>
            <w:noWrap w:val="0"/>
            <w:vAlign w:val="center"/>
          </w:tcPr>
          <w:p w14:paraId="29AD1CE4">
            <w:pPr>
              <w:keepNext w:val="0"/>
              <w:keepLines w:val="0"/>
              <w:widowControl w:val="0"/>
              <w:suppressLineNumbers w:val="0"/>
              <w:spacing w:before="0" w:beforeAutospacing="0" w:after="0" w:afterAutospacing="0" w:line="300" w:lineRule="auto"/>
              <w:ind w:left="0" w:right="0"/>
              <w:jc w:val="left"/>
              <w:rPr>
                <w:rFonts w:hint="eastAsia" w:ascii="Times New Roman" w:hAnsi="Times New Roman" w:eastAsia="仿宋" w:cs="仿宋"/>
                <w:color w:val="auto"/>
                <w:kern w:val="2"/>
                <w:sz w:val="24"/>
                <w:szCs w:val="24"/>
                <w:highlight w:val="none"/>
                <w:lang w:val="en-US" w:eastAsia="zh" w:bidi="ar"/>
              </w:rPr>
            </w:pPr>
            <w:r>
              <w:rPr>
                <w:rFonts w:hint="eastAsia" w:ascii="Times New Roman" w:hAnsi="Times New Roman" w:eastAsia="仿宋" w:cs="仿宋"/>
                <w:color w:val="auto"/>
                <w:kern w:val="2"/>
                <w:sz w:val="24"/>
                <w:szCs w:val="24"/>
                <w:highlight w:val="none"/>
                <w:lang w:val="en-US" w:eastAsia="zh-CN" w:bidi="ar"/>
              </w:rPr>
              <w:t>建筑艺术与赏析的课程内容通常涵盖多个方面，旨在培养学生对建筑艺术的欣赏能力、理解能力和分析能力。主要的课程内容：</w:t>
            </w:r>
            <w:r>
              <w:rPr>
                <w:rFonts w:hint="eastAsia" w:ascii="Times New Roman" w:hAnsi="Times New Roman" w:eastAsia="仿宋" w:cs="仿宋"/>
                <w:color w:val="auto"/>
                <w:kern w:val="2"/>
                <w:sz w:val="24"/>
                <w:szCs w:val="24"/>
                <w:highlight w:val="none"/>
                <w:lang w:val="en-US" w:eastAsia="zh" w:bidi="ar"/>
              </w:rPr>
              <w:t>1</w:t>
            </w:r>
            <w:r>
              <w:rPr>
                <w:rFonts w:hint="eastAsia" w:ascii="Times New Roman" w:hAnsi="Times New Roman" w:eastAsia="仿宋" w:cs="仿宋"/>
                <w:color w:val="auto"/>
                <w:kern w:val="2"/>
                <w:sz w:val="24"/>
                <w:szCs w:val="24"/>
                <w:highlight w:val="none"/>
                <w:lang w:val="en-US" w:eastAsia="zh-CN" w:bidi="ar"/>
              </w:rPr>
              <w:t>.</w:t>
            </w:r>
            <w:r>
              <w:rPr>
                <w:rFonts w:hint="eastAsia" w:ascii="Times New Roman" w:hAnsi="Times New Roman" w:eastAsia="仿宋" w:cs="仿宋"/>
                <w:color w:val="auto"/>
                <w:kern w:val="2"/>
                <w:sz w:val="24"/>
                <w:szCs w:val="24"/>
                <w:highlight w:val="none"/>
                <w:lang w:val="en-US" w:eastAsia="zh" w:bidi="ar"/>
              </w:rPr>
              <w:t>建筑艺术的基本概念</w:t>
            </w:r>
            <w:r>
              <w:rPr>
                <w:rFonts w:hint="eastAsia" w:ascii="Times New Roman" w:hAnsi="Times New Roman" w:eastAsia="仿宋" w:cs="仿宋"/>
                <w:color w:val="auto"/>
                <w:kern w:val="2"/>
                <w:sz w:val="24"/>
                <w:szCs w:val="24"/>
                <w:highlight w:val="none"/>
                <w:lang w:val="en-US" w:eastAsia="zh-CN" w:bidi="ar"/>
              </w:rPr>
              <w:t>；</w:t>
            </w:r>
            <w:r>
              <w:rPr>
                <w:rFonts w:hint="eastAsia" w:ascii="Times New Roman" w:hAnsi="Times New Roman" w:eastAsia="仿宋" w:cs="仿宋"/>
                <w:color w:val="auto"/>
                <w:kern w:val="2"/>
                <w:sz w:val="24"/>
                <w:szCs w:val="24"/>
                <w:highlight w:val="none"/>
                <w:lang w:val="en-US" w:eastAsia="zh" w:bidi="ar"/>
              </w:rPr>
              <w:t>2</w:t>
            </w:r>
            <w:r>
              <w:rPr>
                <w:rFonts w:hint="eastAsia" w:ascii="Times New Roman" w:hAnsi="Times New Roman" w:eastAsia="仿宋" w:cs="仿宋"/>
                <w:color w:val="auto"/>
                <w:kern w:val="2"/>
                <w:sz w:val="24"/>
                <w:szCs w:val="24"/>
                <w:highlight w:val="none"/>
                <w:lang w:val="en-US" w:eastAsia="zh-CN" w:bidi="ar"/>
              </w:rPr>
              <w:t>.</w:t>
            </w:r>
            <w:r>
              <w:rPr>
                <w:rFonts w:hint="eastAsia" w:ascii="Times New Roman" w:hAnsi="Times New Roman" w:eastAsia="仿宋" w:cs="仿宋"/>
                <w:color w:val="auto"/>
                <w:kern w:val="2"/>
                <w:sz w:val="24"/>
                <w:szCs w:val="24"/>
                <w:highlight w:val="none"/>
                <w:lang w:val="en-US" w:eastAsia="zh" w:bidi="ar"/>
              </w:rPr>
              <w:t>建筑史与风格</w:t>
            </w:r>
            <w:r>
              <w:rPr>
                <w:rFonts w:hint="eastAsia" w:ascii="Times New Roman" w:hAnsi="Times New Roman" w:eastAsia="仿宋" w:cs="仿宋"/>
                <w:color w:val="auto"/>
                <w:kern w:val="2"/>
                <w:sz w:val="24"/>
                <w:szCs w:val="24"/>
                <w:highlight w:val="none"/>
                <w:lang w:val="en-US" w:eastAsia="zh-CN" w:bidi="ar"/>
              </w:rPr>
              <w:t>；</w:t>
            </w:r>
            <w:r>
              <w:rPr>
                <w:rFonts w:hint="eastAsia" w:ascii="Times New Roman" w:hAnsi="Times New Roman" w:eastAsia="仿宋" w:cs="仿宋"/>
                <w:color w:val="auto"/>
                <w:kern w:val="2"/>
                <w:sz w:val="24"/>
                <w:szCs w:val="24"/>
                <w:highlight w:val="none"/>
                <w:lang w:val="en-US" w:eastAsia="zh" w:bidi="ar"/>
              </w:rPr>
              <w:t>3</w:t>
            </w:r>
            <w:r>
              <w:rPr>
                <w:rFonts w:hint="eastAsia" w:ascii="Times New Roman" w:hAnsi="Times New Roman" w:eastAsia="仿宋" w:cs="仿宋"/>
                <w:color w:val="auto"/>
                <w:kern w:val="2"/>
                <w:sz w:val="24"/>
                <w:szCs w:val="24"/>
                <w:highlight w:val="none"/>
                <w:lang w:val="en-US" w:eastAsia="zh-CN" w:bidi="ar"/>
              </w:rPr>
              <w:t>.</w:t>
            </w:r>
            <w:r>
              <w:rPr>
                <w:rFonts w:hint="eastAsia" w:ascii="Times New Roman" w:hAnsi="Times New Roman" w:eastAsia="仿宋" w:cs="仿宋"/>
                <w:color w:val="auto"/>
                <w:kern w:val="2"/>
                <w:sz w:val="24"/>
                <w:szCs w:val="24"/>
                <w:highlight w:val="none"/>
                <w:lang w:val="en-US" w:eastAsia="zh" w:bidi="ar"/>
              </w:rPr>
              <w:t>建筑设计原理</w:t>
            </w:r>
            <w:r>
              <w:rPr>
                <w:rFonts w:hint="eastAsia" w:ascii="Times New Roman" w:hAnsi="Times New Roman" w:eastAsia="仿宋" w:cs="仿宋"/>
                <w:color w:val="auto"/>
                <w:kern w:val="2"/>
                <w:sz w:val="24"/>
                <w:szCs w:val="24"/>
                <w:highlight w:val="none"/>
                <w:lang w:val="en-US" w:eastAsia="zh-CN" w:bidi="ar"/>
              </w:rPr>
              <w:t>；</w:t>
            </w:r>
            <w:r>
              <w:rPr>
                <w:rFonts w:hint="eastAsia" w:ascii="Times New Roman" w:hAnsi="Times New Roman" w:eastAsia="仿宋" w:cs="仿宋"/>
                <w:color w:val="auto"/>
                <w:kern w:val="2"/>
                <w:sz w:val="24"/>
                <w:szCs w:val="24"/>
                <w:highlight w:val="none"/>
                <w:lang w:val="en-US" w:eastAsia="zh" w:bidi="ar"/>
              </w:rPr>
              <w:t>4</w:t>
            </w:r>
            <w:r>
              <w:rPr>
                <w:rFonts w:hint="eastAsia" w:ascii="Times New Roman" w:hAnsi="Times New Roman" w:eastAsia="仿宋" w:cs="仿宋"/>
                <w:color w:val="auto"/>
                <w:kern w:val="2"/>
                <w:sz w:val="24"/>
                <w:szCs w:val="24"/>
                <w:highlight w:val="none"/>
                <w:lang w:val="en-US" w:eastAsia="zh-CN" w:bidi="ar"/>
              </w:rPr>
              <w:t>.</w:t>
            </w:r>
            <w:r>
              <w:rPr>
                <w:rFonts w:hint="eastAsia" w:ascii="Times New Roman" w:hAnsi="Times New Roman" w:eastAsia="仿宋" w:cs="仿宋"/>
                <w:color w:val="auto"/>
                <w:kern w:val="2"/>
                <w:sz w:val="24"/>
                <w:szCs w:val="24"/>
                <w:highlight w:val="none"/>
                <w:lang w:val="en-US" w:eastAsia="zh" w:bidi="ar"/>
              </w:rPr>
              <w:t>建筑材料与结构</w:t>
            </w:r>
            <w:r>
              <w:rPr>
                <w:rFonts w:hint="eastAsia" w:ascii="Times New Roman" w:hAnsi="Times New Roman" w:eastAsia="仿宋" w:cs="仿宋"/>
                <w:color w:val="auto"/>
                <w:kern w:val="2"/>
                <w:sz w:val="24"/>
                <w:szCs w:val="24"/>
                <w:highlight w:val="none"/>
                <w:lang w:val="en-US" w:eastAsia="zh-CN" w:bidi="ar"/>
              </w:rPr>
              <w:t>；</w:t>
            </w:r>
            <w:r>
              <w:rPr>
                <w:rFonts w:hint="eastAsia" w:ascii="Times New Roman" w:hAnsi="Times New Roman" w:eastAsia="仿宋" w:cs="仿宋"/>
                <w:color w:val="auto"/>
                <w:kern w:val="2"/>
                <w:sz w:val="24"/>
                <w:szCs w:val="24"/>
                <w:highlight w:val="none"/>
                <w:lang w:val="en-US" w:eastAsia="zh" w:bidi="ar"/>
              </w:rPr>
              <w:t>5</w:t>
            </w:r>
            <w:r>
              <w:rPr>
                <w:rFonts w:hint="eastAsia" w:ascii="Times New Roman" w:hAnsi="Times New Roman" w:eastAsia="仿宋" w:cs="仿宋"/>
                <w:color w:val="auto"/>
                <w:kern w:val="2"/>
                <w:sz w:val="24"/>
                <w:szCs w:val="24"/>
                <w:highlight w:val="none"/>
                <w:lang w:val="en-US" w:eastAsia="zh-CN" w:bidi="ar"/>
              </w:rPr>
              <w:t>.</w:t>
            </w:r>
            <w:r>
              <w:rPr>
                <w:rFonts w:hint="eastAsia" w:ascii="Times New Roman" w:hAnsi="Times New Roman" w:eastAsia="仿宋" w:cs="仿宋"/>
                <w:color w:val="auto"/>
                <w:kern w:val="2"/>
                <w:sz w:val="24"/>
                <w:szCs w:val="24"/>
                <w:highlight w:val="none"/>
                <w:lang w:val="en-US" w:eastAsia="zh" w:bidi="ar"/>
              </w:rPr>
              <w:t>建筑空间与环境。</w:t>
            </w:r>
          </w:p>
        </w:tc>
        <w:tc>
          <w:tcPr>
            <w:tcW w:w="3097" w:type="dxa"/>
            <w:noWrap w:val="0"/>
            <w:vAlign w:val="center"/>
          </w:tcPr>
          <w:p w14:paraId="56B767A2">
            <w:pPr>
              <w:keepNext w:val="0"/>
              <w:keepLines w:val="0"/>
              <w:widowControl w:val="0"/>
              <w:suppressLineNumbers w:val="0"/>
              <w:spacing w:before="0" w:beforeAutospacing="0" w:after="0" w:afterAutospacing="0" w:line="300" w:lineRule="auto"/>
              <w:ind w:left="0" w:right="0"/>
              <w:jc w:val="left"/>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学生需要理解建筑艺术的定义、特点和分类。掌握建筑艺术与其他艺术形式（如绘画、雕塑）的区别和联系。学习如何从建筑的形态、结构、材料、色彩、光影等方面进行赏析。</w:t>
            </w:r>
          </w:p>
          <w:p w14:paraId="3A29AB74">
            <w:pPr>
              <w:keepNext w:val="0"/>
              <w:keepLines w:val="0"/>
              <w:widowControl w:val="0"/>
              <w:suppressLineNumbers w:val="0"/>
              <w:spacing w:before="0" w:beforeAutospacing="0" w:after="0" w:afterAutospacing="0" w:line="300" w:lineRule="auto"/>
              <w:ind w:left="0" w:right="0"/>
              <w:jc w:val="left"/>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培养对建筑空间布局、环境关系、文化内涵等方面的敏感度和鉴赏能力。</w:t>
            </w:r>
          </w:p>
        </w:tc>
      </w:tr>
      <w:tr w14:paraId="32320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7" w:type="dxa"/>
            <w:noWrap w:val="0"/>
            <w:vAlign w:val="center"/>
          </w:tcPr>
          <w:p w14:paraId="2767B91F">
            <w:pPr>
              <w:keepNext w:val="0"/>
              <w:keepLines w:val="0"/>
              <w:widowControl w:val="0"/>
              <w:suppressLineNumbers w:val="0"/>
              <w:spacing w:before="0" w:beforeAutospacing="0" w:after="0" w:afterAutospacing="0" w:line="300" w:lineRule="auto"/>
              <w:ind w:left="0" w:right="0"/>
              <w:jc w:val="center"/>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4</w:t>
            </w:r>
          </w:p>
        </w:tc>
        <w:tc>
          <w:tcPr>
            <w:tcW w:w="1185" w:type="dxa"/>
            <w:noWrap w:val="0"/>
            <w:vAlign w:val="center"/>
          </w:tcPr>
          <w:p w14:paraId="3BF4CD55">
            <w:pPr>
              <w:keepNext w:val="0"/>
              <w:keepLines w:val="0"/>
              <w:widowControl w:val="0"/>
              <w:suppressLineNumbers w:val="0"/>
              <w:spacing w:before="0" w:beforeAutospacing="0" w:after="0" w:afterAutospacing="0" w:line="300" w:lineRule="auto"/>
              <w:ind w:left="0" w:right="0"/>
              <w:jc w:val="center"/>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中外建筑史</w:t>
            </w:r>
          </w:p>
        </w:tc>
        <w:tc>
          <w:tcPr>
            <w:tcW w:w="2868" w:type="dxa"/>
            <w:noWrap w:val="0"/>
            <w:vAlign w:val="center"/>
          </w:tcPr>
          <w:p w14:paraId="7936FCF8">
            <w:pPr>
              <w:keepNext w:val="0"/>
              <w:keepLines w:val="0"/>
              <w:widowControl w:val="0"/>
              <w:suppressLineNumbers w:val="0"/>
              <w:spacing w:before="0" w:beforeAutospacing="0" w:after="0" w:afterAutospacing="0" w:line="300" w:lineRule="auto"/>
              <w:ind w:left="0" w:right="0"/>
              <w:jc w:val="left"/>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旨在引领学生畅游于建筑历史的长河中，深入洞察中外建筑的演进脉络。培养学生敏锐的观察力和分析力，使他们能精准解读不同时期建筑的风格特征与文化内涵。同时，提升学生的审美素养和艺术鉴赏力，让他们能领略建筑之美。激发学生的创新思维，鼓励他们从历史中汲取灵感，为未来的建筑设计注入新的活力。</w:t>
            </w:r>
          </w:p>
        </w:tc>
        <w:tc>
          <w:tcPr>
            <w:tcW w:w="2610" w:type="dxa"/>
            <w:noWrap w:val="0"/>
            <w:vAlign w:val="center"/>
          </w:tcPr>
          <w:p w14:paraId="5C6E586C">
            <w:pPr>
              <w:keepNext w:val="0"/>
              <w:keepLines w:val="0"/>
              <w:widowControl w:val="0"/>
              <w:suppressLineNumbers w:val="0"/>
              <w:spacing w:before="0" w:beforeAutospacing="0" w:after="0" w:afterAutospacing="0" w:line="300" w:lineRule="auto"/>
              <w:ind w:left="0" w:right="0"/>
              <w:jc w:val="left"/>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首先，将带领学生探寻中外建筑的起源与发展，了解其演变历程中的关键节点。深入剖析各个时期代表性建筑的风格特点、结构形式与建造技术。同时，研究不同地域建筑文化的差异与交融，领略其独特魅力。</w:t>
            </w:r>
          </w:p>
        </w:tc>
        <w:tc>
          <w:tcPr>
            <w:tcW w:w="3097" w:type="dxa"/>
            <w:noWrap w:val="0"/>
            <w:vAlign w:val="center"/>
          </w:tcPr>
          <w:p w14:paraId="034CE4E2">
            <w:pPr>
              <w:keepNext w:val="0"/>
              <w:keepLines w:val="0"/>
              <w:widowControl w:val="0"/>
              <w:suppressLineNumbers w:val="0"/>
              <w:spacing w:before="0" w:beforeAutospacing="0" w:after="0" w:afterAutospacing="0" w:line="300" w:lineRule="auto"/>
              <w:ind w:left="0" w:right="0"/>
              <w:jc w:val="left"/>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要求学生用心领悟中外建筑发展的脉络，深入理解不同时期建筑风格的特点与演变。同时，注重培养学生的团队合作精神，使他们能够在讨论和研究中共同进步。还要引导学生关注建筑史的前沿动态，保持对新观点、新发现的敏锐度。通过这些用心且灵活的要求，努力培养出具有深厚建筑史素养和创新能力的专业人才。</w:t>
            </w:r>
          </w:p>
        </w:tc>
      </w:tr>
    </w:tbl>
    <w:p w14:paraId="1053ABC8">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楷体" w:cs="楷体"/>
          <w:color w:val="auto"/>
          <w:sz w:val="32"/>
          <w:szCs w:val="32"/>
          <w:highlight w:val="none"/>
          <w:lang w:val="en-US" w:eastAsia="zh-CN"/>
        </w:rPr>
      </w:pPr>
      <w:r>
        <w:rPr>
          <w:rFonts w:hint="eastAsia" w:ascii="Times New Roman" w:hAnsi="Times New Roman" w:eastAsia="楷体" w:cs="楷体"/>
          <w:color w:val="auto"/>
          <w:sz w:val="32"/>
          <w:szCs w:val="32"/>
          <w:highlight w:val="none"/>
          <w:lang w:val="en-US" w:eastAsia="zh-CN"/>
        </w:rPr>
        <w:t>（三）第二课堂</w:t>
      </w:r>
    </w:p>
    <w:p w14:paraId="7EE433C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default" w:ascii="Times New Roman" w:hAnsi="Times New Roman" w:eastAsia="仿宋_GB2312" w:cs="仿宋"/>
          <w:color w:val="auto"/>
          <w:sz w:val="32"/>
          <w:szCs w:val="32"/>
          <w:highlight w:val="none"/>
          <w:lang w:val="en-US" w:eastAsia="zh-CN"/>
        </w:rPr>
      </w:pPr>
      <w:r>
        <w:rPr>
          <w:rFonts w:hint="eastAsia" w:ascii="Times New Roman" w:hAnsi="Times New Roman" w:eastAsia="仿宋_GB2312" w:cs="仿宋"/>
          <w:color w:val="auto"/>
          <w:sz w:val="32"/>
          <w:szCs w:val="32"/>
          <w:highlight w:val="none"/>
          <w:lang w:val="en-US" w:eastAsia="zh-CN"/>
        </w:rPr>
        <w:t>第二课堂包括思想成长、社会实践与志愿服务、文艺体育、工作履历、科技学术和创新创业、专业技能特长等其他各类课程及活动。</w:t>
      </w:r>
    </w:p>
    <w:p w14:paraId="29952C0F">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Times New Roman" w:hAnsi="Times New Roman" w:eastAsia="黑体"/>
          <w:color w:val="auto"/>
          <w:sz w:val="32"/>
          <w:szCs w:val="32"/>
          <w:highlight w:val="none"/>
        </w:rPr>
      </w:pPr>
      <w:r>
        <w:rPr>
          <w:rFonts w:ascii="Times New Roman" w:hAnsi="Times New Roman" w:eastAsia="黑体"/>
          <w:color w:val="auto"/>
          <w:sz w:val="32"/>
          <w:szCs w:val="32"/>
          <w:highlight w:val="none"/>
        </w:rPr>
        <w:t>七、教学进程总体安排</w:t>
      </w:r>
    </w:p>
    <w:p w14:paraId="023B0BB4">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Times New Roman" w:hAnsi="Times New Roman" w:eastAsia="楷体" w:cs="楷体"/>
          <w:color w:val="auto"/>
          <w:sz w:val="32"/>
          <w:szCs w:val="32"/>
          <w:highlight w:val="none"/>
          <w:lang w:eastAsia="zh-CN"/>
        </w:rPr>
      </w:pPr>
      <w:r>
        <w:rPr>
          <w:rFonts w:hint="eastAsia" w:ascii="Times New Roman" w:hAnsi="Times New Roman" w:eastAsia="楷体" w:cs="楷体"/>
          <w:color w:val="auto"/>
          <w:sz w:val="32"/>
          <w:szCs w:val="32"/>
          <w:highlight w:val="none"/>
          <w:lang w:eastAsia="zh-CN"/>
        </w:rPr>
        <w:t>（一）教学时间安排</w:t>
      </w:r>
    </w:p>
    <w:p w14:paraId="40E32BC2">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仿宋_GB2312" w:cs="仿宋"/>
          <w:color w:val="auto"/>
          <w:sz w:val="32"/>
          <w:szCs w:val="32"/>
          <w:highlight w:val="none"/>
          <w:lang w:val="en-US" w:eastAsia="zh-CN"/>
        </w:rPr>
      </w:pPr>
      <w:r>
        <w:rPr>
          <w:rFonts w:hint="eastAsia" w:ascii="Times New Roman" w:hAnsi="Times New Roman" w:eastAsia="仿宋_GB2312" w:cs="仿宋"/>
          <w:color w:val="auto"/>
          <w:sz w:val="32"/>
          <w:szCs w:val="32"/>
          <w:highlight w:val="none"/>
          <w:lang w:val="en-US" w:eastAsia="zh-CN"/>
        </w:rPr>
        <w:t>本专业总周数为120周。其中，校内教学共76周，校外教学共31周，复习考试共6周，机动共7周。教学安排可根据具体情况经教务科研处审批后作适当调整。</w:t>
      </w:r>
    </w:p>
    <w:p w14:paraId="1774C932">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outlineLvl w:val="0"/>
        <w:rPr>
          <w:rFonts w:hint="default" w:ascii="Times New Roman" w:hAnsi="Times New Roman" w:eastAsia="仿宋_GB2312" w:cs="仿宋"/>
          <w:color w:val="auto"/>
          <w:sz w:val="32"/>
          <w:szCs w:val="32"/>
          <w:highlight w:val="none"/>
          <w:lang w:val="en-US" w:eastAsia="zh-CN"/>
        </w:rPr>
      </w:pPr>
      <w:r>
        <w:rPr>
          <w:rFonts w:hint="eastAsia" w:ascii="Times New Roman" w:hAnsi="Times New Roman" w:eastAsia="仿宋_GB2312" w:cs="仿宋"/>
          <w:color w:val="auto"/>
          <w:sz w:val="32"/>
          <w:szCs w:val="32"/>
          <w:highlight w:val="none"/>
          <w:lang w:val="en-US" w:eastAsia="zh-CN"/>
        </w:rPr>
        <w:t>道路与桥梁工程技术专业教学时间安排表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201"/>
        <w:gridCol w:w="1218"/>
        <w:gridCol w:w="1218"/>
        <w:gridCol w:w="1218"/>
        <w:gridCol w:w="1218"/>
        <w:gridCol w:w="1233"/>
      </w:tblGrid>
      <w:tr w14:paraId="14BA2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2653" w:type="dxa"/>
            <w:gridSpan w:val="2"/>
            <w:noWrap w:val="0"/>
            <w:vAlign w:val="top"/>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14:paraId="413A5A4E">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20" w:lineRule="exact"/>
              <w:ind w:left="0" w:right="0"/>
              <w:textAlignment w:val="auto"/>
              <w:rPr>
                <w:rFonts w:hint="eastAsia" w:ascii="Times New Roman" w:hAnsi="Times New Roman" w:eastAsia="仿宋" w:cs="仿宋"/>
                <w:color w:val="auto"/>
                <w:sz w:val="24"/>
                <w:szCs w:val="24"/>
                <w:highlight w:val="none"/>
                <w:vertAlign w:val="baseline"/>
                <w:lang w:eastAsia="zh-CN"/>
              </w:rPr>
            </w:pPr>
          </w:p>
          <w:p w14:paraId="44ECC7D1">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20" w:lineRule="exact"/>
              <w:ind w:left="0" w:right="0"/>
              <w:textAlignment w:val="auto"/>
              <mc:AlternateContent>
                <mc:Choice Requires="wpsCustomData">
                  <wpsCustomData:diagonalParaType/>
                </mc:Choice>
              </mc:AlternateContent>
              <w:rPr>
                <w:rFonts w:hint="eastAsia" w:ascii="Times New Roman" w:hAnsi="Times New Roman" w:eastAsia="仿宋" w:cs="仿宋"/>
                <w:color w:val="auto"/>
                <w:sz w:val="24"/>
                <w:szCs w:val="24"/>
                <w:highlight w:val="none"/>
                <w:vertAlign w:val="baseline"/>
                <w:lang w:eastAsia="zh-CN"/>
              </w:rPr>
            </w:pPr>
            <w:r>
              <w:rPr>
                <w:rFonts w:hint="eastAsia" w:ascii="Times New Roman" w:hAnsi="Times New Roman" w:eastAsia="仿宋" w:cs="仿宋"/>
                <w:color w:val="auto"/>
                <w:sz w:val="24"/>
                <w:szCs w:val="24"/>
                <w:highlight w:val="none"/>
                <w:vertAlign w:val="baseline"/>
                <w:lang w:eastAsia="zh-CN"/>
              </w:rPr>
              <w:t>学年</w:t>
            </w:r>
          </w:p>
          <w:p w14:paraId="215C34C7">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20" w:lineRule="exact"/>
              <w:ind w:left="0" w:right="0"/>
              <w:textAlignment w:val="auto"/>
              <w:rPr>
                <w:rFonts w:hint="eastAsia" w:ascii="Times New Roman" w:hAnsi="Times New Roman" w:eastAsia="仿宋" w:cs="仿宋"/>
                <w:color w:val="auto"/>
                <w:sz w:val="24"/>
                <w:szCs w:val="24"/>
                <w:highlight w:val="none"/>
                <w:vertAlign w:val="baseline"/>
                <w:lang w:val="en-US" w:eastAsia="zh-CN"/>
              </w:rPr>
            </w:pPr>
          </w:p>
          <w:p w14:paraId="6AA7EA20">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20" w:lineRule="exact"/>
              <w:ind w:left="0" w:right="0"/>
              <w:textAlignment w:val="auto"/>
              <mc:AlternateContent>
                <mc:Choice Requires="wpsCustomData">
                  <wpsCustomData:diagonalParaType/>
                </mc:Choice>
              </mc:AlternateContent>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周数</w:t>
            </w:r>
          </w:p>
          <w:p w14:paraId="3673D21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firstLine="240" w:firstLineChars="100"/>
              <w:textAlignment w:val="auto"/>
              <w:rPr>
                <w:rFonts w:hint="eastAsia" w:ascii="Times New Roman" w:hAnsi="Times New Roman" w:eastAsia="仿宋" w:cs="仿宋"/>
                <w:color w:val="auto"/>
                <w:sz w:val="24"/>
                <w:szCs w:val="24"/>
                <w:highlight w:val="none"/>
                <w:vertAlign w:val="baseline"/>
                <w:lang w:eastAsia="zh-CN"/>
              </w:rPr>
            </w:pPr>
            <w:r>
              <w:rPr>
                <w:rFonts w:hint="eastAsia" w:ascii="Times New Roman" w:hAnsi="Times New Roman" w:eastAsia="仿宋" w:cs="仿宋"/>
                <w:color w:val="auto"/>
                <w:sz w:val="24"/>
                <w:szCs w:val="24"/>
                <w:highlight w:val="none"/>
                <w:vertAlign w:val="baseline"/>
                <w:lang w:eastAsia="zh-CN"/>
              </w:rPr>
              <w:t>内容</w:t>
            </w:r>
          </w:p>
        </w:tc>
        <w:tc>
          <w:tcPr>
            <w:tcW w:w="1327" w:type="dxa"/>
            <w:noWrap w:val="0"/>
            <w:vAlign w:val="center"/>
          </w:tcPr>
          <w:p w14:paraId="373F4C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校内教学</w:t>
            </w:r>
          </w:p>
        </w:tc>
        <w:tc>
          <w:tcPr>
            <w:tcW w:w="1327" w:type="dxa"/>
            <w:noWrap w:val="0"/>
            <w:vAlign w:val="center"/>
          </w:tcPr>
          <w:p w14:paraId="5298C66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校外教学</w:t>
            </w:r>
          </w:p>
        </w:tc>
        <w:tc>
          <w:tcPr>
            <w:tcW w:w="1327" w:type="dxa"/>
            <w:noWrap w:val="0"/>
            <w:vAlign w:val="center"/>
          </w:tcPr>
          <w:p w14:paraId="73661C8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考试</w:t>
            </w:r>
          </w:p>
        </w:tc>
        <w:tc>
          <w:tcPr>
            <w:tcW w:w="1327" w:type="dxa"/>
            <w:noWrap w:val="0"/>
            <w:vAlign w:val="center"/>
          </w:tcPr>
          <w:p w14:paraId="4317539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机动</w:t>
            </w:r>
          </w:p>
        </w:tc>
        <w:tc>
          <w:tcPr>
            <w:tcW w:w="1327" w:type="dxa"/>
            <w:noWrap w:val="0"/>
            <w:vAlign w:val="center"/>
          </w:tcPr>
          <w:p w14:paraId="2A3F8F7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合计</w:t>
            </w:r>
          </w:p>
        </w:tc>
      </w:tr>
      <w:tr w14:paraId="6CA8F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center"/>
          </w:tcPr>
          <w:p w14:paraId="6D2066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第一学年</w:t>
            </w:r>
          </w:p>
        </w:tc>
        <w:tc>
          <w:tcPr>
            <w:tcW w:w="1327" w:type="dxa"/>
            <w:noWrap w:val="0"/>
            <w:vAlign w:val="center"/>
          </w:tcPr>
          <w:p w14:paraId="3BD3DA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0AA65D5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18</w:t>
            </w:r>
          </w:p>
        </w:tc>
        <w:tc>
          <w:tcPr>
            <w:tcW w:w="1327" w:type="dxa"/>
            <w:noWrap w:val="0"/>
            <w:vAlign w:val="center"/>
          </w:tcPr>
          <w:p w14:paraId="6C057AA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0</w:t>
            </w:r>
          </w:p>
        </w:tc>
        <w:tc>
          <w:tcPr>
            <w:tcW w:w="1327" w:type="dxa"/>
            <w:noWrap w:val="0"/>
            <w:vAlign w:val="center"/>
          </w:tcPr>
          <w:p w14:paraId="2A52DE0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62FAD9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72CDD74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20</w:t>
            </w:r>
          </w:p>
        </w:tc>
      </w:tr>
      <w:tr w14:paraId="473CA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center"/>
          </w:tcPr>
          <w:p w14:paraId="49E48A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07E458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w:t>
            </w:r>
          </w:p>
        </w:tc>
        <w:tc>
          <w:tcPr>
            <w:tcW w:w="1327" w:type="dxa"/>
            <w:noWrap w:val="0"/>
            <w:vAlign w:val="center"/>
          </w:tcPr>
          <w:p w14:paraId="0E95543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18</w:t>
            </w:r>
          </w:p>
        </w:tc>
        <w:tc>
          <w:tcPr>
            <w:tcW w:w="1327" w:type="dxa"/>
            <w:noWrap w:val="0"/>
            <w:vAlign w:val="center"/>
          </w:tcPr>
          <w:p w14:paraId="30AD001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0</w:t>
            </w:r>
          </w:p>
        </w:tc>
        <w:tc>
          <w:tcPr>
            <w:tcW w:w="1327" w:type="dxa"/>
            <w:noWrap w:val="0"/>
            <w:vAlign w:val="center"/>
          </w:tcPr>
          <w:p w14:paraId="5038E52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3D65B0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3E971C9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20</w:t>
            </w:r>
          </w:p>
        </w:tc>
      </w:tr>
      <w:tr w14:paraId="12CDD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center"/>
          </w:tcPr>
          <w:p w14:paraId="10FD48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第二学年</w:t>
            </w:r>
          </w:p>
        </w:tc>
        <w:tc>
          <w:tcPr>
            <w:tcW w:w="1327" w:type="dxa"/>
            <w:noWrap w:val="0"/>
            <w:vAlign w:val="center"/>
          </w:tcPr>
          <w:p w14:paraId="690AC6A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3</w:t>
            </w:r>
          </w:p>
        </w:tc>
        <w:tc>
          <w:tcPr>
            <w:tcW w:w="1327" w:type="dxa"/>
            <w:noWrap w:val="0"/>
            <w:vAlign w:val="center"/>
          </w:tcPr>
          <w:p w14:paraId="1BE03F9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18</w:t>
            </w:r>
          </w:p>
        </w:tc>
        <w:tc>
          <w:tcPr>
            <w:tcW w:w="1327" w:type="dxa"/>
            <w:noWrap w:val="0"/>
            <w:vAlign w:val="center"/>
          </w:tcPr>
          <w:p w14:paraId="1A46DAF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0</w:t>
            </w:r>
          </w:p>
        </w:tc>
        <w:tc>
          <w:tcPr>
            <w:tcW w:w="1327" w:type="dxa"/>
            <w:noWrap w:val="0"/>
            <w:vAlign w:val="center"/>
          </w:tcPr>
          <w:p w14:paraId="2A508B3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1622679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7EFFE11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20</w:t>
            </w:r>
          </w:p>
        </w:tc>
      </w:tr>
      <w:tr w14:paraId="5FBA1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center"/>
          </w:tcPr>
          <w:p w14:paraId="3F7F5A6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7AF7521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4</w:t>
            </w:r>
          </w:p>
        </w:tc>
        <w:tc>
          <w:tcPr>
            <w:tcW w:w="1327" w:type="dxa"/>
            <w:noWrap w:val="0"/>
            <w:vAlign w:val="center"/>
          </w:tcPr>
          <w:p w14:paraId="65B4812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18</w:t>
            </w:r>
          </w:p>
        </w:tc>
        <w:tc>
          <w:tcPr>
            <w:tcW w:w="1327" w:type="dxa"/>
            <w:noWrap w:val="0"/>
            <w:vAlign w:val="center"/>
          </w:tcPr>
          <w:p w14:paraId="3F64556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0</w:t>
            </w:r>
          </w:p>
        </w:tc>
        <w:tc>
          <w:tcPr>
            <w:tcW w:w="1327" w:type="dxa"/>
            <w:noWrap w:val="0"/>
            <w:vAlign w:val="center"/>
          </w:tcPr>
          <w:p w14:paraId="2C18731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1A6B106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542FA5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20</w:t>
            </w:r>
          </w:p>
        </w:tc>
      </w:tr>
      <w:tr w14:paraId="435CC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center"/>
          </w:tcPr>
          <w:p w14:paraId="3FAEBF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第三学年</w:t>
            </w:r>
          </w:p>
        </w:tc>
        <w:tc>
          <w:tcPr>
            <w:tcW w:w="1327" w:type="dxa"/>
            <w:noWrap w:val="0"/>
            <w:vAlign w:val="center"/>
          </w:tcPr>
          <w:p w14:paraId="319475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5</w:t>
            </w:r>
          </w:p>
        </w:tc>
        <w:tc>
          <w:tcPr>
            <w:tcW w:w="1327" w:type="dxa"/>
            <w:noWrap w:val="0"/>
            <w:vAlign w:val="center"/>
          </w:tcPr>
          <w:p w14:paraId="542BD4A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4</w:t>
            </w:r>
          </w:p>
        </w:tc>
        <w:tc>
          <w:tcPr>
            <w:tcW w:w="1327" w:type="dxa"/>
            <w:noWrap w:val="0"/>
            <w:vAlign w:val="center"/>
          </w:tcPr>
          <w:p w14:paraId="1946698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14</w:t>
            </w:r>
          </w:p>
        </w:tc>
        <w:tc>
          <w:tcPr>
            <w:tcW w:w="1327" w:type="dxa"/>
            <w:noWrap w:val="0"/>
            <w:vAlign w:val="center"/>
          </w:tcPr>
          <w:p w14:paraId="33484F2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64C90E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7703F1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20</w:t>
            </w:r>
          </w:p>
        </w:tc>
      </w:tr>
      <w:tr w14:paraId="52B9B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0C3B813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680120A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6</w:t>
            </w:r>
          </w:p>
        </w:tc>
        <w:tc>
          <w:tcPr>
            <w:tcW w:w="1327" w:type="dxa"/>
            <w:noWrap w:val="0"/>
            <w:vAlign w:val="center"/>
          </w:tcPr>
          <w:p w14:paraId="613695B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0</w:t>
            </w:r>
          </w:p>
        </w:tc>
        <w:tc>
          <w:tcPr>
            <w:tcW w:w="1327" w:type="dxa"/>
            <w:noWrap w:val="0"/>
            <w:vAlign w:val="center"/>
          </w:tcPr>
          <w:p w14:paraId="680E022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17</w:t>
            </w:r>
          </w:p>
        </w:tc>
        <w:tc>
          <w:tcPr>
            <w:tcW w:w="1327" w:type="dxa"/>
            <w:noWrap w:val="0"/>
            <w:vAlign w:val="center"/>
          </w:tcPr>
          <w:p w14:paraId="2829106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12289EA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w:t>
            </w:r>
          </w:p>
        </w:tc>
        <w:tc>
          <w:tcPr>
            <w:tcW w:w="1327" w:type="dxa"/>
            <w:noWrap w:val="0"/>
            <w:vAlign w:val="center"/>
          </w:tcPr>
          <w:p w14:paraId="5349A1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20</w:t>
            </w:r>
          </w:p>
        </w:tc>
      </w:tr>
      <w:tr w14:paraId="660A9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3" w:type="dxa"/>
            <w:gridSpan w:val="2"/>
            <w:noWrap w:val="0"/>
            <w:vAlign w:val="center"/>
          </w:tcPr>
          <w:p w14:paraId="4893965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合计</w:t>
            </w:r>
          </w:p>
        </w:tc>
        <w:tc>
          <w:tcPr>
            <w:tcW w:w="1327" w:type="dxa"/>
            <w:noWrap w:val="0"/>
            <w:vAlign w:val="center"/>
          </w:tcPr>
          <w:p w14:paraId="042A17A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4B8CDE2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65FD542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4B76055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52F0AC4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120</w:t>
            </w:r>
          </w:p>
        </w:tc>
      </w:tr>
    </w:tbl>
    <w:p w14:paraId="4258A264">
      <w:pPr>
        <w:keepNext w:val="0"/>
        <w:keepLines w:val="0"/>
        <w:pageBreakBefore w:val="0"/>
        <w:widowControl w:val="0"/>
        <w:kinsoku/>
        <w:wordWrap/>
        <w:topLinePunct w:val="0"/>
        <w:autoSpaceDE/>
        <w:autoSpaceDN/>
        <w:bidi w:val="0"/>
        <w:snapToGrid/>
        <w:spacing w:line="520" w:lineRule="exact"/>
        <w:ind w:firstLine="320" w:firstLineChars="100"/>
        <w:textAlignment w:val="auto"/>
        <w:rPr>
          <w:rFonts w:hint="eastAsia" w:ascii="Times New Roman" w:hAnsi="Times New Roman" w:eastAsia="楷体" w:cs="楷体"/>
          <w:bCs/>
          <w:color w:val="auto"/>
          <w:sz w:val="32"/>
          <w:szCs w:val="32"/>
          <w:highlight w:val="none"/>
          <w:lang w:eastAsia="zh-CN"/>
        </w:rPr>
      </w:pPr>
      <w:r>
        <w:rPr>
          <w:rFonts w:hint="eastAsia" w:ascii="Times New Roman" w:hAnsi="Times New Roman" w:eastAsia="楷体" w:cs="楷体"/>
          <w:color w:val="auto"/>
          <w:sz w:val="32"/>
          <w:szCs w:val="32"/>
          <w:highlight w:val="none"/>
        </w:rPr>
        <w:t>（</w:t>
      </w:r>
      <w:r>
        <w:rPr>
          <w:rFonts w:hint="eastAsia" w:ascii="Times New Roman" w:hAnsi="Times New Roman" w:eastAsia="楷体" w:cs="楷体"/>
          <w:color w:val="auto"/>
          <w:sz w:val="32"/>
          <w:szCs w:val="32"/>
          <w:highlight w:val="none"/>
          <w:lang w:eastAsia="zh-CN"/>
        </w:rPr>
        <w:t>二</w:t>
      </w:r>
      <w:r>
        <w:rPr>
          <w:rFonts w:hint="eastAsia" w:ascii="Times New Roman" w:hAnsi="Times New Roman" w:eastAsia="楷体" w:cs="楷体"/>
          <w:color w:val="auto"/>
          <w:sz w:val="32"/>
          <w:szCs w:val="32"/>
          <w:highlight w:val="none"/>
        </w:rPr>
        <w:t>）</w:t>
      </w:r>
      <w:r>
        <w:rPr>
          <w:rFonts w:hint="eastAsia" w:ascii="Times New Roman" w:hAnsi="Times New Roman" w:eastAsia="楷体" w:cs="楷体"/>
          <w:bCs/>
          <w:color w:val="auto"/>
          <w:sz w:val="32"/>
          <w:szCs w:val="32"/>
          <w:highlight w:val="none"/>
        </w:rPr>
        <w:t>课程结构与学</w:t>
      </w:r>
      <w:r>
        <w:rPr>
          <w:rFonts w:hint="eastAsia" w:ascii="Times New Roman" w:hAnsi="Times New Roman" w:eastAsia="楷体" w:cs="楷体"/>
          <w:bCs/>
          <w:color w:val="auto"/>
          <w:sz w:val="32"/>
          <w:szCs w:val="32"/>
          <w:highlight w:val="none"/>
          <w:lang w:eastAsia="zh-CN"/>
        </w:rPr>
        <w:t>时、学分分配</w:t>
      </w:r>
    </w:p>
    <w:p w14:paraId="214410C1">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仿宋"/>
          <w:bCs/>
          <w:color w:val="auto"/>
          <w:sz w:val="32"/>
          <w:szCs w:val="32"/>
          <w:highlight w:val="none"/>
          <w:lang w:eastAsia="zh-CN"/>
        </w:rPr>
      </w:pPr>
      <w:r>
        <w:rPr>
          <w:rFonts w:hint="eastAsia" w:ascii="Times New Roman" w:hAnsi="Times New Roman" w:eastAsia="仿宋_GB2312" w:cs="仿宋"/>
          <w:bCs/>
          <w:color w:val="auto"/>
          <w:sz w:val="32"/>
          <w:szCs w:val="32"/>
          <w:highlight w:val="none"/>
          <w:lang w:eastAsia="zh-CN"/>
        </w:rPr>
        <w:t>本专业教学总学时为</w:t>
      </w:r>
      <w:r>
        <w:rPr>
          <w:rFonts w:hint="eastAsia" w:ascii="Times New Roman" w:hAnsi="Times New Roman" w:eastAsia="仿宋_GB2312" w:cs="仿宋"/>
          <w:color w:val="auto"/>
          <w:spacing w:val="-2"/>
          <w:sz w:val="32"/>
          <w:szCs w:val="32"/>
          <w:highlight w:val="none"/>
          <w:lang w:val="en-US" w:eastAsia="zh-CN"/>
        </w:rPr>
        <w:t>3130</w:t>
      </w:r>
      <w:r>
        <w:rPr>
          <w:rFonts w:hint="eastAsia" w:ascii="Times New Roman" w:hAnsi="Times New Roman" w:eastAsia="仿宋_GB2312" w:cs="仿宋"/>
          <w:bCs/>
          <w:color w:val="auto"/>
          <w:sz w:val="32"/>
          <w:szCs w:val="32"/>
          <w:highlight w:val="none"/>
          <w:lang w:eastAsia="zh-CN"/>
        </w:rPr>
        <w:t>学时。其中理论教学</w:t>
      </w:r>
      <w:r>
        <w:rPr>
          <w:rFonts w:hint="eastAsia" w:ascii="Times New Roman" w:hAnsi="Times New Roman" w:eastAsia="仿宋_GB2312" w:cs="仿宋"/>
          <w:color w:val="auto"/>
          <w:spacing w:val="-2"/>
          <w:sz w:val="32"/>
          <w:szCs w:val="32"/>
          <w:highlight w:val="none"/>
          <w:lang w:val="en-US" w:eastAsia="zh-CN"/>
        </w:rPr>
        <w:t>1488</w:t>
      </w:r>
      <w:r>
        <w:rPr>
          <w:rFonts w:hint="eastAsia" w:ascii="Times New Roman" w:hAnsi="Times New Roman" w:eastAsia="仿宋_GB2312" w:cs="仿宋"/>
          <w:bCs/>
          <w:color w:val="auto"/>
          <w:sz w:val="32"/>
          <w:szCs w:val="32"/>
          <w:highlight w:val="none"/>
          <w:lang w:eastAsia="zh-CN"/>
        </w:rPr>
        <w:t>学时，占</w:t>
      </w:r>
      <w:r>
        <w:rPr>
          <w:rFonts w:hint="eastAsia" w:ascii="Times New Roman" w:hAnsi="Times New Roman" w:eastAsia="仿宋_GB2312" w:cs="仿宋"/>
          <w:color w:val="auto"/>
          <w:spacing w:val="-2"/>
          <w:sz w:val="32"/>
          <w:szCs w:val="32"/>
          <w:highlight w:val="none"/>
          <w:lang w:val="en-US" w:eastAsia="zh-CN"/>
        </w:rPr>
        <w:t>47.54</w:t>
      </w:r>
      <w:r>
        <w:rPr>
          <w:rFonts w:hint="eastAsia" w:ascii="Times New Roman" w:hAnsi="Times New Roman" w:eastAsia="仿宋_GB2312" w:cs="仿宋"/>
          <w:bCs/>
          <w:color w:val="auto"/>
          <w:sz w:val="32"/>
          <w:szCs w:val="32"/>
          <w:highlight w:val="none"/>
          <w:lang w:eastAsia="zh-CN"/>
        </w:rPr>
        <w:t>%；实践教学</w:t>
      </w:r>
      <w:r>
        <w:rPr>
          <w:rFonts w:hint="eastAsia" w:ascii="Times New Roman" w:hAnsi="Times New Roman" w:eastAsia="仿宋_GB2312" w:cs="仿宋"/>
          <w:bCs/>
          <w:color w:val="auto"/>
          <w:sz w:val="32"/>
          <w:szCs w:val="32"/>
          <w:highlight w:val="none"/>
          <w:lang w:val="en-US" w:eastAsia="zh-CN"/>
        </w:rPr>
        <w:t>1642</w:t>
      </w:r>
      <w:r>
        <w:rPr>
          <w:rFonts w:hint="eastAsia" w:ascii="Times New Roman" w:hAnsi="Times New Roman" w:eastAsia="仿宋_GB2312" w:cs="仿宋"/>
          <w:bCs/>
          <w:color w:val="auto"/>
          <w:sz w:val="32"/>
          <w:szCs w:val="32"/>
          <w:highlight w:val="none"/>
          <w:lang w:eastAsia="zh-CN"/>
        </w:rPr>
        <w:t>学时，占</w:t>
      </w:r>
      <w:r>
        <w:rPr>
          <w:rFonts w:hint="eastAsia" w:ascii="Times New Roman" w:hAnsi="Times New Roman" w:eastAsia="仿宋_GB2312" w:cs="仿宋"/>
          <w:color w:val="auto"/>
          <w:spacing w:val="-2"/>
          <w:sz w:val="32"/>
          <w:szCs w:val="32"/>
          <w:highlight w:val="none"/>
          <w:lang w:val="en-US" w:eastAsia="zh-CN"/>
        </w:rPr>
        <w:t>52.46</w:t>
      </w:r>
      <w:r>
        <w:rPr>
          <w:rFonts w:hint="eastAsia" w:ascii="Times New Roman" w:hAnsi="Times New Roman" w:eastAsia="仿宋_GB2312" w:cs="仿宋"/>
          <w:bCs/>
          <w:color w:val="auto"/>
          <w:sz w:val="32"/>
          <w:szCs w:val="32"/>
          <w:highlight w:val="none"/>
          <w:lang w:val="en-US" w:eastAsia="zh-CN"/>
        </w:rPr>
        <w:t>%，其中岗位实习累计时间6个月。</w:t>
      </w:r>
      <w:r>
        <w:rPr>
          <w:rFonts w:hint="eastAsia" w:ascii="Times New Roman" w:hAnsi="Times New Roman" w:eastAsia="仿宋_GB2312" w:cs="仿宋"/>
          <w:bCs/>
          <w:color w:val="auto"/>
          <w:sz w:val="32"/>
          <w:szCs w:val="32"/>
          <w:highlight w:val="none"/>
          <w:lang w:eastAsia="zh-CN"/>
        </w:rPr>
        <w:t>公共基础课</w:t>
      </w:r>
      <w:r>
        <w:rPr>
          <w:rFonts w:hint="eastAsia" w:ascii="Times New Roman" w:hAnsi="Times New Roman" w:eastAsia="仿宋_GB2312" w:cs="仿宋"/>
          <w:bCs/>
          <w:color w:val="auto"/>
          <w:sz w:val="32"/>
          <w:szCs w:val="32"/>
          <w:highlight w:val="none"/>
          <w:lang w:val="en-US" w:eastAsia="zh-CN"/>
        </w:rPr>
        <w:t>974</w:t>
      </w:r>
      <w:r>
        <w:rPr>
          <w:rFonts w:hint="eastAsia" w:ascii="Times New Roman" w:hAnsi="Times New Roman" w:eastAsia="仿宋_GB2312" w:cs="仿宋"/>
          <w:bCs/>
          <w:color w:val="auto"/>
          <w:sz w:val="32"/>
          <w:szCs w:val="32"/>
          <w:highlight w:val="none"/>
          <w:lang w:eastAsia="zh-CN"/>
        </w:rPr>
        <w:t>学时，占</w:t>
      </w:r>
      <w:r>
        <w:rPr>
          <w:rFonts w:hint="eastAsia" w:ascii="Times New Roman" w:hAnsi="Times New Roman" w:eastAsia="仿宋_GB2312" w:cs="仿宋"/>
          <w:bCs/>
          <w:color w:val="auto"/>
          <w:sz w:val="32"/>
          <w:szCs w:val="32"/>
          <w:highlight w:val="none"/>
          <w:lang w:val="en-US" w:eastAsia="zh-CN"/>
        </w:rPr>
        <w:t>31.12</w:t>
      </w:r>
      <w:r>
        <w:rPr>
          <w:rFonts w:hint="eastAsia" w:ascii="Times New Roman" w:hAnsi="Times New Roman" w:eastAsia="仿宋_GB2312" w:cs="仿宋"/>
          <w:bCs/>
          <w:color w:val="auto"/>
          <w:sz w:val="32"/>
          <w:szCs w:val="32"/>
          <w:highlight w:val="none"/>
          <w:lang w:eastAsia="zh-CN"/>
        </w:rPr>
        <w:t>%；选修课</w:t>
      </w:r>
      <w:r>
        <w:rPr>
          <w:rFonts w:hint="eastAsia" w:ascii="Times New Roman" w:hAnsi="Times New Roman" w:eastAsia="仿宋_GB2312" w:cs="仿宋"/>
          <w:bCs/>
          <w:color w:val="auto"/>
          <w:sz w:val="32"/>
          <w:szCs w:val="32"/>
          <w:highlight w:val="none"/>
          <w:lang w:val="en-US" w:eastAsia="zh-CN"/>
        </w:rPr>
        <w:t>324</w:t>
      </w:r>
      <w:r>
        <w:rPr>
          <w:rFonts w:hint="eastAsia" w:ascii="Times New Roman" w:hAnsi="Times New Roman" w:eastAsia="仿宋_GB2312" w:cs="仿宋"/>
          <w:bCs/>
          <w:color w:val="auto"/>
          <w:sz w:val="32"/>
          <w:szCs w:val="32"/>
          <w:highlight w:val="none"/>
          <w:lang w:eastAsia="zh-CN"/>
        </w:rPr>
        <w:t>学时，占</w:t>
      </w:r>
      <w:r>
        <w:rPr>
          <w:rFonts w:hint="eastAsia" w:ascii="Times New Roman" w:hAnsi="Times New Roman" w:eastAsia="仿宋_GB2312" w:cs="仿宋"/>
          <w:bCs/>
          <w:color w:val="auto"/>
          <w:sz w:val="32"/>
          <w:szCs w:val="32"/>
          <w:highlight w:val="none"/>
          <w:lang w:val="en-US" w:eastAsia="zh-CN"/>
        </w:rPr>
        <w:t>10.35</w:t>
      </w:r>
      <w:r>
        <w:rPr>
          <w:rFonts w:hint="eastAsia" w:ascii="Times New Roman" w:hAnsi="Times New Roman" w:eastAsia="仿宋_GB2312" w:cs="仿宋"/>
          <w:bCs/>
          <w:color w:val="auto"/>
          <w:sz w:val="32"/>
          <w:szCs w:val="32"/>
          <w:highlight w:val="none"/>
          <w:lang w:eastAsia="zh-CN"/>
        </w:rPr>
        <w:t>%。</w:t>
      </w:r>
    </w:p>
    <w:p w14:paraId="087E7357">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仿宋_GB2312" w:cs="仿宋"/>
          <w:color w:val="auto"/>
          <w:sz w:val="32"/>
          <w:szCs w:val="32"/>
          <w:highlight w:val="none"/>
          <w:lang w:eastAsia="zh-CN"/>
        </w:rPr>
      </w:pPr>
      <w:r>
        <w:rPr>
          <w:rFonts w:hint="eastAsia" w:ascii="Times New Roman" w:hAnsi="Times New Roman" w:eastAsia="仿宋_GB2312" w:cs="仿宋"/>
          <w:color w:val="auto"/>
          <w:sz w:val="32"/>
          <w:szCs w:val="32"/>
          <w:highlight w:val="none"/>
          <w:lang w:eastAsia="zh-CN"/>
        </w:rPr>
        <w:t>道路与桥梁工程专业课程学时、学分分配表</w:t>
      </w:r>
    </w:p>
    <w:tbl>
      <w:tblPr>
        <w:tblStyle w:val="4"/>
        <w:tblW w:w="10389" w:type="dxa"/>
        <w:tblInd w:w="-8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75"/>
        <w:gridCol w:w="1590"/>
        <w:gridCol w:w="735"/>
        <w:gridCol w:w="975"/>
        <w:gridCol w:w="1155"/>
        <w:gridCol w:w="1020"/>
        <w:gridCol w:w="945"/>
        <w:gridCol w:w="1260"/>
        <w:gridCol w:w="915"/>
        <w:gridCol w:w="1119"/>
      </w:tblGrid>
      <w:tr w14:paraId="462B9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trPr>
        <w:tc>
          <w:tcPr>
            <w:tcW w:w="226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0D2A27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课程类别</w:t>
            </w:r>
          </w:p>
        </w:tc>
        <w:tc>
          <w:tcPr>
            <w:tcW w:w="735" w:type="dxa"/>
            <w:vMerge w:val="restart"/>
            <w:tcBorders>
              <w:top w:val="single" w:color="000000" w:sz="8" w:space="0"/>
              <w:left w:val="nil"/>
              <w:bottom w:val="single" w:color="000000" w:sz="8" w:space="0"/>
              <w:right w:val="single" w:color="000000" w:sz="8" w:space="0"/>
            </w:tcBorders>
            <w:shd w:val="clear" w:color="auto" w:fill="auto"/>
            <w:noWrap/>
            <w:vAlign w:val="center"/>
          </w:tcPr>
          <w:p w14:paraId="147E607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课程性质</w:t>
            </w:r>
          </w:p>
        </w:tc>
        <w:tc>
          <w:tcPr>
            <w:tcW w:w="975" w:type="dxa"/>
            <w:vMerge w:val="restart"/>
            <w:tcBorders>
              <w:top w:val="single" w:color="000000" w:sz="8" w:space="0"/>
              <w:left w:val="nil"/>
              <w:bottom w:val="single" w:color="000000" w:sz="8" w:space="0"/>
              <w:right w:val="single" w:color="000000" w:sz="8" w:space="0"/>
            </w:tcBorders>
            <w:shd w:val="clear" w:color="auto" w:fill="auto"/>
            <w:noWrap/>
            <w:vAlign w:val="center"/>
          </w:tcPr>
          <w:p w14:paraId="6134F99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学分</w:t>
            </w:r>
          </w:p>
        </w:tc>
        <w:tc>
          <w:tcPr>
            <w:tcW w:w="1155" w:type="dxa"/>
            <w:vMerge w:val="restart"/>
            <w:tcBorders>
              <w:top w:val="single" w:color="000000" w:sz="8" w:space="0"/>
              <w:left w:val="nil"/>
              <w:bottom w:val="single" w:color="000000" w:sz="8" w:space="0"/>
              <w:right w:val="single" w:color="000000" w:sz="8" w:space="0"/>
            </w:tcBorders>
            <w:shd w:val="clear" w:color="auto" w:fill="auto"/>
            <w:noWrap/>
            <w:vAlign w:val="center"/>
          </w:tcPr>
          <w:p w14:paraId="45E0D05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占专业总学分比例</w:t>
            </w:r>
          </w:p>
        </w:tc>
        <w:tc>
          <w:tcPr>
            <w:tcW w:w="5259" w:type="dxa"/>
            <w:gridSpan w:val="5"/>
            <w:tcBorders>
              <w:top w:val="single" w:color="000000" w:sz="8" w:space="0"/>
              <w:left w:val="nil"/>
              <w:bottom w:val="single" w:color="000000" w:sz="8" w:space="0"/>
              <w:right w:val="single" w:color="000000" w:sz="8" w:space="0"/>
            </w:tcBorders>
            <w:shd w:val="clear" w:color="auto" w:fill="auto"/>
            <w:noWrap/>
            <w:vAlign w:val="center"/>
          </w:tcPr>
          <w:p w14:paraId="44E3C8F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学时</w:t>
            </w:r>
          </w:p>
        </w:tc>
      </w:tr>
      <w:tr w14:paraId="6B5D8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26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55A8EED3">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73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6835838C">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97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368D8DE0">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115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44CBD5CB">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1020" w:type="dxa"/>
            <w:vMerge w:val="restart"/>
            <w:tcBorders>
              <w:top w:val="nil"/>
              <w:left w:val="nil"/>
              <w:bottom w:val="single" w:color="000000" w:sz="8" w:space="0"/>
              <w:right w:val="single" w:color="000000" w:sz="8" w:space="0"/>
            </w:tcBorders>
            <w:shd w:val="clear" w:color="auto" w:fill="auto"/>
            <w:noWrap/>
            <w:vAlign w:val="center"/>
          </w:tcPr>
          <w:p w14:paraId="0D41B70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合计</w:t>
            </w:r>
          </w:p>
        </w:tc>
        <w:tc>
          <w:tcPr>
            <w:tcW w:w="2205" w:type="dxa"/>
            <w:gridSpan w:val="2"/>
            <w:tcBorders>
              <w:top w:val="single" w:color="000000" w:sz="8" w:space="0"/>
              <w:left w:val="nil"/>
              <w:bottom w:val="single" w:color="000000" w:sz="8" w:space="0"/>
              <w:right w:val="single" w:color="000000" w:sz="8" w:space="0"/>
            </w:tcBorders>
            <w:shd w:val="clear" w:color="auto" w:fill="auto"/>
            <w:noWrap/>
            <w:vAlign w:val="center"/>
          </w:tcPr>
          <w:p w14:paraId="2B835A3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理论教学</w:t>
            </w:r>
          </w:p>
        </w:tc>
        <w:tc>
          <w:tcPr>
            <w:tcW w:w="2034" w:type="dxa"/>
            <w:gridSpan w:val="2"/>
            <w:tcBorders>
              <w:top w:val="single" w:color="000000" w:sz="8" w:space="0"/>
              <w:left w:val="nil"/>
              <w:bottom w:val="single" w:color="000000" w:sz="8" w:space="0"/>
              <w:right w:val="single" w:color="000000" w:sz="8" w:space="0"/>
            </w:tcBorders>
            <w:shd w:val="clear" w:color="auto" w:fill="auto"/>
            <w:noWrap/>
            <w:vAlign w:val="center"/>
          </w:tcPr>
          <w:p w14:paraId="458489F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实践教学</w:t>
            </w:r>
          </w:p>
        </w:tc>
      </w:tr>
      <w:tr w14:paraId="4C3935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1" w:hRule="atLeast"/>
        </w:trPr>
        <w:tc>
          <w:tcPr>
            <w:tcW w:w="226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29BF697D">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73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3ECAC0A2">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97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33983D5E">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115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5AA7F885">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1020" w:type="dxa"/>
            <w:vMerge w:val="continue"/>
            <w:tcBorders>
              <w:top w:val="nil"/>
              <w:left w:val="nil"/>
              <w:bottom w:val="single" w:color="000000" w:sz="8" w:space="0"/>
              <w:right w:val="single" w:color="000000" w:sz="8" w:space="0"/>
            </w:tcBorders>
            <w:shd w:val="clear" w:color="auto" w:fill="auto"/>
            <w:noWrap/>
            <w:vAlign w:val="center"/>
          </w:tcPr>
          <w:p w14:paraId="19EA70C1">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945" w:type="dxa"/>
            <w:tcBorders>
              <w:top w:val="nil"/>
              <w:left w:val="nil"/>
              <w:bottom w:val="single" w:color="000000" w:sz="8" w:space="0"/>
              <w:right w:val="single" w:color="000000" w:sz="8" w:space="0"/>
            </w:tcBorders>
            <w:shd w:val="clear" w:color="auto" w:fill="auto"/>
            <w:noWrap/>
            <w:vAlign w:val="center"/>
          </w:tcPr>
          <w:p w14:paraId="4441254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学时</w:t>
            </w:r>
          </w:p>
        </w:tc>
        <w:tc>
          <w:tcPr>
            <w:tcW w:w="1260" w:type="dxa"/>
            <w:tcBorders>
              <w:top w:val="nil"/>
              <w:left w:val="nil"/>
              <w:bottom w:val="single" w:color="000000" w:sz="8" w:space="0"/>
              <w:right w:val="single" w:color="000000" w:sz="8" w:space="0"/>
            </w:tcBorders>
            <w:shd w:val="clear" w:color="auto" w:fill="auto"/>
            <w:vAlign w:val="center"/>
          </w:tcPr>
          <w:p w14:paraId="7182394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占专业总学时比例（%）</w:t>
            </w:r>
          </w:p>
        </w:tc>
        <w:tc>
          <w:tcPr>
            <w:tcW w:w="915" w:type="dxa"/>
            <w:tcBorders>
              <w:top w:val="single" w:color="000000" w:sz="8" w:space="0"/>
              <w:left w:val="nil"/>
              <w:bottom w:val="single" w:color="000000" w:sz="8" w:space="0"/>
              <w:right w:val="single" w:color="000000" w:sz="8" w:space="0"/>
            </w:tcBorders>
            <w:shd w:val="clear" w:color="auto" w:fill="auto"/>
            <w:noWrap/>
            <w:vAlign w:val="center"/>
          </w:tcPr>
          <w:p w14:paraId="6697BD6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学时</w:t>
            </w:r>
          </w:p>
        </w:tc>
        <w:tc>
          <w:tcPr>
            <w:tcW w:w="1119" w:type="dxa"/>
            <w:tcBorders>
              <w:top w:val="single" w:color="000000" w:sz="8" w:space="0"/>
              <w:left w:val="nil"/>
              <w:bottom w:val="single" w:color="000000" w:sz="8" w:space="0"/>
              <w:right w:val="single" w:color="000000" w:sz="8" w:space="0"/>
            </w:tcBorders>
            <w:shd w:val="clear" w:color="auto" w:fill="auto"/>
            <w:vAlign w:val="center"/>
          </w:tcPr>
          <w:p w14:paraId="736C9B1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占专业总学时比例（%）</w:t>
            </w:r>
          </w:p>
        </w:tc>
      </w:tr>
      <w:tr w14:paraId="232D1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2265" w:type="dxa"/>
            <w:gridSpan w:val="2"/>
            <w:vMerge w:val="restart"/>
            <w:tcBorders>
              <w:top w:val="nil"/>
              <w:left w:val="single" w:color="000000" w:sz="8" w:space="0"/>
              <w:bottom w:val="single" w:color="000000" w:sz="8" w:space="0"/>
              <w:right w:val="single" w:color="000000" w:sz="8" w:space="0"/>
            </w:tcBorders>
            <w:shd w:val="clear" w:color="auto" w:fill="auto"/>
            <w:noWrap/>
            <w:vAlign w:val="center"/>
          </w:tcPr>
          <w:p w14:paraId="15C9FCA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公共基础课</w:t>
            </w:r>
          </w:p>
        </w:tc>
        <w:tc>
          <w:tcPr>
            <w:tcW w:w="735" w:type="dxa"/>
            <w:tcBorders>
              <w:top w:val="nil"/>
              <w:left w:val="nil"/>
              <w:bottom w:val="single" w:color="000000" w:sz="8" w:space="0"/>
              <w:right w:val="single" w:color="000000" w:sz="8" w:space="0"/>
            </w:tcBorders>
            <w:shd w:val="clear" w:color="auto" w:fill="auto"/>
            <w:noWrap/>
            <w:vAlign w:val="center"/>
          </w:tcPr>
          <w:p w14:paraId="7E4CD9D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vAlign w:val="center"/>
          </w:tcPr>
          <w:p w14:paraId="2FF719F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40</w:t>
            </w:r>
          </w:p>
        </w:tc>
        <w:tc>
          <w:tcPr>
            <w:tcW w:w="1155" w:type="dxa"/>
            <w:tcBorders>
              <w:top w:val="nil"/>
              <w:left w:val="nil"/>
              <w:bottom w:val="single" w:color="000000" w:sz="8" w:space="0"/>
              <w:right w:val="single" w:color="000000" w:sz="8" w:space="0"/>
            </w:tcBorders>
            <w:shd w:val="clear" w:color="auto" w:fill="auto"/>
            <w:noWrap/>
            <w:vAlign w:val="center"/>
          </w:tcPr>
          <w:p w14:paraId="458B2F8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24.54%</w:t>
            </w:r>
          </w:p>
        </w:tc>
        <w:tc>
          <w:tcPr>
            <w:tcW w:w="1020" w:type="dxa"/>
            <w:tcBorders>
              <w:top w:val="nil"/>
              <w:left w:val="nil"/>
              <w:bottom w:val="single" w:color="000000" w:sz="8" w:space="0"/>
              <w:right w:val="single" w:color="000000" w:sz="8" w:space="0"/>
            </w:tcBorders>
            <w:shd w:val="clear" w:color="auto" w:fill="auto"/>
            <w:noWrap/>
            <w:vAlign w:val="center"/>
          </w:tcPr>
          <w:p w14:paraId="72A948C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758</w:t>
            </w:r>
          </w:p>
        </w:tc>
        <w:tc>
          <w:tcPr>
            <w:tcW w:w="945" w:type="dxa"/>
            <w:tcBorders>
              <w:top w:val="nil"/>
              <w:left w:val="nil"/>
              <w:bottom w:val="single" w:color="000000" w:sz="8" w:space="0"/>
              <w:right w:val="single" w:color="000000" w:sz="8" w:space="0"/>
            </w:tcBorders>
            <w:shd w:val="clear" w:color="auto" w:fill="auto"/>
            <w:noWrap/>
            <w:vAlign w:val="center"/>
          </w:tcPr>
          <w:p w14:paraId="13D0F59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442</w:t>
            </w:r>
          </w:p>
        </w:tc>
        <w:tc>
          <w:tcPr>
            <w:tcW w:w="1260" w:type="dxa"/>
            <w:tcBorders>
              <w:top w:val="nil"/>
              <w:left w:val="nil"/>
              <w:bottom w:val="single" w:color="000000" w:sz="8" w:space="0"/>
              <w:right w:val="single" w:color="000000" w:sz="8" w:space="0"/>
            </w:tcBorders>
            <w:shd w:val="clear" w:color="auto" w:fill="auto"/>
            <w:vAlign w:val="center"/>
          </w:tcPr>
          <w:p w14:paraId="7E5D81E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14.12%</w:t>
            </w:r>
          </w:p>
        </w:tc>
        <w:tc>
          <w:tcPr>
            <w:tcW w:w="915" w:type="dxa"/>
            <w:tcBorders>
              <w:top w:val="nil"/>
              <w:left w:val="nil"/>
              <w:bottom w:val="single" w:color="000000" w:sz="8" w:space="0"/>
              <w:right w:val="single" w:color="000000" w:sz="8" w:space="0"/>
            </w:tcBorders>
            <w:shd w:val="clear" w:color="auto" w:fill="auto"/>
            <w:noWrap/>
            <w:vAlign w:val="center"/>
          </w:tcPr>
          <w:p w14:paraId="7E31B3A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316</w:t>
            </w:r>
          </w:p>
        </w:tc>
        <w:tc>
          <w:tcPr>
            <w:tcW w:w="1119" w:type="dxa"/>
            <w:tcBorders>
              <w:top w:val="nil"/>
              <w:left w:val="nil"/>
              <w:bottom w:val="single" w:color="000000" w:sz="8" w:space="0"/>
              <w:right w:val="single" w:color="000000" w:sz="8" w:space="0"/>
            </w:tcBorders>
            <w:shd w:val="clear" w:color="auto" w:fill="auto"/>
            <w:noWrap/>
            <w:vAlign w:val="center"/>
          </w:tcPr>
          <w:p w14:paraId="21F602D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10.10%</w:t>
            </w:r>
          </w:p>
        </w:tc>
      </w:tr>
      <w:tr w14:paraId="3C6EA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2265" w:type="dxa"/>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129589AB">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735" w:type="dxa"/>
            <w:tcBorders>
              <w:top w:val="nil"/>
              <w:left w:val="nil"/>
              <w:bottom w:val="single" w:color="000000" w:sz="8" w:space="0"/>
              <w:right w:val="single" w:color="000000" w:sz="8" w:space="0"/>
            </w:tcBorders>
            <w:shd w:val="clear" w:color="auto" w:fill="auto"/>
            <w:noWrap/>
            <w:vAlign w:val="center"/>
          </w:tcPr>
          <w:p w14:paraId="6E6DB6A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选修</w:t>
            </w:r>
          </w:p>
        </w:tc>
        <w:tc>
          <w:tcPr>
            <w:tcW w:w="975" w:type="dxa"/>
            <w:tcBorders>
              <w:top w:val="nil"/>
              <w:left w:val="nil"/>
              <w:bottom w:val="single" w:color="000000" w:sz="8" w:space="0"/>
              <w:right w:val="single" w:color="000000" w:sz="8" w:space="0"/>
            </w:tcBorders>
            <w:shd w:val="clear" w:color="auto" w:fill="auto"/>
            <w:vAlign w:val="center"/>
          </w:tcPr>
          <w:p w14:paraId="61CC5EE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12</w:t>
            </w:r>
          </w:p>
        </w:tc>
        <w:tc>
          <w:tcPr>
            <w:tcW w:w="1155" w:type="dxa"/>
            <w:tcBorders>
              <w:top w:val="nil"/>
              <w:left w:val="nil"/>
              <w:bottom w:val="single" w:color="000000" w:sz="8" w:space="0"/>
              <w:right w:val="single" w:color="000000" w:sz="8" w:space="0"/>
            </w:tcBorders>
            <w:shd w:val="clear" w:color="auto" w:fill="auto"/>
            <w:noWrap/>
            <w:vAlign w:val="center"/>
          </w:tcPr>
          <w:p w14:paraId="662BA01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7.36%</w:t>
            </w:r>
          </w:p>
        </w:tc>
        <w:tc>
          <w:tcPr>
            <w:tcW w:w="1020" w:type="dxa"/>
            <w:tcBorders>
              <w:top w:val="nil"/>
              <w:left w:val="nil"/>
              <w:bottom w:val="single" w:color="000000" w:sz="8" w:space="0"/>
              <w:right w:val="single" w:color="000000" w:sz="8" w:space="0"/>
            </w:tcBorders>
            <w:shd w:val="clear" w:color="auto" w:fill="auto"/>
            <w:noWrap/>
            <w:vAlign w:val="center"/>
          </w:tcPr>
          <w:p w14:paraId="0DE9B78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216</w:t>
            </w:r>
          </w:p>
        </w:tc>
        <w:tc>
          <w:tcPr>
            <w:tcW w:w="945" w:type="dxa"/>
            <w:tcBorders>
              <w:top w:val="nil"/>
              <w:left w:val="nil"/>
              <w:bottom w:val="single" w:color="000000" w:sz="8" w:space="0"/>
              <w:right w:val="single" w:color="000000" w:sz="8" w:space="0"/>
            </w:tcBorders>
            <w:shd w:val="clear" w:color="auto" w:fill="auto"/>
            <w:noWrap/>
            <w:vAlign w:val="center"/>
          </w:tcPr>
          <w:p w14:paraId="4C84820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144</w:t>
            </w:r>
          </w:p>
        </w:tc>
        <w:tc>
          <w:tcPr>
            <w:tcW w:w="1260" w:type="dxa"/>
            <w:tcBorders>
              <w:top w:val="nil"/>
              <w:left w:val="nil"/>
              <w:bottom w:val="single" w:color="000000" w:sz="8" w:space="0"/>
              <w:right w:val="single" w:color="000000" w:sz="8" w:space="0"/>
            </w:tcBorders>
            <w:shd w:val="clear" w:color="auto" w:fill="auto"/>
            <w:vAlign w:val="center"/>
          </w:tcPr>
          <w:p w14:paraId="5358A5A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4.60%</w:t>
            </w:r>
          </w:p>
        </w:tc>
        <w:tc>
          <w:tcPr>
            <w:tcW w:w="915" w:type="dxa"/>
            <w:tcBorders>
              <w:top w:val="nil"/>
              <w:left w:val="nil"/>
              <w:bottom w:val="single" w:color="000000" w:sz="8" w:space="0"/>
              <w:right w:val="single" w:color="000000" w:sz="8" w:space="0"/>
            </w:tcBorders>
            <w:shd w:val="clear" w:color="auto" w:fill="auto"/>
            <w:noWrap/>
            <w:vAlign w:val="center"/>
          </w:tcPr>
          <w:p w14:paraId="09059B0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72</w:t>
            </w:r>
          </w:p>
        </w:tc>
        <w:tc>
          <w:tcPr>
            <w:tcW w:w="1119" w:type="dxa"/>
            <w:tcBorders>
              <w:top w:val="nil"/>
              <w:left w:val="nil"/>
              <w:bottom w:val="single" w:color="000000" w:sz="8" w:space="0"/>
              <w:right w:val="single" w:color="000000" w:sz="8" w:space="0"/>
            </w:tcBorders>
            <w:shd w:val="clear" w:color="auto" w:fill="auto"/>
            <w:noWrap/>
            <w:vAlign w:val="center"/>
          </w:tcPr>
          <w:p w14:paraId="42969A2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2.30%</w:t>
            </w:r>
          </w:p>
        </w:tc>
      </w:tr>
      <w:tr w14:paraId="11E90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2265" w:type="dxa"/>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5D645528">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735" w:type="dxa"/>
            <w:tcBorders>
              <w:top w:val="nil"/>
              <w:left w:val="nil"/>
              <w:bottom w:val="single" w:color="000000" w:sz="8" w:space="0"/>
              <w:right w:val="single" w:color="000000" w:sz="8" w:space="0"/>
            </w:tcBorders>
            <w:shd w:val="clear" w:color="auto" w:fill="auto"/>
            <w:noWrap/>
            <w:vAlign w:val="center"/>
          </w:tcPr>
          <w:p w14:paraId="1B1FE9E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小计</w:t>
            </w:r>
          </w:p>
        </w:tc>
        <w:tc>
          <w:tcPr>
            <w:tcW w:w="975" w:type="dxa"/>
            <w:tcBorders>
              <w:top w:val="nil"/>
              <w:left w:val="nil"/>
              <w:bottom w:val="single" w:color="000000" w:sz="8" w:space="0"/>
              <w:right w:val="single" w:color="000000" w:sz="8" w:space="0"/>
            </w:tcBorders>
            <w:shd w:val="clear" w:color="auto" w:fill="auto"/>
            <w:noWrap/>
            <w:vAlign w:val="center"/>
          </w:tcPr>
          <w:p w14:paraId="7209569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52</w:t>
            </w:r>
          </w:p>
        </w:tc>
        <w:tc>
          <w:tcPr>
            <w:tcW w:w="1155" w:type="dxa"/>
            <w:tcBorders>
              <w:top w:val="nil"/>
              <w:left w:val="nil"/>
              <w:bottom w:val="single" w:color="000000" w:sz="8" w:space="0"/>
              <w:right w:val="single" w:color="000000" w:sz="8" w:space="0"/>
            </w:tcBorders>
            <w:shd w:val="clear" w:color="auto" w:fill="auto"/>
            <w:noWrap/>
            <w:vAlign w:val="center"/>
          </w:tcPr>
          <w:p w14:paraId="3C787A0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31.90%</w:t>
            </w:r>
          </w:p>
        </w:tc>
        <w:tc>
          <w:tcPr>
            <w:tcW w:w="1020" w:type="dxa"/>
            <w:tcBorders>
              <w:top w:val="nil"/>
              <w:left w:val="nil"/>
              <w:bottom w:val="single" w:color="000000" w:sz="8" w:space="0"/>
              <w:right w:val="single" w:color="000000" w:sz="8" w:space="0"/>
            </w:tcBorders>
            <w:shd w:val="clear" w:color="auto" w:fill="auto"/>
            <w:noWrap/>
            <w:vAlign w:val="center"/>
          </w:tcPr>
          <w:p w14:paraId="443D4B7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974</w:t>
            </w:r>
          </w:p>
        </w:tc>
        <w:tc>
          <w:tcPr>
            <w:tcW w:w="945" w:type="dxa"/>
            <w:tcBorders>
              <w:top w:val="nil"/>
              <w:left w:val="nil"/>
              <w:bottom w:val="single" w:color="000000" w:sz="8" w:space="0"/>
              <w:right w:val="single" w:color="000000" w:sz="8" w:space="0"/>
            </w:tcBorders>
            <w:shd w:val="clear" w:color="auto" w:fill="auto"/>
            <w:noWrap/>
            <w:vAlign w:val="center"/>
          </w:tcPr>
          <w:p w14:paraId="371E9ED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586</w:t>
            </w:r>
          </w:p>
        </w:tc>
        <w:tc>
          <w:tcPr>
            <w:tcW w:w="1260" w:type="dxa"/>
            <w:tcBorders>
              <w:top w:val="nil"/>
              <w:left w:val="nil"/>
              <w:bottom w:val="single" w:color="000000" w:sz="8" w:space="0"/>
              <w:right w:val="single" w:color="000000" w:sz="8" w:space="0"/>
            </w:tcBorders>
            <w:shd w:val="clear" w:color="auto" w:fill="auto"/>
            <w:vAlign w:val="center"/>
          </w:tcPr>
          <w:p w14:paraId="27DCB5B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18.72%</w:t>
            </w:r>
          </w:p>
        </w:tc>
        <w:tc>
          <w:tcPr>
            <w:tcW w:w="915" w:type="dxa"/>
            <w:tcBorders>
              <w:top w:val="nil"/>
              <w:left w:val="nil"/>
              <w:bottom w:val="single" w:color="000000" w:sz="8" w:space="0"/>
              <w:right w:val="single" w:color="000000" w:sz="8" w:space="0"/>
            </w:tcBorders>
            <w:shd w:val="clear" w:color="auto" w:fill="auto"/>
            <w:noWrap/>
            <w:vAlign w:val="center"/>
          </w:tcPr>
          <w:p w14:paraId="5FF5E21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388</w:t>
            </w:r>
          </w:p>
        </w:tc>
        <w:tc>
          <w:tcPr>
            <w:tcW w:w="1119" w:type="dxa"/>
            <w:tcBorders>
              <w:top w:val="nil"/>
              <w:left w:val="nil"/>
              <w:bottom w:val="single" w:color="000000" w:sz="8" w:space="0"/>
              <w:right w:val="single" w:color="000000" w:sz="8" w:space="0"/>
            </w:tcBorders>
            <w:shd w:val="clear" w:color="auto" w:fill="auto"/>
            <w:noWrap/>
            <w:vAlign w:val="center"/>
          </w:tcPr>
          <w:p w14:paraId="5D225BB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12.40%</w:t>
            </w:r>
          </w:p>
        </w:tc>
      </w:tr>
      <w:tr w14:paraId="18005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675" w:type="dxa"/>
            <w:vMerge w:val="restart"/>
            <w:tcBorders>
              <w:top w:val="nil"/>
              <w:left w:val="single" w:color="000000" w:sz="8" w:space="0"/>
              <w:bottom w:val="single" w:color="000000" w:sz="8" w:space="0"/>
              <w:right w:val="single" w:color="000000" w:sz="8" w:space="0"/>
            </w:tcBorders>
            <w:shd w:val="clear" w:color="auto" w:fill="auto"/>
            <w:vAlign w:val="center"/>
          </w:tcPr>
          <w:p w14:paraId="366BE1C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专业(技能)课</w:t>
            </w:r>
          </w:p>
        </w:tc>
        <w:tc>
          <w:tcPr>
            <w:tcW w:w="1590" w:type="dxa"/>
            <w:tcBorders>
              <w:top w:val="nil"/>
              <w:left w:val="nil"/>
              <w:bottom w:val="single" w:color="000000" w:sz="8" w:space="0"/>
              <w:right w:val="single" w:color="000000" w:sz="8" w:space="0"/>
            </w:tcBorders>
            <w:shd w:val="clear" w:color="auto" w:fill="auto"/>
            <w:vAlign w:val="center"/>
          </w:tcPr>
          <w:p w14:paraId="6801E0B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专业基础课</w:t>
            </w:r>
          </w:p>
        </w:tc>
        <w:tc>
          <w:tcPr>
            <w:tcW w:w="735" w:type="dxa"/>
            <w:tcBorders>
              <w:top w:val="nil"/>
              <w:left w:val="nil"/>
              <w:bottom w:val="single" w:color="000000" w:sz="8" w:space="0"/>
              <w:right w:val="single" w:color="000000" w:sz="8" w:space="0"/>
            </w:tcBorders>
            <w:shd w:val="clear" w:color="auto" w:fill="auto"/>
            <w:noWrap/>
            <w:vAlign w:val="center"/>
          </w:tcPr>
          <w:p w14:paraId="1431FDE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3B523DB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38</w:t>
            </w:r>
          </w:p>
        </w:tc>
        <w:tc>
          <w:tcPr>
            <w:tcW w:w="1155" w:type="dxa"/>
            <w:tcBorders>
              <w:top w:val="nil"/>
              <w:left w:val="nil"/>
              <w:bottom w:val="single" w:color="000000" w:sz="8" w:space="0"/>
              <w:right w:val="single" w:color="000000" w:sz="8" w:space="0"/>
            </w:tcBorders>
            <w:shd w:val="clear" w:color="auto" w:fill="auto"/>
            <w:noWrap/>
            <w:vAlign w:val="center"/>
          </w:tcPr>
          <w:p w14:paraId="2B890A9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23.31%</w:t>
            </w:r>
          </w:p>
        </w:tc>
        <w:tc>
          <w:tcPr>
            <w:tcW w:w="1020" w:type="dxa"/>
            <w:tcBorders>
              <w:top w:val="nil"/>
              <w:left w:val="nil"/>
              <w:bottom w:val="single" w:color="000000" w:sz="8" w:space="0"/>
              <w:right w:val="single" w:color="000000" w:sz="8" w:space="0"/>
            </w:tcBorders>
            <w:shd w:val="clear" w:color="auto" w:fill="auto"/>
            <w:noWrap/>
            <w:vAlign w:val="center"/>
          </w:tcPr>
          <w:p w14:paraId="26E85FF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684</w:t>
            </w:r>
          </w:p>
        </w:tc>
        <w:tc>
          <w:tcPr>
            <w:tcW w:w="945" w:type="dxa"/>
            <w:tcBorders>
              <w:top w:val="nil"/>
              <w:left w:val="nil"/>
              <w:bottom w:val="single" w:color="000000" w:sz="8" w:space="0"/>
              <w:right w:val="single" w:color="000000" w:sz="8" w:space="0"/>
            </w:tcBorders>
            <w:shd w:val="clear" w:color="auto" w:fill="auto"/>
            <w:noWrap/>
            <w:vAlign w:val="center"/>
          </w:tcPr>
          <w:p w14:paraId="5809087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378</w:t>
            </w:r>
          </w:p>
        </w:tc>
        <w:tc>
          <w:tcPr>
            <w:tcW w:w="1260" w:type="dxa"/>
            <w:tcBorders>
              <w:top w:val="nil"/>
              <w:left w:val="nil"/>
              <w:bottom w:val="single" w:color="000000" w:sz="8" w:space="0"/>
              <w:right w:val="single" w:color="000000" w:sz="8" w:space="0"/>
            </w:tcBorders>
            <w:shd w:val="clear" w:color="auto" w:fill="auto"/>
            <w:vAlign w:val="center"/>
          </w:tcPr>
          <w:p w14:paraId="0C7F834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18.07%</w:t>
            </w:r>
          </w:p>
        </w:tc>
        <w:tc>
          <w:tcPr>
            <w:tcW w:w="915" w:type="dxa"/>
            <w:tcBorders>
              <w:top w:val="nil"/>
              <w:left w:val="nil"/>
              <w:bottom w:val="single" w:color="000000" w:sz="8" w:space="0"/>
              <w:right w:val="single" w:color="000000" w:sz="8" w:space="0"/>
            </w:tcBorders>
            <w:shd w:val="clear" w:color="auto" w:fill="auto"/>
            <w:vAlign w:val="center"/>
          </w:tcPr>
          <w:p w14:paraId="2CB56D0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306</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07846AD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14.63%</w:t>
            </w:r>
          </w:p>
        </w:tc>
      </w:tr>
      <w:tr w14:paraId="3B7CF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675" w:type="dxa"/>
            <w:vMerge w:val="continue"/>
            <w:tcBorders>
              <w:top w:val="nil"/>
              <w:left w:val="single" w:color="000000" w:sz="8" w:space="0"/>
              <w:bottom w:val="single" w:color="000000" w:sz="8" w:space="0"/>
              <w:right w:val="single" w:color="000000" w:sz="8" w:space="0"/>
            </w:tcBorders>
            <w:shd w:val="clear" w:color="auto" w:fill="auto"/>
            <w:vAlign w:val="center"/>
          </w:tcPr>
          <w:p w14:paraId="0742D0E5">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1590" w:type="dxa"/>
            <w:tcBorders>
              <w:top w:val="nil"/>
              <w:left w:val="nil"/>
              <w:bottom w:val="single" w:color="000000" w:sz="8" w:space="0"/>
              <w:right w:val="single" w:color="000000" w:sz="8" w:space="0"/>
            </w:tcBorders>
            <w:shd w:val="clear" w:color="auto" w:fill="auto"/>
            <w:vAlign w:val="center"/>
          </w:tcPr>
          <w:p w14:paraId="2CB5971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专业核心课</w:t>
            </w:r>
          </w:p>
        </w:tc>
        <w:tc>
          <w:tcPr>
            <w:tcW w:w="735" w:type="dxa"/>
            <w:tcBorders>
              <w:top w:val="nil"/>
              <w:left w:val="nil"/>
              <w:bottom w:val="single" w:color="000000" w:sz="8" w:space="0"/>
              <w:right w:val="single" w:color="000000" w:sz="8" w:space="0"/>
            </w:tcBorders>
            <w:shd w:val="clear" w:color="auto" w:fill="auto"/>
            <w:noWrap/>
            <w:vAlign w:val="center"/>
          </w:tcPr>
          <w:p w14:paraId="7C90F50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7C17A46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36</w:t>
            </w:r>
          </w:p>
        </w:tc>
        <w:tc>
          <w:tcPr>
            <w:tcW w:w="1155" w:type="dxa"/>
            <w:tcBorders>
              <w:top w:val="nil"/>
              <w:left w:val="nil"/>
              <w:bottom w:val="single" w:color="000000" w:sz="8" w:space="0"/>
              <w:right w:val="single" w:color="000000" w:sz="8" w:space="0"/>
            </w:tcBorders>
            <w:shd w:val="clear" w:color="auto" w:fill="auto"/>
            <w:noWrap/>
            <w:vAlign w:val="center"/>
          </w:tcPr>
          <w:p w14:paraId="3743443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22.09%</w:t>
            </w:r>
          </w:p>
        </w:tc>
        <w:tc>
          <w:tcPr>
            <w:tcW w:w="1020" w:type="dxa"/>
            <w:tcBorders>
              <w:top w:val="nil"/>
              <w:left w:val="nil"/>
              <w:bottom w:val="single" w:color="000000" w:sz="8" w:space="0"/>
              <w:right w:val="single" w:color="000000" w:sz="8" w:space="0"/>
            </w:tcBorders>
            <w:shd w:val="clear" w:color="auto" w:fill="auto"/>
            <w:noWrap/>
            <w:vAlign w:val="center"/>
          </w:tcPr>
          <w:p w14:paraId="4C52A9F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648</w:t>
            </w:r>
          </w:p>
        </w:tc>
        <w:tc>
          <w:tcPr>
            <w:tcW w:w="945" w:type="dxa"/>
            <w:tcBorders>
              <w:top w:val="nil"/>
              <w:left w:val="nil"/>
              <w:bottom w:val="single" w:color="000000" w:sz="8" w:space="0"/>
              <w:right w:val="single" w:color="000000" w:sz="8" w:space="0"/>
            </w:tcBorders>
            <w:shd w:val="clear" w:color="auto" w:fill="auto"/>
            <w:noWrap/>
            <w:vAlign w:val="center"/>
          </w:tcPr>
          <w:p w14:paraId="4DD7532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396</w:t>
            </w:r>
          </w:p>
        </w:tc>
        <w:tc>
          <w:tcPr>
            <w:tcW w:w="1260" w:type="dxa"/>
            <w:tcBorders>
              <w:top w:val="nil"/>
              <w:left w:val="nil"/>
              <w:bottom w:val="single" w:color="000000" w:sz="8" w:space="0"/>
              <w:right w:val="single" w:color="000000" w:sz="8" w:space="0"/>
            </w:tcBorders>
            <w:shd w:val="clear" w:color="auto" w:fill="auto"/>
            <w:vAlign w:val="center"/>
          </w:tcPr>
          <w:p w14:paraId="3325DDC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18.93%</w:t>
            </w:r>
          </w:p>
        </w:tc>
        <w:tc>
          <w:tcPr>
            <w:tcW w:w="915" w:type="dxa"/>
            <w:tcBorders>
              <w:top w:val="nil"/>
              <w:left w:val="nil"/>
              <w:bottom w:val="single" w:color="000000" w:sz="8" w:space="0"/>
              <w:right w:val="single" w:color="000000" w:sz="8" w:space="0"/>
            </w:tcBorders>
            <w:shd w:val="clear" w:color="auto" w:fill="auto"/>
            <w:vAlign w:val="center"/>
          </w:tcPr>
          <w:p w14:paraId="7FFB008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252</w:t>
            </w:r>
          </w:p>
        </w:tc>
        <w:tc>
          <w:tcPr>
            <w:tcW w:w="1119" w:type="dxa"/>
            <w:tcBorders>
              <w:top w:val="nil"/>
              <w:left w:val="nil"/>
              <w:bottom w:val="single" w:color="000000" w:sz="8" w:space="0"/>
              <w:right w:val="single" w:color="000000" w:sz="8" w:space="0"/>
            </w:tcBorders>
            <w:shd w:val="clear" w:color="auto" w:fill="auto"/>
            <w:noWrap/>
            <w:vAlign w:val="center"/>
          </w:tcPr>
          <w:p w14:paraId="0AA892A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12.05%</w:t>
            </w:r>
          </w:p>
        </w:tc>
      </w:tr>
      <w:tr w14:paraId="26F15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675" w:type="dxa"/>
            <w:vMerge w:val="continue"/>
            <w:tcBorders>
              <w:top w:val="nil"/>
              <w:left w:val="single" w:color="000000" w:sz="8" w:space="0"/>
              <w:bottom w:val="single" w:color="000000" w:sz="8" w:space="0"/>
              <w:right w:val="single" w:color="000000" w:sz="8" w:space="0"/>
            </w:tcBorders>
            <w:shd w:val="clear" w:color="auto" w:fill="auto"/>
            <w:vAlign w:val="center"/>
          </w:tcPr>
          <w:p w14:paraId="7F339194">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1590" w:type="dxa"/>
            <w:tcBorders>
              <w:top w:val="nil"/>
              <w:left w:val="nil"/>
              <w:bottom w:val="single" w:color="000000" w:sz="8" w:space="0"/>
              <w:right w:val="single" w:color="000000" w:sz="8" w:space="0"/>
            </w:tcBorders>
            <w:shd w:val="clear" w:color="auto" w:fill="auto"/>
            <w:vAlign w:val="center"/>
          </w:tcPr>
          <w:p w14:paraId="0B3E8E7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专业实践课程</w:t>
            </w:r>
          </w:p>
        </w:tc>
        <w:tc>
          <w:tcPr>
            <w:tcW w:w="735" w:type="dxa"/>
            <w:tcBorders>
              <w:top w:val="nil"/>
              <w:left w:val="nil"/>
              <w:bottom w:val="single" w:color="000000" w:sz="8" w:space="0"/>
              <w:right w:val="single" w:color="000000" w:sz="8" w:space="0"/>
            </w:tcBorders>
            <w:shd w:val="clear" w:color="auto" w:fill="auto"/>
            <w:noWrap/>
            <w:vAlign w:val="center"/>
          </w:tcPr>
          <w:p w14:paraId="721DBDC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4C2B2F0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27</w:t>
            </w:r>
          </w:p>
        </w:tc>
        <w:tc>
          <w:tcPr>
            <w:tcW w:w="1155" w:type="dxa"/>
            <w:tcBorders>
              <w:top w:val="nil"/>
              <w:left w:val="nil"/>
              <w:bottom w:val="single" w:color="000000" w:sz="8" w:space="0"/>
              <w:right w:val="single" w:color="000000" w:sz="8" w:space="0"/>
            </w:tcBorders>
            <w:shd w:val="clear" w:color="auto" w:fill="auto"/>
            <w:noWrap/>
            <w:vAlign w:val="center"/>
          </w:tcPr>
          <w:p w14:paraId="4CF2591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16.56%</w:t>
            </w:r>
          </w:p>
        </w:tc>
        <w:tc>
          <w:tcPr>
            <w:tcW w:w="1020" w:type="dxa"/>
            <w:tcBorders>
              <w:top w:val="nil"/>
              <w:left w:val="nil"/>
              <w:bottom w:val="single" w:color="000000" w:sz="8" w:space="0"/>
              <w:right w:val="single" w:color="000000" w:sz="8" w:space="0"/>
            </w:tcBorders>
            <w:shd w:val="clear" w:color="auto" w:fill="auto"/>
            <w:noWrap/>
            <w:vAlign w:val="center"/>
          </w:tcPr>
          <w:p w14:paraId="2CAE9D2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652</w:t>
            </w:r>
          </w:p>
        </w:tc>
        <w:tc>
          <w:tcPr>
            <w:tcW w:w="945" w:type="dxa"/>
            <w:tcBorders>
              <w:top w:val="nil"/>
              <w:left w:val="nil"/>
              <w:bottom w:val="single" w:color="000000" w:sz="8" w:space="0"/>
              <w:right w:val="single" w:color="000000" w:sz="8" w:space="0"/>
            </w:tcBorders>
            <w:shd w:val="clear" w:color="auto" w:fill="auto"/>
            <w:noWrap/>
            <w:vAlign w:val="center"/>
          </w:tcPr>
          <w:p w14:paraId="585333E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20</w:t>
            </w:r>
          </w:p>
        </w:tc>
        <w:tc>
          <w:tcPr>
            <w:tcW w:w="1260" w:type="dxa"/>
            <w:tcBorders>
              <w:top w:val="nil"/>
              <w:left w:val="nil"/>
              <w:bottom w:val="single" w:color="000000" w:sz="8" w:space="0"/>
              <w:right w:val="single" w:color="000000" w:sz="8" w:space="0"/>
            </w:tcBorders>
            <w:shd w:val="clear" w:color="auto" w:fill="auto"/>
            <w:vAlign w:val="center"/>
          </w:tcPr>
          <w:p w14:paraId="327C5BD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0.95%</w:t>
            </w:r>
          </w:p>
        </w:tc>
        <w:tc>
          <w:tcPr>
            <w:tcW w:w="915" w:type="dxa"/>
            <w:tcBorders>
              <w:top w:val="nil"/>
              <w:left w:val="nil"/>
              <w:bottom w:val="single" w:color="000000" w:sz="8" w:space="0"/>
              <w:right w:val="single" w:color="000000" w:sz="8" w:space="0"/>
            </w:tcBorders>
            <w:shd w:val="clear" w:color="auto" w:fill="auto"/>
            <w:vAlign w:val="center"/>
          </w:tcPr>
          <w:p w14:paraId="687BFBD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632</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333E45F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30.21%</w:t>
            </w:r>
          </w:p>
        </w:tc>
      </w:tr>
      <w:tr w14:paraId="5C193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4" w:hRule="atLeast"/>
        </w:trPr>
        <w:tc>
          <w:tcPr>
            <w:tcW w:w="675" w:type="dxa"/>
            <w:vMerge w:val="continue"/>
            <w:tcBorders>
              <w:top w:val="nil"/>
              <w:left w:val="single" w:color="000000" w:sz="8" w:space="0"/>
              <w:bottom w:val="single" w:color="000000" w:sz="8" w:space="0"/>
              <w:right w:val="single" w:color="000000" w:sz="8" w:space="0"/>
            </w:tcBorders>
            <w:shd w:val="clear" w:color="auto" w:fill="auto"/>
            <w:vAlign w:val="center"/>
          </w:tcPr>
          <w:p w14:paraId="2F1EA863">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1590" w:type="dxa"/>
            <w:tcBorders>
              <w:top w:val="nil"/>
              <w:left w:val="nil"/>
              <w:bottom w:val="single" w:color="000000" w:sz="8" w:space="0"/>
              <w:right w:val="single" w:color="000000" w:sz="8" w:space="0"/>
            </w:tcBorders>
            <w:shd w:val="clear" w:color="auto" w:fill="auto"/>
            <w:vAlign w:val="center"/>
          </w:tcPr>
          <w:p w14:paraId="12E2752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专业拓展课程</w:t>
            </w:r>
          </w:p>
        </w:tc>
        <w:tc>
          <w:tcPr>
            <w:tcW w:w="735" w:type="dxa"/>
            <w:tcBorders>
              <w:top w:val="nil"/>
              <w:left w:val="nil"/>
              <w:bottom w:val="single" w:color="000000" w:sz="8" w:space="0"/>
              <w:right w:val="single" w:color="000000" w:sz="8" w:space="0"/>
            </w:tcBorders>
            <w:shd w:val="clear" w:color="auto" w:fill="auto"/>
            <w:noWrap/>
            <w:vAlign w:val="center"/>
          </w:tcPr>
          <w:p w14:paraId="1C997BE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选修</w:t>
            </w:r>
          </w:p>
        </w:tc>
        <w:tc>
          <w:tcPr>
            <w:tcW w:w="975" w:type="dxa"/>
            <w:tcBorders>
              <w:top w:val="nil"/>
              <w:left w:val="nil"/>
              <w:bottom w:val="single" w:color="000000" w:sz="8" w:space="0"/>
              <w:right w:val="single" w:color="000000" w:sz="8" w:space="0"/>
            </w:tcBorders>
            <w:shd w:val="clear" w:color="auto" w:fill="auto"/>
            <w:noWrap/>
            <w:vAlign w:val="center"/>
          </w:tcPr>
          <w:p w14:paraId="69E2E71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6</w:t>
            </w:r>
          </w:p>
        </w:tc>
        <w:tc>
          <w:tcPr>
            <w:tcW w:w="1155" w:type="dxa"/>
            <w:tcBorders>
              <w:top w:val="nil"/>
              <w:left w:val="nil"/>
              <w:bottom w:val="single" w:color="000000" w:sz="8" w:space="0"/>
              <w:right w:val="single" w:color="000000" w:sz="8" w:space="0"/>
            </w:tcBorders>
            <w:shd w:val="clear" w:color="auto" w:fill="auto"/>
            <w:noWrap/>
            <w:vAlign w:val="center"/>
          </w:tcPr>
          <w:p w14:paraId="1F4A0AF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3.68%</w:t>
            </w:r>
          </w:p>
        </w:tc>
        <w:tc>
          <w:tcPr>
            <w:tcW w:w="1020" w:type="dxa"/>
            <w:tcBorders>
              <w:top w:val="nil"/>
              <w:left w:val="nil"/>
              <w:bottom w:val="single" w:color="000000" w:sz="8" w:space="0"/>
              <w:right w:val="single" w:color="000000" w:sz="8" w:space="0"/>
            </w:tcBorders>
            <w:shd w:val="clear" w:color="auto" w:fill="auto"/>
            <w:noWrap/>
            <w:vAlign w:val="center"/>
          </w:tcPr>
          <w:p w14:paraId="676C445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108</w:t>
            </w:r>
          </w:p>
        </w:tc>
        <w:tc>
          <w:tcPr>
            <w:tcW w:w="945" w:type="dxa"/>
            <w:tcBorders>
              <w:top w:val="nil"/>
              <w:left w:val="nil"/>
              <w:bottom w:val="single" w:color="000000" w:sz="8" w:space="0"/>
              <w:right w:val="single" w:color="000000" w:sz="8" w:space="0"/>
            </w:tcBorders>
            <w:shd w:val="clear" w:color="auto" w:fill="auto"/>
            <w:noWrap/>
            <w:vAlign w:val="center"/>
          </w:tcPr>
          <w:p w14:paraId="532733C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108</w:t>
            </w:r>
          </w:p>
        </w:tc>
        <w:tc>
          <w:tcPr>
            <w:tcW w:w="1260" w:type="dxa"/>
            <w:tcBorders>
              <w:top w:val="nil"/>
              <w:left w:val="nil"/>
              <w:bottom w:val="single" w:color="000000" w:sz="8" w:space="0"/>
              <w:right w:val="single" w:color="000000" w:sz="8" w:space="0"/>
            </w:tcBorders>
            <w:shd w:val="clear" w:color="auto" w:fill="auto"/>
            <w:vAlign w:val="center"/>
          </w:tcPr>
          <w:p w14:paraId="03A8AF4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5.16%</w:t>
            </w:r>
          </w:p>
        </w:tc>
        <w:tc>
          <w:tcPr>
            <w:tcW w:w="915" w:type="dxa"/>
            <w:tcBorders>
              <w:top w:val="nil"/>
              <w:left w:val="nil"/>
              <w:bottom w:val="single" w:color="000000" w:sz="8" w:space="0"/>
              <w:right w:val="single" w:color="000000" w:sz="8" w:space="0"/>
            </w:tcBorders>
            <w:shd w:val="clear" w:color="auto" w:fill="auto"/>
            <w:vAlign w:val="center"/>
          </w:tcPr>
          <w:p w14:paraId="7E73671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0</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743E9F0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0.00%</w:t>
            </w:r>
          </w:p>
        </w:tc>
      </w:tr>
      <w:tr w14:paraId="244DD1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675" w:type="dxa"/>
            <w:vMerge w:val="continue"/>
            <w:tcBorders>
              <w:top w:val="nil"/>
              <w:left w:val="single" w:color="000000" w:sz="8" w:space="0"/>
              <w:bottom w:val="single" w:color="000000" w:sz="8" w:space="0"/>
              <w:right w:val="single" w:color="000000" w:sz="8" w:space="0"/>
            </w:tcBorders>
            <w:shd w:val="clear" w:color="auto" w:fill="auto"/>
            <w:vAlign w:val="center"/>
          </w:tcPr>
          <w:p w14:paraId="425FE990">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2325" w:type="dxa"/>
            <w:gridSpan w:val="2"/>
            <w:tcBorders>
              <w:top w:val="nil"/>
              <w:left w:val="nil"/>
              <w:bottom w:val="single" w:color="000000" w:sz="8" w:space="0"/>
              <w:right w:val="single" w:color="000000" w:sz="8" w:space="0"/>
            </w:tcBorders>
            <w:shd w:val="clear" w:color="auto" w:fill="auto"/>
            <w:vAlign w:val="center"/>
          </w:tcPr>
          <w:p w14:paraId="3EB93B9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小计</w:t>
            </w:r>
          </w:p>
        </w:tc>
        <w:tc>
          <w:tcPr>
            <w:tcW w:w="975" w:type="dxa"/>
            <w:tcBorders>
              <w:top w:val="nil"/>
              <w:left w:val="nil"/>
              <w:bottom w:val="single" w:color="000000" w:sz="8" w:space="0"/>
              <w:right w:val="single" w:color="000000" w:sz="8" w:space="0"/>
            </w:tcBorders>
            <w:shd w:val="clear" w:color="auto" w:fill="auto"/>
            <w:noWrap/>
            <w:vAlign w:val="center"/>
          </w:tcPr>
          <w:p w14:paraId="057CF59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107</w:t>
            </w:r>
          </w:p>
        </w:tc>
        <w:tc>
          <w:tcPr>
            <w:tcW w:w="1155" w:type="dxa"/>
            <w:tcBorders>
              <w:top w:val="nil"/>
              <w:left w:val="nil"/>
              <w:bottom w:val="single" w:color="000000" w:sz="8" w:space="0"/>
              <w:right w:val="single" w:color="000000" w:sz="8" w:space="0"/>
            </w:tcBorders>
            <w:shd w:val="clear" w:color="auto" w:fill="auto"/>
            <w:noWrap/>
            <w:vAlign w:val="center"/>
          </w:tcPr>
          <w:p w14:paraId="669DB73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65.64%</w:t>
            </w:r>
          </w:p>
        </w:tc>
        <w:tc>
          <w:tcPr>
            <w:tcW w:w="1020" w:type="dxa"/>
            <w:tcBorders>
              <w:top w:val="nil"/>
              <w:left w:val="nil"/>
              <w:bottom w:val="single" w:color="000000" w:sz="8" w:space="0"/>
              <w:right w:val="single" w:color="000000" w:sz="8" w:space="0"/>
            </w:tcBorders>
            <w:shd w:val="clear" w:color="auto" w:fill="auto"/>
            <w:noWrap/>
            <w:vAlign w:val="center"/>
          </w:tcPr>
          <w:p w14:paraId="7EBB7B6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2092</w:t>
            </w:r>
          </w:p>
        </w:tc>
        <w:tc>
          <w:tcPr>
            <w:tcW w:w="945" w:type="dxa"/>
            <w:tcBorders>
              <w:top w:val="nil"/>
              <w:left w:val="nil"/>
              <w:bottom w:val="single" w:color="000000" w:sz="8" w:space="0"/>
              <w:right w:val="single" w:color="000000" w:sz="8" w:space="0"/>
            </w:tcBorders>
            <w:shd w:val="clear" w:color="auto" w:fill="auto"/>
            <w:noWrap/>
            <w:vAlign w:val="center"/>
          </w:tcPr>
          <w:p w14:paraId="56E3CEC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902</w:t>
            </w:r>
          </w:p>
        </w:tc>
        <w:tc>
          <w:tcPr>
            <w:tcW w:w="1260" w:type="dxa"/>
            <w:tcBorders>
              <w:top w:val="nil"/>
              <w:left w:val="nil"/>
              <w:bottom w:val="single" w:color="000000" w:sz="8" w:space="0"/>
              <w:right w:val="single" w:color="000000" w:sz="8" w:space="0"/>
            </w:tcBorders>
            <w:shd w:val="clear" w:color="auto" w:fill="auto"/>
            <w:vAlign w:val="center"/>
          </w:tcPr>
          <w:p w14:paraId="55BCFCC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43.11%</w:t>
            </w:r>
          </w:p>
        </w:tc>
        <w:tc>
          <w:tcPr>
            <w:tcW w:w="915" w:type="dxa"/>
            <w:tcBorders>
              <w:top w:val="nil"/>
              <w:left w:val="nil"/>
              <w:bottom w:val="single" w:color="000000" w:sz="8" w:space="0"/>
              <w:right w:val="single" w:color="000000" w:sz="8" w:space="0"/>
            </w:tcBorders>
            <w:shd w:val="clear" w:color="auto" w:fill="auto"/>
            <w:vAlign w:val="center"/>
          </w:tcPr>
          <w:p w14:paraId="44D53B1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1190</w:t>
            </w:r>
          </w:p>
        </w:tc>
        <w:tc>
          <w:tcPr>
            <w:tcW w:w="1119" w:type="dxa"/>
            <w:tcBorders>
              <w:top w:val="nil"/>
              <w:left w:val="nil"/>
              <w:bottom w:val="single" w:color="000000" w:sz="8" w:space="0"/>
              <w:right w:val="single" w:color="000000" w:sz="8" w:space="0"/>
            </w:tcBorders>
            <w:shd w:val="clear" w:color="auto" w:fill="auto"/>
            <w:noWrap/>
            <w:vAlign w:val="center"/>
          </w:tcPr>
          <w:p w14:paraId="0EFED2D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56.89%</w:t>
            </w:r>
          </w:p>
        </w:tc>
      </w:tr>
      <w:tr w14:paraId="142C8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2265" w:type="dxa"/>
            <w:gridSpan w:val="2"/>
            <w:tcBorders>
              <w:top w:val="nil"/>
              <w:left w:val="single" w:color="000000" w:sz="8" w:space="0"/>
              <w:bottom w:val="single" w:color="000000" w:sz="8" w:space="0"/>
              <w:right w:val="single" w:color="000000" w:sz="8" w:space="0"/>
            </w:tcBorders>
            <w:shd w:val="clear" w:color="auto" w:fill="auto"/>
            <w:noWrap/>
            <w:vAlign w:val="center"/>
          </w:tcPr>
          <w:p w14:paraId="69D6983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第二课堂</w:t>
            </w:r>
          </w:p>
        </w:tc>
        <w:tc>
          <w:tcPr>
            <w:tcW w:w="735" w:type="dxa"/>
            <w:tcBorders>
              <w:top w:val="nil"/>
              <w:left w:val="nil"/>
              <w:bottom w:val="single" w:color="000000" w:sz="8" w:space="0"/>
              <w:right w:val="single" w:color="000000" w:sz="8" w:space="0"/>
            </w:tcBorders>
            <w:shd w:val="clear" w:color="auto" w:fill="auto"/>
            <w:noWrap/>
            <w:vAlign w:val="center"/>
          </w:tcPr>
          <w:p w14:paraId="3820DFB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385CEE1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4</w:t>
            </w:r>
          </w:p>
        </w:tc>
        <w:tc>
          <w:tcPr>
            <w:tcW w:w="1155" w:type="dxa"/>
            <w:tcBorders>
              <w:top w:val="nil"/>
              <w:left w:val="nil"/>
              <w:bottom w:val="single" w:color="000000" w:sz="8" w:space="0"/>
              <w:right w:val="single" w:color="000000" w:sz="8" w:space="0"/>
            </w:tcBorders>
            <w:shd w:val="clear" w:color="auto" w:fill="auto"/>
            <w:noWrap/>
            <w:vAlign w:val="center"/>
          </w:tcPr>
          <w:p w14:paraId="3CA83B7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2.45%</w:t>
            </w:r>
          </w:p>
        </w:tc>
        <w:tc>
          <w:tcPr>
            <w:tcW w:w="1020" w:type="dxa"/>
            <w:tcBorders>
              <w:top w:val="nil"/>
              <w:left w:val="nil"/>
              <w:bottom w:val="single" w:color="000000" w:sz="8" w:space="0"/>
              <w:right w:val="single" w:color="000000" w:sz="8" w:space="0"/>
            </w:tcBorders>
            <w:shd w:val="clear" w:color="auto" w:fill="auto"/>
            <w:noWrap/>
            <w:vAlign w:val="center"/>
          </w:tcPr>
          <w:p w14:paraId="0691C93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64</w:t>
            </w:r>
          </w:p>
        </w:tc>
        <w:tc>
          <w:tcPr>
            <w:tcW w:w="945" w:type="dxa"/>
            <w:tcBorders>
              <w:top w:val="nil"/>
              <w:left w:val="nil"/>
              <w:bottom w:val="single" w:color="000000" w:sz="8" w:space="0"/>
              <w:right w:val="single" w:color="000000" w:sz="8" w:space="0"/>
            </w:tcBorders>
            <w:shd w:val="clear" w:color="auto" w:fill="auto"/>
            <w:noWrap/>
            <w:vAlign w:val="center"/>
          </w:tcPr>
          <w:p w14:paraId="2E8B729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0</w:t>
            </w:r>
          </w:p>
        </w:tc>
        <w:tc>
          <w:tcPr>
            <w:tcW w:w="1260" w:type="dxa"/>
            <w:tcBorders>
              <w:top w:val="nil"/>
              <w:left w:val="nil"/>
              <w:bottom w:val="single" w:color="000000" w:sz="8" w:space="0"/>
              <w:right w:val="single" w:color="000000" w:sz="8" w:space="0"/>
            </w:tcBorders>
            <w:shd w:val="clear" w:color="auto" w:fill="auto"/>
            <w:vAlign w:val="center"/>
          </w:tcPr>
          <w:p w14:paraId="212006A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0.00%</w:t>
            </w:r>
          </w:p>
        </w:tc>
        <w:tc>
          <w:tcPr>
            <w:tcW w:w="915" w:type="dxa"/>
            <w:tcBorders>
              <w:top w:val="nil"/>
              <w:left w:val="nil"/>
              <w:bottom w:val="single" w:color="000000" w:sz="8" w:space="0"/>
              <w:right w:val="single" w:color="000000" w:sz="8" w:space="0"/>
            </w:tcBorders>
            <w:shd w:val="clear" w:color="auto" w:fill="auto"/>
            <w:vAlign w:val="center"/>
          </w:tcPr>
          <w:p w14:paraId="2C65288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64</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1024533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2.04%</w:t>
            </w:r>
          </w:p>
        </w:tc>
      </w:tr>
      <w:tr w14:paraId="34570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2" w:hRule="atLeast"/>
        </w:trPr>
        <w:tc>
          <w:tcPr>
            <w:tcW w:w="3000" w:type="dxa"/>
            <w:gridSpan w:val="3"/>
            <w:tcBorders>
              <w:top w:val="nil"/>
              <w:left w:val="single" w:color="000000" w:sz="8" w:space="0"/>
              <w:bottom w:val="single" w:color="000000" w:sz="8" w:space="0"/>
              <w:right w:val="single" w:color="000000" w:sz="8" w:space="0"/>
            </w:tcBorders>
            <w:shd w:val="clear" w:color="auto" w:fill="auto"/>
            <w:noWrap/>
            <w:vAlign w:val="center"/>
          </w:tcPr>
          <w:p w14:paraId="778B7B3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合计</w:t>
            </w:r>
          </w:p>
        </w:tc>
        <w:tc>
          <w:tcPr>
            <w:tcW w:w="975" w:type="dxa"/>
            <w:tcBorders>
              <w:top w:val="nil"/>
              <w:left w:val="nil"/>
              <w:bottom w:val="single" w:color="000000" w:sz="8" w:space="0"/>
              <w:right w:val="single" w:color="000000" w:sz="8" w:space="0"/>
            </w:tcBorders>
            <w:shd w:val="clear" w:color="auto" w:fill="auto"/>
            <w:noWrap/>
            <w:vAlign w:val="center"/>
          </w:tcPr>
          <w:p w14:paraId="7974B62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163</w:t>
            </w:r>
          </w:p>
        </w:tc>
        <w:tc>
          <w:tcPr>
            <w:tcW w:w="1155" w:type="dxa"/>
            <w:tcBorders>
              <w:top w:val="nil"/>
              <w:left w:val="nil"/>
              <w:bottom w:val="single" w:color="000000" w:sz="8" w:space="0"/>
              <w:right w:val="single" w:color="000000" w:sz="8" w:space="0"/>
            </w:tcBorders>
            <w:shd w:val="clear" w:color="auto" w:fill="auto"/>
            <w:noWrap/>
            <w:vAlign w:val="center"/>
          </w:tcPr>
          <w:p w14:paraId="2CC2E56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100%</w:t>
            </w:r>
          </w:p>
        </w:tc>
        <w:tc>
          <w:tcPr>
            <w:tcW w:w="1020" w:type="dxa"/>
            <w:tcBorders>
              <w:top w:val="nil"/>
              <w:left w:val="nil"/>
              <w:bottom w:val="single" w:color="000000" w:sz="8" w:space="0"/>
              <w:right w:val="single" w:color="000000" w:sz="8" w:space="0"/>
            </w:tcBorders>
            <w:shd w:val="clear" w:color="auto" w:fill="auto"/>
            <w:noWrap/>
            <w:vAlign w:val="center"/>
          </w:tcPr>
          <w:p w14:paraId="6CBF099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3130</w:t>
            </w:r>
          </w:p>
        </w:tc>
        <w:tc>
          <w:tcPr>
            <w:tcW w:w="945" w:type="dxa"/>
            <w:tcBorders>
              <w:top w:val="nil"/>
              <w:left w:val="nil"/>
              <w:bottom w:val="single" w:color="000000" w:sz="8" w:space="0"/>
              <w:right w:val="single" w:color="000000" w:sz="8" w:space="0"/>
            </w:tcBorders>
            <w:shd w:val="clear" w:color="auto" w:fill="auto"/>
            <w:noWrap/>
            <w:vAlign w:val="center"/>
          </w:tcPr>
          <w:p w14:paraId="5C98096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1488</w:t>
            </w:r>
          </w:p>
        </w:tc>
        <w:tc>
          <w:tcPr>
            <w:tcW w:w="1260" w:type="dxa"/>
            <w:tcBorders>
              <w:top w:val="nil"/>
              <w:left w:val="nil"/>
              <w:bottom w:val="single" w:color="000000" w:sz="8" w:space="0"/>
              <w:right w:val="single" w:color="000000" w:sz="8" w:space="0"/>
            </w:tcBorders>
            <w:shd w:val="clear" w:color="auto" w:fill="auto"/>
            <w:vAlign w:val="center"/>
          </w:tcPr>
          <w:p w14:paraId="43645BB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47.54%</w:t>
            </w:r>
          </w:p>
        </w:tc>
        <w:tc>
          <w:tcPr>
            <w:tcW w:w="915" w:type="dxa"/>
            <w:tcBorders>
              <w:top w:val="nil"/>
              <w:left w:val="nil"/>
              <w:bottom w:val="single" w:color="000000" w:sz="8" w:space="0"/>
              <w:right w:val="single" w:color="000000" w:sz="8" w:space="0"/>
            </w:tcBorders>
            <w:shd w:val="clear" w:color="auto" w:fill="auto"/>
            <w:vAlign w:val="center"/>
          </w:tcPr>
          <w:p w14:paraId="4EB84E6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1642</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59EA822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52.46%</w:t>
            </w:r>
          </w:p>
        </w:tc>
      </w:tr>
    </w:tbl>
    <w:p w14:paraId="3EE2DEAB">
      <w:pPr>
        <w:keepNext w:val="0"/>
        <w:keepLines w:val="0"/>
        <w:pageBreakBefore w:val="0"/>
        <w:widowControl w:val="0"/>
        <w:kinsoku/>
        <w:wordWrap/>
        <w:overflowPunct w:val="0"/>
        <w:topLinePunct w:val="0"/>
        <w:autoSpaceDE/>
        <w:autoSpaceDN/>
        <w:bidi w:val="0"/>
        <w:adjustRightInd w:val="0"/>
        <w:snapToGrid/>
        <w:spacing w:line="520" w:lineRule="exact"/>
        <w:textAlignment w:val="auto"/>
        <w:outlineLvl w:val="0"/>
        <w:rPr>
          <w:rFonts w:hint="eastAsia" w:ascii="Times New Roman" w:hAnsi="Times New Roman" w:eastAsia="楷体" w:cs="楷体"/>
          <w:color w:val="auto"/>
          <w:sz w:val="32"/>
          <w:szCs w:val="32"/>
          <w:highlight w:val="none"/>
        </w:rPr>
      </w:pPr>
    </w:p>
    <w:p w14:paraId="4D567F25">
      <w:pPr>
        <w:keepNext w:val="0"/>
        <w:keepLines w:val="0"/>
        <w:pageBreakBefore w:val="0"/>
        <w:widowControl w:val="0"/>
        <w:kinsoku/>
        <w:wordWrap/>
        <w:overflowPunct w:val="0"/>
        <w:topLinePunct w:val="0"/>
        <w:autoSpaceDE/>
        <w:autoSpaceDN/>
        <w:bidi w:val="0"/>
        <w:adjustRightInd w:val="0"/>
        <w:snapToGrid/>
        <w:spacing w:line="520" w:lineRule="exact"/>
        <w:textAlignment w:val="auto"/>
        <w:outlineLvl w:val="0"/>
        <w:rPr>
          <w:rFonts w:hint="eastAsia" w:ascii="Times New Roman" w:hAnsi="Times New Roman" w:eastAsia="楷体" w:cs="楷体"/>
          <w:color w:val="auto"/>
          <w:sz w:val="32"/>
          <w:szCs w:val="32"/>
          <w:highlight w:val="none"/>
        </w:rPr>
      </w:pPr>
      <w:r>
        <w:rPr>
          <w:rFonts w:hint="eastAsia" w:ascii="Times New Roman" w:hAnsi="Times New Roman" w:eastAsia="楷体" w:cs="楷体"/>
          <w:color w:val="auto"/>
          <w:sz w:val="32"/>
          <w:szCs w:val="32"/>
          <w:highlight w:val="none"/>
        </w:rPr>
        <w:t>（</w:t>
      </w:r>
      <w:r>
        <w:rPr>
          <w:rFonts w:hint="eastAsia" w:ascii="Times New Roman" w:hAnsi="Times New Roman" w:eastAsia="楷体" w:cs="楷体"/>
          <w:color w:val="auto"/>
          <w:sz w:val="32"/>
          <w:szCs w:val="32"/>
          <w:highlight w:val="none"/>
          <w:lang w:eastAsia="zh-CN"/>
        </w:rPr>
        <w:t>三</w:t>
      </w:r>
      <w:r>
        <w:rPr>
          <w:rFonts w:hint="eastAsia" w:ascii="Times New Roman" w:hAnsi="Times New Roman" w:eastAsia="楷体" w:cs="楷体"/>
          <w:color w:val="auto"/>
          <w:sz w:val="32"/>
          <w:szCs w:val="32"/>
          <w:highlight w:val="none"/>
        </w:rPr>
        <w:t>）教学计划进程</w:t>
      </w:r>
    </w:p>
    <w:p w14:paraId="4A5145C4">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outlineLvl w:val="0"/>
        <w:rPr>
          <w:rFonts w:hint="eastAsia" w:ascii="Times New Roman" w:hAnsi="Times New Roman" w:eastAsia="仿宋_GB2312" w:cs="仿宋"/>
          <w:color w:val="auto"/>
          <w:sz w:val="32"/>
          <w:szCs w:val="32"/>
          <w:highlight w:val="none"/>
          <w:lang w:eastAsia="zh-CN"/>
        </w:rPr>
      </w:pPr>
      <w:r>
        <w:rPr>
          <w:rFonts w:hint="eastAsia" w:ascii="Times New Roman" w:hAnsi="Times New Roman" w:eastAsia="仿宋_GB2312" w:cs="仿宋"/>
          <w:color w:val="auto"/>
          <w:sz w:val="32"/>
          <w:szCs w:val="32"/>
          <w:highlight w:val="none"/>
          <w:lang w:eastAsia="zh-CN"/>
        </w:rPr>
        <w:t>道路与桥梁工程技术专业教学计划进程安排表</w:t>
      </w:r>
    </w:p>
    <w:tbl>
      <w:tblPr>
        <w:tblStyle w:val="4"/>
        <w:tblW w:w="6136" w:type="pct"/>
        <w:jc w:val="center"/>
        <w:shd w:val="clear" w:color="auto" w:fill="auto"/>
        <w:tblLayout w:type="fixed"/>
        <w:tblCellMar>
          <w:top w:w="0" w:type="dxa"/>
          <w:left w:w="0" w:type="dxa"/>
          <w:bottom w:w="0" w:type="dxa"/>
          <w:right w:w="0" w:type="dxa"/>
        </w:tblCellMar>
      </w:tblPr>
      <w:tblGrid>
        <w:gridCol w:w="405"/>
        <w:gridCol w:w="450"/>
        <w:gridCol w:w="480"/>
        <w:gridCol w:w="318"/>
        <w:gridCol w:w="1150"/>
        <w:gridCol w:w="1516"/>
        <w:gridCol w:w="585"/>
        <w:gridCol w:w="555"/>
        <w:gridCol w:w="579"/>
        <w:gridCol w:w="497"/>
        <w:gridCol w:w="470"/>
        <w:gridCol w:w="510"/>
        <w:gridCol w:w="435"/>
        <w:gridCol w:w="315"/>
        <w:gridCol w:w="371"/>
        <w:gridCol w:w="364"/>
        <w:gridCol w:w="795"/>
        <w:gridCol w:w="435"/>
      </w:tblGrid>
      <w:tr w14:paraId="4FF5EEB0">
        <w:tblPrEx>
          <w:tblCellMar>
            <w:top w:w="0" w:type="dxa"/>
            <w:left w:w="0" w:type="dxa"/>
            <w:bottom w:w="0" w:type="dxa"/>
            <w:right w:w="0" w:type="dxa"/>
          </w:tblCellMar>
        </w:tblPrEx>
        <w:trPr>
          <w:trHeight w:val="270" w:hRule="atLeast"/>
          <w:jc w:val="center"/>
        </w:trPr>
        <w:tc>
          <w:tcPr>
            <w:tcW w:w="652" w:type="pct"/>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2F2F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课程类型</w:t>
            </w:r>
          </w:p>
        </w:tc>
        <w:tc>
          <w:tcPr>
            <w:tcW w:w="15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3FED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序号</w:t>
            </w:r>
          </w:p>
        </w:tc>
        <w:tc>
          <w:tcPr>
            <w:tcW w:w="56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3F93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课程代码</w:t>
            </w:r>
          </w:p>
        </w:tc>
        <w:tc>
          <w:tcPr>
            <w:tcW w:w="74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DC5B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课程名称</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7B5E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学分</w:t>
            </w:r>
          </w:p>
        </w:tc>
        <w:tc>
          <w:tcPr>
            <w:tcW w:w="797" w:type="pct"/>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B9AA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教学学时数</w:t>
            </w:r>
          </w:p>
        </w:tc>
        <w:tc>
          <w:tcPr>
            <w:tcW w:w="1204" w:type="pct"/>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7A9F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开课学期和周学时</w:t>
            </w:r>
          </w:p>
        </w:tc>
        <w:tc>
          <w:tcPr>
            <w:tcW w:w="38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322E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考核类型</w:t>
            </w:r>
          </w:p>
        </w:tc>
        <w:tc>
          <w:tcPr>
            <w:tcW w:w="21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CA4B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备注</w:t>
            </w:r>
          </w:p>
        </w:tc>
      </w:tr>
      <w:tr w14:paraId="4C73FFCE">
        <w:tblPrEx>
          <w:tblCellMar>
            <w:top w:w="0" w:type="dxa"/>
            <w:left w:w="0" w:type="dxa"/>
            <w:bottom w:w="0" w:type="dxa"/>
            <w:right w:w="0" w:type="dxa"/>
          </w:tblCellMar>
        </w:tblPrEx>
        <w:trPr>
          <w:trHeight w:val="270" w:hRule="atLeast"/>
          <w:jc w:val="center"/>
        </w:trPr>
        <w:tc>
          <w:tcPr>
            <w:tcW w:w="652"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D4717">
            <w:pPr>
              <w:keepNext w:val="0"/>
              <w:keepLines w:val="0"/>
              <w:suppressLineNumbers w:val="0"/>
              <w:spacing w:before="0" w:beforeAutospacing="0" w:after="0" w:afterAutospacing="0"/>
              <w:ind w:left="0" w:right="0"/>
              <w:jc w:val="center"/>
              <w:rPr>
                <w:rFonts w:hint="eastAsia" w:ascii="Times New Roman" w:hAnsi="Times New Roman" w:eastAsia="仿宋" w:cs="仿宋"/>
                <w:b w:val="0"/>
                <w:bCs/>
                <w:i w:val="0"/>
                <w:color w:val="auto"/>
                <w:sz w:val="21"/>
                <w:szCs w:val="21"/>
                <w:highlight w:val="none"/>
                <w:u w:val="none"/>
              </w:rPr>
            </w:pPr>
          </w:p>
        </w:tc>
        <w:tc>
          <w:tcPr>
            <w:tcW w:w="15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BBDCC">
            <w:pPr>
              <w:keepNext w:val="0"/>
              <w:keepLines w:val="0"/>
              <w:suppressLineNumbers w:val="0"/>
              <w:spacing w:before="0" w:beforeAutospacing="0" w:after="0" w:afterAutospacing="0"/>
              <w:ind w:left="0" w:right="0"/>
              <w:jc w:val="center"/>
              <w:rPr>
                <w:rFonts w:hint="eastAsia" w:ascii="Times New Roman" w:hAnsi="Times New Roman" w:eastAsia="仿宋" w:cs="仿宋"/>
                <w:b w:val="0"/>
                <w:bCs/>
                <w:i w:val="0"/>
                <w:color w:val="auto"/>
                <w:sz w:val="21"/>
                <w:szCs w:val="21"/>
                <w:highlight w:val="none"/>
                <w:u w:val="none"/>
              </w:rPr>
            </w:pPr>
          </w:p>
        </w:tc>
        <w:tc>
          <w:tcPr>
            <w:tcW w:w="5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8CF24">
            <w:pPr>
              <w:keepNext w:val="0"/>
              <w:keepLines w:val="0"/>
              <w:suppressLineNumbers w:val="0"/>
              <w:spacing w:before="0" w:beforeAutospacing="0" w:after="0" w:afterAutospacing="0"/>
              <w:ind w:left="0" w:right="0"/>
              <w:jc w:val="center"/>
              <w:rPr>
                <w:rFonts w:hint="eastAsia" w:ascii="Times New Roman" w:hAnsi="Times New Roman" w:eastAsia="仿宋" w:cs="仿宋"/>
                <w:b w:val="0"/>
                <w:bCs/>
                <w:i w:val="0"/>
                <w:color w:val="auto"/>
                <w:sz w:val="21"/>
                <w:szCs w:val="21"/>
                <w:highlight w:val="none"/>
                <w:u w:val="none"/>
              </w:rPr>
            </w:pPr>
          </w:p>
        </w:tc>
        <w:tc>
          <w:tcPr>
            <w:tcW w:w="7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AA665">
            <w:pPr>
              <w:keepNext w:val="0"/>
              <w:keepLines w:val="0"/>
              <w:suppressLineNumbers w:val="0"/>
              <w:spacing w:before="0" w:beforeAutospacing="0" w:after="0" w:afterAutospacing="0"/>
              <w:ind w:left="0" w:right="0"/>
              <w:jc w:val="center"/>
              <w:rPr>
                <w:rFonts w:hint="eastAsia" w:ascii="Times New Roman" w:hAnsi="Times New Roman" w:eastAsia="仿宋" w:cs="仿宋"/>
                <w:b w:val="0"/>
                <w:bCs/>
                <w:i w:val="0"/>
                <w:color w:val="auto"/>
                <w:sz w:val="21"/>
                <w:szCs w:val="21"/>
                <w:highlight w:val="none"/>
                <w:u w:val="none"/>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7059D">
            <w:pPr>
              <w:keepNext w:val="0"/>
              <w:keepLines w:val="0"/>
              <w:suppressLineNumbers w:val="0"/>
              <w:spacing w:before="0" w:beforeAutospacing="0" w:after="0" w:afterAutospacing="0"/>
              <w:ind w:left="0" w:right="0"/>
              <w:jc w:val="center"/>
              <w:rPr>
                <w:rFonts w:hint="eastAsia" w:ascii="Times New Roman" w:hAnsi="Times New Roman" w:eastAsia="仿宋" w:cs="仿宋"/>
                <w:b w:val="0"/>
                <w:bCs/>
                <w:i w:val="0"/>
                <w:color w:val="auto"/>
                <w:sz w:val="21"/>
                <w:szCs w:val="21"/>
                <w:highlight w:val="none"/>
                <w:u w:val="none"/>
              </w:rPr>
            </w:pPr>
          </w:p>
        </w:tc>
        <w:tc>
          <w:tcPr>
            <w:tcW w:w="7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A09C0">
            <w:pPr>
              <w:keepNext w:val="0"/>
              <w:keepLines w:val="0"/>
              <w:suppressLineNumbers w:val="0"/>
              <w:spacing w:before="0" w:beforeAutospacing="0" w:after="0" w:afterAutospacing="0"/>
              <w:ind w:left="0" w:right="0"/>
              <w:jc w:val="center"/>
              <w:rPr>
                <w:rFonts w:hint="eastAsia" w:ascii="Times New Roman" w:hAnsi="Times New Roman" w:eastAsia="仿宋" w:cs="仿宋"/>
                <w:b w:val="0"/>
                <w:bCs/>
                <w:i w:val="0"/>
                <w:color w:val="auto"/>
                <w:sz w:val="21"/>
                <w:szCs w:val="21"/>
                <w:highlight w:val="none"/>
                <w:u w:val="none"/>
              </w:rPr>
            </w:pPr>
          </w:p>
        </w:tc>
        <w:tc>
          <w:tcPr>
            <w:tcW w:w="120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3459C">
            <w:pPr>
              <w:keepNext w:val="0"/>
              <w:keepLines w:val="0"/>
              <w:suppressLineNumbers w:val="0"/>
              <w:spacing w:before="0" w:beforeAutospacing="0" w:after="0" w:afterAutospacing="0"/>
              <w:ind w:left="0" w:right="0"/>
              <w:jc w:val="center"/>
              <w:rPr>
                <w:rFonts w:hint="eastAsia" w:ascii="Times New Roman" w:hAnsi="Times New Roman" w:eastAsia="仿宋" w:cs="仿宋"/>
                <w:b w:val="0"/>
                <w:bCs/>
                <w:i w:val="0"/>
                <w:color w:val="auto"/>
                <w:sz w:val="21"/>
                <w:szCs w:val="21"/>
                <w:highlight w:val="none"/>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2F50C">
            <w:pPr>
              <w:keepNext w:val="0"/>
              <w:keepLines w:val="0"/>
              <w:suppressLineNumbers w:val="0"/>
              <w:spacing w:before="0" w:beforeAutospacing="0" w:after="0" w:afterAutospacing="0"/>
              <w:ind w:left="0" w:right="0"/>
              <w:jc w:val="center"/>
              <w:rPr>
                <w:rFonts w:hint="eastAsia" w:ascii="Times New Roman" w:hAnsi="Times New Roman" w:eastAsia="仿宋" w:cs="仿宋"/>
                <w:b w:val="0"/>
                <w:bCs/>
                <w:i w:val="0"/>
                <w:color w:val="auto"/>
                <w:sz w:val="21"/>
                <w:szCs w:val="21"/>
                <w:highlight w:val="none"/>
                <w:u w:val="none"/>
              </w:rPr>
            </w:pPr>
          </w:p>
        </w:tc>
        <w:tc>
          <w:tcPr>
            <w:tcW w:w="2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67FFE">
            <w:pPr>
              <w:keepNext w:val="0"/>
              <w:keepLines w:val="0"/>
              <w:suppressLineNumbers w:val="0"/>
              <w:spacing w:before="0" w:beforeAutospacing="0" w:after="0" w:afterAutospacing="0"/>
              <w:ind w:left="0" w:right="0"/>
              <w:jc w:val="center"/>
              <w:rPr>
                <w:rFonts w:hint="eastAsia" w:ascii="Times New Roman" w:hAnsi="Times New Roman" w:eastAsia="仿宋" w:cs="仿宋"/>
                <w:b w:val="0"/>
                <w:bCs/>
                <w:i w:val="0"/>
                <w:color w:val="auto"/>
                <w:sz w:val="21"/>
                <w:szCs w:val="21"/>
                <w:highlight w:val="none"/>
                <w:u w:val="none"/>
              </w:rPr>
            </w:pPr>
          </w:p>
        </w:tc>
      </w:tr>
      <w:tr w14:paraId="50C3451F">
        <w:tblPrEx>
          <w:tblCellMar>
            <w:top w:w="0" w:type="dxa"/>
            <w:left w:w="0" w:type="dxa"/>
            <w:bottom w:w="0" w:type="dxa"/>
            <w:right w:w="0" w:type="dxa"/>
          </w:tblCellMar>
        </w:tblPrEx>
        <w:trPr>
          <w:trHeight w:val="270" w:hRule="atLeast"/>
          <w:jc w:val="center"/>
        </w:trPr>
        <w:tc>
          <w:tcPr>
            <w:tcW w:w="652"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8AEF3">
            <w:pPr>
              <w:keepNext w:val="0"/>
              <w:keepLines w:val="0"/>
              <w:suppressLineNumbers w:val="0"/>
              <w:spacing w:before="0" w:beforeAutospacing="0" w:after="0" w:afterAutospacing="0"/>
              <w:ind w:left="0" w:right="0"/>
              <w:jc w:val="center"/>
              <w:rPr>
                <w:rFonts w:hint="eastAsia" w:ascii="Times New Roman" w:hAnsi="Times New Roman" w:eastAsia="仿宋" w:cs="仿宋"/>
                <w:b w:val="0"/>
                <w:bCs/>
                <w:i w:val="0"/>
                <w:color w:val="auto"/>
                <w:sz w:val="21"/>
                <w:szCs w:val="21"/>
                <w:highlight w:val="none"/>
                <w:u w:val="none"/>
              </w:rPr>
            </w:pPr>
          </w:p>
        </w:tc>
        <w:tc>
          <w:tcPr>
            <w:tcW w:w="15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9B94C">
            <w:pPr>
              <w:keepNext w:val="0"/>
              <w:keepLines w:val="0"/>
              <w:suppressLineNumbers w:val="0"/>
              <w:spacing w:before="0" w:beforeAutospacing="0" w:after="0" w:afterAutospacing="0"/>
              <w:ind w:left="0" w:right="0"/>
              <w:jc w:val="center"/>
              <w:rPr>
                <w:rFonts w:hint="eastAsia" w:ascii="Times New Roman" w:hAnsi="Times New Roman" w:eastAsia="仿宋" w:cs="仿宋"/>
                <w:b w:val="0"/>
                <w:bCs/>
                <w:i w:val="0"/>
                <w:color w:val="auto"/>
                <w:sz w:val="21"/>
                <w:szCs w:val="21"/>
                <w:highlight w:val="none"/>
                <w:u w:val="none"/>
              </w:rPr>
            </w:pPr>
          </w:p>
        </w:tc>
        <w:tc>
          <w:tcPr>
            <w:tcW w:w="5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73C75">
            <w:pPr>
              <w:keepNext w:val="0"/>
              <w:keepLines w:val="0"/>
              <w:suppressLineNumbers w:val="0"/>
              <w:spacing w:before="0" w:beforeAutospacing="0" w:after="0" w:afterAutospacing="0"/>
              <w:ind w:left="0" w:right="0"/>
              <w:jc w:val="center"/>
              <w:rPr>
                <w:rFonts w:hint="eastAsia" w:ascii="Times New Roman" w:hAnsi="Times New Roman" w:eastAsia="仿宋" w:cs="仿宋"/>
                <w:b w:val="0"/>
                <w:bCs/>
                <w:i w:val="0"/>
                <w:color w:val="auto"/>
                <w:sz w:val="21"/>
                <w:szCs w:val="21"/>
                <w:highlight w:val="none"/>
                <w:u w:val="none"/>
              </w:rPr>
            </w:pPr>
          </w:p>
        </w:tc>
        <w:tc>
          <w:tcPr>
            <w:tcW w:w="7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3B8AD">
            <w:pPr>
              <w:keepNext w:val="0"/>
              <w:keepLines w:val="0"/>
              <w:suppressLineNumbers w:val="0"/>
              <w:spacing w:before="0" w:beforeAutospacing="0" w:after="0" w:afterAutospacing="0"/>
              <w:ind w:left="0" w:right="0"/>
              <w:jc w:val="center"/>
              <w:rPr>
                <w:rFonts w:hint="eastAsia" w:ascii="Times New Roman" w:hAnsi="Times New Roman" w:eastAsia="仿宋" w:cs="仿宋"/>
                <w:b w:val="0"/>
                <w:bCs/>
                <w:i w:val="0"/>
                <w:color w:val="auto"/>
                <w:sz w:val="21"/>
                <w:szCs w:val="21"/>
                <w:highlight w:val="none"/>
                <w:u w:val="none"/>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40978">
            <w:pPr>
              <w:keepNext w:val="0"/>
              <w:keepLines w:val="0"/>
              <w:suppressLineNumbers w:val="0"/>
              <w:spacing w:before="0" w:beforeAutospacing="0" w:after="0" w:afterAutospacing="0"/>
              <w:ind w:left="0" w:right="0"/>
              <w:jc w:val="center"/>
              <w:rPr>
                <w:rFonts w:hint="eastAsia" w:ascii="Times New Roman" w:hAnsi="Times New Roman" w:eastAsia="仿宋" w:cs="仿宋"/>
                <w:b w:val="0"/>
                <w:bCs/>
                <w:i w:val="0"/>
                <w:color w:val="auto"/>
                <w:sz w:val="21"/>
                <w:szCs w:val="21"/>
                <w:highlight w:val="none"/>
                <w:u w:val="none"/>
              </w:rPr>
            </w:pP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BCE3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合计</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9D45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理论学时</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B152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实践学时</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DBCA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一</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EFC3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二</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911C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三</w:t>
            </w: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CE71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四</w:t>
            </w: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D72F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五</w:t>
            </w: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A235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六</w:t>
            </w: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441BD">
            <w:pPr>
              <w:keepNext w:val="0"/>
              <w:keepLines w:val="0"/>
              <w:suppressLineNumbers w:val="0"/>
              <w:spacing w:before="0" w:beforeAutospacing="0" w:after="0" w:afterAutospacing="0"/>
              <w:ind w:left="0" w:right="0"/>
              <w:jc w:val="center"/>
              <w:rPr>
                <w:rFonts w:hint="eastAsia" w:ascii="Times New Roman" w:hAnsi="Times New Roman" w:eastAsia="仿宋" w:cs="仿宋"/>
                <w:b w:val="0"/>
                <w:bCs/>
                <w:i w:val="0"/>
                <w:color w:val="auto"/>
                <w:sz w:val="21"/>
                <w:szCs w:val="21"/>
                <w:highlight w:val="none"/>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23DF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b w:val="0"/>
                <w:bCs/>
                <w:i w:val="0"/>
                <w:color w:val="auto"/>
                <w:sz w:val="21"/>
                <w:szCs w:val="21"/>
                <w:highlight w:val="none"/>
                <w:u w:val="none"/>
              </w:rPr>
            </w:pPr>
          </w:p>
        </w:tc>
      </w:tr>
      <w:tr w14:paraId="24E3AE6F">
        <w:tblPrEx>
          <w:tblCellMar>
            <w:top w:w="0" w:type="dxa"/>
            <w:left w:w="0" w:type="dxa"/>
            <w:bottom w:w="0" w:type="dxa"/>
            <w:right w:w="0" w:type="dxa"/>
          </w:tblCellMar>
        </w:tblPrEx>
        <w:trPr>
          <w:trHeight w:val="765" w:hRule="atLeast"/>
          <w:jc w:val="center"/>
        </w:trPr>
        <w:tc>
          <w:tcPr>
            <w:tcW w:w="41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B0DE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公共基础课</w:t>
            </w:r>
          </w:p>
        </w:tc>
        <w:tc>
          <w:tcPr>
            <w:tcW w:w="23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B2CF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必修</w:t>
            </w: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3569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52CE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10B110620</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C41A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毛泽东思想和中国特色社会主义理论体系概论</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AB62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D000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9C85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28</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E389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81F60">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BA6E5">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8A48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8406A">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14381">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AF498">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3CDA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B372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73131D54">
        <w:tblPrEx>
          <w:tblCellMar>
            <w:top w:w="0" w:type="dxa"/>
            <w:left w:w="0" w:type="dxa"/>
            <w:bottom w:w="0" w:type="dxa"/>
            <w:right w:w="0" w:type="dxa"/>
          </w:tblCellMar>
        </w:tblPrEx>
        <w:trPr>
          <w:trHeight w:val="270"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FE54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A7BB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852A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AAEE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10B110820</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B463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形势与政策</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BD18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A507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2D35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32</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EBB1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1204"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0BE9A">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1到4学期开课，每学期8学时。</w:t>
            </w: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9087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361C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73E40B83">
        <w:tblPrEx>
          <w:tblCellMar>
            <w:top w:w="0" w:type="dxa"/>
            <w:left w:w="0" w:type="dxa"/>
            <w:bottom w:w="0" w:type="dxa"/>
            <w:right w:w="0" w:type="dxa"/>
          </w:tblCellMar>
        </w:tblPrEx>
        <w:trPr>
          <w:trHeight w:val="270"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7BD0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1B80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4854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7BA2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10B110520</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E9B6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思想道德与法治</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12DB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557D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0CBE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F5AA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3997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63EAA">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AF705">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96E6C">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40533">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838A6">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694C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7D18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1E33E6A2">
        <w:tblPrEx>
          <w:tblCellMar>
            <w:top w:w="0" w:type="dxa"/>
            <w:left w:w="0" w:type="dxa"/>
            <w:bottom w:w="0" w:type="dxa"/>
            <w:right w:w="0" w:type="dxa"/>
          </w:tblCellMar>
        </w:tblPrEx>
        <w:trPr>
          <w:trHeight w:val="510"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82ED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4EB4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A4F2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15F8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10B110720</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9912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习近平新时代中国特色社会主义思想概论</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42B8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3BD8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27BE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48</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C250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201D7">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17347">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ED119">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A548F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042BB">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A32FD">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C62F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8FD7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72A9FFC5">
        <w:tblPrEx>
          <w:tblCellMar>
            <w:top w:w="0" w:type="dxa"/>
            <w:left w:w="0" w:type="dxa"/>
            <w:bottom w:w="0" w:type="dxa"/>
            <w:right w:w="0" w:type="dxa"/>
          </w:tblCellMar>
        </w:tblPrEx>
        <w:trPr>
          <w:trHeight w:val="270"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8411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23DF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1F14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BC0A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10B111320</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98B3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大学体育</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A1BC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B198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D7CA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12</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A88C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96</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DDFC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4ACB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DB1C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EFF3E5">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F515C">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E9B6B">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C51D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923E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1EFDF062">
        <w:tblPrEx>
          <w:tblCellMar>
            <w:top w:w="0" w:type="dxa"/>
            <w:left w:w="0" w:type="dxa"/>
            <w:bottom w:w="0" w:type="dxa"/>
            <w:right w:w="0" w:type="dxa"/>
          </w:tblCellMar>
        </w:tblPrEx>
        <w:trPr>
          <w:trHeight w:val="270"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D916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78F4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C11B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744F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10B111221</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70CD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军事理论</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26A3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CCBE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27A2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B81D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9961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78A68">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2879B">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1350A">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4907F">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A1301">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65BB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B53B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352E57BF">
        <w:tblPrEx>
          <w:tblCellMar>
            <w:top w:w="0" w:type="dxa"/>
            <w:left w:w="0" w:type="dxa"/>
            <w:bottom w:w="0" w:type="dxa"/>
            <w:right w:w="0" w:type="dxa"/>
          </w:tblCellMar>
        </w:tblPrEx>
        <w:trPr>
          <w:trHeight w:val="270"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7CED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460F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BE8B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1B8F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10B111222</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9284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军事技能</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5AC1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CEEB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112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82A8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F72B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112</w:t>
            </w:r>
          </w:p>
        </w:tc>
        <w:tc>
          <w:tcPr>
            <w:tcW w:w="1204"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44EE0">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第1学期，实际训练时间不少于14天。</w:t>
            </w: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B5DD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896A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4EEE0969">
        <w:tblPrEx>
          <w:tblCellMar>
            <w:top w:w="0" w:type="dxa"/>
            <w:left w:w="0" w:type="dxa"/>
            <w:bottom w:w="0" w:type="dxa"/>
            <w:right w:w="0" w:type="dxa"/>
          </w:tblCellMar>
        </w:tblPrEx>
        <w:trPr>
          <w:trHeight w:val="270"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8DDC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F332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1E32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8</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688B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10B119820</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D253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大学生心理健康教育</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D5E3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91E3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74CF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1580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16AC8">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DEA5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570B3">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40195">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7F013">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D4566">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D82C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5CDE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5B6410A2">
        <w:tblPrEx>
          <w:shd w:val="clear" w:color="auto" w:fill="auto"/>
          <w:tblCellMar>
            <w:top w:w="0" w:type="dxa"/>
            <w:left w:w="0" w:type="dxa"/>
            <w:bottom w:w="0" w:type="dxa"/>
            <w:right w:w="0" w:type="dxa"/>
          </w:tblCellMar>
        </w:tblPrEx>
        <w:trPr>
          <w:trHeight w:val="270"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6CB9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5961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839D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9</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F5E8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10B110120</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AA48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大学英语</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9176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8</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2726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128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0B3D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104</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DDA4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24</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3ADD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4002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8CB89">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C9BFB">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88161">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21F7B">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2B13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3E4F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19F2E5D7">
        <w:tblPrEx>
          <w:shd w:val="clear" w:color="auto" w:fill="auto"/>
          <w:tblCellMar>
            <w:top w:w="0" w:type="dxa"/>
            <w:left w:w="0" w:type="dxa"/>
            <w:bottom w:w="0" w:type="dxa"/>
            <w:right w:w="0" w:type="dxa"/>
          </w:tblCellMar>
        </w:tblPrEx>
        <w:trPr>
          <w:trHeight w:val="270"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A84A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C49A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931A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8881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10B111720</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44D4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计算机基础</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90BD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6385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A624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32</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D1F7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684D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93D38">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65610">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F79F7">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CB025">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AE421">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B918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7B1F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3B428115">
        <w:tblPrEx>
          <w:shd w:val="clear" w:color="auto" w:fill="auto"/>
          <w:tblCellMar>
            <w:top w:w="0" w:type="dxa"/>
            <w:left w:w="0" w:type="dxa"/>
            <w:bottom w:w="0" w:type="dxa"/>
            <w:right w:w="0" w:type="dxa"/>
          </w:tblCellMar>
        </w:tblPrEx>
        <w:trPr>
          <w:trHeight w:val="510"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6659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0469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60C1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11</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394C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10B111220</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A3B7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大学生职业发展与就业指导</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42C4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9928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B202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D3C6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10DA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E663F">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1C7F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E742D">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FAD10">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ABBDC">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A960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F5EE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0F16EE67">
        <w:tblPrEx>
          <w:tblCellMar>
            <w:top w:w="0" w:type="dxa"/>
            <w:left w:w="0" w:type="dxa"/>
            <w:bottom w:w="0" w:type="dxa"/>
            <w:right w:w="0" w:type="dxa"/>
          </w:tblCellMar>
        </w:tblPrEx>
        <w:trPr>
          <w:trHeight w:val="270"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92B6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772F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22F3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12</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395F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10C119700</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320A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劳动教育</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1CDA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3DC9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1031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E545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D5554">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E2AC4">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EB79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EBB4F">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3E62E">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47666">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7604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0D09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571BE0F6">
        <w:tblPrEx>
          <w:tblCellMar>
            <w:top w:w="0" w:type="dxa"/>
            <w:left w:w="0" w:type="dxa"/>
            <w:bottom w:w="0" w:type="dxa"/>
            <w:right w:w="0" w:type="dxa"/>
          </w:tblCellMar>
        </w:tblPrEx>
        <w:trPr>
          <w:trHeight w:val="285"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3958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D14E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7E881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13</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9FBC6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10A111820</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EBD6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高等数学</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200E6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1B26B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9E6EE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FA109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3A9B1CD9">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color w:val="auto"/>
                <w:kern w:val="0"/>
                <w:sz w:val="21"/>
                <w:szCs w:val="21"/>
                <w:highlight w:val="none"/>
                <w:lang w:val="en-US" w:eastAsia="zh-CN"/>
              </w:rPr>
              <w:t>2</w:t>
            </w:r>
          </w:p>
        </w:tc>
        <w:tc>
          <w:tcPr>
            <w:tcW w:w="249" w:type="pct"/>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3DE9C08D">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color w:val="auto"/>
                <w:kern w:val="0"/>
                <w:sz w:val="21"/>
                <w:szCs w:val="21"/>
                <w:highlight w:val="none"/>
                <w:lang w:val="en-US" w:eastAsia="zh-CN"/>
              </w:rPr>
              <w:t>2</w:t>
            </w:r>
          </w:p>
        </w:tc>
        <w:tc>
          <w:tcPr>
            <w:tcW w:w="212" w:type="pct"/>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58B5E187">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2E9D6465">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6DF774F1">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552D4F79">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BA69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AF294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7E565A86">
        <w:tblPrEx>
          <w:tblCellMar>
            <w:top w:w="0" w:type="dxa"/>
            <w:left w:w="0" w:type="dxa"/>
            <w:bottom w:w="0" w:type="dxa"/>
            <w:right w:w="0" w:type="dxa"/>
          </w:tblCellMar>
        </w:tblPrEx>
        <w:trPr>
          <w:trHeight w:val="270"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6289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C8CE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选修</w:t>
            </w: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0E1C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9AB1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20D0005</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7131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大学生礼仪修养</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6419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4345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3258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2BC425B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1204" w:type="pct"/>
            <w:gridSpan w:val="6"/>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B52936C">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color w:val="auto"/>
                <w:kern w:val="0"/>
                <w:sz w:val="21"/>
                <w:szCs w:val="21"/>
                <w:highlight w:val="none"/>
              </w:rPr>
              <w:t>公共选修课最低学分要求为12学分，其中要求3个学分为思政选修课学分,3个学分为国家安全教育课学分。</w:t>
            </w:r>
          </w:p>
        </w:tc>
        <w:tc>
          <w:tcPr>
            <w:tcW w:w="388" w:type="pct"/>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591607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3006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12FD818E">
        <w:tblPrEx>
          <w:tblCellMar>
            <w:top w:w="0" w:type="dxa"/>
            <w:left w:w="0" w:type="dxa"/>
            <w:bottom w:w="0" w:type="dxa"/>
            <w:right w:w="0" w:type="dxa"/>
          </w:tblCellMar>
        </w:tblPrEx>
        <w:trPr>
          <w:trHeight w:val="270"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1B74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45DB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D514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02FF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20D0006</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E887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中国民俗剪纸技法</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BFFF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3198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8ED5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2BED14B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1204" w:type="pct"/>
            <w:gridSpan w:val="6"/>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5A87639">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30C85E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57F8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415F74F7">
        <w:tblPrEx>
          <w:tblCellMar>
            <w:top w:w="0" w:type="dxa"/>
            <w:left w:w="0" w:type="dxa"/>
            <w:bottom w:w="0" w:type="dxa"/>
            <w:right w:w="0" w:type="dxa"/>
          </w:tblCellMar>
        </w:tblPrEx>
        <w:trPr>
          <w:trHeight w:val="270"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1758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85FE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D2AB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6E03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20D0007</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E16F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影视与鉴赏</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DE98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E2F0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4DBE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121521B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1204" w:type="pct"/>
            <w:gridSpan w:val="6"/>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A43F3ED">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3B0AC9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90FB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1D7D64FE">
        <w:tblPrEx>
          <w:tblCellMar>
            <w:top w:w="0" w:type="dxa"/>
            <w:left w:w="0" w:type="dxa"/>
            <w:bottom w:w="0" w:type="dxa"/>
            <w:right w:w="0" w:type="dxa"/>
          </w:tblCellMar>
        </w:tblPrEx>
        <w:trPr>
          <w:trHeight w:val="270"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D9D6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56DD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346C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C305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20D0003</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D4C9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人际交流与沟通</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23B5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7831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D319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7A33E0A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1204" w:type="pct"/>
            <w:gridSpan w:val="6"/>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BD76641">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C85A1C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7E56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60D4741D">
        <w:tblPrEx>
          <w:tblCellMar>
            <w:top w:w="0" w:type="dxa"/>
            <w:left w:w="0" w:type="dxa"/>
            <w:bottom w:w="0" w:type="dxa"/>
            <w:right w:w="0" w:type="dxa"/>
          </w:tblCellMar>
        </w:tblPrEx>
        <w:trPr>
          <w:trHeight w:val="270"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0F53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E26C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6134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99BA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20D0002</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A3BA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演讲与口才</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5FA3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E504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1470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33330C1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1204" w:type="pct"/>
            <w:gridSpan w:val="6"/>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8BEC642">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B0D193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0A72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2CB4053A">
        <w:tblPrEx>
          <w:shd w:val="clear" w:color="auto" w:fill="auto"/>
          <w:tblCellMar>
            <w:top w:w="0" w:type="dxa"/>
            <w:left w:w="0" w:type="dxa"/>
            <w:bottom w:w="0" w:type="dxa"/>
            <w:right w:w="0" w:type="dxa"/>
          </w:tblCellMar>
        </w:tblPrEx>
        <w:trPr>
          <w:trHeight w:val="270"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E4F4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6DBA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0D96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2F4B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20D0008</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37F5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创新创业教育</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2ED5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6117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6992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04203CA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1204" w:type="pct"/>
            <w:gridSpan w:val="6"/>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B799669">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BE101DF">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EC95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3D5F911F">
        <w:tblPrEx>
          <w:tblCellMar>
            <w:top w:w="0" w:type="dxa"/>
            <w:left w:w="0" w:type="dxa"/>
            <w:bottom w:w="0" w:type="dxa"/>
            <w:right w:w="0" w:type="dxa"/>
          </w:tblCellMar>
        </w:tblPrEx>
        <w:trPr>
          <w:trHeight w:val="510"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B302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BF24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970F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499B7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10B119920</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EF47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中国共产党简史（限选）</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3999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6AAB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4353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6CC13F9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1204" w:type="pct"/>
            <w:gridSpan w:val="6"/>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10C5477">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778282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092F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6BC26D05">
        <w:tblPrEx>
          <w:tblCellMar>
            <w:top w:w="0" w:type="dxa"/>
            <w:left w:w="0" w:type="dxa"/>
            <w:bottom w:w="0" w:type="dxa"/>
            <w:right w:w="0" w:type="dxa"/>
          </w:tblCellMar>
        </w:tblPrEx>
        <w:trPr>
          <w:trHeight w:val="510"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B28C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A923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226C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8</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D172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20D9901</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0CEC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改革开放简史（限选）</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62BF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4C3D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9440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2BC14BE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1204" w:type="pct"/>
            <w:gridSpan w:val="6"/>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3939896">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83BCBD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D72C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0A6557BC">
        <w:tblPrEx>
          <w:tblCellMar>
            <w:top w:w="0" w:type="dxa"/>
            <w:left w:w="0" w:type="dxa"/>
            <w:bottom w:w="0" w:type="dxa"/>
            <w:right w:w="0" w:type="dxa"/>
          </w:tblCellMar>
        </w:tblPrEx>
        <w:trPr>
          <w:trHeight w:val="510"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9ED6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9B4E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F862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9</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0A89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20D9902</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2FDD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中华人民共和国简史（限选）</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4630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46C1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4253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7F90497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1204" w:type="pct"/>
            <w:gridSpan w:val="6"/>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D4A962D">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5CB043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A3A2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473C9C0A">
        <w:tblPrEx>
          <w:shd w:val="clear" w:color="auto" w:fill="auto"/>
          <w:tblCellMar>
            <w:top w:w="0" w:type="dxa"/>
            <w:left w:w="0" w:type="dxa"/>
            <w:bottom w:w="0" w:type="dxa"/>
            <w:right w:w="0" w:type="dxa"/>
          </w:tblCellMar>
        </w:tblPrEx>
        <w:trPr>
          <w:trHeight w:val="510"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FAEE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E8C5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2FC2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B629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20D9903</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A6D8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社会主义发展简史（限选）</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EF83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1035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E16D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1761159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1204" w:type="pct"/>
            <w:gridSpan w:val="6"/>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B97CE0">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4AB1A2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DE13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314A737C">
        <w:tblPrEx>
          <w:tblCellMar>
            <w:top w:w="0" w:type="dxa"/>
            <w:left w:w="0" w:type="dxa"/>
            <w:bottom w:w="0" w:type="dxa"/>
            <w:right w:w="0" w:type="dxa"/>
          </w:tblCellMar>
        </w:tblPrEx>
        <w:trPr>
          <w:trHeight w:val="510"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3EFE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8588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BED7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11</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6F70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20D9904</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D7E9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国家安全教育（限选）</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0DF5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7FB4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95C4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79E1BA8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1204" w:type="pct"/>
            <w:gridSpan w:val="6"/>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2997314">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C95EDA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321C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4882336C">
        <w:tblPrEx>
          <w:tblCellMar>
            <w:top w:w="0" w:type="dxa"/>
            <w:left w:w="0" w:type="dxa"/>
            <w:bottom w:w="0" w:type="dxa"/>
            <w:right w:w="0" w:type="dxa"/>
          </w:tblCellMar>
        </w:tblPrEx>
        <w:trPr>
          <w:trHeight w:val="540"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2F8D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F8C1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D982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12</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7CC9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20D0009</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4468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语文</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F922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3FCC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3F72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65666E0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1204" w:type="pct"/>
            <w:gridSpan w:val="6"/>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CE40E73">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1AB7DC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C0A3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6DB40871">
        <w:tblPrEx>
          <w:tblCellMar>
            <w:top w:w="0" w:type="dxa"/>
            <w:left w:w="0" w:type="dxa"/>
            <w:bottom w:w="0" w:type="dxa"/>
            <w:right w:w="0" w:type="dxa"/>
          </w:tblCellMar>
        </w:tblPrEx>
        <w:trPr>
          <w:trHeight w:val="270"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875B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693"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BF19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公共必修课程学分、学时小计</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CEE1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color w:val="auto"/>
                <w:kern w:val="0"/>
                <w:sz w:val="21"/>
                <w:szCs w:val="21"/>
                <w:highlight w:val="none"/>
                <w:lang w:val="en-US" w:eastAsia="zh-CN" w:bidi="ar-SA"/>
              </w:rPr>
            </w:pPr>
            <w:r>
              <w:rPr>
                <w:rFonts w:hint="eastAsia" w:ascii="Times New Roman" w:hAnsi="Times New Roman" w:eastAsia="仿宋" w:cs="仿宋"/>
                <w:i w:val="0"/>
                <w:iCs w:val="0"/>
                <w:color w:val="auto"/>
                <w:kern w:val="0"/>
                <w:sz w:val="21"/>
                <w:szCs w:val="21"/>
                <w:highlight w:val="none"/>
                <w:u w:val="none"/>
                <w:lang w:val="en-US" w:eastAsia="zh-CN" w:bidi="ar"/>
              </w:rPr>
              <w:t>40</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3B52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color w:val="auto"/>
                <w:kern w:val="0"/>
                <w:sz w:val="21"/>
                <w:szCs w:val="21"/>
                <w:highlight w:val="none"/>
                <w:lang w:val="en-US" w:eastAsia="zh-CN" w:bidi="ar-SA"/>
              </w:rPr>
            </w:pPr>
            <w:r>
              <w:rPr>
                <w:rFonts w:hint="eastAsia" w:ascii="Times New Roman" w:hAnsi="Times New Roman" w:eastAsia="仿宋" w:cs="仿宋"/>
                <w:i w:val="0"/>
                <w:iCs w:val="0"/>
                <w:color w:val="auto"/>
                <w:kern w:val="0"/>
                <w:sz w:val="21"/>
                <w:szCs w:val="21"/>
                <w:highlight w:val="none"/>
                <w:u w:val="none"/>
                <w:lang w:val="en-US" w:eastAsia="zh-CN" w:bidi="ar"/>
              </w:rPr>
              <w:t>758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BF37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color w:val="auto"/>
                <w:kern w:val="0"/>
                <w:sz w:val="21"/>
                <w:szCs w:val="21"/>
                <w:highlight w:val="none"/>
                <w:lang w:val="en-US" w:eastAsia="zh-CN" w:bidi="ar-SA"/>
              </w:rPr>
            </w:pPr>
            <w:r>
              <w:rPr>
                <w:rFonts w:hint="eastAsia" w:ascii="Times New Roman" w:hAnsi="Times New Roman" w:eastAsia="仿宋" w:cs="仿宋"/>
                <w:i w:val="0"/>
                <w:iCs w:val="0"/>
                <w:color w:val="auto"/>
                <w:kern w:val="0"/>
                <w:sz w:val="21"/>
                <w:szCs w:val="21"/>
                <w:highlight w:val="none"/>
                <w:u w:val="none"/>
                <w:lang w:val="en-US" w:eastAsia="zh-CN" w:bidi="ar"/>
              </w:rPr>
              <w:t>442</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C7E1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color w:val="auto"/>
                <w:kern w:val="0"/>
                <w:sz w:val="21"/>
                <w:szCs w:val="21"/>
                <w:highlight w:val="none"/>
                <w:lang w:val="en-US" w:eastAsia="zh-CN" w:bidi="ar-SA"/>
              </w:rPr>
            </w:pPr>
            <w:r>
              <w:rPr>
                <w:rFonts w:hint="eastAsia" w:ascii="Times New Roman" w:hAnsi="Times New Roman" w:eastAsia="仿宋" w:cs="仿宋"/>
                <w:i w:val="0"/>
                <w:iCs w:val="0"/>
                <w:color w:val="auto"/>
                <w:kern w:val="0"/>
                <w:sz w:val="21"/>
                <w:szCs w:val="21"/>
                <w:highlight w:val="none"/>
                <w:u w:val="none"/>
                <w:lang w:val="en-US" w:eastAsia="zh-CN" w:bidi="ar"/>
              </w:rPr>
              <w:t>316</w:t>
            </w:r>
          </w:p>
        </w:tc>
        <w:tc>
          <w:tcPr>
            <w:tcW w:w="229" w:type="pct"/>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AF603">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color w:val="auto"/>
                <w:kern w:val="0"/>
                <w:sz w:val="21"/>
                <w:szCs w:val="21"/>
                <w:highlight w:val="none"/>
                <w:lang w:val="en-US" w:eastAsia="zh-CN" w:bidi="ar-SA"/>
              </w:rPr>
            </w:pPr>
          </w:p>
        </w:tc>
        <w:tc>
          <w:tcPr>
            <w:tcW w:w="249" w:type="pct"/>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284A6">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color w:val="auto"/>
                <w:kern w:val="0"/>
                <w:sz w:val="21"/>
                <w:szCs w:val="21"/>
                <w:highlight w:val="none"/>
                <w:lang w:val="en-US" w:eastAsia="zh-CN" w:bidi="ar-SA"/>
              </w:rPr>
            </w:pPr>
          </w:p>
        </w:tc>
        <w:tc>
          <w:tcPr>
            <w:tcW w:w="212" w:type="pct"/>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DAF9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AD2F1">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color w:val="auto"/>
                <w:kern w:val="0"/>
                <w:sz w:val="21"/>
                <w:szCs w:val="21"/>
                <w:highlight w:val="none"/>
                <w:lang w:val="en-US" w:eastAsia="zh-CN" w:bidi="ar-SA"/>
              </w:rPr>
            </w:pPr>
          </w:p>
        </w:tc>
        <w:tc>
          <w:tcPr>
            <w:tcW w:w="181" w:type="pct"/>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F8175">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color w:val="auto"/>
                <w:kern w:val="0"/>
                <w:sz w:val="21"/>
                <w:szCs w:val="21"/>
                <w:highlight w:val="none"/>
                <w:lang w:val="en-US" w:eastAsia="zh-CN" w:bidi="ar-SA"/>
              </w:rPr>
            </w:pPr>
          </w:p>
        </w:tc>
        <w:tc>
          <w:tcPr>
            <w:tcW w:w="177" w:type="pct"/>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640981">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color w:val="auto"/>
                <w:kern w:val="0"/>
                <w:sz w:val="21"/>
                <w:szCs w:val="21"/>
                <w:highlight w:val="none"/>
                <w:lang w:val="en-US" w:eastAsia="zh-CN" w:bidi="ar-SA"/>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D52FB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13374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7762B944">
        <w:tblPrEx>
          <w:tblCellMar>
            <w:top w:w="0" w:type="dxa"/>
            <w:left w:w="0" w:type="dxa"/>
            <w:bottom w:w="0" w:type="dxa"/>
            <w:right w:w="0" w:type="dxa"/>
          </w:tblCellMar>
        </w:tblPrEx>
        <w:trPr>
          <w:trHeight w:val="270"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E8D8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693"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C4B8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公共必修课程学分、学时占比</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5A16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24.54%</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5175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24.22%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EB09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29.70%</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CF8E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19.24%</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6FC35">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color w:val="auto"/>
                <w:kern w:val="0"/>
                <w:sz w:val="21"/>
                <w:szCs w:val="21"/>
                <w:highlight w:val="none"/>
                <w:lang w:val="en-US" w:eastAsia="zh-CN" w:bidi="ar-SA"/>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64937">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color w:val="auto"/>
                <w:kern w:val="0"/>
                <w:sz w:val="21"/>
                <w:szCs w:val="21"/>
                <w:highlight w:val="none"/>
                <w:lang w:val="en-US" w:eastAsia="zh-CN" w:bidi="ar-SA"/>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3A07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BCD53">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color w:val="auto"/>
                <w:kern w:val="0"/>
                <w:sz w:val="21"/>
                <w:szCs w:val="21"/>
                <w:highlight w:val="none"/>
                <w:lang w:val="en-US" w:eastAsia="zh-CN" w:bidi="ar-SA"/>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2C4404">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color w:val="auto"/>
                <w:kern w:val="0"/>
                <w:sz w:val="21"/>
                <w:szCs w:val="21"/>
                <w:highlight w:val="none"/>
                <w:lang w:val="en-US" w:eastAsia="zh-CN" w:bidi="ar-SA"/>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FA3F96">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color w:val="auto"/>
                <w:kern w:val="0"/>
                <w:sz w:val="21"/>
                <w:szCs w:val="21"/>
                <w:highlight w:val="none"/>
                <w:lang w:val="en-US" w:eastAsia="zh-CN" w:bidi="ar-SA"/>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35F2C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4C7F2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43A2C889">
        <w:tblPrEx>
          <w:tblCellMar>
            <w:top w:w="0" w:type="dxa"/>
            <w:left w:w="0" w:type="dxa"/>
            <w:bottom w:w="0" w:type="dxa"/>
            <w:right w:w="0" w:type="dxa"/>
          </w:tblCellMar>
        </w:tblPrEx>
        <w:trPr>
          <w:trHeight w:val="270"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0277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693"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1B880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公共选修课程学分、学时小计</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6787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199C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216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170C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144</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F3B5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CB34AB">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color w:val="auto"/>
                <w:kern w:val="0"/>
                <w:sz w:val="21"/>
                <w:szCs w:val="21"/>
                <w:highlight w:val="none"/>
                <w:lang w:val="en-US" w:eastAsia="zh-CN" w:bidi="ar-SA"/>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4AA2A5">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color w:val="auto"/>
                <w:kern w:val="0"/>
                <w:sz w:val="21"/>
                <w:szCs w:val="21"/>
                <w:highlight w:val="none"/>
                <w:lang w:val="en-US" w:eastAsia="zh-CN" w:bidi="ar-SA"/>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E2077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705F49">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color w:val="auto"/>
                <w:kern w:val="0"/>
                <w:sz w:val="21"/>
                <w:szCs w:val="21"/>
                <w:highlight w:val="none"/>
                <w:lang w:val="en-US" w:eastAsia="zh-CN" w:bidi="ar-SA"/>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6EFA8F">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color w:val="auto"/>
                <w:kern w:val="0"/>
                <w:sz w:val="21"/>
                <w:szCs w:val="21"/>
                <w:highlight w:val="none"/>
                <w:lang w:val="en-US" w:eastAsia="zh-CN" w:bidi="ar-SA"/>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D900DB">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color w:val="auto"/>
                <w:kern w:val="0"/>
                <w:sz w:val="21"/>
                <w:szCs w:val="21"/>
                <w:highlight w:val="none"/>
                <w:lang w:val="en-US" w:eastAsia="zh-CN" w:bidi="ar-SA"/>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4410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816A1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47C170CF">
        <w:tblPrEx>
          <w:tblCellMar>
            <w:top w:w="0" w:type="dxa"/>
            <w:left w:w="0" w:type="dxa"/>
            <w:bottom w:w="0" w:type="dxa"/>
            <w:right w:w="0" w:type="dxa"/>
          </w:tblCellMar>
        </w:tblPrEx>
        <w:trPr>
          <w:trHeight w:val="270" w:hRule="atLeast"/>
          <w:jc w:val="center"/>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1ACE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693"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C7CFD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公共选修课程学分、学时占比</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8A31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7.36%</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7F4F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6.90%</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FC3B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9.68%</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D9A3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4.38%</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CA4B21">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color w:val="auto"/>
                <w:kern w:val="0"/>
                <w:sz w:val="21"/>
                <w:szCs w:val="21"/>
                <w:highlight w:val="none"/>
                <w:lang w:val="en-US" w:eastAsia="zh-CN" w:bidi="ar-SA"/>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EF439D">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color w:val="auto"/>
                <w:kern w:val="0"/>
                <w:sz w:val="21"/>
                <w:szCs w:val="21"/>
                <w:highlight w:val="none"/>
                <w:lang w:val="en-US" w:eastAsia="zh-CN" w:bidi="ar-SA"/>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70F7D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9F05FE">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color w:val="auto"/>
                <w:kern w:val="0"/>
                <w:sz w:val="21"/>
                <w:szCs w:val="21"/>
                <w:highlight w:val="none"/>
                <w:lang w:val="en-US" w:eastAsia="zh-CN" w:bidi="ar-SA"/>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F23B07">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color w:val="auto"/>
                <w:kern w:val="0"/>
                <w:sz w:val="21"/>
                <w:szCs w:val="21"/>
                <w:highlight w:val="none"/>
                <w:lang w:val="en-US" w:eastAsia="zh-CN" w:bidi="ar-SA"/>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928DFE">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color w:val="auto"/>
                <w:kern w:val="0"/>
                <w:sz w:val="21"/>
                <w:szCs w:val="21"/>
                <w:highlight w:val="none"/>
                <w:lang w:val="en-US" w:eastAsia="zh-CN" w:bidi="ar-SA"/>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4256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7B8F1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40391AAE">
        <w:tblPrEx>
          <w:tblCellMar>
            <w:top w:w="0" w:type="dxa"/>
            <w:left w:w="0" w:type="dxa"/>
            <w:bottom w:w="0" w:type="dxa"/>
            <w:right w:w="0" w:type="dxa"/>
          </w:tblCellMar>
        </w:tblPrEx>
        <w:trPr>
          <w:trHeight w:val="270" w:hRule="atLeast"/>
          <w:jc w:val="center"/>
        </w:trPr>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62CD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专业课</w:t>
            </w:r>
          </w:p>
        </w:tc>
        <w:tc>
          <w:tcPr>
            <w:tcW w:w="21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33AA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专业基础课</w:t>
            </w:r>
          </w:p>
        </w:tc>
        <w:tc>
          <w:tcPr>
            <w:tcW w:w="234"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993CB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必修</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95C10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D5CF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10B222420</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A6531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建筑材料</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03D7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9FF53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CA439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D5DE2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2B453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6A4E68">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AA35AA">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454B93">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EDA87B">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E05E5E">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B24A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71AA1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0DF1F55D">
        <w:tblPrEx>
          <w:tblCellMar>
            <w:top w:w="0" w:type="dxa"/>
            <w:left w:w="0" w:type="dxa"/>
            <w:bottom w:w="0" w:type="dxa"/>
            <w:right w:w="0" w:type="dxa"/>
          </w:tblCellMar>
        </w:tblPrEx>
        <w:trPr>
          <w:trHeight w:val="27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220D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0363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6C6B0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04630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564B4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10A223020</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4DB9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土木工程概论</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8D46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9A953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A3437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44CC6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C5DE3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2D30FA">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CAE340">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3E6EBA">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17625A">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602817">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0591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1CCD0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517C12F5">
        <w:tblPrEx>
          <w:tblCellMar>
            <w:top w:w="0" w:type="dxa"/>
            <w:left w:w="0" w:type="dxa"/>
            <w:bottom w:w="0" w:type="dxa"/>
            <w:right w:w="0" w:type="dxa"/>
          </w:tblCellMar>
        </w:tblPrEx>
        <w:trPr>
          <w:trHeight w:val="27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816D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1FAF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4C7D9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50323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7CC6E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10000B2270</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8747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工程制图</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B778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B17FD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51759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4730C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530C3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BAB600">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2EF802">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E7CEF5">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D4134B">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5B04AC">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C896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97515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2BB27FEE">
        <w:tblPrEx>
          <w:tblCellMar>
            <w:top w:w="0" w:type="dxa"/>
            <w:left w:w="0" w:type="dxa"/>
            <w:bottom w:w="0" w:type="dxa"/>
            <w:right w:w="0" w:type="dxa"/>
          </w:tblCellMar>
        </w:tblPrEx>
        <w:trPr>
          <w:trHeight w:val="27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74C9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3EF0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7E9AD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6285A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15F8D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10000A2273</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B428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工程建设法规</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8B65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26982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DF185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05E99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D0446A">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08C40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9225C7">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76616E">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A86AC1">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960925">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625A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CE1A5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7B2C9667">
        <w:tblPrEx>
          <w:tblCellMar>
            <w:top w:w="0" w:type="dxa"/>
            <w:left w:w="0" w:type="dxa"/>
            <w:bottom w:w="0" w:type="dxa"/>
            <w:right w:w="0" w:type="dxa"/>
          </w:tblCellMar>
        </w:tblPrEx>
        <w:trPr>
          <w:trHeight w:val="27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1E5D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BA6D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1A7CA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635B9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09261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10000C2271</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4895A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计算机辅助设计（CAD）</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39F4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957D7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35C69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A8849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5E7EEF">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65C0E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2099C7">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BA5F0F">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799977">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939823">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F455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AC1C3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5DE05F10">
        <w:tblPrEx>
          <w:tblCellMar>
            <w:top w:w="0" w:type="dxa"/>
            <w:left w:w="0" w:type="dxa"/>
            <w:bottom w:w="0" w:type="dxa"/>
            <w:right w:w="0" w:type="dxa"/>
          </w:tblCellMar>
        </w:tblPrEx>
        <w:trPr>
          <w:trHeight w:val="27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6DA4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36B3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060A7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2C157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7CB20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02000B2272</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F4939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测量学</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B440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419EE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22D4C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1843F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CD6D5D">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090DC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53A22D">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279807">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5376B5">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690DA1">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A3FC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CF63F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224E502E">
        <w:tblPrEx>
          <w:tblCellMar>
            <w:top w:w="0" w:type="dxa"/>
            <w:left w:w="0" w:type="dxa"/>
            <w:bottom w:w="0" w:type="dxa"/>
            <w:right w:w="0" w:type="dxa"/>
          </w:tblCellMar>
        </w:tblPrEx>
        <w:trPr>
          <w:trHeight w:val="27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7B3A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F1E7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67A2C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8B5D2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B402E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10B223620</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5A5C0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工程地质与水文</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A6BC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DB1F0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CA758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57D0B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5CD402">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C05C1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548BA2">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7C65E2">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1AFD6B">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3C1DDC">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4B27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4B5CE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25F7CF70">
        <w:tblPrEx>
          <w:tblCellMar>
            <w:top w:w="0" w:type="dxa"/>
            <w:left w:w="0" w:type="dxa"/>
            <w:bottom w:w="0" w:type="dxa"/>
            <w:right w:w="0" w:type="dxa"/>
          </w:tblCellMar>
        </w:tblPrEx>
        <w:trPr>
          <w:trHeight w:val="27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33BD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86A0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564B5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EEA0D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eastAsia="仿宋" w:cs="仿宋"/>
                <w:i w:val="0"/>
                <w:iCs w:val="0"/>
                <w:color w:val="auto"/>
                <w:kern w:val="0"/>
                <w:sz w:val="21"/>
                <w:szCs w:val="21"/>
                <w:highlight w:val="none"/>
                <w:u w:val="none"/>
                <w:lang w:val="en-US" w:eastAsia="zh-CN" w:bidi="ar"/>
              </w:rPr>
              <w:t>8</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0C5CA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10B223720</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061AE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道桥施工识图</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A020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B07CF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5EB51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3FDA0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B98A4F">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E3F00D">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72F34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6CCD9A">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C1A07B">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9F1387">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846C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C9151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072B32D5">
        <w:tblPrEx>
          <w:tblCellMar>
            <w:top w:w="0" w:type="dxa"/>
            <w:left w:w="0" w:type="dxa"/>
            <w:bottom w:w="0" w:type="dxa"/>
            <w:right w:w="0" w:type="dxa"/>
          </w:tblCellMar>
        </w:tblPrEx>
        <w:trPr>
          <w:trHeight w:val="27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ABE7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438A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B5E73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53A9A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eastAsia="仿宋" w:cs="仿宋"/>
                <w:i w:val="0"/>
                <w:iCs w:val="0"/>
                <w:color w:val="auto"/>
                <w:kern w:val="0"/>
                <w:sz w:val="21"/>
                <w:szCs w:val="21"/>
                <w:highlight w:val="none"/>
                <w:u w:val="none"/>
                <w:lang w:val="en-US" w:eastAsia="zh-CN" w:bidi="ar"/>
              </w:rPr>
              <w:t>9</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DBDFD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02000B2351</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E975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建筑工程定额与预算</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8F48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45B5E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6E497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0563D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32EC5E">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76F933">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6EC7C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E6E1C0">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2FB6BA">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A1E6EE">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17FF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0750E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72E7FC51">
        <w:tblPrEx>
          <w:tblCellMar>
            <w:top w:w="0" w:type="dxa"/>
            <w:left w:w="0" w:type="dxa"/>
            <w:bottom w:w="0" w:type="dxa"/>
            <w:right w:w="0" w:type="dxa"/>
          </w:tblCellMar>
        </w:tblPrEx>
        <w:trPr>
          <w:trHeight w:val="27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4045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7FD0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D22D6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11B5A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w:t>
            </w:r>
            <w:r>
              <w:rPr>
                <w:rFonts w:hint="eastAsia" w:eastAsia="仿宋" w:cs="仿宋"/>
                <w:i w:val="0"/>
                <w:iCs w:val="0"/>
                <w:color w:val="auto"/>
                <w:kern w:val="0"/>
                <w:sz w:val="21"/>
                <w:szCs w:val="21"/>
                <w:highlight w:val="none"/>
                <w:u w:val="none"/>
                <w:lang w:val="en-US" w:eastAsia="zh-CN" w:bidi="ar"/>
              </w:rPr>
              <w:t>0</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2664B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02000B2352</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478AB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建筑施工组织与管理</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1E1B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865CC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46867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54F80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E9177F">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E907EA">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09FBC1">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B007B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83F916">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DAD3FB">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B3F7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908E2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0A770454">
        <w:tblPrEx>
          <w:tblCellMar>
            <w:top w:w="0" w:type="dxa"/>
            <w:left w:w="0" w:type="dxa"/>
            <w:bottom w:w="0" w:type="dxa"/>
            <w:right w:w="0" w:type="dxa"/>
          </w:tblCellMar>
        </w:tblPrEx>
        <w:trPr>
          <w:trHeight w:val="285"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8BD3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AD09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4F66E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79CB9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w:t>
            </w:r>
            <w:r>
              <w:rPr>
                <w:rFonts w:hint="eastAsia" w:eastAsia="仿宋" w:cs="仿宋"/>
                <w:i w:val="0"/>
                <w:iCs w:val="0"/>
                <w:color w:val="auto"/>
                <w:kern w:val="0"/>
                <w:sz w:val="21"/>
                <w:szCs w:val="21"/>
                <w:highlight w:val="none"/>
                <w:u w:val="none"/>
                <w:lang w:val="en-US" w:eastAsia="zh-CN" w:bidi="ar"/>
              </w:rPr>
              <w:t>1</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EABE9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02000A2250</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1A3F8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建设工程监理概论</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45FD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7F835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86BF8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213C7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D57633">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A46324">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AA6013">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4EDFE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768606">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C94780">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EE45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5B374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00DDD7A0">
        <w:tblPrEx>
          <w:tblCellMar>
            <w:top w:w="0" w:type="dxa"/>
            <w:left w:w="0" w:type="dxa"/>
            <w:bottom w:w="0" w:type="dxa"/>
            <w:right w:w="0" w:type="dxa"/>
          </w:tblCellMar>
        </w:tblPrEx>
        <w:trPr>
          <w:trHeight w:val="27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958F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6F77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专业核心课</w:t>
            </w:r>
          </w:p>
        </w:tc>
        <w:tc>
          <w:tcPr>
            <w:tcW w:w="234"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812DE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必修</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98318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FBF21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02012B2325</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A34F7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公路勘测设计</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77BF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2ECB3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A6D10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67952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1E94C8">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9DE84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E4982D">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8D9944">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2901CE">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A88F03">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3EF1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FE33F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2150D827">
        <w:tblPrEx>
          <w:tblCellMar>
            <w:top w:w="0" w:type="dxa"/>
            <w:left w:w="0" w:type="dxa"/>
            <w:bottom w:w="0" w:type="dxa"/>
            <w:right w:w="0" w:type="dxa"/>
          </w:tblCellMar>
        </w:tblPrEx>
        <w:trPr>
          <w:trHeight w:val="27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25E6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220F3FE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0ECA9FB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15CFD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1112B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02012B2323</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3CDE9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公路工程施工技术</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C23A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A1788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7A7C0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25C82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70EF9B">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8BB9D9">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5D4A20">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4F2D2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2CBEF5">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2BE292">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065D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682D5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6B350AD2">
        <w:tblPrEx>
          <w:tblCellMar>
            <w:top w:w="0" w:type="dxa"/>
            <w:left w:w="0" w:type="dxa"/>
            <w:bottom w:w="0" w:type="dxa"/>
            <w:right w:w="0" w:type="dxa"/>
          </w:tblCellMar>
        </w:tblPrEx>
        <w:trPr>
          <w:trHeight w:val="27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833B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236C4BB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2B5C7AB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7500D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37AB8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02012B2326</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46B02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路基路面工程</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5C67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77BF3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59EDB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E31F7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9F3764">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3DD6A3">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84EF2B">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C4FDC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EE772B">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636FBC">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BDF6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82FFA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58BAC621">
        <w:tblPrEx>
          <w:tblCellMar>
            <w:top w:w="0" w:type="dxa"/>
            <w:left w:w="0" w:type="dxa"/>
            <w:bottom w:w="0" w:type="dxa"/>
            <w:right w:w="0" w:type="dxa"/>
          </w:tblCellMar>
        </w:tblPrEx>
        <w:trPr>
          <w:trHeight w:val="27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026D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113B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9BDA6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F53BA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93610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10B233820</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1BF9F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桥梁工程</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A9F5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BA670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2A640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EEE44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7B4CC6">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35BF98">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EC7475">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CAAC1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29F658">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CCB993">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6FFE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9E8D2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6ED4CA00">
        <w:tblPrEx>
          <w:tblCellMar>
            <w:top w:w="0" w:type="dxa"/>
            <w:left w:w="0" w:type="dxa"/>
            <w:bottom w:w="0" w:type="dxa"/>
            <w:right w:w="0" w:type="dxa"/>
          </w:tblCellMar>
        </w:tblPrEx>
        <w:trPr>
          <w:trHeight w:val="27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684F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4C7E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A6E59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EF2FC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4E6AB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02012B2327</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A56AB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道路桥梁检测技术</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5044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7C8F4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A5425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780B6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42F69E">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4A1DE4">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99B3AF">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709DC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E6A0F5">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DB1E82">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B9AE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FE93E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1E44C6FE">
        <w:tblPrEx>
          <w:tblCellMar>
            <w:top w:w="0" w:type="dxa"/>
            <w:left w:w="0" w:type="dxa"/>
            <w:bottom w:w="0" w:type="dxa"/>
            <w:right w:w="0" w:type="dxa"/>
          </w:tblCellMar>
        </w:tblPrEx>
        <w:trPr>
          <w:trHeight w:val="27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6C7E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B2FC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9DBDB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A65F6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AD5F5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10B223920</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41D1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隧道工程</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45122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AE33A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39A59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B8A4B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62E327">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F1A479">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D77C21">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3B184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50CD96">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DED385">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0713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48CAC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709B536A">
        <w:tblPrEx>
          <w:tblCellMar>
            <w:top w:w="0" w:type="dxa"/>
            <w:left w:w="0" w:type="dxa"/>
            <w:bottom w:w="0" w:type="dxa"/>
            <w:right w:w="0" w:type="dxa"/>
          </w:tblCellMar>
        </w:tblPrEx>
        <w:trPr>
          <w:trHeight w:val="27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C0E4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FE51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DC2BA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77742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eastAsia="仿宋" w:cs="仿宋"/>
                <w:i w:val="0"/>
                <w:iCs w:val="0"/>
                <w:color w:val="auto"/>
                <w:kern w:val="0"/>
                <w:sz w:val="21"/>
                <w:szCs w:val="21"/>
                <w:highlight w:val="none"/>
                <w:u w:val="none"/>
                <w:lang w:val="en-US" w:eastAsia="zh-CN" w:bidi="ar"/>
              </w:rPr>
              <w:t>7</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B11AA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10B222520</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2BAD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建筑力学与结构</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19B2D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8</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026F4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144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D9A20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BA0BC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B4938D">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ADB25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5E30B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1AB69D">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3EA0AC">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F4E5FA">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3AAE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63FEC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37EDB716">
        <w:tblPrEx>
          <w:tblCellMar>
            <w:top w:w="0" w:type="dxa"/>
            <w:left w:w="0" w:type="dxa"/>
            <w:bottom w:w="0" w:type="dxa"/>
            <w:right w:w="0" w:type="dxa"/>
          </w:tblCellMar>
        </w:tblPrEx>
        <w:trPr>
          <w:trHeight w:val="27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5F64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07F7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50775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E41A0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eastAsia="仿宋" w:cs="仿宋"/>
                <w:i w:val="0"/>
                <w:iCs w:val="0"/>
                <w:color w:val="auto"/>
                <w:kern w:val="0"/>
                <w:sz w:val="21"/>
                <w:szCs w:val="21"/>
                <w:highlight w:val="none"/>
                <w:u w:val="none"/>
                <w:lang w:val="en-US" w:eastAsia="zh-CN" w:bidi="ar"/>
              </w:rPr>
              <w:t>8</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5CBDA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10B232820</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1F239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土力学与地基基础</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6961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7DF47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3756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E846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F3F5C5">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12B442">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69921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7115DF">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31423B">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C25F94">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82A6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D3336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0E76EEF9">
        <w:tblPrEx>
          <w:shd w:val="clear" w:color="auto" w:fill="auto"/>
          <w:tblCellMar>
            <w:top w:w="0" w:type="dxa"/>
            <w:left w:w="0" w:type="dxa"/>
            <w:bottom w:w="0" w:type="dxa"/>
            <w:right w:w="0" w:type="dxa"/>
          </w:tblCellMar>
        </w:tblPrEx>
        <w:trPr>
          <w:trHeight w:val="27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5C97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1FDF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专业实践教学环节</w:t>
            </w:r>
          </w:p>
        </w:tc>
        <w:tc>
          <w:tcPr>
            <w:tcW w:w="23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3FB8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必修</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79739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EF82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10000C2041</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D552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土木实训</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03726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A4DD5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4CDCD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87FFC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5AAE0">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C652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16</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69D509">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15E8EF">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15E9A">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454B8">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3D4F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09509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4926D8B2">
        <w:tblPrEx>
          <w:tblCellMar>
            <w:top w:w="0" w:type="dxa"/>
            <w:left w:w="0" w:type="dxa"/>
            <w:bottom w:w="0" w:type="dxa"/>
            <w:right w:w="0" w:type="dxa"/>
          </w:tblCellMar>
        </w:tblPrEx>
        <w:trPr>
          <w:trHeight w:val="27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C6A6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B6B4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0C68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69F74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F738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10B110020</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291F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毕业设计</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F80F9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AB000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80</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8A4F6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DF3A7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239318">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559FA9">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0B13AE">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B46304">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050ED9">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color w:val="auto"/>
                <w:kern w:val="0"/>
                <w:sz w:val="21"/>
                <w:szCs w:val="21"/>
                <w:highlight w:val="none"/>
                <w:lang w:val="en-US" w:eastAsia="zh-CN"/>
              </w:rPr>
              <w:t>20</w:t>
            </w: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03A227">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F8CB3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E3757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5F4E231C">
        <w:tblPrEx>
          <w:tblCellMar>
            <w:top w:w="0" w:type="dxa"/>
            <w:left w:w="0" w:type="dxa"/>
            <w:bottom w:w="0" w:type="dxa"/>
            <w:right w:w="0" w:type="dxa"/>
          </w:tblCellMar>
        </w:tblPrEx>
        <w:trPr>
          <w:trHeight w:val="27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4351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A504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2885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EE8D3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7B23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10C112120</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4244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岗位实习</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924F0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E7E2C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540</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75C01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41887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C59B5E">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B67789">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74C0AF">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CC3A0D">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A03741">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BFFDB3">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88CD3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C9417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1BC93236">
        <w:tblPrEx>
          <w:tblCellMar>
            <w:top w:w="0" w:type="dxa"/>
            <w:left w:w="0" w:type="dxa"/>
            <w:bottom w:w="0" w:type="dxa"/>
            <w:right w:w="0" w:type="dxa"/>
          </w:tblCellMar>
        </w:tblPrEx>
        <w:trPr>
          <w:trHeight w:val="22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7CFC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6B3B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专业拓展课</w:t>
            </w:r>
          </w:p>
        </w:tc>
        <w:tc>
          <w:tcPr>
            <w:tcW w:w="23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3BB9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选修</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28FD1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58C53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20D0205</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24CBB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交通运输概论</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5FE65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101AA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92315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225CD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1204" w:type="pct"/>
            <w:gridSpan w:val="6"/>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14:paraId="168BE2D1">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color w:val="auto"/>
                <w:sz w:val="21"/>
                <w:szCs w:val="21"/>
                <w:highlight w:val="none"/>
                <w:lang w:eastAsia="zh-CN"/>
              </w:rPr>
              <w:t>专业拓展课最低学分为</w:t>
            </w:r>
            <w:r>
              <w:rPr>
                <w:rFonts w:hint="eastAsia" w:ascii="Times New Roman" w:hAnsi="Times New Roman" w:eastAsia="仿宋" w:cs="仿宋"/>
                <w:color w:val="auto"/>
                <w:sz w:val="21"/>
                <w:szCs w:val="21"/>
                <w:highlight w:val="none"/>
                <w:lang w:val="en-US" w:eastAsia="zh-CN"/>
              </w:rPr>
              <w:t>6学分</w:t>
            </w: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3BB9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266DA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2AFD9E84">
        <w:tblPrEx>
          <w:tblCellMar>
            <w:top w:w="0" w:type="dxa"/>
            <w:left w:w="0" w:type="dxa"/>
            <w:bottom w:w="0" w:type="dxa"/>
            <w:right w:w="0" w:type="dxa"/>
          </w:tblCellMar>
        </w:tblPrEx>
        <w:trPr>
          <w:trHeight w:val="22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A316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10DA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5F1E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1EC6E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12A7D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20D0202</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A9AA5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建筑遗产保护概论</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58CCF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39190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3B664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490AC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1204" w:type="pct"/>
            <w:gridSpan w:val="6"/>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16850247">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FD35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BC13F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01091540">
        <w:tblPrEx>
          <w:tblCellMar>
            <w:top w:w="0" w:type="dxa"/>
            <w:left w:w="0" w:type="dxa"/>
            <w:bottom w:w="0" w:type="dxa"/>
            <w:right w:w="0" w:type="dxa"/>
          </w:tblCellMar>
        </w:tblPrEx>
        <w:trPr>
          <w:trHeight w:val="22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D14F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73BF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8451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E502A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F296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20D0204</w:t>
            </w:r>
          </w:p>
        </w:tc>
        <w:tc>
          <w:tcPr>
            <w:tcW w:w="7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05F8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建筑艺术与赏析</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4CDF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D3B8D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75334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96C9B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1204" w:type="pct"/>
            <w:gridSpan w:val="6"/>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110221E8">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CED65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7D04B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742BFF3E">
        <w:tblPrEx>
          <w:tblCellMar>
            <w:top w:w="0" w:type="dxa"/>
            <w:left w:w="0" w:type="dxa"/>
            <w:bottom w:w="0" w:type="dxa"/>
            <w:right w:w="0" w:type="dxa"/>
          </w:tblCellMar>
        </w:tblPrEx>
        <w:trPr>
          <w:trHeight w:val="22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397F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F3E7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C2EB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5" w:type="pc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14:paraId="511E7A2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562"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35C220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20D0201</w:t>
            </w:r>
          </w:p>
        </w:tc>
        <w:tc>
          <w:tcPr>
            <w:tcW w:w="740"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73CC3E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中外建筑史</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40E9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BF038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221AF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F3063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1204" w:type="pct"/>
            <w:gridSpan w:val="6"/>
            <w:vMerge w:val="continue"/>
            <w:tcBorders>
              <w:left w:val="single" w:color="000000" w:sz="4" w:space="0"/>
              <w:bottom w:val="nil"/>
              <w:right w:val="single" w:color="000000" w:sz="4" w:space="0"/>
            </w:tcBorders>
            <w:shd w:val="clear" w:color="auto" w:fill="auto"/>
            <w:noWrap/>
            <w:tcMar>
              <w:top w:w="15" w:type="dxa"/>
              <w:left w:w="15" w:type="dxa"/>
              <w:right w:w="15" w:type="dxa"/>
            </w:tcMar>
            <w:vAlign w:val="center"/>
          </w:tcPr>
          <w:p w14:paraId="3DCA2345">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6A0CB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D68F4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4ABC444D">
        <w:tblPrEx>
          <w:tblCellMar>
            <w:top w:w="0" w:type="dxa"/>
            <w:left w:w="0" w:type="dxa"/>
            <w:bottom w:w="0" w:type="dxa"/>
            <w:right w:w="0" w:type="dxa"/>
          </w:tblCellMar>
        </w:tblPrEx>
        <w:trPr>
          <w:trHeight w:val="27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EFBF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913"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FD58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专业必修课程学分、学时小计</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D5C1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101</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91BD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1984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2D47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794</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F763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1190</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EF439">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47995">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5672D">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5AD891">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D8535D">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B0ABB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038E8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57864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2F083A7C">
        <w:tblPrEx>
          <w:tblCellMar>
            <w:top w:w="0" w:type="dxa"/>
            <w:left w:w="0" w:type="dxa"/>
            <w:bottom w:w="0" w:type="dxa"/>
            <w:right w:w="0" w:type="dxa"/>
          </w:tblCellMar>
        </w:tblPrEx>
        <w:trPr>
          <w:trHeight w:val="27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FB4F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913"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5964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专业必修课程学分、学时占比</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4C6D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61.96%</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7A9F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63.39%</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0879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53.36%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60F1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72.47%</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8CFA36">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1F3DC5">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B48B81">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263589">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57B93E">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61D39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11665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580C7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755075A8">
        <w:tblPrEx>
          <w:shd w:val="clear" w:color="auto" w:fill="auto"/>
          <w:tblCellMar>
            <w:top w:w="0" w:type="dxa"/>
            <w:left w:w="0" w:type="dxa"/>
            <w:bottom w:w="0" w:type="dxa"/>
            <w:right w:w="0" w:type="dxa"/>
          </w:tblCellMar>
        </w:tblPrEx>
        <w:trPr>
          <w:trHeight w:val="27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F2AC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913"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F6B3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专业拓展课程学分、学时小计</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9A4B4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6C269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108</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507CB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108</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6041D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83F8AF">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478E25">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6D2910">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76F414">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6350B2">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B392D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0B885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C0D20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7149E93E">
        <w:tblPrEx>
          <w:tblCellMar>
            <w:top w:w="0" w:type="dxa"/>
            <w:left w:w="0" w:type="dxa"/>
            <w:bottom w:w="0" w:type="dxa"/>
            <w:right w:w="0" w:type="dxa"/>
          </w:tblCellMar>
        </w:tblPrEx>
        <w:trPr>
          <w:trHeight w:val="270" w:hRule="atLeast"/>
          <w:jc w:val="cent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D24D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913"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BB72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专业拓展课程学分、学时占比</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BFB42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3.68%</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E4BED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3.45%</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32D24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A2C5E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0.00%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810B2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6BA351">
            <w:pPr>
              <w:keepNext w:val="0"/>
              <w:keepLines w:val="0"/>
              <w:suppressLineNumbers w:val="0"/>
              <w:spacing w:before="0" w:beforeAutospacing="0" w:after="0" w:afterAutospacing="0" w:line="300" w:lineRule="auto"/>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62D00A">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365497">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E574C7">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F1D9E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7A0AE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9419A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4FC33E75">
        <w:tblPrEx>
          <w:tblCellMar>
            <w:top w:w="0" w:type="dxa"/>
            <w:left w:w="0" w:type="dxa"/>
            <w:bottom w:w="0" w:type="dxa"/>
            <w:right w:w="0" w:type="dxa"/>
          </w:tblCellMar>
        </w:tblPrEx>
        <w:trPr>
          <w:trHeight w:val="740" w:hRule="atLeast"/>
          <w:jc w:val="center"/>
        </w:trPr>
        <w:tc>
          <w:tcPr>
            <w:tcW w:w="41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4522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其他教育活动</w:t>
            </w:r>
          </w:p>
        </w:tc>
        <w:tc>
          <w:tcPr>
            <w:tcW w:w="2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1D59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必修</w:t>
            </w:r>
          </w:p>
        </w:tc>
        <w:tc>
          <w:tcPr>
            <w:tcW w:w="1458"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3642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第二课堂</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6D95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E51F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5F58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0105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64</w:t>
            </w:r>
          </w:p>
        </w:tc>
        <w:tc>
          <w:tcPr>
            <w:tcW w:w="1204"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9BBB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80633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8BFA5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2C882268">
        <w:tblPrEx>
          <w:tblCellMar>
            <w:top w:w="0" w:type="dxa"/>
            <w:left w:w="0" w:type="dxa"/>
            <w:bottom w:w="0" w:type="dxa"/>
            <w:right w:w="0" w:type="dxa"/>
          </w:tblCellMar>
        </w:tblPrEx>
        <w:trPr>
          <w:trHeight w:val="420" w:hRule="atLeast"/>
          <w:jc w:val="center"/>
        </w:trPr>
        <w:tc>
          <w:tcPr>
            <w:tcW w:w="2110"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7D29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总学分、学时合计</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D213D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163</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D8618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3130</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E8303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1488</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4C240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1642</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2CB15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510BC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C9F66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11FD0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5F4BB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5FB28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DBD73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47352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bl>
    <w:p w14:paraId="509C835E">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黑体" w:cs="黑体"/>
          <w:b w:val="0"/>
          <w:bCs w:val="0"/>
          <w:color w:val="auto"/>
          <w:sz w:val="32"/>
          <w:szCs w:val="32"/>
          <w:highlight w:val="none"/>
          <w:lang w:val="en-US" w:eastAsia="zh-CN"/>
        </w:rPr>
      </w:pPr>
      <w:r>
        <w:rPr>
          <w:rFonts w:hint="eastAsia" w:ascii="Times New Roman" w:hAnsi="Times New Roman" w:eastAsia="黑体" w:cs="黑体"/>
          <w:b w:val="0"/>
          <w:bCs w:val="0"/>
          <w:color w:val="auto"/>
          <w:sz w:val="32"/>
          <w:szCs w:val="32"/>
          <w:highlight w:val="none"/>
          <w:lang w:val="en-US" w:eastAsia="zh-CN"/>
        </w:rPr>
        <w:t>八、实施保障</w:t>
      </w:r>
    </w:p>
    <w:p w14:paraId="71871370">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楷体" w:cs="楷体"/>
          <w:b w:val="0"/>
          <w:bCs w:val="0"/>
          <w:color w:val="auto"/>
          <w:sz w:val="32"/>
          <w:szCs w:val="32"/>
          <w:highlight w:val="none"/>
        </w:rPr>
      </w:pPr>
      <w:r>
        <w:rPr>
          <w:rFonts w:hint="eastAsia" w:ascii="Times New Roman" w:hAnsi="Times New Roman" w:eastAsia="楷体" w:cs="楷体"/>
          <w:b w:val="0"/>
          <w:bCs w:val="0"/>
          <w:color w:val="auto"/>
          <w:sz w:val="32"/>
          <w:szCs w:val="32"/>
          <w:highlight w:val="none"/>
          <w:lang w:eastAsia="zh-CN"/>
        </w:rPr>
        <w:t>（一）</w:t>
      </w:r>
      <w:r>
        <w:rPr>
          <w:rFonts w:hint="eastAsia" w:ascii="Times New Roman" w:hAnsi="Times New Roman" w:eastAsia="楷体" w:cs="楷体"/>
          <w:b w:val="0"/>
          <w:bCs w:val="0"/>
          <w:color w:val="auto"/>
          <w:sz w:val="32"/>
          <w:szCs w:val="32"/>
          <w:highlight w:val="none"/>
        </w:rPr>
        <w:t>师资队伍</w:t>
      </w:r>
    </w:p>
    <w:p w14:paraId="1DBDF156">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1.队伍结构</w:t>
      </w:r>
    </w:p>
    <w:p w14:paraId="64DCAC86">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rPr>
        <w:t>专任教师队伍的知识、职称、年龄结构合理，有良好的合作精神和梯队结构</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学生数与本专业专任教师数比例不高于</w:t>
      </w:r>
      <w:r>
        <w:rPr>
          <w:rFonts w:hint="eastAsia" w:ascii="Times New Roman" w:hAnsi="Times New Roman" w:eastAsia="仿宋_GB2312" w:cs="仿宋"/>
          <w:b w:val="0"/>
          <w:bCs w:val="0"/>
          <w:color w:val="auto"/>
          <w:sz w:val="32"/>
          <w:szCs w:val="32"/>
          <w:highlight w:val="none"/>
          <w:lang w:val="en-US" w:eastAsia="zh-CN"/>
        </w:rPr>
        <w:t>25</w:t>
      </w:r>
      <w:r>
        <w:rPr>
          <w:rFonts w:hint="eastAsia" w:ascii="Times New Roman" w:hAnsi="Times New Roman" w:eastAsia="仿宋_GB2312" w:cs="仿宋"/>
          <w:b w:val="0"/>
          <w:bCs w:val="0"/>
          <w:color w:val="auto"/>
          <w:sz w:val="32"/>
          <w:szCs w:val="32"/>
          <w:highlight w:val="none"/>
        </w:rPr>
        <w:t>∶1，双师素质教师占专业教师比例不低于60%，具有承担专业核心课程教学任务的专业教师不少于4人，其中</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具有高级以上专业技术职务的不少于1人，</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双师型</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教师不少于2人</w:t>
      </w:r>
      <w:r>
        <w:rPr>
          <w:rFonts w:hint="eastAsia" w:ascii="Times New Roman" w:hAnsi="Times New Roman" w:eastAsia="仿宋_GB2312" w:cs="仿宋"/>
          <w:b w:val="0"/>
          <w:bCs w:val="0"/>
          <w:color w:val="auto"/>
          <w:sz w:val="32"/>
          <w:szCs w:val="32"/>
          <w:highlight w:val="none"/>
          <w:lang w:eastAsia="zh-CN"/>
        </w:rPr>
        <w:t>。</w:t>
      </w:r>
    </w:p>
    <w:p w14:paraId="7F05CFC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color w:val="auto"/>
          <w:kern w:val="0"/>
          <w:sz w:val="32"/>
          <w:szCs w:val="32"/>
          <w:highlight w:val="none"/>
          <w:lang w:val="en-US" w:eastAsia="zh-CN" w:bidi="ar-SA"/>
        </w:rPr>
        <w:t>专业教师团队现有专任教师21人，获取职称人数为18人。其中副高及以上职称3人，中级职称14人，初级职称1人。“双师型”专任教师2人，</w:t>
      </w:r>
      <w:r>
        <w:rPr>
          <w:rFonts w:hint="eastAsia" w:ascii="Times New Roman" w:hAnsi="Times New Roman" w:eastAsia="仿宋_GB2312" w:cs="仿宋"/>
          <w:b w:val="0"/>
          <w:bCs w:val="0"/>
          <w:color w:val="auto"/>
          <w:sz w:val="32"/>
          <w:szCs w:val="32"/>
          <w:highlight w:val="none"/>
        </w:rPr>
        <w:t>具有研究生学位教师</w:t>
      </w:r>
      <w:r>
        <w:rPr>
          <w:rFonts w:hint="eastAsia" w:ascii="Times New Roman" w:hAnsi="Times New Roman" w:eastAsia="仿宋_GB2312" w:cs="仿宋"/>
          <w:color w:val="auto"/>
          <w:kern w:val="0"/>
          <w:sz w:val="32"/>
          <w:szCs w:val="32"/>
          <w:highlight w:val="none"/>
          <w:lang w:val="en-US" w:eastAsia="zh-CN" w:bidi="ar-SA"/>
        </w:rPr>
        <w:t>1人。</w:t>
      </w:r>
      <w:r>
        <w:rPr>
          <w:rFonts w:hint="eastAsia" w:ascii="Times New Roman" w:hAnsi="Times New Roman" w:eastAsia="仿宋_GB2312" w:cs="仿宋"/>
          <w:b w:val="0"/>
          <w:bCs w:val="0"/>
          <w:color w:val="auto"/>
          <w:sz w:val="32"/>
          <w:szCs w:val="32"/>
          <w:highlight w:val="none"/>
          <w:lang w:eastAsia="zh-CN"/>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4ABE9712">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2.专任教师</w:t>
      </w:r>
    </w:p>
    <w:p w14:paraId="2A1C274A">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专任教师应具有高校教师资格</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有理想信念、有道德情操、有扎实学识、有仁爱之心</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具有</w:t>
      </w:r>
      <w:r>
        <w:rPr>
          <w:rFonts w:hint="eastAsia" w:ascii="Times New Roman" w:hAnsi="Times New Roman" w:eastAsia="仿宋_GB2312" w:cs="仿宋"/>
          <w:b w:val="0"/>
          <w:bCs w:val="0"/>
          <w:color w:val="auto"/>
          <w:sz w:val="32"/>
          <w:szCs w:val="32"/>
          <w:highlight w:val="none"/>
          <w:lang w:eastAsia="zh-CN"/>
        </w:rPr>
        <w:t>道路桥梁工</w:t>
      </w:r>
      <w:r>
        <w:rPr>
          <w:rFonts w:hint="eastAsia" w:ascii="Times New Roman" w:hAnsi="Times New Roman" w:eastAsia="仿宋_GB2312" w:cs="仿宋"/>
          <w:b w:val="0"/>
          <w:bCs w:val="0"/>
          <w:color w:val="auto"/>
          <w:sz w:val="32"/>
          <w:szCs w:val="32"/>
          <w:highlight w:val="none"/>
          <w:lang w:eastAsia="zh"/>
        </w:rPr>
        <w:t>程</w:t>
      </w:r>
      <w:r>
        <w:rPr>
          <w:rFonts w:hint="eastAsia" w:ascii="Times New Roman" w:hAnsi="Times New Roman" w:eastAsia="仿宋_GB2312" w:cs="仿宋"/>
          <w:b w:val="0"/>
          <w:bCs w:val="0"/>
          <w:color w:val="auto"/>
          <w:sz w:val="32"/>
          <w:szCs w:val="32"/>
          <w:highlight w:val="none"/>
        </w:rPr>
        <w:t>等相关</w:t>
      </w:r>
      <w:r>
        <w:rPr>
          <w:rFonts w:hint="eastAsia" w:ascii="Times New Roman" w:hAnsi="Times New Roman" w:eastAsia="仿宋_GB2312" w:cs="仿宋"/>
          <w:b w:val="0"/>
          <w:bCs w:val="0"/>
          <w:color w:val="auto"/>
          <w:sz w:val="32"/>
          <w:szCs w:val="32"/>
          <w:highlight w:val="none"/>
          <w:lang w:eastAsia="zh-CN"/>
        </w:rPr>
        <w:t>专业</w:t>
      </w:r>
      <w:r>
        <w:rPr>
          <w:rFonts w:hint="eastAsia" w:ascii="Times New Roman" w:hAnsi="Times New Roman" w:eastAsia="仿宋_GB2312" w:cs="仿宋"/>
          <w:b w:val="0"/>
          <w:bCs w:val="0"/>
          <w:color w:val="auto"/>
          <w:sz w:val="32"/>
          <w:szCs w:val="32"/>
          <w:highlight w:val="none"/>
        </w:rPr>
        <w:t>本科及以上学历</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具有扎实的本专业相关理论功底和实践能力</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具有较强信息化教学能力，能够开展课程教学改革和科学研究</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有每5年累计不少于6个月的企业实践经历。</w:t>
      </w:r>
    </w:p>
    <w:p w14:paraId="0A0BA027">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3.专业带头人</w:t>
      </w:r>
    </w:p>
    <w:p w14:paraId="012E6DFC">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color w:val="auto"/>
          <w:kern w:val="0"/>
          <w:sz w:val="32"/>
          <w:szCs w:val="32"/>
          <w:highlight w:val="none"/>
          <w:lang w:val="en-US" w:eastAsia="zh-CN" w:bidi="ar-SA"/>
        </w:rPr>
      </w:pPr>
      <w:r>
        <w:rPr>
          <w:rFonts w:hint="eastAsia" w:ascii="Times New Roman" w:hAnsi="Times New Roman" w:eastAsia="仿宋_GB2312" w:cs="仿宋"/>
          <w:b w:val="0"/>
          <w:bCs w:val="0"/>
          <w:color w:val="auto"/>
          <w:sz w:val="32"/>
          <w:szCs w:val="32"/>
          <w:highlight w:val="none"/>
          <w:lang w:val="en-US" w:eastAsia="zh-CN"/>
        </w:rPr>
        <w:t>专业带头人原则上应具有副高及以上职称，能够较好地把握国内外</w:t>
      </w:r>
      <w:r>
        <w:rPr>
          <w:rFonts w:hint="eastAsia" w:ascii="Times New Roman" w:hAnsi="Times New Roman" w:eastAsia="仿宋_GB2312" w:cs="仿宋"/>
          <w:b w:val="0"/>
          <w:bCs w:val="0"/>
          <w:color w:val="auto"/>
          <w:sz w:val="32"/>
          <w:szCs w:val="32"/>
          <w:highlight w:val="none"/>
          <w:lang w:val="en-US" w:eastAsia="zh"/>
        </w:rPr>
        <w:t>道路与桥梁工程</w:t>
      </w:r>
      <w:r>
        <w:rPr>
          <w:rFonts w:hint="eastAsia" w:ascii="Times New Roman" w:hAnsi="Times New Roman" w:eastAsia="仿宋_GB2312" w:cs="仿宋"/>
          <w:b w:val="0"/>
          <w:bCs w:val="0"/>
          <w:color w:val="auto"/>
          <w:sz w:val="32"/>
          <w:szCs w:val="32"/>
          <w:highlight w:val="none"/>
          <w:lang w:val="en-US" w:eastAsia="zh-CN"/>
        </w:rPr>
        <w:t>行业、专业发展，能广泛联系行业企业，了解行业企业对本专业人才的需求实际，教学设计、专业研究能力强，组织开展教科研工作能力强，在本区域或本领域具有一定的专业影响力。本专业带头人为林森，</w:t>
      </w:r>
      <w:r>
        <w:rPr>
          <w:rFonts w:hint="eastAsia" w:ascii="Times New Roman" w:hAnsi="Times New Roman" w:eastAsia="仿宋_GB2312" w:cs="仿宋"/>
          <w:color w:val="auto"/>
          <w:kern w:val="0"/>
          <w:sz w:val="32"/>
          <w:szCs w:val="32"/>
          <w:highlight w:val="none"/>
          <w:lang w:val="en-US" w:eastAsia="zh-CN" w:bidi="ar-SA"/>
        </w:rPr>
        <w:t>副高级职称，负责本专业的规划与建设、主持专业人才培养方案、课程标准的制定与修订、教材、专业教学标准、专业认证体系的建设工作、负责本专业教学改革和实践技能培养方案的制定等工作。</w:t>
      </w:r>
    </w:p>
    <w:p w14:paraId="0002EADC">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4.兼职教师</w:t>
      </w:r>
    </w:p>
    <w:p w14:paraId="28A9A839">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17B54E28">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楷体" w:cs="楷体"/>
          <w:b w:val="0"/>
          <w:bCs w:val="0"/>
          <w:color w:val="auto"/>
          <w:sz w:val="32"/>
          <w:szCs w:val="32"/>
          <w:highlight w:val="none"/>
        </w:rPr>
      </w:pPr>
      <w:r>
        <w:rPr>
          <w:rFonts w:hint="eastAsia" w:ascii="Times New Roman" w:hAnsi="Times New Roman" w:eastAsia="楷体" w:cs="楷体"/>
          <w:b w:val="0"/>
          <w:bCs w:val="0"/>
          <w:color w:val="auto"/>
          <w:sz w:val="32"/>
          <w:szCs w:val="32"/>
          <w:highlight w:val="none"/>
          <w:lang w:eastAsia="zh-CN"/>
        </w:rPr>
        <w:t>（</w:t>
      </w:r>
      <w:r>
        <w:rPr>
          <w:rFonts w:hint="eastAsia" w:ascii="Times New Roman" w:hAnsi="Times New Roman" w:eastAsia="楷体" w:cs="楷体"/>
          <w:b w:val="0"/>
          <w:bCs w:val="0"/>
          <w:color w:val="auto"/>
          <w:sz w:val="32"/>
          <w:szCs w:val="32"/>
          <w:highlight w:val="none"/>
          <w:lang w:val="en-US" w:eastAsia="zh-CN"/>
        </w:rPr>
        <w:t>二</w:t>
      </w:r>
      <w:r>
        <w:rPr>
          <w:rFonts w:hint="eastAsia" w:ascii="Times New Roman" w:hAnsi="Times New Roman" w:eastAsia="楷体" w:cs="楷体"/>
          <w:b w:val="0"/>
          <w:bCs w:val="0"/>
          <w:color w:val="auto"/>
          <w:sz w:val="32"/>
          <w:szCs w:val="32"/>
          <w:highlight w:val="none"/>
          <w:lang w:eastAsia="zh-CN"/>
        </w:rPr>
        <w:t>）</w:t>
      </w:r>
      <w:r>
        <w:rPr>
          <w:rFonts w:hint="eastAsia" w:ascii="Times New Roman" w:hAnsi="Times New Roman" w:eastAsia="楷体" w:cs="楷体"/>
          <w:b w:val="0"/>
          <w:bCs w:val="0"/>
          <w:color w:val="auto"/>
          <w:sz w:val="32"/>
          <w:szCs w:val="32"/>
          <w:highlight w:val="none"/>
        </w:rPr>
        <w:t>教学设施</w:t>
      </w:r>
    </w:p>
    <w:p w14:paraId="64654E52">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eastAsia="zh-CN"/>
        </w:rPr>
        <w:t>教学设施主要包括能够满足正常的课程教学、实习实训所需的专业教室、校内实训室和校外实训基地等。</w:t>
      </w:r>
    </w:p>
    <w:p w14:paraId="71432BDE">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1.专业教室要求</w:t>
      </w:r>
    </w:p>
    <w:p w14:paraId="25673F3F">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学校为该专业配备公共教室（配备有多媒体设施）、多媒体教室等，满足理论教学要求。</w:t>
      </w:r>
    </w:p>
    <w:p w14:paraId="3C210399">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配有黑（白）板、多媒体计算机、投影设备、音响设备，安装应急照明装置并保持良好状态，符合紧急疏散要求，标志明显，逃生通道畅通无阻。</w:t>
      </w:r>
    </w:p>
    <w:p w14:paraId="77D13CAA">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2.校内实训资源</w:t>
      </w:r>
    </w:p>
    <w:p w14:paraId="220DA31C">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0" w:firstLineChars="0"/>
        <w:jc w:val="center"/>
        <w:textAlignment w:val="auto"/>
        <w:rPr>
          <w:rFonts w:hint="eastAsia" w:ascii="Times New Roman" w:hAnsi="Times New Roman" w:eastAsia="仿宋_GB2312" w:cs="仿宋"/>
          <w:color w:val="auto"/>
          <w:kern w:val="0"/>
          <w:sz w:val="32"/>
          <w:szCs w:val="32"/>
          <w:highlight w:val="none"/>
          <w:lang w:val="en-US" w:eastAsia="zh-CN" w:bidi="ar-SA"/>
        </w:rPr>
      </w:pPr>
      <w:r>
        <w:rPr>
          <w:rFonts w:hint="eastAsia" w:ascii="Times New Roman" w:hAnsi="Times New Roman" w:eastAsia="仿宋_GB2312" w:cs="仿宋"/>
          <w:b w:val="0"/>
          <w:bCs w:val="0"/>
          <w:color w:val="auto"/>
          <w:sz w:val="32"/>
          <w:szCs w:val="32"/>
          <w:highlight w:val="none"/>
          <w:lang w:val="en-US" w:eastAsia="zh"/>
        </w:rPr>
        <w:t>道路与桥梁工程技术</w:t>
      </w:r>
      <w:r>
        <w:rPr>
          <w:rFonts w:hint="eastAsia" w:ascii="Times New Roman" w:hAnsi="Times New Roman" w:eastAsia="仿宋_GB2312" w:cs="仿宋"/>
          <w:color w:val="auto"/>
          <w:kern w:val="0"/>
          <w:sz w:val="32"/>
          <w:szCs w:val="32"/>
          <w:highlight w:val="none"/>
          <w:lang w:val="en-US" w:eastAsia="zh-CN" w:bidi="ar-SA"/>
        </w:rPr>
        <w:t>专业校内实训资源列表</w:t>
      </w:r>
    </w:p>
    <w:tbl>
      <w:tblPr>
        <w:tblStyle w:val="5"/>
        <w:tblW w:w="10173" w:type="dxa"/>
        <w:tblInd w:w="-7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1193"/>
        <w:gridCol w:w="2384"/>
        <w:gridCol w:w="1716"/>
        <w:gridCol w:w="3250"/>
        <w:gridCol w:w="950"/>
      </w:tblGrid>
      <w:tr w14:paraId="130AA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noWrap w:val="0"/>
            <w:vAlign w:val="center"/>
          </w:tcPr>
          <w:p w14:paraId="355089F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序号</w:t>
            </w:r>
          </w:p>
        </w:tc>
        <w:tc>
          <w:tcPr>
            <w:tcW w:w="1193" w:type="dxa"/>
            <w:noWrap w:val="0"/>
            <w:vAlign w:val="center"/>
          </w:tcPr>
          <w:p w14:paraId="3E78ACB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实验实训室名称</w:t>
            </w:r>
          </w:p>
        </w:tc>
        <w:tc>
          <w:tcPr>
            <w:tcW w:w="2384" w:type="dxa"/>
            <w:noWrap w:val="0"/>
            <w:vAlign w:val="center"/>
          </w:tcPr>
          <w:p w14:paraId="5AB25AE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实训适用课程</w:t>
            </w:r>
          </w:p>
        </w:tc>
        <w:tc>
          <w:tcPr>
            <w:tcW w:w="1716" w:type="dxa"/>
            <w:noWrap w:val="0"/>
            <w:vAlign w:val="center"/>
          </w:tcPr>
          <w:p w14:paraId="1DF5C3C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实训项目</w:t>
            </w:r>
          </w:p>
        </w:tc>
        <w:tc>
          <w:tcPr>
            <w:tcW w:w="3250" w:type="dxa"/>
            <w:noWrap w:val="0"/>
            <w:vAlign w:val="center"/>
          </w:tcPr>
          <w:p w14:paraId="0B858FE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主要设备名称及配置数量</w:t>
            </w:r>
          </w:p>
        </w:tc>
        <w:tc>
          <w:tcPr>
            <w:tcW w:w="950" w:type="dxa"/>
            <w:noWrap w:val="0"/>
            <w:vAlign w:val="center"/>
          </w:tcPr>
          <w:p w14:paraId="0208532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工位数</w:t>
            </w:r>
          </w:p>
        </w:tc>
      </w:tr>
      <w:tr w14:paraId="5C749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noWrap w:val="0"/>
            <w:vAlign w:val="center"/>
          </w:tcPr>
          <w:p w14:paraId="0504206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
              </w:rPr>
            </w:pPr>
            <w:r>
              <w:rPr>
                <w:rFonts w:hint="eastAsia" w:ascii="Times New Roman" w:hAnsi="Times New Roman" w:eastAsia="仿宋" w:cs="仿宋"/>
                <w:color w:val="auto"/>
                <w:sz w:val="24"/>
                <w:highlight w:val="none"/>
                <w:lang w:val="en-US" w:eastAsia="zh"/>
              </w:rPr>
              <w:t>1</w:t>
            </w:r>
          </w:p>
        </w:tc>
        <w:tc>
          <w:tcPr>
            <w:tcW w:w="1193" w:type="dxa"/>
            <w:noWrap w:val="0"/>
            <w:vAlign w:val="center"/>
          </w:tcPr>
          <w:p w14:paraId="3A59EE6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沥青试验实训室</w:t>
            </w:r>
          </w:p>
        </w:tc>
        <w:tc>
          <w:tcPr>
            <w:tcW w:w="2384" w:type="dxa"/>
            <w:noWrap w:val="0"/>
            <w:vAlign w:val="center"/>
          </w:tcPr>
          <w:p w14:paraId="085E4EE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
              </w:rPr>
            </w:pPr>
            <w:r>
              <w:rPr>
                <w:rFonts w:hint="eastAsia" w:ascii="Times New Roman" w:hAnsi="Times New Roman" w:eastAsia="仿宋" w:cs="仿宋"/>
                <w:color w:val="auto"/>
                <w:sz w:val="24"/>
                <w:highlight w:val="none"/>
                <w:lang w:val="en-US" w:eastAsia="zh-CN"/>
              </w:rPr>
              <w:t>路基路面工程；</w:t>
            </w:r>
          </w:p>
          <w:p w14:paraId="52A60A4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道路桥梁检测技术；</w:t>
            </w:r>
          </w:p>
          <w:p w14:paraId="4DF612B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
              </w:rPr>
            </w:pPr>
            <w:r>
              <w:rPr>
                <w:rFonts w:hint="eastAsia" w:ascii="Times New Roman" w:hAnsi="Times New Roman" w:eastAsia="仿宋" w:cs="仿宋"/>
                <w:color w:val="auto"/>
                <w:sz w:val="24"/>
                <w:highlight w:val="none"/>
                <w:lang w:val="en-US" w:eastAsia="zh-CN"/>
              </w:rPr>
              <w:t>桥梁工程</w:t>
            </w:r>
          </w:p>
        </w:tc>
        <w:tc>
          <w:tcPr>
            <w:tcW w:w="1716" w:type="dxa"/>
            <w:noWrap w:val="0"/>
            <w:vAlign w:val="center"/>
          </w:tcPr>
          <w:p w14:paraId="7AE56A9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
              </w:rPr>
            </w:pPr>
            <w:r>
              <w:rPr>
                <w:rFonts w:hint="eastAsia" w:ascii="Times New Roman" w:hAnsi="Times New Roman" w:eastAsia="仿宋" w:cs="仿宋"/>
                <w:color w:val="auto"/>
                <w:sz w:val="24"/>
                <w:highlight w:val="none"/>
                <w:lang w:val="en-US" w:eastAsia="zh"/>
              </w:rPr>
              <w:t>沥青混合料性能试验</w:t>
            </w:r>
          </w:p>
        </w:tc>
        <w:tc>
          <w:tcPr>
            <w:tcW w:w="3250" w:type="dxa"/>
            <w:noWrap w:val="0"/>
            <w:vAlign w:val="center"/>
          </w:tcPr>
          <w:p w14:paraId="393865A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
              </w:rPr>
            </w:pPr>
            <w:r>
              <w:rPr>
                <w:rFonts w:hint="eastAsia" w:ascii="Times New Roman" w:hAnsi="Times New Roman" w:eastAsia="仿宋" w:cs="仿宋"/>
                <w:color w:val="auto"/>
                <w:sz w:val="24"/>
                <w:highlight w:val="none"/>
                <w:lang w:val="en-US" w:eastAsia="zh-CN"/>
              </w:rPr>
              <w:t>针入度仪3台、延度仪1台、自动软化点仪1台、旋转薄膜烘箱1台、自动击实仪1台、试验室用沥青混合料拌和机1台、脱模器1台、沥青混合料马歇尔试验仪1台、轮碾成型机1台、车辙试验机1台、燃烧炉1台</w:t>
            </w:r>
          </w:p>
        </w:tc>
        <w:tc>
          <w:tcPr>
            <w:tcW w:w="950" w:type="dxa"/>
            <w:noWrap w:val="0"/>
            <w:vAlign w:val="center"/>
          </w:tcPr>
          <w:p w14:paraId="299EC82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10</w:t>
            </w:r>
          </w:p>
        </w:tc>
      </w:tr>
      <w:tr w14:paraId="6170E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noWrap w:val="0"/>
            <w:vAlign w:val="center"/>
          </w:tcPr>
          <w:p w14:paraId="63E3D78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
              </w:rPr>
            </w:pPr>
            <w:r>
              <w:rPr>
                <w:rFonts w:hint="eastAsia" w:ascii="Times New Roman" w:hAnsi="Times New Roman" w:eastAsia="仿宋" w:cs="仿宋"/>
                <w:color w:val="auto"/>
                <w:sz w:val="24"/>
                <w:highlight w:val="none"/>
                <w:lang w:val="en-US" w:eastAsia="zh"/>
              </w:rPr>
              <w:t>2</w:t>
            </w:r>
          </w:p>
        </w:tc>
        <w:tc>
          <w:tcPr>
            <w:tcW w:w="1193" w:type="dxa"/>
            <w:noWrap w:val="0"/>
            <w:vAlign w:val="center"/>
          </w:tcPr>
          <w:p w14:paraId="40C073C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计算机实训室</w:t>
            </w:r>
          </w:p>
          <w:p w14:paraId="079CE3A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p>
        </w:tc>
        <w:tc>
          <w:tcPr>
            <w:tcW w:w="2384" w:type="dxa"/>
            <w:noWrap w:val="0"/>
            <w:vAlign w:val="center"/>
          </w:tcPr>
          <w:p w14:paraId="1A31E71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计算机辅助设计（CAD）；</w:t>
            </w:r>
          </w:p>
          <w:p w14:paraId="12CBBFE4">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道桥施工识图</w:t>
            </w:r>
          </w:p>
        </w:tc>
        <w:tc>
          <w:tcPr>
            <w:tcW w:w="1716" w:type="dxa"/>
            <w:noWrap w:val="0"/>
            <w:vAlign w:val="center"/>
          </w:tcPr>
          <w:p w14:paraId="4E0E941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
              </w:rPr>
            </w:pPr>
            <w:r>
              <w:rPr>
                <w:rFonts w:hint="eastAsia" w:ascii="Times New Roman" w:hAnsi="Times New Roman" w:eastAsia="仿宋" w:cs="仿宋"/>
                <w:color w:val="auto"/>
                <w:sz w:val="24"/>
                <w:highlight w:val="none"/>
                <w:lang w:val="en-US" w:eastAsia="zh"/>
              </w:rPr>
              <w:t>工程</w:t>
            </w:r>
            <w:r>
              <w:rPr>
                <w:rFonts w:hint="eastAsia" w:ascii="Times New Roman" w:hAnsi="Times New Roman" w:eastAsia="仿宋" w:cs="仿宋"/>
                <w:color w:val="auto"/>
                <w:sz w:val="24"/>
                <w:highlight w:val="none"/>
                <w:lang w:val="en-US" w:eastAsia="zh-CN"/>
              </w:rPr>
              <w:t>识</w:t>
            </w:r>
            <w:r>
              <w:rPr>
                <w:rFonts w:hint="eastAsia" w:ascii="Times New Roman" w:hAnsi="Times New Roman" w:eastAsia="仿宋" w:cs="仿宋"/>
                <w:color w:val="auto"/>
                <w:sz w:val="24"/>
                <w:highlight w:val="none"/>
                <w:lang w:val="en-US" w:eastAsia="zh"/>
              </w:rPr>
              <w:t>图与制图</w:t>
            </w:r>
          </w:p>
        </w:tc>
        <w:tc>
          <w:tcPr>
            <w:tcW w:w="3250" w:type="dxa"/>
            <w:noWrap w:val="0"/>
            <w:vAlign w:val="center"/>
          </w:tcPr>
          <w:p w14:paraId="0FE364A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服务器1台、交换机1台以及可运行AutoCAD软件的服务器1台、交换机1台以及可运行AutoCAD软件的计算机80台</w:t>
            </w:r>
          </w:p>
        </w:tc>
        <w:tc>
          <w:tcPr>
            <w:tcW w:w="950" w:type="dxa"/>
            <w:noWrap w:val="0"/>
            <w:vAlign w:val="center"/>
          </w:tcPr>
          <w:p w14:paraId="4A1BA10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80</w:t>
            </w:r>
          </w:p>
        </w:tc>
      </w:tr>
      <w:tr w14:paraId="6F8D8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noWrap w:val="0"/>
            <w:vAlign w:val="center"/>
          </w:tcPr>
          <w:p w14:paraId="65ABABE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
              </w:rPr>
            </w:pPr>
            <w:r>
              <w:rPr>
                <w:rFonts w:hint="eastAsia" w:ascii="Times New Roman" w:hAnsi="Times New Roman" w:eastAsia="仿宋" w:cs="仿宋"/>
                <w:color w:val="auto"/>
                <w:sz w:val="24"/>
                <w:highlight w:val="none"/>
                <w:lang w:val="en-US" w:eastAsia="zh"/>
              </w:rPr>
              <w:t>3</w:t>
            </w:r>
          </w:p>
        </w:tc>
        <w:tc>
          <w:tcPr>
            <w:tcW w:w="1193" w:type="dxa"/>
            <w:noWrap w:val="0"/>
            <w:vAlign w:val="center"/>
          </w:tcPr>
          <w:p w14:paraId="745863D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测绘仪器室</w:t>
            </w:r>
          </w:p>
        </w:tc>
        <w:tc>
          <w:tcPr>
            <w:tcW w:w="2384" w:type="dxa"/>
            <w:noWrap w:val="0"/>
            <w:vAlign w:val="center"/>
          </w:tcPr>
          <w:p w14:paraId="3551C43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测量学；公路勘测设计</w:t>
            </w:r>
          </w:p>
        </w:tc>
        <w:tc>
          <w:tcPr>
            <w:tcW w:w="1716" w:type="dxa"/>
            <w:noWrap w:val="0"/>
            <w:vAlign w:val="center"/>
          </w:tcPr>
          <w:p w14:paraId="2E2F60B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道路施工放样和测量仪器使用</w:t>
            </w:r>
          </w:p>
        </w:tc>
        <w:tc>
          <w:tcPr>
            <w:tcW w:w="3250" w:type="dxa"/>
            <w:noWrap w:val="0"/>
            <w:vAlign w:val="center"/>
          </w:tcPr>
          <w:p w14:paraId="3C77786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自动安平水准仪25台、数字水准仪10台、DJ6经纬仪30台、全站仪20台、GPS - RTK 9台</w:t>
            </w:r>
          </w:p>
        </w:tc>
        <w:tc>
          <w:tcPr>
            <w:tcW w:w="950" w:type="dxa"/>
            <w:noWrap w:val="0"/>
            <w:vAlign w:val="center"/>
          </w:tcPr>
          <w:p w14:paraId="4FF769E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60</w:t>
            </w:r>
          </w:p>
        </w:tc>
      </w:tr>
      <w:tr w14:paraId="50C0F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noWrap w:val="0"/>
            <w:vAlign w:val="center"/>
          </w:tcPr>
          <w:p w14:paraId="2DDBB1C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
              </w:rPr>
            </w:pPr>
            <w:r>
              <w:rPr>
                <w:rFonts w:hint="eastAsia" w:ascii="Times New Roman" w:hAnsi="Times New Roman" w:eastAsia="仿宋" w:cs="仿宋"/>
                <w:color w:val="auto"/>
                <w:sz w:val="24"/>
                <w:highlight w:val="none"/>
                <w:lang w:val="en-US" w:eastAsia="zh"/>
              </w:rPr>
              <w:t>4</w:t>
            </w:r>
          </w:p>
        </w:tc>
        <w:tc>
          <w:tcPr>
            <w:tcW w:w="1193" w:type="dxa"/>
            <w:noWrap w:val="0"/>
            <w:vAlign w:val="center"/>
          </w:tcPr>
          <w:p w14:paraId="7BEF822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土工实训室</w:t>
            </w:r>
          </w:p>
        </w:tc>
        <w:tc>
          <w:tcPr>
            <w:tcW w:w="2384" w:type="dxa"/>
            <w:noWrap w:val="0"/>
            <w:vAlign w:val="center"/>
          </w:tcPr>
          <w:p w14:paraId="15A6EE5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
              </w:rPr>
            </w:pPr>
            <w:r>
              <w:rPr>
                <w:rFonts w:hint="eastAsia" w:ascii="Times New Roman" w:hAnsi="Times New Roman" w:eastAsia="仿宋" w:cs="仿宋"/>
                <w:color w:val="auto"/>
                <w:sz w:val="24"/>
                <w:highlight w:val="none"/>
                <w:lang w:val="en-US" w:eastAsia="zh-CN"/>
              </w:rPr>
              <w:t>路基路面工程；</w:t>
            </w:r>
          </w:p>
          <w:p w14:paraId="0DF9B9C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道路桥梁检测技术；</w:t>
            </w:r>
          </w:p>
          <w:p w14:paraId="174B75C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桥梁工程；</w:t>
            </w:r>
          </w:p>
          <w:p w14:paraId="0A731CB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土力学与地基基础</w:t>
            </w:r>
          </w:p>
        </w:tc>
        <w:tc>
          <w:tcPr>
            <w:tcW w:w="1716" w:type="dxa"/>
            <w:noWrap w:val="0"/>
            <w:vAlign w:val="center"/>
          </w:tcPr>
          <w:p w14:paraId="646E52D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土工试验</w:t>
            </w:r>
          </w:p>
        </w:tc>
        <w:tc>
          <w:tcPr>
            <w:tcW w:w="3250" w:type="dxa"/>
            <w:noWrap w:val="0"/>
            <w:vAlign w:val="center"/>
          </w:tcPr>
          <w:p w14:paraId="64D3724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液塑限联合测定仪1台、标准击实仪1、路面材料强度仪1台、应变控制式直剪仪1台、饰面砖粘结强度检测仪5台、公路路面回弹弯沉仪2台</w:t>
            </w:r>
          </w:p>
        </w:tc>
        <w:tc>
          <w:tcPr>
            <w:tcW w:w="950" w:type="dxa"/>
            <w:noWrap w:val="0"/>
            <w:vAlign w:val="center"/>
          </w:tcPr>
          <w:p w14:paraId="3B0098B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60</w:t>
            </w:r>
          </w:p>
        </w:tc>
      </w:tr>
      <w:tr w14:paraId="7082C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noWrap w:val="0"/>
            <w:vAlign w:val="center"/>
          </w:tcPr>
          <w:p w14:paraId="387E160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5</w:t>
            </w:r>
          </w:p>
        </w:tc>
        <w:tc>
          <w:tcPr>
            <w:tcW w:w="1193" w:type="dxa"/>
            <w:noWrap w:val="0"/>
            <w:vAlign w:val="center"/>
          </w:tcPr>
          <w:p w14:paraId="756194B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砼实验室</w:t>
            </w:r>
          </w:p>
        </w:tc>
        <w:tc>
          <w:tcPr>
            <w:tcW w:w="2384" w:type="dxa"/>
            <w:noWrap w:val="0"/>
            <w:vAlign w:val="center"/>
          </w:tcPr>
          <w:p w14:paraId="2BCCE35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
              </w:rPr>
            </w:pPr>
            <w:r>
              <w:rPr>
                <w:rFonts w:hint="eastAsia" w:ascii="Times New Roman" w:hAnsi="Times New Roman" w:eastAsia="仿宋" w:cs="仿宋"/>
                <w:color w:val="auto"/>
                <w:sz w:val="24"/>
                <w:highlight w:val="none"/>
                <w:lang w:val="en-US" w:eastAsia="zh-CN"/>
              </w:rPr>
              <w:t>路基路面工程；</w:t>
            </w:r>
          </w:p>
          <w:p w14:paraId="3BC06B9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道路桥梁检测技术；</w:t>
            </w:r>
          </w:p>
          <w:p w14:paraId="5CABD7C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桥梁工程</w:t>
            </w:r>
          </w:p>
        </w:tc>
        <w:tc>
          <w:tcPr>
            <w:tcW w:w="1716" w:type="dxa"/>
            <w:noWrap w:val="0"/>
            <w:vAlign w:val="center"/>
          </w:tcPr>
          <w:p w14:paraId="2F79E0E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水泥及水泥混凝土性能试验检测</w:t>
            </w:r>
          </w:p>
        </w:tc>
        <w:tc>
          <w:tcPr>
            <w:tcW w:w="3250" w:type="dxa"/>
            <w:noWrap w:val="0"/>
            <w:vAlign w:val="center"/>
          </w:tcPr>
          <w:p w14:paraId="79EA1D5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砂浆搅拌机1台、强制式单卧轴混凝土搅拌机1台、标准法维卡仪1台、沸煮箱1台、雷氏夹膨胀仪1台、湿气养护箱1台、胶砂搅拌机1台、振实台1台、抗折试验机和抗折夹具1台、抗压试验机和抗压夹具1台、抗弯拉试验装置1台、负压筛析仪1台</w:t>
            </w:r>
          </w:p>
        </w:tc>
        <w:tc>
          <w:tcPr>
            <w:tcW w:w="950" w:type="dxa"/>
            <w:noWrap w:val="0"/>
            <w:vAlign w:val="center"/>
          </w:tcPr>
          <w:p w14:paraId="750B6D6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60</w:t>
            </w:r>
          </w:p>
        </w:tc>
      </w:tr>
      <w:tr w14:paraId="08F09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noWrap w:val="0"/>
            <w:vAlign w:val="center"/>
          </w:tcPr>
          <w:p w14:paraId="470D83B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6</w:t>
            </w:r>
          </w:p>
        </w:tc>
        <w:tc>
          <w:tcPr>
            <w:tcW w:w="1193" w:type="dxa"/>
            <w:noWrap w:val="0"/>
            <w:vAlign w:val="center"/>
          </w:tcPr>
          <w:p w14:paraId="5F76568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建筑材料检测实训中心</w:t>
            </w:r>
          </w:p>
        </w:tc>
        <w:tc>
          <w:tcPr>
            <w:tcW w:w="2384" w:type="dxa"/>
            <w:noWrap w:val="0"/>
            <w:vAlign w:val="center"/>
          </w:tcPr>
          <w:p w14:paraId="5FD3FB1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
              </w:rPr>
            </w:pPr>
            <w:r>
              <w:rPr>
                <w:rFonts w:hint="eastAsia" w:ascii="Times New Roman" w:hAnsi="Times New Roman" w:eastAsia="仿宋" w:cs="仿宋"/>
                <w:color w:val="auto"/>
                <w:sz w:val="24"/>
                <w:highlight w:val="none"/>
                <w:lang w:val="en-US" w:eastAsia="zh-CN"/>
              </w:rPr>
              <w:t>路基路面工程；</w:t>
            </w:r>
          </w:p>
          <w:p w14:paraId="089614E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道路桥梁检测技术；</w:t>
            </w:r>
          </w:p>
          <w:p w14:paraId="252E059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桥梁工程</w:t>
            </w:r>
          </w:p>
        </w:tc>
        <w:tc>
          <w:tcPr>
            <w:tcW w:w="1716" w:type="dxa"/>
            <w:noWrap w:val="0"/>
            <w:vAlign w:val="center"/>
          </w:tcPr>
          <w:p w14:paraId="79CB07D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道路桥梁工程现场检测</w:t>
            </w:r>
          </w:p>
        </w:tc>
        <w:tc>
          <w:tcPr>
            <w:tcW w:w="3250" w:type="dxa"/>
            <w:noWrap w:val="0"/>
            <w:vAlign w:val="top"/>
          </w:tcPr>
          <w:p w14:paraId="0348673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亚甲蓝试验搅拌器1台、增力电动搅拌器1台、双管精密砂当量试验机1台、水泥快速养护箱1台、水泥细度负压筛析仪1台、电热鼓风恒温干燥箱1台、箱式电阻炉1台、电热恒温循环水箱1台、沸煮箱1台、电子天平6台、全自动比表面积测定仪1台、电动抗折机1台、水泥净浆搅拌机2台、水泥胶砂搅拌机</w:t>
            </w:r>
            <w:r>
              <w:rPr>
                <w:rFonts w:hint="eastAsia" w:ascii="Times New Roman" w:hAnsi="Times New Roman" w:eastAsia="仿宋" w:cs="仿宋"/>
                <w:color w:val="auto"/>
                <w:sz w:val="24"/>
                <w:highlight w:val="none"/>
                <w:lang w:val="en-US" w:eastAsia="zh-CN"/>
              </w:rPr>
              <w:t>2台</w:t>
            </w:r>
            <w:r>
              <w:rPr>
                <w:rFonts w:hint="eastAsia" w:ascii="Times New Roman" w:hAnsi="Times New Roman" w:eastAsia="仿宋" w:cs="仿宋"/>
                <w:color w:val="auto"/>
                <w:sz w:val="24"/>
                <w:highlight w:val="none"/>
                <w:lang w:val="en-US" w:eastAsia="zh-CN"/>
              </w:rPr>
              <w:t>、自动水泥胶砂流动度测定仪1台、ISO水泥胶砂振实台1台、自动数显搁板式磨耗试验机1台、震击式两用振摆筛选机1台、电热蒸馏水器1台、数控水泥砼标准养护箱1台、连续式标点机1台、洛氏硬度计1台、水泥抗压夹具2台、冷弯冲头1台、砼断头夹具1台、砼劈裂夹具1台、电脑全自动恒应力压力试验机1台、振击式振摆仪1台、教学投影仪1台、微型电子计算机1台、洋华中控桌1台、比丽普功放1台、水泥胶砂振实台1台、维卡仪10台、砂浆回弹仪1台、普通砼回弹仪3台、水泥（砼）恒温恒湿养护箱2台、塌落度筒12台、新标准方孔砂子筛12套</w:t>
            </w:r>
          </w:p>
        </w:tc>
        <w:tc>
          <w:tcPr>
            <w:tcW w:w="950" w:type="dxa"/>
            <w:noWrap w:val="0"/>
            <w:vAlign w:val="center"/>
          </w:tcPr>
          <w:p w14:paraId="68724FB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30</w:t>
            </w:r>
          </w:p>
        </w:tc>
      </w:tr>
      <w:tr w14:paraId="1A87F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noWrap w:val="0"/>
            <w:vAlign w:val="center"/>
          </w:tcPr>
          <w:p w14:paraId="1DB8F64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7</w:t>
            </w:r>
          </w:p>
        </w:tc>
        <w:tc>
          <w:tcPr>
            <w:tcW w:w="1193" w:type="dxa"/>
            <w:shd w:val="clear" w:color="auto" w:fill="auto"/>
            <w:noWrap w:val="0"/>
            <w:vAlign w:val="center"/>
          </w:tcPr>
          <w:p w14:paraId="48E31BC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建筑材料力学实验室</w:t>
            </w:r>
          </w:p>
        </w:tc>
        <w:tc>
          <w:tcPr>
            <w:tcW w:w="2384" w:type="dxa"/>
            <w:shd w:val="clear" w:color="auto" w:fill="auto"/>
            <w:noWrap w:val="0"/>
            <w:vAlign w:val="center"/>
          </w:tcPr>
          <w:p w14:paraId="05D875F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建筑力学与结构</w:t>
            </w:r>
          </w:p>
        </w:tc>
        <w:tc>
          <w:tcPr>
            <w:tcW w:w="1716" w:type="dxa"/>
            <w:shd w:val="clear" w:color="auto" w:fill="auto"/>
            <w:noWrap w:val="0"/>
            <w:vAlign w:val="center"/>
          </w:tcPr>
          <w:p w14:paraId="11C13D2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钢筋抗拉强度、抗弯强度、混凝土强度试验、胶砂强度检测</w:t>
            </w:r>
          </w:p>
        </w:tc>
        <w:tc>
          <w:tcPr>
            <w:tcW w:w="3250" w:type="dxa"/>
            <w:shd w:val="clear" w:color="auto" w:fill="auto"/>
            <w:noWrap w:val="0"/>
            <w:vAlign w:val="center"/>
          </w:tcPr>
          <w:p w14:paraId="50C7BBE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万能材料试验机20台、电液伺服万能试验机18台、电脑全自动恒应力压力试验机8台、全自动恒应力一体机5台</w:t>
            </w:r>
          </w:p>
        </w:tc>
        <w:tc>
          <w:tcPr>
            <w:tcW w:w="950" w:type="dxa"/>
            <w:shd w:val="clear" w:color="auto" w:fill="auto"/>
            <w:noWrap w:val="0"/>
            <w:vAlign w:val="center"/>
          </w:tcPr>
          <w:p w14:paraId="44A180F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80</w:t>
            </w:r>
          </w:p>
        </w:tc>
      </w:tr>
      <w:tr w14:paraId="64615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noWrap w:val="0"/>
            <w:vAlign w:val="center"/>
          </w:tcPr>
          <w:p w14:paraId="61EC634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8</w:t>
            </w:r>
          </w:p>
        </w:tc>
        <w:tc>
          <w:tcPr>
            <w:tcW w:w="1193" w:type="dxa"/>
            <w:shd w:val="clear" w:color="auto" w:fill="auto"/>
            <w:noWrap w:val="0"/>
            <w:vAlign w:val="center"/>
          </w:tcPr>
          <w:p w14:paraId="12DD6E8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抗渗实训室</w:t>
            </w:r>
          </w:p>
        </w:tc>
        <w:tc>
          <w:tcPr>
            <w:tcW w:w="2384" w:type="dxa"/>
            <w:shd w:val="clear" w:color="auto" w:fill="auto"/>
            <w:noWrap w:val="0"/>
            <w:vAlign w:val="center"/>
          </w:tcPr>
          <w:p w14:paraId="073F6CF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建筑力学与结构；</w:t>
            </w:r>
          </w:p>
          <w:p w14:paraId="11D215D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路基路面工程</w:t>
            </w:r>
          </w:p>
        </w:tc>
        <w:tc>
          <w:tcPr>
            <w:tcW w:w="1716" w:type="dxa"/>
            <w:shd w:val="clear" w:color="auto" w:fill="auto"/>
            <w:noWrap w:val="0"/>
            <w:vAlign w:val="center"/>
          </w:tcPr>
          <w:p w14:paraId="16CB8B8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混凝土抗渗实验</w:t>
            </w:r>
          </w:p>
        </w:tc>
        <w:tc>
          <w:tcPr>
            <w:tcW w:w="3250" w:type="dxa"/>
            <w:shd w:val="clear" w:color="auto" w:fill="auto"/>
            <w:noWrap w:val="0"/>
            <w:vAlign w:val="center"/>
          </w:tcPr>
          <w:p w14:paraId="5AD7C9C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砂浆渗透仪1台、水泥（砼）快速养护箱1台、自动调压砼渗透仪1台、混凝土抗渗仪4台、渗水试验仪</w:t>
            </w:r>
          </w:p>
        </w:tc>
        <w:tc>
          <w:tcPr>
            <w:tcW w:w="950" w:type="dxa"/>
            <w:shd w:val="clear" w:color="auto" w:fill="auto"/>
            <w:noWrap w:val="0"/>
            <w:vAlign w:val="center"/>
          </w:tcPr>
          <w:p w14:paraId="17CE9BC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80</w:t>
            </w:r>
          </w:p>
        </w:tc>
      </w:tr>
      <w:tr w14:paraId="15C75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noWrap w:val="0"/>
            <w:vAlign w:val="center"/>
          </w:tcPr>
          <w:p w14:paraId="1EC9705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9</w:t>
            </w:r>
          </w:p>
        </w:tc>
        <w:tc>
          <w:tcPr>
            <w:tcW w:w="1193" w:type="dxa"/>
            <w:shd w:val="clear" w:color="auto" w:fill="auto"/>
            <w:noWrap w:val="0"/>
            <w:vAlign w:val="center"/>
          </w:tcPr>
          <w:p w14:paraId="4814F59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建筑工程制图室</w:t>
            </w:r>
          </w:p>
        </w:tc>
        <w:tc>
          <w:tcPr>
            <w:tcW w:w="2384" w:type="dxa"/>
            <w:shd w:val="clear" w:color="auto" w:fill="auto"/>
            <w:noWrap w:val="0"/>
            <w:vAlign w:val="center"/>
          </w:tcPr>
          <w:p w14:paraId="2416563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工程制图；</w:t>
            </w:r>
          </w:p>
          <w:p w14:paraId="70FBDE3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房屋建筑学；</w:t>
            </w:r>
          </w:p>
          <w:p w14:paraId="6B29CA1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公路勘测设计</w:t>
            </w:r>
          </w:p>
        </w:tc>
        <w:tc>
          <w:tcPr>
            <w:tcW w:w="1716" w:type="dxa"/>
            <w:shd w:val="clear" w:color="auto" w:fill="auto"/>
            <w:noWrap w:val="0"/>
            <w:vAlign w:val="center"/>
          </w:tcPr>
          <w:p w14:paraId="42BD594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建筑制图实训</w:t>
            </w:r>
          </w:p>
        </w:tc>
        <w:tc>
          <w:tcPr>
            <w:tcW w:w="3250" w:type="dxa"/>
            <w:shd w:val="clear" w:color="auto" w:fill="auto"/>
            <w:noWrap w:val="0"/>
            <w:vAlign w:val="center"/>
          </w:tcPr>
          <w:p w14:paraId="0B67C59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服务器1台、交换机1台以及可运行AutoCAD软件的计算机80台实训设备</w:t>
            </w:r>
          </w:p>
        </w:tc>
        <w:tc>
          <w:tcPr>
            <w:tcW w:w="950" w:type="dxa"/>
            <w:shd w:val="clear" w:color="auto" w:fill="auto"/>
            <w:noWrap w:val="0"/>
            <w:vAlign w:val="center"/>
          </w:tcPr>
          <w:p w14:paraId="07B65D9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80</w:t>
            </w:r>
          </w:p>
        </w:tc>
      </w:tr>
      <w:tr w14:paraId="1CAF5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noWrap w:val="0"/>
            <w:vAlign w:val="center"/>
          </w:tcPr>
          <w:p w14:paraId="329D0BF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10</w:t>
            </w:r>
          </w:p>
        </w:tc>
        <w:tc>
          <w:tcPr>
            <w:tcW w:w="1193" w:type="dxa"/>
            <w:shd w:val="clear" w:color="auto" w:fill="auto"/>
            <w:noWrap w:val="0"/>
            <w:vAlign w:val="center"/>
          </w:tcPr>
          <w:p w14:paraId="5A277CB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手工制作实训室</w:t>
            </w:r>
          </w:p>
        </w:tc>
        <w:tc>
          <w:tcPr>
            <w:tcW w:w="2384" w:type="dxa"/>
            <w:shd w:val="clear" w:color="auto" w:fill="auto"/>
            <w:noWrap w:val="0"/>
            <w:vAlign w:val="center"/>
          </w:tcPr>
          <w:p w14:paraId="78EEB52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工程制图；</w:t>
            </w:r>
          </w:p>
          <w:p w14:paraId="422892D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公路勘测设计</w:t>
            </w:r>
          </w:p>
        </w:tc>
        <w:tc>
          <w:tcPr>
            <w:tcW w:w="1716" w:type="dxa"/>
            <w:shd w:val="clear" w:color="auto" w:fill="auto"/>
            <w:noWrap w:val="0"/>
            <w:vAlign w:val="center"/>
          </w:tcPr>
          <w:p w14:paraId="7FE96AD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建筑结构模型的制作、钢筋绑扎模型制作</w:t>
            </w:r>
          </w:p>
        </w:tc>
        <w:tc>
          <w:tcPr>
            <w:tcW w:w="3250" w:type="dxa"/>
            <w:shd w:val="clear" w:color="auto" w:fill="auto"/>
            <w:noWrap w:val="0"/>
            <w:vAlign w:val="center"/>
          </w:tcPr>
          <w:p w14:paraId="1DE4D12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工程制图桌43套、折叠式投影器1台</w:t>
            </w:r>
          </w:p>
        </w:tc>
        <w:tc>
          <w:tcPr>
            <w:tcW w:w="950" w:type="dxa"/>
            <w:shd w:val="clear" w:color="auto" w:fill="auto"/>
            <w:noWrap w:val="0"/>
            <w:vAlign w:val="center"/>
          </w:tcPr>
          <w:p w14:paraId="78A5361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60</w:t>
            </w:r>
          </w:p>
        </w:tc>
      </w:tr>
      <w:tr w14:paraId="1F903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noWrap w:val="0"/>
            <w:vAlign w:val="center"/>
          </w:tcPr>
          <w:p w14:paraId="2E8C0FE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11</w:t>
            </w:r>
          </w:p>
        </w:tc>
        <w:tc>
          <w:tcPr>
            <w:tcW w:w="1193" w:type="dxa"/>
            <w:shd w:val="clear" w:color="auto" w:fill="auto"/>
            <w:noWrap w:val="0"/>
            <w:vAlign w:val="center"/>
          </w:tcPr>
          <w:p w14:paraId="60B7355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标准养护室</w:t>
            </w:r>
          </w:p>
        </w:tc>
        <w:tc>
          <w:tcPr>
            <w:tcW w:w="2384" w:type="dxa"/>
            <w:shd w:val="clear" w:color="auto" w:fill="auto"/>
            <w:noWrap w:val="0"/>
            <w:vAlign w:val="center"/>
          </w:tcPr>
          <w:p w14:paraId="0FF4E7F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
              </w:rPr>
            </w:pPr>
            <w:r>
              <w:rPr>
                <w:rFonts w:hint="eastAsia" w:ascii="Times New Roman" w:hAnsi="Times New Roman" w:eastAsia="仿宋" w:cs="仿宋"/>
                <w:color w:val="auto"/>
                <w:sz w:val="24"/>
                <w:highlight w:val="none"/>
                <w:lang w:val="en-US" w:eastAsia="zh-CN"/>
              </w:rPr>
              <w:t>路基路面工程；</w:t>
            </w:r>
          </w:p>
          <w:p w14:paraId="78841DF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道路桥梁检测技术；</w:t>
            </w:r>
          </w:p>
          <w:p w14:paraId="37FFC87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桥梁工程</w:t>
            </w:r>
          </w:p>
        </w:tc>
        <w:tc>
          <w:tcPr>
            <w:tcW w:w="1716" w:type="dxa"/>
            <w:shd w:val="clear" w:color="auto" w:fill="auto"/>
            <w:noWrap w:val="0"/>
            <w:vAlign w:val="center"/>
          </w:tcPr>
          <w:p w14:paraId="16D62EB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砼标准养护、水泥标准养护、砂浆标准养护</w:t>
            </w:r>
          </w:p>
        </w:tc>
        <w:tc>
          <w:tcPr>
            <w:tcW w:w="3250" w:type="dxa"/>
            <w:shd w:val="clear" w:color="auto" w:fill="auto"/>
            <w:noWrap w:val="0"/>
            <w:vAlign w:val="center"/>
          </w:tcPr>
          <w:p w14:paraId="5D1434F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水泥（砼）恒温恒湿养护箱4台、智能型砼养护室控制仪1台、BYS-Ⅲ养护室温湿度动</w:t>
            </w:r>
          </w:p>
          <w:p w14:paraId="119FCE5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控制仪1台、空调1台、养护架1台</w:t>
            </w:r>
          </w:p>
        </w:tc>
        <w:tc>
          <w:tcPr>
            <w:tcW w:w="950" w:type="dxa"/>
            <w:shd w:val="clear" w:color="auto" w:fill="auto"/>
            <w:noWrap w:val="0"/>
            <w:vAlign w:val="center"/>
          </w:tcPr>
          <w:p w14:paraId="37331DF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60</w:t>
            </w:r>
          </w:p>
        </w:tc>
      </w:tr>
      <w:tr w14:paraId="3E5FE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80" w:type="dxa"/>
            <w:noWrap w:val="0"/>
            <w:vAlign w:val="center"/>
          </w:tcPr>
          <w:p w14:paraId="6E07E8B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12</w:t>
            </w:r>
          </w:p>
        </w:tc>
        <w:tc>
          <w:tcPr>
            <w:tcW w:w="1193" w:type="dxa"/>
            <w:shd w:val="clear" w:color="auto" w:fill="auto"/>
            <w:noWrap w:val="0"/>
            <w:vAlign w:val="center"/>
          </w:tcPr>
          <w:p w14:paraId="0BA749F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数字式压力试验机实训区</w:t>
            </w:r>
          </w:p>
        </w:tc>
        <w:tc>
          <w:tcPr>
            <w:tcW w:w="2384" w:type="dxa"/>
            <w:shd w:val="clear" w:color="auto" w:fill="auto"/>
            <w:noWrap w:val="0"/>
            <w:vAlign w:val="center"/>
          </w:tcPr>
          <w:p w14:paraId="0CC7463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
              </w:rPr>
            </w:pPr>
            <w:r>
              <w:rPr>
                <w:rFonts w:hint="eastAsia" w:ascii="Times New Roman" w:hAnsi="Times New Roman" w:eastAsia="仿宋" w:cs="仿宋"/>
                <w:color w:val="auto"/>
                <w:sz w:val="24"/>
                <w:highlight w:val="none"/>
                <w:lang w:val="en-US" w:eastAsia="zh-CN"/>
              </w:rPr>
              <w:t>路基路面工程；</w:t>
            </w:r>
          </w:p>
          <w:p w14:paraId="4D3EFB6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道路桥梁检测技术；</w:t>
            </w:r>
          </w:p>
          <w:p w14:paraId="099BFE6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桥梁工程</w:t>
            </w:r>
          </w:p>
        </w:tc>
        <w:tc>
          <w:tcPr>
            <w:tcW w:w="1716" w:type="dxa"/>
            <w:shd w:val="clear" w:color="auto" w:fill="auto"/>
            <w:noWrap w:val="0"/>
            <w:vAlign w:val="center"/>
          </w:tcPr>
          <w:p w14:paraId="7A9A546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建筑材料力学性能检测</w:t>
            </w:r>
          </w:p>
        </w:tc>
        <w:tc>
          <w:tcPr>
            <w:tcW w:w="3250" w:type="dxa"/>
            <w:shd w:val="clear" w:color="auto" w:fill="auto"/>
            <w:noWrap w:val="0"/>
            <w:vAlign w:val="center"/>
          </w:tcPr>
          <w:p w14:paraId="5F0FBAD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数显万能材料试验机10台、微机控制恒加荷速率压力试验机10台</w:t>
            </w:r>
          </w:p>
        </w:tc>
        <w:tc>
          <w:tcPr>
            <w:tcW w:w="950" w:type="dxa"/>
            <w:shd w:val="clear" w:color="auto" w:fill="auto"/>
            <w:noWrap w:val="0"/>
            <w:vAlign w:val="center"/>
          </w:tcPr>
          <w:p w14:paraId="2C1101C4">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50</w:t>
            </w:r>
          </w:p>
        </w:tc>
      </w:tr>
    </w:tbl>
    <w:p w14:paraId="73D0078A">
      <w:pPr>
        <w:rPr>
          <w:rFonts w:ascii="Times New Roman" w:hAnsi="Times New Roman"/>
          <w:color w:val="auto"/>
          <w:highlight w:val="none"/>
        </w:rPr>
      </w:pPr>
    </w:p>
    <w:p w14:paraId="0CBDC71C">
      <w:pPr>
        <w:pStyle w:val="2"/>
        <w:pageBreakBefore w:val="0"/>
        <w:widowControl/>
        <w:numPr>
          <w:ilvl w:val="0"/>
          <w:numId w:val="0"/>
        </w:numPr>
        <w:kinsoku/>
        <w:wordWrap/>
        <w:topLinePunct w:val="0"/>
        <w:autoSpaceDE/>
        <w:autoSpaceDN/>
        <w:bidi w:val="0"/>
        <w:snapToGrid/>
        <w:spacing w:before="0" w:line="520" w:lineRule="exact"/>
        <w:jc w:val="both"/>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3.校外实训资源</w:t>
      </w:r>
    </w:p>
    <w:p w14:paraId="13F54D8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lang w:val="en-US" w:eastAsia="zh-CN"/>
        </w:rPr>
        <w:t>（1）校外实训基地基本要求</w:t>
      </w:r>
    </w:p>
    <w:p w14:paraId="08CCF10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520" w:lineRule="exact"/>
        <w:ind w:left="0" w:right="0" w:firstLine="640" w:firstLineChars="200"/>
        <w:jc w:val="both"/>
        <w:textAlignment w:val="auto"/>
        <w:rPr>
          <w:rFonts w:hint="eastAsia" w:ascii="Times New Roman" w:hAnsi="Times New Roman" w:eastAsia="仿宋_GB2312" w:cs="仿宋_GB2312"/>
          <w:b w:val="0"/>
          <w:bCs w:val="0"/>
          <w:color w:val="auto"/>
          <w:sz w:val="32"/>
          <w:szCs w:val="32"/>
          <w:highlight w:val="none"/>
        </w:rPr>
      </w:pPr>
      <w:bookmarkStart w:id="12" w:name="_GoBack"/>
      <w:bookmarkEnd w:id="12"/>
      <w:r>
        <w:rPr>
          <w:rFonts w:hint="eastAsia" w:ascii="Times New Roman" w:hAnsi="Times New Roman" w:eastAsia="仿宋_GB2312" w:cs="仿宋_GB2312"/>
          <w:b w:val="0"/>
          <w:bCs w:val="0"/>
          <w:color w:val="auto"/>
          <w:sz w:val="32"/>
          <w:szCs w:val="32"/>
          <w:highlight w:val="none"/>
        </w:rPr>
        <w:t>具有稳定的校外实训基地</w:t>
      </w:r>
      <w:r>
        <w:rPr>
          <w:rFonts w:hint="eastAsia" w:ascii="Times New Roman" w:hAnsi="Times New Roman" w:eastAsia="仿宋_GB2312" w:cs="仿宋_GB2312"/>
          <w:b w:val="0"/>
          <w:bCs w:val="0"/>
          <w:color w:val="auto"/>
          <w:sz w:val="32"/>
          <w:szCs w:val="32"/>
          <w:highlight w:val="none"/>
          <w:lang w:val="en-US" w:eastAsia="zh-CN"/>
        </w:rPr>
        <w:t>2个以上</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能够开展</w:t>
      </w:r>
      <w:r>
        <w:rPr>
          <w:rFonts w:hint="eastAsia" w:ascii="Times New Roman" w:hAnsi="Times New Roman" w:eastAsia="仿宋_GB2312" w:cs="仿宋_GB2312"/>
          <w:b w:val="0"/>
          <w:bCs w:val="0"/>
          <w:color w:val="auto"/>
          <w:sz w:val="32"/>
          <w:szCs w:val="32"/>
          <w:highlight w:val="none"/>
          <w:lang w:val="en-US" w:eastAsia="zh-CN"/>
        </w:rPr>
        <w:t>工程测量、材料试验、工程质检、工程施工、工程预算</w:t>
      </w:r>
      <w:r>
        <w:rPr>
          <w:rFonts w:hint="eastAsia" w:ascii="Times New Roman" w:hAnsi="Times New Roman" w:eastAsia="仿宋_GB2312" w:cs="仿宋_GB2312"/>
          <w:b w:val="0"/>
          <w:bCs w:val="0"/>
          <w:color w:val="auto"/>
          <w:sz w:val="32"/>
          <w:szCs w:val="32"/>
          <w:highlight w:val="none"/>
        </w:rPr>
        <w:t>等实训活动</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实训设施齐备，实训岗位、实训指导教师确定，实训管理及实施规章制度齐全。</w:t>
      </w:r>
    </w:p>
    <w:p w14:paraId="381205A0">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（2）学生实习基地基本要求</w:t>
      </w:r>
    </w:p>
    <w:p w14:paraId="48914E60">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rPr>
        <w:t>具有稳定的校外实习基地</w:t>
      </w:r>
      <w:r>
        <w:rPr>
          <w:rFonts w:hint="eastAsia" w:ascii="Times New Roman" w:hAnsi="Times New Roman" w:eastAsia="仿宋_GB2312" w:cs="仿宋_GB2312"/>
          <w:b w:val="0"/>
          <w:bCs w:val="0"/>
          <w:color w:val="auto"/>
          <w:sz w:val="32"/>
          <w:szCs w:val="32"/>
          <w:highlight w:val="none"/>
          <w:lang w:val="en-US" w:eastAsia="zh-CN"/>
        </w:rPr>
        <w:t>2个以上</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能提供</w:t>
      </w:r>
      <w:r>
        <w:rPr>
          <w:rFonts w:hint="eastAsia" w:ascii="Times New Roman" w:hAnsi="Times New Roman" w:eastAsia="仿宋_GB2312" w:cs="仿宋_GB2312"/>
          <w:b w:val="0"/>
          <w:bCs w:val="0"/>
          <w:color w:val="auto"/>
          <w:sz w:val="32"/>
          <w:szCs w:val="32"/>
          <w:highlight w:val="none"/>
          <w:lang w:eastAsia="zh"/>
        </w:rPr>
        <w:t>施工员、实验员，预算员</w:t>
      </w:r>
      <w:r>
        <w:rPr>
          <w:rFonts w:hint="eastAsia" w:ascii="Times New Roman" w:hAnsi="Times New Roman" w:eastAsia="仿宋_GB2312" w:cs="仿宋_GB2312"/>
          <w:b w:val="0"/>
          <w:bCs w:val="0"/>
          <w:color w:val="auto"/>
          <w:sz w:val="32"/>
          <w:szCs w:val="32"/>
          <w:highlight w:val="none"/>
        </w:rPr>
        <w:t>等相关实习岗位，能涵盖当前相关产业的主流技术，可接纳一定规模的学生实习</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能够配备相应数量的指导教师对学生实习进行指导和管理</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有保证实习生日常工作、学习、生活的规章制度，有安全、保险保障。</w:t>
      </w:r>
    </w:p>
    <w:p w14:paraId="55FEB1D8">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0" w:firstLineChars="0"/>
        <w:jc w:val="center"/>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lang w:val="en-US" w:eastAsia="zh"/>
        </w:rPr>
        <w:t>道路与桥梁工程技术</w:t>
      </w:r>
      <w:r>
        <w:rPr>
          <w:rFonts w:hint="eastAsia" w:ascii="Times New Roman" w:hAnsi="Times New Roman" w:eastAsia="仿宋_GB2312" w:cs="仿宋_GB2312"/>
          <w:b w:val="0"/>
          <w:bCs w:val="0"/>
          <w:color w:val="auto"/>
          <w:sz w:val="32"/>
          <w:szCs w:val="32"/>
          <w:highlight w:val="none"/>
          <w:lang w:val="en-US" w:eastAsia="zh-CN"/>
        </w:rPr>
        <w:t>专业校外实习基地一览表</w:t>
      </w:r>
    </w:p>
    <w:tbl>
      <w:tblPr>
        <w:tblStyle w:val="5"/>
        <w:tblW w:w="95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2"/>
        <w:gridCol w:w="3454"/>
        <w:gridCol w:w="1950"/>
        <w:gridCol w:w="817"/>
        <w:gridCol w:w="1293"/>
        <w:gridCol w:w="1383"/>
      </w:tblGrid>
      <w:tr w14:paraId="2FD21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2" w:type="dxa"/>
            <w:noWrap w:val="0"/>
            <w:vAlign w:val="center"/>
          </w:tcPr>
          <w:p w14:paraId="205EA6E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b w:val="0"/>
                <w:bCs w:val="0"/>
                <w:color w:val="auto"/>
                <w:sz w:val="24"/>
                <w:szCs w:val="24"/>
                <w:highlight w:val="none"/>
                <w:vertAlign w:val="baseline"/>
                <w:lang w:eastAsia="zh-CN"/>
              </w:rPr>
            </w:pPr>
            <w:r>
              <w:rPr>
                <w:rFonts w:hint="eastAsia" w:ascii="Times New Roman" w:hAnsi="Times New Roman" w:eastAsia="仿宋_GB2312" w:cs="仿宋"/>
                <w:b w:val="0"/>
                <w:bCs w:val="0"/>
                <w:color w:val="auto"/>
                <w:sz w:val="24"/>
                <w:szCs w:val="24"/>
                <w:highlight w:val="none"/>
                <w:vertAlign w:val="baseline"/>
                <w:lang w:eastAsia="zh-CN"/>
              </w:rPr>
              <w:t>序号</w:t>
            </w:r>
          </w:p>
        </w:tc>
        <w:tc>
          <w:tcPr>
            <w:tcW w:w="3454" w:type="dxa"/>
            <w:noWrap w:val="0"/>
            <w:vAlign w:val="center"/>
          </w:tcPr>
          <w:p w14:paraId="20E9A26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b w:val="0"/>
                <w:bCs w:val="0"/>
                <w:color w:val="auto"/>
                <w:sz w:val="24"/>
                <w:szCs w:val="24"/>
                <w:highlight w:val="none"/>
                <w:vertAlign w:val="baseline"/>
                <w:lang w:eastAsia="zh-CN"/>
              </w:rPr>
            </w:pPr>
            <w:r>
              <w:rPr>
                <w:rFonts w:hint="eastAsia" w:ascii="Times New Roman" w:hAnsi="Times New Roman" w:eastAsia="仿宋_GB2312" w:cs="仿宋"/>
                <w:b w:val="0"/>
                <w:bCs w:val="0"/>
                <w:color w:val="auto"/>
                <w:sz w:val="24"/>
                <w:szCs w:val="24"/>
                <w:highlight w:val="none"/>
                <w:lang w:val="en-US" w:eastAsia="zh-CN"/>
              </w:rPr>
              <w:t>校外实习基地</w:t>
            </w:r>
            <w:r>
              <w:rPr>
                <w:rFonts w:hint="eastAsia" w:ascii="Times New Roman" w:hAnsi="Times New Roman" w:eastAsia="仿宋_GB2312" w:cs="仿宋"/>
                <w:b w:val="0"/>
                <w:bCs w:val="0"/>
                <w:color w:val="auto"/>
                <w:sz w:val="24"/>
                <w:szCs w:val="24"/>
                <w:highlight w:val="none"/>
                <w:vertAlign w:val="baseline"/>
                <w:lang w:eastAsia="zh-CN"/>
              </w:rPr>
              <w:t>名称</w:t>
            </w:r>
          </w:p>
        </w:tc>
        <w:tc>
          <w:tcPr>
            <w:tcW w:w="1950" w:type="dxa"/>
            <w:noWrap w:val="0"/>
            <w:vAlign w:val="center"/>
          </w:tcPr>
          <w:p w14:paraId="19C4670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b w:val="0"/>
                <w:bCs w:val="0"/>
                <w:color w:val="auto"/>
                <w:sz w:val="24"/>
                <w:szCs w:val="24"/>
                <w:highlight w:val="none"/>
                <w:vertAlign w:val="baseline"/>
                <w:lang w:eastAsia="zh-CN"/>
              </w:rPr>
            </w:pPr>
            <w:r>
              <w:rPr>
                <w:rFonts w:hint="eastAsia" w:ascii="Times New Roman" w:hAnsi="Times New Roman" w:eastAsia="仿宋_GB2312" w:cs="仿宋"/>
                <w:b w:val="0"/>
                <w:bCs w:val="0"/>
                <w:color w:val="auto"/>
                <w:sz w:val="24"/>
                <w:szCs w:val="24"/>
                <w:highlight w:val="none"/>
                <w:vertAlign w:val="baseline"/>
                <w:lang w:eastAsia="zh-CN"/>
              </w:rPr>
              <w:t>合作企业名称</w:t>
            </w:r>
          </w:p>
        </w:tc>
        <w:tc>
          <w:tcPr>
            <w:tcW w:w="817" w:type="dxa"/>
            <w:noWrap w:val="0"/>
            <w:vAlign w:val="center"/>
          </w:tcPr>
          <w:p w14:paraId="07EA245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b w:val="0"/>
                <w:bCs w:val="0"/>
                <w:color w:val="auto"/>
                <w:sz w:val="24"/>
                <w:szCs w:val="24"/>
                <w:highlight w:val="none"/>
                <w:vertAlign w:val="baseline"/>
                <w:lang w:eastAsia="zh-CN"/>
              </w:rPr>
            </w:pPr>
            <w:r>
              <w:rPr>
                <w:rFonts w:hint="eastAsia" w:ascii="Times New Roman" w:hAnsi="Times New Roman" w:eastAsia="仿宋_GB2312" w:cs="仿宋"/>
                <w:b w:val="0"/>
                <w:bCs w:val="0"/>
                <w:color w:val="auto"/>
                <w:sz w:val="24"/>
                <w:szCs w:val="24"/>
                <w:highlight w:val="none"/>
                <w:vertAlign w:val="baseline"/>
                <w:lang w:eastAsia="zh-CN"/>
              </w:rPr>
              <w:t>用途</w:t>
            </w:r>
          </w:p>
        </w:tc>
        <w:tc>
          <w:tcPr>
            <w:tcW w:w="1293" w:type="dxa"/>
            <w:noWrap w:val="0"/>
            <w:vAlign w:val="center"/>
          </w:tcPr>
          <w:p w14:paraId="111520F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b w:val="0"/>
                <w:bCs w:val="0"/>
                <w:color w:val="auto"/>
                <w:sz w:val="24"/>
                <w:szCs w:val="24"/>
                <w:highlight w:val="none"/>
                <w:vertAlign w:val="baseline"/>
                <w:lang w:eastAsia="zh-CN"/>
              </w:rPr>
            </w:pPr>
            <w:r>
              <w:rPr>
                <w:rFonts w:hint="eastAsia" w:ascii="Times New Roman" w:hAnsi="Times New Roman" w:eastAsia="仿宋_GB2312" w:cs="仿宋"/>
                <w:b w:val="0"/>
                <w:bCs w:val="0"/>
                <w:color w:val="auto"/>
                <w:sz w:val="24"/>
                <w:szCs w:val="24"/>
                <w:highlight w:val="none"/>
                <w:vertAlign w:val="baseline"/>
                <w:lang w:eastAsia="zh-CN"/>
              </w:rPr>
              <w:t>合作深度要求</w:t>
            </w:r>
          </w:p>
        </w:tc>
        <w:tc>
          <w:tcPr>
            <w:tcW w:w="1383" w:type="dxa"/>
            <w:noWrap w:val="0"/>
            <w:vAlign w:val="center"/>
          </w:tcPr>
          <w:p w14:paraId="17B4947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b w:val="0"/>
                <w:bCs w:val="0"/>
                <w:color w:val="auto"/>
                <w:sz w:val="24"/>
                <w:szCs w:val="24"/>
                <w:highlight w:val="none"/>
                <w:vertAlign w:val="baseline"/>
                <w:lang w:eastAsia="zh-CN"/>
              </w:rPr>
            </w:pPr>
            <w:r>
              <w:rPr>
                <w:rFonts w:hint="eastAsia" w:ascii="Times New Roman" w:hAnsi="Times New Roman" w:eastAsia="仿宋_GB2312" w:cs="仿宋"/>
                <w:b w:val="0"/>
                <w:bCs w:val="0"/>
                <w:color w:val="auto"/>
                <w:sz w:val="24"/>
                <w:szCs w:val="24"/>
                <w:highlight w:val="none"/>
                <w:vertAlign w:val="baseline"/>
                <w:lang w:eastAsia="zh-CN"/>
              </w:rPr>
              <w:t>接纳学生实习人次</w:t>
            </w:r>
          </w:p>
        </w:tc>
      </w:tr>
      <w:tr w14:paraId="2EEFC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2" w:type="dxa"/>
            <w:noWrap w:val="0"/>
            <w:vAlign w:val="center"/>
          </w:tcPr>
          <w:p w14:paraId="1A9687C4">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b w:val="0"/>
                <w:bCs w:val="0"/>
                <w:color w:val="auto"/>
                <w:sz w:val="24"/>
                <w:szCs w:val="24"/>
                <w:highlight w:val="none"/>
                <w:vertAlign w:val="baseline"/>
                <w:lang w:eastAsia="zh"/>
              </w:rPr>
            </w:pPr>
            <w:r>
              <w:rPr>
                <w:rFonts w:hint="eastAsia" w:ascii="Times New Roman" w:hAnsi="Times New Roman" w:eastAsia="仿宋_GB2312" w:cs="仿宋"/>
                <w:b w:val="0"/>
                <w:bCs w:val="0"/>
                <w:color w:val="auto"/>
                <w:sz w:val="24"/>
                <w:szCs w:val="24"/>
                <w:highlight w:val="none"/>
                <w:vertAlign w:val="baseline"/>
                <w:lang w:eastAsia="zh"/>
              </w:rPr>
              <w:t>1</w:t>
            </w:r>
          </w:p>
        </w:tc>
        <w:tc>
          <w:tcPr>
            <w:tcW w:w="3454" w:type="dxa"/>
            <w:noWrap w:val="0"/>
            <w:vAlign w:val="center"/>
          </w:tcPr>
          <w:p w14:paraId="731E8FD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b w:val="0"/>
                <w:bCs w:val="0"/>
                <w:color w:val="auto"/>
                <w:sz w:val="24"/>
                <w:szCs w:val="24"/>
                <w:highlight w:val="none"/>
                <w:vertAlign w:val="baseline"/>
                <w:lang w:eastAsia="zh-CN"/>
              </w:rPr>
            </w:pPr>
            <w:r>
              <w:rPr>
                <w:rFonts w:hint="eastAsia" w:ascii="Times New Roman" w:hAnsi="Times New Roman" w:eastAsia="仿宋_GB2312" w:cs="仿宋"/>
                <w:b w:val="0"/>
                <w:bCs w:val="0"/>
                <w:color w:val="auto"/>
                <w:sz w:val="24"/>
                <w:szCs w:val="24"/>
                <w:highlight w:val="none"/>
                <w:vertAlign w:val="baseline"/>
                <w:lang w:eastAsia="zh-CN"/>
              </w:rPr>
              <w:t>广西工程职业学院</w:t>
            </w:r>
            <w:r>
              <w:rPr>
                <w:rFonts w:hint="eastAsia" w:ascii="Times New Roman" w:hAnsi="Times New Roman" w:eastAsia="仿宋_GB2312" w:cs="仿宋"/>
                <w:b w:val="0"/>
                <w:bCs w:val="0"/>
                <w:color w:val="auto"/>
                <w:sz w:val="24"/>
                <w:szCs w:val="24"/>
                <w:highlight w:val="none"/>
                <w:vertAlign w:val="baseline"/>
                <w:lang w:eastAsia="zh"/>
              </w:rPr>
              <w:t>道路与桥梁工程技术</w:t>
            </w:r>
            <w:r>
              <w:rPr>
                <w:rFonts w:hint="eastAsia" w:ascii="Times New Roman" w:hAnsi="Times New Roman" w:eastAsia="仿宋_GB2312" w:cs="仿宋"/>
                <w:b w:val="0"/>
                <w:bCs w:val="0"/>
                <w:color w:val="auto"/>
                <w:sz w:val="24"/>
                <w:szCs w:val="24"/>
                <w:highlight w:val="none"/>
                <w:lang w:val="en-US" w:eastAsia="zh-CN"/>
              </w:rPr>
              <w:t>专业校外实习基地</w:t>
            </w:r>
          </w:p>
        </w:tc>
        <w:tc>
          <w:tcPr>
            <w:tcW w:w="1950" w:type="dxa"/>
            <w:noWrap w:val="0"/>
            <w:vAlign w:val="center"/>
          </w:tcPr>
          <w:p w14:paraId="10AFF87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b w:val="0"/>
                <w:bCs w:val="0"/>
                <w:color w:val="auto"/>
                <w:sz w:val="24"/>
                <w:szCs w:val="24"/>
                <w:highlight w:val="none"/>
                <w:vertAlign w:val="baseline"/>
                <w:lang w:eastAsia="zh"/>
              </w:rPr>
            </w:pPr>
            <w:r>
              <w:rPr>
                <w:rFonts w:hint="eastAsia" w:ascii="Times New Roman" w:hAnsi="Times New Roman" w:eastAsia="仿宋_GB2312" w:cs="仿宋"/>
                <w:b w:val="0"/>
                <w:bCs w:val="0"/>
                <w:color w:val="auto"/>
                <w:sz w:val="24"/>
                <w:szCs w:val="24"/>
                <w:highlight w:val="none"/>
                <w:vertAlign w:val="baseline"/>
                <w:lang w:eastAsia="zh"/>
              </w:rPr>
              <w:t>广西联润建设工程有限公司</w:t>
            </w:r>
          </w:p>
        </w:tc>
        <w:tc>
          <w:tcPr>
            <w:tcW w:w="817" w:type="dxa"/>
            <w:noWrap w:val="0"/>
            <w:vAlign w:val="center"/>
          </w:tcPr>
          <w:p w14:paraId="514012A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b w:val="0"/>
                <w:bCs w:val="0"/>
                <w:color w:val="auto"/>
                <w:sz w:val="24"/>
                <w:szCs w:val="24"/>
                <w:highlight w:val="none"/>
                <w:vertAlign w:val="baseline"/>
                <w:lang w:eastAsia="zh-CN"/>
              </w:rPr>
            </w:pPr>
            <w:r>
              <w:rPr>
                <w:rFonts w:hint="eastAsia" w:ascii="Times New Roman" w:hAnsi="Times New Roman" w:eastAsia="仿宋_GB2312" w:cs="仿宋"/>
                <w:b w:val="0"/>
                <w:bCs w:val="0"/>
                <w:color w:val="auto"/>
                <w:sz w:val="24"/>
                <w:szCs w:val="24"/>
                <w:highlight w:val="none"/>
                <w:vertAlign w:val="baseline"/>
                <w:lang w:eastAsia="zh-CN"/>
              </w:rPr>
              <w:t>岗位实习</w:t>
            </w:r>
          </w:p>
        </w:tc>
        <w:tc>
          <w:tcPr>
            <w:tcW w:w="1293" w:type="dxa"/>
            <w:noWrap w:val="0"/>
            <w:vAlign w:val="center"/>
          </w:tcPr>
          <w:p w14:paraId="2B5F6AD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b w:val="0"/>
                <w:bCs w:val="0"/>
                <w:color w:val="auto"/>
                <w:sz w:val="24"/>
                <w:szCs w:val="24"/>
                <w:highlight w:val="none"/>
                <w:vertAlign w:val="baseline"/>
                <w:lang w:eastAsia="zh-CN"/>
              </w:rPr>
            </w:pPr>
            <w:r>
              <w:rPr>
                <w:rFonts w:hint="eastAsia" w:ascii="Times New Roman" w:hAnsi="Times New Roman" w:eastAsia="仿宋_GB2312" w:cs="仿宋"/>
                <w:b w:val="0"/>
                <w:bCs w:val="0"/>
                <w:color w:val="auto"/>
                <w:sz w:val="24"/>
                <w:szCs w:val="24"/>
                <w:highlight w:val="none"/>
                <w:vertAlign w:val="baseline"/>
                <w:lang w:eastAsia="zh-CN"/>
              </w:rPr>
              <w:t>深度合作</w:t>
            </w:r>
          </w:p>
        </w:tc>
        <w:tc>
          <w:tcPr>
            <w:tcW w:w="1383" w:type="dxa"/>
            <w:noWrap w:val="0"/>
            <w:vAlign w:val="center"/>
          </w:tcPr>
          <w:p w14:paraId="6C42A57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b w:val="0"/>
                <w:bCs w:val="0"/>
                <w:color w:val="auto"/>
                <w:sz w:val="24"/>
                <w:szCs w:val="24"/>
                <w:highlight w:val="none"/>
                <w:vertAlign w:val="baseline"/>
                <w:lang w:val="en-US" w:eastAsia="zh-CN"/>
              </w:rPr>
            </w:pPr>
            <w:r>
              <w:rPr>
                <w:rFonts w:hint="eastAsia" w:ascii="Times New Roman" w:hAnsi="Times New Roman" w:eastAsia="仿宋_GB2312" w:cs="仿宋"/>
                <w:b w:val="0"/>
                <w:bCs w:val="0"/>
                <w:color w:val="auto"/>
                <w:sz w:val="24"/>
                <w:szCs w:val="24"/>
                <w:highlight w:val="none"/>
                <w:vertAlign w:val="baseline"/>
                <w:lang w:val="en-US" w:eastAsia="zh-CN"/>
              </w:rPr>
              <w:t>40</w:t>
            </w:r>
          </w:p>
        </w:tc>
      </w:tr>
      <w:tr w14:paraId="5BC84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2" w:type="dxa"/>
            <w:noWrap w:val="0"/>
            <w:vAlign w:val="center"/>
          </w:tcPr>
          <w:p w14:paraId="126B282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b w:val="0"/>
                <w:bCs w:val="0"/>
                <w:color w:val="auto"/>
                <w:sz w:val="24"/>
                <w:szCs w:val="24"/>
                <w:highlight w:val="none"/>
                <w:vertAlign w:val="baseline"/>
                <w:lang w:eastAsia="zh"/>
              </w:rPr>
            </w:pPr>
            <w:r>
              <w:rPr>
                <w:rFonts w:hint="eastAsia" w:ascii="Times New Roman" w:hAnsi="Times New Roman" w:eastAsia="仿宋_GB2312" w:cs="仿宋"/>
                <w:b w:val="0"/>
                <w:bCs w:val="0"/>
                <w:color w:val="auto"/>
                <w:sz w:val="24"/>
                <w:szCs w:val="24"/>
                <w:highlight w:val="none"/>
                <w:vertAlign w:val="baseline"/>
                <w:lang w:eastAsia="zh"/>
              </w:rPr>
              <w:t>2</w:t>
            </w:r>
          </w:p>
        </w:tc>
        <w:tc>
          <w:tcPr>
            <w:tcW w:w="3454" w:type="dxa"/>
            <w:noWrap w:val="0"/>
            <w:vAlign w:val="center"/>
          </w:tcPr>
          <w:p w14:paraId="2CD7EEF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b w:val="0"/>
                <w:bCs w:val="0"/>
                <w:color w:val="auto"/>
                <w:sz w:val="24"/>
                <w:szCs w:val="24"/>
                <w:highlight w:val="none"/>
                <w:vertAlign w:val="baseline"/>
              </w:rPr>
            </w:pPr>
            <w:r>
              <w:rPr>
                <w:rFonts w:hint="eastAsia" w:ascii="Times New Roman" w:hAnsi="Times New Roman" w:eastAsia="仿宋_GB2312" w:cs="仿宋"/>
                <w:b w:val="0"/>
                <w:bCs w:val="0"/>
                <w:color w:val="auto"/>
                <w:sz w:val="24"/>
                <w:szCs w:val="24"/>
                <w:highlight w:val="none"/>
                <w:vertAlign w:val="baseline"/>
                <w:lang w:eastAsia="zh-CN"/>
              </w:rPr>
              <w:t>广西工程职业学院</w:t>
            </w:r>
            <w:r>
              <w:rPr>
                <w:rFonts w:hint="eastAsia" w:ascii="Times New Roman" w:hAnsi="Times New Roman" w:eastAsia="仿宋_GB2312" w:cs="仿宋"/>
                <w:b w:val="0"/>
                <w:bCs w:val="0"/>
                <w:color w:val="auto"/>
                <w:sz w:val="24"/>
                <w:szCs w:val="24"/>
                <w:highlight w:val="none"/>
                <w:vertAlign w:val="baseline"/>
                <w:lang w:eastAsia="zh"/>
              </w:rPr>
              <w:t>道路与桥梁工程技术</w:t>
            </w:r>
            <w:r>
              <w:rPr>
                <w:rFonts w:hint="eastAsia" w:ascii="Times New Roman" w:hAnsi="Times New Roman" w:eastAsia="仿宋_GB2312" w:cs="仿宋"/>
                <w:b w:val="0"/>
                <w:bCs w:val="0"/>
                <w:color w:val="auto"/>
                <w:sz w:val="24"/>
                <w:szCs w:val="24"/>
                <w:highlight w:val="none"/>
                <w:lang w:val="en-US" w:eastAsia="zh-CN"/>
              </w:rPr>
              <w:t>专业校外实习基地</w:t>
            </w:r>
          </w:p>
        </w:tc>
        <w:tc>
          <w:tcPr>
            <w:tcW w:w="1950" w:type="dxa"/>
            <w:noWrap w:val="0"/>
            <w:vAlign w:val="center"/>
          </w:tcPr>
          <w:p w14:paraId="53486D7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b w:val="0"/>
                <w:bCs w:val="0"/>
                <w:color w:val="auto"/>
                <w:sz w:val="24"/>
                <w:szCs w:val="24"/>
                <w:highlight w:val="none"/>
                <w:vertAlign w:val="baseline"/>
                <w:lang w:eastAsia="zh"/>
              </w:rPr>
            </w:pPr>
            <w:r>
              <w:rPr>
                <w:rFonts w:hint="eastAsia" w:ascii="Times New Roman" w:hAnsi="Times New Roman" w:eastAsia="仿宋_GB2312" w:cs="仿宋"/>
                <w:b w:val="0"/>
                <w:bCs w:val="0"/>
                <w:color w:val="auto"/>
                <w:sz w:val="24"/>
                <w:szCs w:val="24"/>
                <w:highlight w:val="none"/>
                <w:vertAlign w:val="baseline"/>
                <w:lang w:eastAsia="zh"/>
              </w:rPr>
              <w:t>广西路桥工程集团有限公司</w:t>
            </w:r>
          </w:p>
        </w:tc>
        <w:tc>
          <w:tcPr>
            <w:tcW w:w="817" w:type="dxa"/>
            <w:noWrap w:val="0"/>
            <w:vAlign w:val="center"/>
          </w:tcPr>
          <w:p w14:paraId="73688B3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b w:val="0"/>
                <w:bCs w:val="0"/>
                <w:color w:val="auto"/>
                <w:sz w:val="24"/>
                <w:szCs w:val="24"/>
                <w:highlight w:val="none"/>
                <w:vertAlign w:val="baseline"/>
              </w:rPr>
            </w:pPr>
            <w:r>
              <w:rPr>
                <w:rFonts w:hint="eastAsia" w:ascii="Times New Roman" w:hAnsi="Times New Roman" w:eastAsia="仿宋_GB2312" w:cs="仿宋"/>
                <w:b w:val="0"/>
                <w:bCs w:val="0"/>
                <w:color w:val="auto"/>
                <w:sz w:val="24"/>
                <w:szCs w:val="24"/>
                <w:highlight w:val="none"/>
                <w:vertAlign w:val="baseline"/>
                <w:lang w:eastAsia="zh-CN"/>
              </w:rPr>
              <w:t>岗位实习</w:t>
            </w:r>
          </w:p>
        </w:tc>
        <w:tc>
          <w:tcPr>
            <w:tcW w:w="1293" w:type="dxa"/>
            <w:noWrap w:val="0"/>
            <w:vAlign w:val="center"/>
          </w:tcPr>
          <w:p w14:paraId="1679BCF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b w:val="0"/>
                <w:bCs w:val="0"/>
                <w:color w:val="auto"/>
                <w:sz w:val="24"/>
                <w:szCs w:val="24"/>
                <w:highlight w:val="none"/>
                <w:vertAlign w:val="baseline"/>
              </w:rPr>
            </w:pPr>
            <w:r>
              <w:rPr>
                <w:rFonts w:hint="eastAsia" w:ascii="Times New Roman" w:hAnsi="Times New Roman" w:eastAsia="仿宋_GB2312" w:cs="仿宋"/>
                <w:b w:val="0"/>
                <w:bCs w:val="0"/>
                <w:color w:val="auto"/>
                <w:sz w:val="24"/>
                <w:szCs w:val="24"/>
                <w:highlight w:val="none"/>
                <w:vertAlign w:val="baseline"/>
                <w:lang w:eastAsia="zh-CN"/>
              </w:rPr>
              <w:t>深度合作</w:t>
            </w:r>
          </w:p>
        </w:tc>
        <w:tc>
          <w:tcPr>
            <w:tcW w:w="1383" w:type="dxa"/>
            <w:noWrap w:val="0"/>
            <w:vAlign w:val="center"/>
          </w:tcPr>
          <w:p w14:paraId="770F6A6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b w:val="0"/>
                <w:bCs w:val="0"/>
                <w:color w:val="auto"/>
                <w:sz w:val="24"/>
                <w:szCs w:val="24"/>
                <w:highlight w:val="none"/>
                <w:vertAlign w:val="baseline"/>
                <w:lang w:val="en-US" w:eastAsia="zh-CN"/>
              </w:rPr>
            </w:pPr>
            <w:r>
              <w:rPr>
                <w:rFonts w:hint="eastAsia" w:ascii="Times New Roman" w:hAnsi="Times New Roman" w:eastAsia="仿宋_GB2312" w:cs="仿宋"/>
                <w:b w:val="0"/>
                <w:bCs w:val="0"/>
                <w:color w:val="auto"/>
                <w:sz w:val="24"/>
                <w:szCs w:val="24"/>
                <w:highlight w:val="none"/>
                <w:vertAlign w:val="baseline"/>
                <w:lang w:val="en-US" w:eastAsia="zh-CN"/>
              </w:rPr>
              <w:t>40</w:t>
            </w:r>
          </w:p>
        </w:tc>
      </w:tr>
      <w:tr w14:paraId="08692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2" w:type="dxa"/>
            <w:noWrap w:val="0"/>
            <w:vAlign w:val="center"/>
          </w:tcPr>
          <w:p w14:paraId="38BE544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b w:val="0"/>
                <w:bCs w:val="0"/>
                <w:color w:val="auto"/>
                <w:sz w:val="24"/>
                <w:szCs w:val="24"/>
                <w:highlight w:val="none"/>
                <w:vertAlign w:val="baseline"/>
                <w:lang w:val="en-US" w:eastAsia="zh-CN"/>
              </w:rPr>
            </w:pPr>
            <w:r>
              <w:rPr>
                <w:rFonts w:hint="eastAsia" w:ascii="Times New Roman" w:hAnsi="Times New Roman" w:eastAsia="仿宋_GB2312" w:cs="仿宋"/>
                <w:b w:val="0"/>
                <w:bCs w:val="0"/>
                <w:color w:val="auto"/>
                <w:sz w:val="24"/>
                <w:szCs w:val="24"/>
                <w:highlight w:val="none"/>
                <w:vertAlign w:val="baseline"/>
                <w:lang w:val="en-US" w:eastAsia="zh-CN"/>
              </w:rPr>
              <w:t>3</w:t>
            </w:r>
          </w:p>
        </w:tc>
        <w:tc>
          <w:tcPr>
            <w:tcW w:w="3454" w:type="dxa"/>
            <w:noWrap w:val="0"/>
            <w:vAlign w:val="center"/>
          </w:tcPr>
          <w:p w14:paraId="606EB6E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b w:val="0"/>
                <w:bCs w:val="0"/>
                <w:color w:val="auto"/>
                <w:sz w:val="24"/>
                <w:szCs w:val="24"/>
                <w:highlight w:val="none"/>
                <w:vertAlign w:val="baseline"/>
                <w:lang w:eastAsia="zh-CN"/>
              </w:rPr>
            </w:pPr>
            <w:r>
              <w:rPr>
                <w:rFonts w:hint="eastAsia" w:ascii="Times New Roman" w:hAnsi="Times New Roman" w:eastAsia="仿宋_GB2312" w:cs="仿宋"/>
                <w:b w:val="0"/>
                <w:bCs w:val="0"/>
                <w:color w:val="auto"/>
                <w:sz w:val="24"/>
                <w:szCs w:val="24"/>
                <w:highlight w:val="none"/>
                <w:vertAlign w:val="baseline"/>
                <w:lang w:eastAsia="zh-CN"/>
              </w:rPr>
              <w:t>广西工程职业学院</w:t>
            </w:r>
            <w:r>
              <w:rPr>
                <w:rFonts w:hint="eastAsia" w:ascii="Times New Roman" w:hAnsi="Times New Roman" w:eastAsia="仿宋_GB2312" w:cs="仿宋"/>
                <w:b w:val="0"/>
                <w:bCs w:val="0"/>
                <w:color w:val="auto"/>
                <w:sz w:val="24"/>
                <w:szCs w:val="24"/>
                <w:highlight w:val="none"/>
                <w:vertAlign w:val="baseline"/>
                <w:lang w:eastAsia="zh"/>
              </w:rPr>
              <w:t>道路与桥梁工程技术</w:t>
            </w:r>
            <w:r>
              <w:rPr>
                <w:rFonts w:hint="eastAsia" w:ascii="Times New Roman" w:hAnsi="Times New Roman" w:eastAsia="仿宋_GB2312" w:cs="仿宋"/>
                <w:b w:val="0"/>
                <w:bCs w:val="0"/>
                <w:color w:val="auto"/>
                <w:sz w:val="24"/>
                <w:szCs w:val="24"/>
                <w:highlight w:val="none"/>
                <w:lang w:val="en-US" w:eastAsia="zh-CN"/>
              </w:rPr>
              <w:t>专业校外实习基地</w:t>
            </w:r>
          </w:p>
        </w:tc>
        <w:tc>
          <w:tcPr>
            <w:tcW w:w="1950" w:type="dxa"/>
            <w:noWrap w:val="0"/>
            <w:vAlign w:val="center"/>
          </w:tcPr>
          <w:p w14:paraId="4FD445E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b w:val="0"/>
                <w:bCs w:val="0"/>
                <w:color w:val="auto"/>
                <w:sz w:val="24"/>
                <w:szCs w:val="24"/>
                <w:highlight w:val="none"/>
                <w:vertAlign w:val="baseline"/>
                <w:lang w:eastAsia="zh"/>
              </w:rPr>
            </w:pPr>
            <w:r>
              <w:rPr>
                <w:rFonts w:hint="eastAsia" w:ascii="Times New Roman" w:hAnsi="Times New Roman" w:eastAsia="仿宋_GB2312" w:cs="仿宋"/>
                <w:b w:val="0"/>
                <w:bCs w:val="0"/>
                <w:color w:val="auto"/>
                <w:sz w:val="24"/>
                <w:szCs w:val="24"/>
                <w:highlight w:val="none"/>
                <w:vertAlign w:val="baseline"/>
                <w:lang w:eastAsia="zh"/>
              </w:rPr>
              <w:t>广西华铝建设工程有限公司</w:t>
            </w:r>
          </w:p>
        </w:tc>
        <w:tc>
          <w:tcPr>
            <w:tcW w:w="817" w:type="dxa"/>
            <w:noWrap w:val="0"/>
            <w:vAlign w:val="center"/>
          </w:tcPr>
          <w:p w14:paraId="2882A12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b w:val="0"/>
                <w:bCs w:val="0"/>
                <w:color w:val="auto"/>
                <w:sz w:val="24"/>
                <w:szCs w:val="24"/>
                <w:highlight w:val="none"/>
                <w:vertAlign w:val="baseline"/>
                <w:lang w:eastAsia="zh-CN"/>
              </w:rPr>
            </w:pPr>
            <w:r>
              <w:rPr>
                <w:rFonts w:hint="eastAsia" w:ascii="Times New Roman" w:hAnsi="Times New Roman" w:eastAsia="仿宋_GB2312" w:cs="仿宋"/>
                <w:b w:val="0"/>
                <w:bCs w:val="0"/>
                <w:color w:val="auto"/>
                <w:sz w:val="24"/>
                <w:szCs w:val="24"/>
                <w:highlight w:val="none"/>
                <w:vertAlign w:val="baseline"/>
                <w:lang w:eastAsia="zh-CN"/>
              </w:rPr>
              <w:t>岗位实习</w:t>
            </w:r>
          </w:p>
        </w:tc>
        <w:tc>
          <w:tcPr>
            <w:tcW w:w="1293" w:type="dxa"/>
            <w:noWrap w:val="0"/>
            <w:vAlign w:val="center"/>
          </w:tcPr>
          <w:p w14:paraId="7A0CF6A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b w:val="0"/>
                <w:bCs w:val="0"/>
                <w:color w:val="auto"/>
                <w:sz w:val="24"/>
                <w:szCs w:val="24"/>
                <w:highlight w:val="none"/>
                <w:vertAlign w:val="baseline"/>
                <w:lang w:eastAsia="zh-CN"/>
              </w:rPr>
            </w:pPr>
            <w:r>
              <w:rPr>
                <w:rFonts w:hint="eastAsia" w:ascii="Times New Roman" w:hAnsi="Times New Roman" w:eastAsia="仿宋_GB2312" w:cs="仿宋"/>
                <w:b w:val="0"/>
                <w:bCs w:val="0"/>
                <w:color w:val="auto"/>
                <w:sz w:val="24"/>
                <w:szCs w:val="24"/>
                <w:highlight w:val="none"/>
                <w:vertAlign w:val="baseline"/>
                <w:lang w:eastAsia="zh-CN"/>
              </w:rPr>
              <w:t>深度合作</w:t>
            </w:r>
          </w:p>
        </w:tc>
        <w:tc>
          <w:tcPr>
            <w:tcW w:w="1383" w:type="dxa"/>
            <w:noWrap w:val="0"/>
            <w:vAlign w:val="center"/>
          </w:tcPr>
          <w:p w14:paraId="322C9D6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b w:val="0"/>
                <w:bCs w:val="0"/>
                <w:color w:val="auto"/>
                <w:sz w:val="24"/>
                <w:szCs w:val="24"/>
                <w:highlight w:val="none"/>
                <w:vertAlign w:val="baseline"/>
                <w:lang w:val="en-US" w:eastAsia="zh-CN"/>
              </w:rPr>
            </w:pPr>
            <w:r>
              <w:rPr>
                <w:rFonts w:hint="eastAsia" w:ascii="Times New Roman" w:hAnsi="Times New Roman" w:eastAsia="仿宋_GB2312" w:cs="仿宋"/>
                <w:b w:val="0"/>
                <w:bCs w:val="0"/>
                <w:color w:val="auto"/>
                <w:sz w:val="24"/>
                <w:szCs w:val="24"/>
                <w:highlight w:val="none"/>
                <w:vertAlign w:val="baseline"/>
                <w:lang w:val="en-US" w:eastAsia="zh-CN"/>
              </w:rPr>
              <w:t>40</w:t>
            </w:r>
          </w:p>
        </w:tc>
      </w:tr>
    </w:tbl>
    <w:p w14:paraId="50F95727">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楷体" w:cs="楷体"/>
          <w:b w:val="0"/>
          <w:bCs w:val="0"/>
          <w:color w:val="auto"/>
          <w:sz w:val="32"/>
          <w:szCs w:val="32"/>
          <w:highlight w:val="none"/>
          <w:lang w:eastAsia="zh-CN"/>
        </w:rPr>
      </w:pPr>
      <w:r>
        <w:rPr>
          <w:rFonts w:hint="eastAsia" w:ascii="Times New Roman" w:hAnsi="Times New Roman" w:eastAsia="楷体" w:cs="楷体"/>
          <w:b w:val="0"/>
          <w:bCs w:val="0"/>
          <w:color w:val="auto"/>
          <w:sz w:val="32"/>
          <w:szCs w:val="32"/>
          <w:highlight w:val="none"/>
          <w:lang w:eastAsia="zh-CN"/>
        </w:rPr>
        <w:t>（</w:t>
      </w:r>
      <w:r>
        <w:rPr>
          <w:rFonts w:hint="eastAsia" w:ascii="Times New Roman" w:hAnsi="Times New Roman" w:eastAsia="楷体" w:cs="楷体"/>
          <w:b w:val="0"/>
          <w:bCs w:val="0"/>
          <w:color w:val="auto"/>
          <w:sz w:val="32"/>
          <w:szCs w:val="32"/>
          <w:highlight w:val="none"/>
          <w:lang w:val="en-US" w:eastAsia="zh-CN"/>
        </w:rPr>
        <w:t>三</w:t>
      </w:r>
      <w:r>
        <w:rPr>
          <w:rFonts w:hint="eastAsia" w:ascii="Times New Roman" w:hAnsi="Times New Roman" w:eastAsia="楷体" w:cs="楷体"/>
          <w:b w:val="0"/>
          <w:bCs w:val="0"/>
          <w:color w:val="auto"/>
          <w:sz w:val="32"/>
          <w:szCs w:val="32"/>
          <w:highlight w:val="none"/>
          <w:lang w:eastAsia="zh-CN"/>
        </w:rPr>
        <w:t>）教学资源</w:t>
      </w:r>
    </w:p>
    <w:p w14:paraId="40553FCE">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教学资源主要包括能满足学生专业学习、教师专业教学研究和教学实施所需的教材、图书文献及数字教学资源等。</w:t>
      </w:r>
    </w:p>
    <w:p w14:paraId="208F5577">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教材选用基本要求</w:t>
      </w:r>
    </w:p>
    <w:p w14:paraId="1511E35F">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rPr>
        <w:t>选用近五年内出版的高职高专国家级规划教材、</w:t>
      </w:r>
      <w:r>
        <w:rPr>
          <w:rFonts w:hint="eastAsia" w:ascii="Times New Roman" w:hAnsi="Times New Roman" w:eastAsia="仿宋_GB2312" w:cs="仿宋"/>
          <w:b w:val="0"/>
          <w:bCs w:val="0"/>
          <w:color w:val="auto"/>
          <w:sz w:val="32"/>
          <w:szCs w:val="32"/>
          <w:highlight w:val="none"/>
          <w:lang w:eastAsia="zh-CN"/>
        </w:rPr>
        <w:t>自治区级</w:t>
      </w:r>
      <w:r>
        <w:rPr>
          <w:rFonts w:hint="eastAsia" w:ascii="Times New Roman" w:hAnsi="Times New Roman" w:eastAsia="仿宋_GB2312" w:cs="仿宋"/>
          <w:b w:val="0"/>
          <w:bCs w:val="0"/>
          <w:color w:val="auto"/>
          <w:sz w:val="32"/>
          <w:szCs w:val="32"/>
          <w:highlight w:val="none"/>
        </w:rPr>
        <w:t>规划教材</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高职高专类出版教材</w:t>
      </w:r>
      <w:r>
        <w:rPr>
          <w:rFonts w:hint="eastAsia" w:ascii="Times New Roman" w:hAnsi="Times New Roman" w:eastAsia="仿宋_GB2312" w:cs="仿宋"/>
          <w:b w:val="0"/>
          <w:bCs w:val="0"/>
          <w:color w:val="auto"/>
          <w:sz w:val="32"/>
          <w:szCs w:val="32"/>
          <w:highlight w:val="none"/>
          <w:lang w:eastAsia="zh-CN"/>
        </w:rPr>
        <w:t>。</w:t>
      </w:r>
    </w:p>
    <w:p w14:paraId="7B32EC17">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2</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图书文献配备基本要求</w:t>
      </w:r>
    </w:p>
    <w:p w14:paraId="514798D9">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图书文献配备能满足人才培养、专业建设、教科研等工作的需要，方便师生查询、借阅。专业类文献主要包括：</w:t>
      </w:r>
      <w:r>
        <w:rPr>
          <w:rFonts w:hint="eastAsia" w:ascii="Times New Roman" w:hAnsi="Times New Roman" w:eastAsia="仿宋_GB2312" w:cs="仿宋"/>
          <w:b w:val="0"/>
          <w:bCs w:val="0"/>
          <w:color w:val="auto"/>
          <w:sz w:val="32"/>
          <w:szCs w:val="32"/>
          <w:highlight w:val="none"/>
          <w:lang w:val="en-US" w:eastAsia="zh"/>
        </w:rPr>
        <w:t>路桥建设</w:t>
      </w:r>
      <w:r>
        <w:rPr>
          <w:rFonts w:hint="eastAsia" w:ascii="Times New Roman" w:hAnsi="Times New Roman" w:eastAsia="仿宋_GB2312" w:cs="仿宋"/>
          <w:b w:val="0"/>
          <w:bCs w:val="0"/>
          <w:color w:val="auto"/>
          <w:sz w:val="32"/>
          <w:szCs w:val="32"/>
          <w:highlight w:val="none"/>
          <w:lang w:val="en-US" w:eastAsia="zh-CN"/>
        </w:rPr>
        <w:t>相关行业政策法规、行业标准、技术规范以及</w:t>
      </w:r>
      <w:r>
        <w:rPr>
          <w:rFonts w:hint="eastAsia" w:ascii="Times New Roman" w:hAnsi="Times New Roman" w:eastAsia="仿宋_GB2312" w:cs="仿宋"/>
          <w:b w:val="0"/>
          <w:bCs w:val="0"/>
          <w:color w:val="auto"/>
          <w:sz w:val="32"/>
          <w:szCs w:val="32"/>
          <w:highlight w:val="none"/>
          <w:lang w:val="en-US" w:eastAsia="zh"/>
        </w:rPr>
        <w:t>技术手册</w:t>
      </w:r>
      <w:r>
        <w:rPr>
          <w:rFonts w:hint="eastAsia" w:ascii="Times New Roman" w:hAnsi="Times New Roman" w:eastAsia="仿宋_GB2312" w:cs="仿宋"/>
          <w:b w:val="0"/>
          <w:bCs w:val="0"/>
          <w:color w:val="auto"/>
          <w:sz w:val="32"/>
          <w:szCs w:val="32"/>
          <w:highlight w:val="none"/>
          <w:lang w:val="en-US" w:eastAsia="zh-CN"/>
        </w:rPr>
        <w:t>等与服务相关专业类图书和实务案例类图书。专业图书资料（含电子图书）不低于500册，5种以上</w:t>
      </w:r>
      <w:r>
        <w:rPr>
          <w:rFonts w:hint="eastAsia" w:ascii="Times New Roman" w:hAnsi="Times New Roman" w:eastAsia="仿宋_GB2312" w:cs="仿宋"/>
          <w:b w:val="0"/>
          <w:bCs w:val="0"/>
          <w:color w:val="auto"/>
          <w:sz w:val="32"/>
          <w:szCs w:val="32"/>
          <w:highlight w:val="none"/>
          <w:lang w:val="en-US" w:eastAsia="zh"/>
        </w:rPr>
        <w:t>道路与桥梁工程技术</w:t>
      </w:r>
      <w:r>
        <w:rPr>
          <w:rFonts w:hint="eastAsia" w:ascii="Times New Roman" w:hAnsi="Times New Roman" w:eastAsia="仿宋_GB2312" w:cs="仿宋"/>
          <w:b w:val="0"/>
          <w:bCs w:val="0"/>
          <w:color w:val="auto"/>
          <w:sz w:val="32"/>
          <w:szCs w:val="32"/>
          <w:highlight w:val="none"/>
          <w:lang w:val="en-US" w:eastAsia="zh-CN"/>
        </w:rPr>
        <w:t>类专业学术期刊，并能保持每年更新。</w:t>
      </w:r>
    </w:p>
    <w:p w14:paraId="530A5800">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3</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数字教学资源配置基本要求</w:t>
      </w:r>
    </w:p>
    <w:p w14:paraId="62DEFD1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建设、配备与专业相关的音视频素材、教学课件、数字化教学案例库、虚拟仿真软件、数字教材等专业教学资源库，应种类丰富、形式多样、使用便捷、动态更新，能满足教学要求。</w:t>
      </w:r>
    </w:p>
    <w:p w14:paraId="50B9CAA1">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楷体" w:cs="楷体"/>
          <w:b w:val="0"/>
          <w:bCs w:val="0"/>
          <w:color w:val="auto"/>
          <w:sz w:val="32"/>
          <w:szCs w:val="32"/>
          <w:highlight w:val="none"/>
          <w:lang w:eastAsia="zh-CN"/>
        </w:rPr>
      </w:pPr>
      <w:r>
        <w:rPr>
          <w:rFonts w:hint="eastAsia" w:ascii="Times New Roman" w:hAnsi="Times New Roman" w:eastAsia="楷体" w:cs="楷体"/>
          <w:b w:val="0"/>
          <w:bCs w:val="0"/>
          <w:color w:val="auto"/>
          <w:sz w:val="32"/>
          <w:szCs w:val="32"/>
          <w:highlight w:val="none"/>
          <w:lang w:eastAsia="zh-CN"/>
        </w:rPr>
        <w:t>（</w:t>
      </w:r>
      <w:r>
        <w:rPr>
          <w:rFonts w:hint="eastAsia" w:ascii="Times New Roman" w:hAnsi="Times New Roman" w:eastAsia="楷体" w:cs="楷体"/>
          <w:b w:val="0"/>
          <w:bCs w:val="0"/>
          <w:color w:val="auto"/>
          <w:sz w:val="32"/>
          <w:szCs w:val="32"/>
          <w:highlight w:val="none"/>
          <w:lang w:val="en-US" w:eastAsia="zh-CN"/>
        </w:rPr>
        <w:t>四</w:t>
      </w:r>
      <w:r>
        <w:rPr>
          <w:rFonts w:hint="eastAsia" w:ascii="Times New Roman" w:hAnsi="Times New Roman" w:eastAsia="楷体" w:cs="楷体"/>
          <w:b w:val="0"/>
          <w:bCs w:val="0"/>
          <w:color w:val="auto"/>
          <w:sz w:val="32"/>
          <w:szCs w:val="32"/>
          <w:highlight w:val="none"/>
          <w:lang w:eastAsia="zh-CN"/>
        </w:rPr>
        <w:t>）教学方法</w:t>
      </w:r>
    </w:p>
    <w:p w14:paraId="78C79258">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default" w:ascii="Times New Roman" w:hAnsi="Times New Roman" w:eastAsia="仿宋" w:cs="仿宋"/>
          <w:b w:val="0"/>
          <w:bCs w:val="0"/>
          <w:color w:val="auto"/>
          <w:sz w:val="32"/>
          <w:szCs w:val="32"/>
          <w:highlight w:val="none"/>
          <w:lang w:val="en-US" w:eastAsia="zh-CN"/>
        </w:rPr>
      </w:pPr>
      <w:r>
        <w:rPr>
          <w:rFonts w:hint="default" w:ascii="Times New Roman" w:hAnsi="Times New Roman" w:eastAsia="仿宋_GB2312" w:cs="仿宋"/>
          <w:b w:val="0"/>
          <w:bCs w:val="0"/>
          <w:color w:val="auto"/>
          <w:sz w:val="32"/>
          <w:szCs w:val="32"/>
          <w:highlight w:val="none"/>
          <w:lang w:val="en-US" w:eastAsia="zh-CN"/>
        </w:rPr>
        <w:t>根据不同课程的性质</w:t>
      </w:r>
      <w:r>
        <w:rPr>
          <w:rFonts w:hint="eastAsia" w:ascii="Times New Roman" w:hAnsi="Times New Roman" w:eastAsia="仿宋_GB2312" w:cs="仿宋"/>
          <w:b w:val="0"/>
          <w:bCs w:val="0"/>
          <w:color w:val="auto"/>
          <w:sz w:val="32"/>
          <w:szCs w:val="32"/>
          <w:highlight w:val="none"/>
          <w:lang w:val="en-US" w:eastAsia="zh-CN"/>
        </w:rPr>
        <w:t>特点</w:t>
      </w:r>
      <w:r>
        <w:rPr>
          <w:rFonts w:hint="default" w:ascii="Times New Roman" w:hAnsi="Times New Roman" w:eastAsia="仿宋_GB2312" w:cs="仿宋"/>
          <w:b w:val="0"/>
          <w:bCs w:val="0"/>
          <w:color w:val="auto"/>
          <w:sz w:val="32"/>
          <w:szCs w:val="32"/>
          <w:highlight w:val="none"/>
          <w:lang w:val="en-US" w:eastAsia="zh-CN"/>
        </w:rPr>
        <w:t>，在保留传统讲授法、演示法、讨论法、问答法、案例分析法等的基础上</w:t>
      </w: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应充分利用信息化教学资源，尽量将项目驱动法、探究式教学、翻转课堂等新型教学模式及方法引入课堂，遵循</w:t>
      </w: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学生为主体，教师为主导</w:t>
      </w: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的原则，积极探索多种教学方法。</w:t>
      </w:r>
    </w:p>
    <w:p w14:paraId="4182D8B6">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楷体" w:cs="楷体"/>
          <w:b w:val="0"/>
          <w:bCs w:val="0"/>
          <w:color w:val="auto"/>
          <w:sz w:val="32"/>
          <w:szCs w:val="32"/>
          <w:highlight w:val="none"/>
          <w:lang w:eastAsia="zh-CN"/>
        </w:rPr>
      </w:pPr>
      <w:r>
        <w:rPr>
          <w:rFonts w:hint="eastAsia" w:ascii="Times New Roman" w:hAnsi="Times New Roman" w:eastAsia="楷体" w:cs="楷体"/>
          <w:b w:val="0"/>
          <w:bCs w:val="0"/>
          <w:color w:val="auto"/>
          <w:sz w:val="32"/>
          <w:szCs w:val="32"/>
          <w:highlight w:val="none"/>
          <w:lang w:eastAsia="zh-CN"/>
        </w:rPr>
        <w:t>（五）学习评价</w:t>
      </w:r>
    </w:p>
    <w:p w14:paraId="4EA5FEC7">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1.课程考核方法</w:t>
      </w:r>
    </w:p>
    <w:p w14:paraId="3E79966A">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根据不同课程特点和要求，采取多元、多维和多样化的考核评价方式，</w:t>
      </w:r>
      <w:r>
        <w:rPr>
          <w:rFonts w:hint="eastAsia" w:ascii="Times New Roman" w:hAnsi="Times New Roman" w:eastAsia="仿宋_GB2312" w:cs="仿宋_GB2312"/>
          <w:b w:val="0"/>
          <w:bCs w:val="0"/>
          <w:color w:val="auto"/>
          <w:sz w:val="32"/>
          <w:szCs w:val="32"/>
          <w:highlight w:val="none"/>
        </w:rPr>
        <w:t>笔试、技能测试、机考、口试、面试</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书面作业、</w:t>
      </w:r>
      <w:r>
        <w:rPr>
          <w:rFonts w:hint="eastAsia" w:ascii="Times New Roman" w:hAnsi="Times New Roman" w:eastAsia="仿宋_GB2312" w:cs="仿宋"/>
          <w:b w:val="0"/>
          <w:bCs w:val="0"/>
          <w:color w:val="auto"/>
          <w:sz w:val="32"/>
          <w:szCs w:val="32"/>
          <w:highlight w:val="none"/>
          <w:lang w:eastAsia="zh-CN"/>
        </w:rPr>
        <w:t>论文、作品考核、</w:t>
      </w:r>
      <w:r>
        <w:rPr>
          <w:rFonts w:hint="eastAsia" w:ascii="Times New Roman" w:hAnsi="Times New Roman" w:eastAsia="仿宋_GB2312" w:cs="仿宋"/>
          <w:b w:val="0"/>
          <w:bCs w:val="0"/>
          <w:color w:val="auto"/>
          <w:sz w:val="32"/>
          <w:szCs w:val="32"/>
          <w:highlight w:val="none"/>
        </w:rPr>
        <w:t>课程实践作业、社会实践、实习报告、问卷调查、访谈、个人自评或小组互评等多种方式相结合，将学习过程考查和学生知识、能力和素养评价结合起来，理论与实践一体化评价。</w:t>
      </w:r>
    </w:p>
    <w:p w14:paraId="7FC1E92E">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rPr>
        <w:t>课程成绩评定根据学生参与度、作业质量、实训效果与期末考核等项目确定不同比例</w:t>
      </w:r>
      <w:r>
        <w:rPr>
          <w:rFonts w:hint="eastAsia" w:ascii="Times New Roman" w:hAnsi="Times New Roman" w:eastAsia="仿宋_GB2312" w:cs="仿宋"/>
          <w:b w:val="0"/>
          <w:bCs w:val="0"/>
          <w:color w:val="auto"/>
          <w:sz w:val="32"/>
          <w:szCs w:val="32"/>
          <w:highlight w:val="none"/>
          <w:lang w:eastAsia="zh-CN"/>
        </w:rPr>
        <w:t>进行综合评定，评定标准如下：</w:t>
      </w:r>
    </w:p>
    <w:p w14:paraId="4EB372E6">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（一）A类课程成绩构成（纯理论）</w:t>
      </w:r>
    </w:p>
    <w:p w14:paraId="7A25D241">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rPr>
        <w:t>课程总成绩</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期末卷面考试成绩</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lang w:val="en-US" w:eastAsia="zh-CN"/>
        </w:rPr>
        <w:t>50%）+</w:t>
      </w:r>
      <w:r>
        <w:rPr>
          <w:rFonts w:hint="eastAsia" w:ascii="Times New Roman" w:hAnsi="Times New Roman" w:eastAsia="仿宋_GB2312" w:cs="仿宋"/>
          <w:b w:val="0"/>
          <w:bCs w:val="0"/>
          <w:color w:val="auto"/>
          <w:sz w:val="32"/>
          <w:szCs w:val="32"/>
          <w:highlight w:val="none"/>
        </w:rPr>
        <w:t>平时</w:t>
      </w:r>
      <w:r>
        <w:rPr>
          <w:rFonts w:hint="eastAsia" w:ascii="Times New Roman" w:hAnsi="Times New Roman" w:eastAsia="仿宋_GB2312" w:cs="仿宋"/>
          <w:b w:val="0"/>
          <w:bCs w:val="0"/>
          <w:color w:val="auto"/>
          <w:sz w:val="32"/>
          <w:szCs w:val="32"/>
          <w:highlight w:val="none"/>
          <w:lang w:eastAsia="zh-CN"/>
        </w:rPr>
        <w:t>过程性考核</w:t>
      </w:r>
      <w:r>
        <w:rPr>
          <w:rFonts w:hint="eastAsia" w:ascii="Times New Roman" w:hAnsi="Times New Roman" w:eastAsia="仿宋_GB2312" w:cs="仿宋"/>
          <w:b w:val="0"/>
          <w:bCs w:val="0"/>
          <w:color w:val="auto"/>
          <w:sz w:val="32"/>
          <w:szCs w:val="32"/>
          <w:highlight w:val="none"/>
        </w:rPr>
        <w:t>成绩（50%)</w:t>
      </w:r>
    </w:p>
    <w:p w14:paraId="3A44E904">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w:t>
      </w:r>
      <w:r>
        <w:rPr>
          <w:rFonts w:hint="eastAsia" w:ascii="Times New Roman" w:hAnsi="Times New Roman" w:eastAsia="仿宋_GB2312" w:cs="仿宋"/>
          <w:b w:val="0"/>
          <w:bCs w:val="0"/>
          <w:color w:val="auto"/>
          <w:sz w:val="32"/>
          <w:szCs w:val="32"/>
          <w:highlight w:val="none"/>
          <w:lang w:val="en-US" w:eastAsia="zh-CN"/>
        </w:rPr>
        <w:t>二</w:t>
      </w:r>
      <w:r>
        <w:rPr>
          <w:rFonts w:hint="eastAsia" w:ascii="Times New Roman" w:hAnsi="Times New Roman" w:eastAsia="仿宋_GB2312" w:cs="仿宋"/>
          <w:b w:val="0"/>
          <w:bCs w:val="0"/>
          <w:color w:val="auto"/>
          <w:sz w:val="32"/>
          <w:szCs w:val="32"/>
          <w:highlight w:val="none"/>
        </w:rPr>
        <w:t>）B类课程成绩构成（理论+实践）</w:t>
      </w:r>
    </w:p>
    <w:p w14:paraId="7196254B">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课程总成绩=理论部分期末卷面考试成绩（40%)+技能成绩（30%）+平时</w:t>
      </w:r>
      <w:r>
        <w:rPr>
          <w:rFonts w:hint="eastAsia" w:ascii="Times New Roman" w:hAnsi="Times New Roman" w:eastAsia="仿宋_GB2312" w:cs="仿宋"/>
          <w:b w:val="0"/>
          <w:bCs w:val="0"/>
          <w:color w:val="auto"/>
          <w:sz w:val="32"/>
          <w:szCs w:val="32"/>
          <w:highlight w:val="none"/>
          <w:lang w:eastAsia="zh-CN"/>
        </w:rPr>
        <w:t>过程性考核</w:t>
      </w:r>
      <w:r>
        <w:rPr>
          <w:rFonts w:hint="eastAsia" w:ascii="Times New Roman" w:hAnsi="Times New Roman" w:eastAsia="仿宋_GB2312" w:cs="仿宋"/>
          <w:b w:val="0"/>
          <w:bCs w:val="0"/>
          <w:color w:val="auto"/>
          <w:sz w:val="32"/>
          <w:szCs w:val="32"/>
          <w:highlight w:val="none"/>
        </w:rPr>
        <w:t>成绩（30%)。</w:t>
      </w:r>
    </w:p>
    <w:p w14:paraId="3BAA298F">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w:t>
      </w:r>
      <w:r>
        <w:rPr>
          <w:rFonts w:hint="eastAsia" w:ascii="Times New Roman" w:hAnsi="Times New Roman" w:eastAsia="仿宋_GB2312" w:cs="仿宋"/>
          <w:b w:val="0"/>
          <w:bCs w:val="0"/>
          <w:color w:val="auto"/>
          <w:sz w:val="32"/>
          <w:szCs w:val="32"/>
          <w:highlight w:val="none"/>
          <w:lang w:val="en-US" w:eastAsia="zh-CN"/>
        </w:rPr>
        <w:t>三</w:t>
      </w:r>
      <w:r>
        <w:rPr>
          <w:rFonts w:hint="eastAsia" w:ascii="Times New Roman" w:hAnsi="Times New Roman" w:eastAsia="仿宋_GB2312" w:cs="仿宋"/>
          <w:b w:val="0"/>
          <w:bCs w:val="0"/>
          <w:color w:val="auto"/>
          <w:sz w:val="32"/>
          <w:szCs w:val="32"/>
          <w:highlight w:val="none"/>
        </w:rPr>
        <w:t>）C类课程成绩构成(纯实践）</w:t>
      </w:r>
    </w:p>
    <w:p w14:paraId="2B8E24F5">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课程总成绩=技能成绩（50%）+平时</w:t>
      </w:r>
      <w:r>
        <w:rPr>
          <w:rFonts w:hint="eastAsia" w:ascii="Times New Roman" w:hAnsi="Times New Roman" w:eastAsia="仿宋_GB2312" w:cs="仿宋"/>
          <w:b w:val="0"/>
          <w:bCs w:val="0"/>
          <w:color w:val="auto"/>
          <w:sz w:val="32"/>
          <w:szCs w:val="32"/>
          <w:highlight w:val="none"/>
          <w:lang w:eastAsia="zh-CN"/>
        </w:rPr>
        <w:t>过程性考核</w:t>
      </w:r>
      <w:r>
        <w:rPr>
          <w:rFonts w:hint="eastAsia" w:ascii="Times New Roman" w:hAnsi="Times New Roman" w:eastAsia="仿宋_GB2312" w:cs="仿宋"/>
          <w:b w:val="0"/>
          <w:bCs w:val="0"/>
          <w:color w:val="auto"/>
          <w:sz w:val="32"/>
          <w:szCs w:val="32"/>
          <w:highlight w:val="none"/>
        </w:rPr>
        <w:t>成绩（50%)</w:t>
      </w:r>
    </w:p>
    <w:p w14:paraId="6233C18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2.教学评价方式</w:t>
      </w:r>
    </w:p>
    <w:p w14:paraId="72AA3BAA">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w:t>
      </w:r>
      <w:r>
        <w:rPr>
          <w:rFonts w:hint="eastAsia" w:ascii="Times New Roman" w:hAnsi="Times New Roman" w:eastAsia="仿宋_GB2312" w:cs="仿宋"/>
          <w:b w:val="0"/>
          <w:bCs w:val="0"/>
          <w:color w:val="auto"/>
          <w:sz w:val="32"/>
          <w:szCs w:val="32"/>
          <w:highlight w:val="none"/>
          <w:lang w:eastAsia="zh-CN"/>
        </w:rPr>
        <w:t>以</w:t>
      </w:r>
      <w:r>
        <w:rPr>
          <w:rFonts w:hint="eastAsia" w:ascii="Times New Roman" w:hAnsi="Times New Roman" w:eastAsia="仿宋_GB2312" w:cs="仿宋"/>
          <w:b w:val="0"/>
          <w:bCs w:val="0"/>
          <w:color w:val="auto"/>
          <w:sz w:val="32"/>
          <w:szCs w:val="32"/>
          <w:highlight w:val="none"/>
        </w:rPr>
        <w:t>学科成绩为核心，改变到以岗位能力为核心的轨道上来。本着为行业企业服务的原则，努力缩小或消除学校评价与企业评价之间的差异。</w:t>
      </w:r>
    </w:p>
    <w:p w14:paraId="054B76C8">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楷体" w:cs="楷体"/>
          <w:b w:val="0"/>
          <w:bCs w:val="0"/>
          <w:color w:val="auto"/>
          <w:sz w:val="32"/>
          <w:szCs w:val="32"/>
          <w:highlight w:val="none"/>
          <w:lang w:eastAsia="zh-CN"/>
        </w:rPr>
      </w:pPr>
      <w:r>
        <w:rPr>
          <w:rFonts w:hint="eastAsia" w:ascii="Times New Roman" w:hAnsi="Times New Roman" w:eastAsia="楷体" w:cs="楷体"/>
          <w:b w:val="0"/>
          <w:bCs w:val="0"/>
          <w:color w:val="auto"/>
          <w:sz w:val="32"/>
          <w:szCs w:val="32"/>
          <w:highlight w:val="none"/>
          <w:lang w:eastAsia="zh-CN"/>
        </w:rPr>
        <w:t>（</w:t>
      </w:r>
      <w:r>
        <w:rPr>
          <w:rFonts w:hint="eastAsia" w:ascii="Times New Roman" w:hAnsi="Times New Roman" w:eastAsia="楷体" w:cs="楷体"/>
          <w:b w:val="0"/>
          <w:bCs w:val="0"/>
          <w:color w:val="auto"/>
          <w:sz w:val="32"/>
          <w:szCs w:val="32"/>
          <w:highlight w:val="none"/>
          <w:lang w:val="en-US" w:eastAsia="zh-CN"/>
        </w:rPr>
        <w:t>六</w:t>
      </w:r>
      <w:r>
        <w:rPr>
          <w:rFonts w:hint="eastAsia" w:ascii="Times New Roman" w:hAnsi="Times New Roman" w:eastAsia="楷体" w:cs="楷体"/>
          <w:b w:val="0"/>
          <w:bCs w:val="0"/>
          <w:color w:val="auto"/>
          <w:sz w:val="32"/>
          <w:szCs w:val="32"/>
          <w:highlight w:val="none"/>
          <w:lang w:eastAsia="zh-CN"/>
        </w:rPr>
        <w:t>）质量管理</w:t>
      </w:r>
    </w:p>
    <w:p w14:paraId="598E2DB3">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28F793F7">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2</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完善教学管理机制，加强日常教学组织运行与管理</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定期开展课程建设水平和教学质量诊断与改进，建立健全巡课、听课、评教、评学等制度，建立与企业联动的实践教学环节督导制度，严明教学纪律，强化教学组织功能，定期开展公开课、示范课等教研活动。</w:t>
      </w:r>
    </w:p>
    <w:p w14:paraId="45FAECDF">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3</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建立毕业生跟踪反馈机制及社会评价机制，并对生源情况、在校生学业水平、毕业生就业情况等进行分析，定期评价人才培养质量和培养目标达成情况。</w:t>
      </w:r>
    </w:p>
    <w:p w14:paraId="18DDE81D">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4.</w:t>
      </w:r>
      <w:r>
        <w:rPr>
          <w:rFonts w:hint="eastAsia" w:ascii="Times New Roman" w:hAnsi="Times New Roman" w:eastAsia="仿宋_GB2312" w:cs="仿宋"/>
          <w:b w:val="0"/>
          <w:bCs w:val="0"/>
          <w:color w:val="auto"/>
          <w:sz w:val="32"/>
          <w:szCs w:val="32"/>
          <w:highlight w:val="none"/>
        </w:rPr>
        <w:t>充分利用评价分析结果有效改进专业教学，持续提高 人才培养质量。</w:t>
      </w:r>
    </w:p>
    <w:p w14:paraId="45450C9E">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rPr>
        <w:t>九、毕业要求</w:t>
      </w:r>
    </w:p>
    <w:p w14:paraId="64DE78BD">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学生必须具备以下条件，方可毕业：</w:t>
      </w:r>
    </w:p>
    <w:p w14:paraId="32B03F63">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（一）满足修业年限的要求：</w:t>
      </w:r>
      <w:r>
        <w:rPr>
          <w:rFonts w:hint="eastAsia" w:ascii="Times New Roman" w:hAnsi="Times New Roman" w:eastAsia="仿宋_GB2312" w:cs="仿宋"/>
          <w:color w:val="auto"/>
          <w:sz w:val="32"/>
          <w:szCs w:val="32"/>
          <w:highlight w:val="none"/>
        </w:rPr>
        <w:t>标准修业年限为3年，弹性学分有效修业年限为</w:t>
      </w:r>
      <w:r>
        <w:rPr>
          <w:rFonts w:hint="eastAsia" w:ascii="Times New Roman" w:hAnsi="Times New Roman" w:eastAsia="仿宋_GB2312" w:cs="仿宋"/>
          <w:b w:val="0"/>
          <w:bCs w:val="0"/>
          <w:color w:val="auto"/>
          <w:sz w:val="32"/>
          <w:szCs w:val="32"/>
          <w:highlight w:val="none"/>
          <w:lang w:val="en-US" w:eastAsia="zh-CN"/>
        </w:rPr>
        <w:t>2</w:t>
      </w:r>
      <w:r>
        <w:rPr>
          <w:rFonts w:hint="eastAsia" w:ascii="Times New Roman" w:hAnsi="Times New Roman" w:eastAsia="仿宋_GB2312" w:cs="仿宋"/>
          <w:b w:val="0"/>
          <w:bCs w:val="0"/>
          <w:color w:val="auto"/>
          <w:sz w:val="32"/>
          <w:szCs w:val="32"/>
          <w:highlight w:val="none"/>
        </w:rPr>
        <w:t>-5年。</w:t>
      </w:r>
    </w:p>
    <w:p w14:paraId="67FF708A">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rPr>
        <w:t>（二）满足学分要求：</w:t>
      </w:r>
      <w:r>
        <w:rPr>
          <w:rFonts w:hint="eastAsia" w:ascii="Times New Roman" w:hAnsi="Times New Roman" w:eastAsia="仿宋_GB2312" w:cs="仿宋"/>
          <w:b w:val="0"/>
          <w:bCs w:val="0"/>
          <w:color w:val="auto"/>
          <w:sz w:val="32"/>
          <w:szCs w:val="32"/>
          <w:highlight w:val="none"/>
          <w:lang w:eastAsia="zh-CN"/>
        </w:rPr>
        <w:t>至少取得</w:t>
      </w:r>
      <w:r>
        <w:rPr>
          <w:rFonts w:hint="eastAsia" w:ascii="Times New Roman" w:hAnsi="Times New Roman" w:eastAsia="仿宋_GB2312" w:cs="仿宋"/>
          <w:b w:val="0"/>
          <w:bCs w:val="0"/>
          <w:color w:val="auto"/>
          <w:sz w:val="32"/>
          <w:szCs w:val="32"/>
          <w:highlight w:val="none"/>
          <w:lang w:eastAsia="zh"/>
        </w:rPr>
        <w:t>163</w:t>
      </w:r>
      <w:r>
        <w:rPr>
          <w:rFonts w:hint="eastAsia" w:ascii="Times New Roman" w:hAnsi="Times New Roman" w:eastAsia="仿宋_GB2312" w:cs="仿宋"/>
          <w:b w:val="0"/>
          <w:bCs w:val="0"/>
          <w:color w:val="auto"/>
          <w:sz w:val="32"/>
          <w:szCs w:val="32"/>
          <w:highlight w:val="none"/>
        </w:rPr>
        <w:t>学分，其中，必修课学分</w:t>
      </w:r>
      <w:r>
        <w:rPr>
          <w:rFonts w:hint="eastAsia" w:ascii="Times New Roman" w:hAnsi="Times New Roman" w:eastAsia="仿宋_GB2312" w:cs="仿宋"/>
          <w:b w:val="0"/>
          <w:bCs w:val="0"/>
          <w:color w:val="auto"/>
          <w:sz w:val="32"/>
          <w:szCs w:val="32"/>
          <w:highlight w:val="none"/>
          <w:lang w:eastAsia="zh"/>
        </w:rPr>
        <w:t>1</w:t>
      </w:r>
      <w:r>
        <w:rPr>
          <w:rFonts w:hint="eastAsia" w:ascii="Times New Roman" w:hAnsi="Times New Roman" w:eastAsia="仿宋_GB2312" w:cs="仿宋"/>
          <w:b w:val="0"/>
          <w:bCs w:val="0"/>
          <w:color w:val="auto"/>
          <w:sz w:val="32"/>
          <w:szCs w:val="32"/>
          <w:highlight w:val="none"/>
          <w:lang w:val="en-US" w:eastAsia="zh-CN"/>
        </w:rPr>
        <w:t>45</w:t>
      </w:r>
      <w:r>
        <w:rPr>
          <w:rFonts w:hint="eastAsia" w:ascii="Times New Roman" w:hAnsi="Times New Roman" w:eastAsia="仿宋_GB2312" w:cs="仿宋"/>
          <w:b w:val="0"/>
          <w:bCs w:val="0"/>
          <w:color w:val="auto"/>
          <w:sz w:val="32"/>
          <w:szCs w:val="32"/>
          <w:highlight w:val="none"/>
        </w:rPr>
        <w:t>学分，公共选修课不</w:t>
      </w:r>
      <w:r>
        <w:rPr>
          <w:rFonts w:hint="eastAsia" w:ascii="Times New Roman" w:hAnsi="Times New Roman" w:eastAsia="仿宋_GB2312" w:cs="仿宋"/>
          <w:b w:val="0"/>
          <w:bCs w:val="0"/>
          <w:color w:val="auto"/>
          <w:sz w:val="32"/>
          <w:szCs w:val="32"/>
          <w:highlight w:val="none"/>
          <w:lang w:eastAsia="zh-CN"/>
        </w:rPr>
        <w:t>低于</w:t>
      </w:r>
      <w:r>
        <w:rPr>
          <w:rFonts w:hint="eastAsia" w:ascii="Times New Roman" w:hAnsi="Times New Roman" w:eastAsia="仿宋_GB2312" w:cs="仿宋"/>
          <w:b w:val="0"/>
          <w:bCs w:val="0"/>
          <w:color w:val="auto"/>
          <w:sz w:val="32"/>
          <w:szCs w:val="32"/>
          <w:highlight w:val="none"/>
          <w:lang w:val="en-US" w:eastAsia="zh-CN"/>
        </w:rPr>
        <w:t>12</w:t>
      </w:r>
      <w:r>
        <w:rPr>
          <w:rFonts w:hint="eastAsia" w:ascii="Times New Roman" w:hAnsi="Times New Roman" w:eastAsia="仿宋_GB2312" w:cs="仿宋"/>
          <w:b w:val="0"/>
          <w:bCs w:val="0"/>
          <w:color w:val="auto"/>
          <w:sz w:val="32"/>
          <w:szCs w:val="32"/>
          <w:highlight w:val="none"/>
        </w:rPr>
        <w:t>学分</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专业选修课不少于</w:t>
      </w:r>
      <w:r>
        <w:rPr>
          <w:rFonts w:hint="eastAsia" w:ascii="Times New Roman" w:hAnsi="Times New Roman" w:eastAsia="仿宋_GB2312" w:cs="仿宋"/>
          <w:b w:val="0"/>
          <w:bCs w:val="0"/>
          <w:color w:val="auto"/>
          <w:sz w:val="32"/>
          <w:szCs w:val="32"/>
          <w:highlight w:val="none"/>
          <w:lang w:val="en-US" w:eastAsia="zh-CN"/>
        </w:rPr>
        <w:t>6</w:t>
      </w:r>
      <w:r>
        <w:rPr>
          <w:rFonts w:hint="eastAsia" w:ascii="Times New Roman" w:hAnsi="Times New Roman" w:eastAsia="仿宋_GB2312" w:cs="仿宋"/>
          <w:b w:val="0"/>
          <w:bCs w:val="0"/>
          <w:color w:val="auto"/>
          <w:sz w:val="32"/>
          <w:szCs w:val="32"/>
          <w:highlight w:val="none"/>
        </w:rPr>
        <w:t>学分</w:t>
      </w:r>
      <w:r>
        <w:rPr>
          <w:rFonts w:hint="eastAsia" w:ascii="Times New Roman" w:hAnsi="Times New Roman" w:eastAsia="仿宋_GB2312" w:cs="仿宋"/>
          <w:b w:val="0"/>
          <w:bCs w:val="0"/>
          <w:color w:val="auto"/>
          <w:sz w:val="32"/>
          <w:szCs w:val="32"/>
          <w:highlight w:val="none"/>
          <w:lang w:eastAsia="zh-CN"/>
        </w:rPr>
        <w:t>，达到专业培养目标和培养规格要求。</w:t>
      </w:r>
    </w:p>
    <w:p w14:paraId="7C53F002">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（三）符合学生学籍管理的其它规定。</w:t>
      </w:r>
    </w:p>
    <w:p w14:paraId="7AFD62A3">
      <w:pPr>
        <w:rPr>
          <w:rFonts w:ascii="Times New Roman" w:hAnsi="Times New Roman"/>
          <w:color w:val="auto"/>
          <w:highlight w:val="none"/>
        </w:rPr>
      </w:pPr>
    </w:p>
    <w:p w14:paraId="2E1F3233">
      <w:pPr>
        <w:rPr>
          <w:rFonts w:ascii="Times New Roman" w:hAnsi="Times New Roman"/>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yN2Q4YmVlNDUzMDNhYzk2MjE2MjRlNmM5MjhhMTMifQ=="/>
  </w:docVars>
  <w:rsids>
    <w:rsidRoot w:val="00000000"/>
    <w:rsid w:val="098A3865"/>
    <w:rsid w:val="0B6A42A5"/>
    <w:rsid w:val="0CAF2193"/>
    <w:rsid w:val="0CD13ED3"/>
    <w:rsid w:val="13AF5BA0"/>
    <w:rsid w:val="1575155C"/>
    <w:rsid w:val="15975F31"/>
    <w:rsid w:val="161C26E3"/>
    <w:rsid w:val="1AAC38DB"/>
    <w:rsid w:val="1ABB6B4B"/>
    <w:rsid w:val="1B4711FD"/>
    <w:rsid w:val="1BAF7FB0"/>
    <w:rsid w:val="1E234D52"/>
    <w:rsid w:val="1EAA0EA3"/>
    <w:rsid w:val="1EFF2FFD"/>
    <w:rsid w:val="22CF47DF"/>
    <w:rsid w:val="25351BD4"/>
    <w:rsid w:val="291B0D69"/>
    <w:rsid w:val="2AFC31F4"/>
    <w:rsid w:val="31A3387B"/>
    <w:rsid w:val="3437693D"/>
    <w:rsid w:val="3B7B3C6C"/>
    <w:rsid w:val="3BB867DB"/>
    <w:rsid w:val="3E2D5039"/>
    <w:rsid w:val="43103703"/>
    <w:rsid w:val="45C94420"/>
    <w:rsid w:val="466C06F0"/>
    <w:rsid w:val="469C37C0"/>
    <w:rsid w:val="47A82162"/>
    <w:rsid w:val="47DB5B06"/>
    <w:rsid w:val="48DE6961"/>
    <w:rsid w:val="499454B2"/>
    <w:rsid w:val="49A42D93"/>
    <w:rsid w:val="49DA65DC"/>
    <w:rsid w:val="4DAD1FEA"/>
    <w:rsid w:val="4EC435EA"/>
    <w:rsid w:val="4FB6151A"/>
    <w:rsid w:val="549B02C2"/>
    <w:rsid w:val="56993750"/>
    <w:rsid w:val="573E3DB0"/>
    <w:rsid w:val="595C45CC"/>
    <w:rsid w:val="5C4A6129"/>
    <w:rsid w:val="5DD856F1"/>
    <w:rsid w:val="62515670"/>
    <w:rsid w:val="65B401EC"/>
    <w:rsid w:val="666F7FCC"/>
    <w:rsid w:val="66C33EDD"/>
    <w:rsid w:val="67B90B06"/>
    <w:rsid w:val="6AD678CE"/>
    <w:rsid w:val="6DA132EB"/>
    <w:rsid w:val="6EC41904"/>
    <w:rsid w:val="70DB30B2"/>
    <w:rsid w:val="74847690"/>
    <w:rsid w:val="75342E01"/>
    <w:rsid w:val="76862C76"/>
    <w:rsid w:val="76BD61D4"/>
    <w:rsid w:val="77447D8B"/>
    <w:rsid w:val="777B344D"/>
    <w:rsid w:val="7C8665A9"/>
    <w:rsid w:val="7D6C7A38"/>
    <w:rsid w:val="7F3350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eastAsia="宋体"/>
      <w:color w:val="0D0D0D"/>
      <w:sz w:val="24"/>
      <w:szCs w:val="24"/>
    </w:rPr>
  </w:style>
  <w:style w:type="character" w:default="1" w:styleId="6">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font41"/>
    <w:basedOn w:val="6"/>
    <w:qFormat/>
    <w:uiPriority w:val="0"/>
    <w:rPr>
      <w:rFonts w:hint="eastAsia" w:ascii="仿宋_GB2312" w:eastAsia="仿宋_GB2312" w:cs="仿宋_GB2312"/>
      <w:color w:val="FF0000"/>
      <w:sz w:val="18"/>
      <w:szCs w:val="18"/>
      <w:u w:val="none"/>
    </w:rPr>
  </w:style>
  <w:style w:type="character" w:customStyle="1" w:styleId="8">
    <w:name w:val="font91"/>
    <w:basedOn w:val="6"/>
    <w:qFormat/>
    <w:uiPriority w:val="0"/>
    <w:rPr>
      <w:rFonts w:hint="default" w:ascii="Times New Roman" w:hAnsi="Times New Roman" w:cs="Times New Roman"/>
      <w:color w:val="000000"/>
      <w:sz w:val="18"/>
      <w:szCs w:val="18"/>
      <w:u w:val="none"/>
    </w:rPr>
  </w:style>
  <w:style w:type="character" w:customStyle="1" w:styleId="9">
    <w:name w:val="font141"/>
    <w:basedOn w:val="6"/>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14291</Words>
  <Characters>14363</Characters>
  <Lines>1</Lines>
  <Paragraphs>1</Paragraphs>
  <TotalTime>27</TotalTime>
  <ScaleCrop>false</ScaleCrop>
  <LinksUpToDate>false</LinksUpToDate>
  <CharactersWithSpaces>14381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玛卡巴卡</cp:lastModifiedBy>
  <cp:lastPrinted>2024-10-17T01:57:00Z</cp:lastPrinted>
  <dcterms:modified xsi:type="dcterms:W3CDTF">2025-03-07T09:32:24Z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C5FC3BEA6B9F49F8BB022BBB78D18945_13</vt:lpwstr>
  </property>
  <property fmtid="{D5CDD505-2E9C-101B-9397-08002B2CF9AE}" pid="4" name="KSOTemplateDocerSaveRecord">
    <vt:lpwstr>eyJoZGlkIjoiOTU4NzdhMmIxMGNjZDBkMTE4M2I2M2Y5OTU5MzMxYmQiLCJ1c2VySWQiOiI0MTE4NzUxODAifQ==</vt:lpwstr>
  </property>
</Properties>
</file>