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E0815">
      <w:pPr>
        <w:overflowPunct w:val="0"/>
        <w:adjustRightInd w:val="0"/>
        <w:snapToGrid w:val="0"/>
        <w:jc w:val="left"/>
        <w:rPr>
          <w:rFonts w:eastAsia="仿宋_GB2312" w:cs="仿宋_GB2312"/>
          <w:color w:val="auto"/>
          <w:sz w:val="32"/>
          <w:szCs w:val="32"/>
          <w:highlight w:val="none"/>
        </w:rPr>
      </w:pPr>
    </w:p>
    <w:p w14:paraId="1A8EFE9F">
      <w:pPr>
        <w:overflowPunct w:val="0"/>
        <w:adjustRightInd w:val="0"/>
        <w:snapToGrid w:val="0"/>
        <w:jc w:val="left"/>
        <w:rPr>
          <w:rFonts w:eastAsia="仿宋_GB2312" w:cs="仿宋_GB2312"/>
          <w:color w:val="auto"/>
          <w:sz w:val="32"/>
          <w:szCs w:val="32"/>
          <w:highlight w:val="none"/>
        </w:rPr>
      </w:pPr>
    </w:p>
    <w:p w14:paraId="777FA710">
      <w:pPr>
        <w:overflowPunct w:val="0"/>
        <w:adjustRightInd w:val="0"/>
        <w:snapToGrid w:val="0"/>
        <w:jc w:val="left"/>
        <w:rPr>
          <w:rFonts w:eastAsia="仿宋"/>
          <w:color w:val="auto"/>
          <w:szCs w:val="32"/>
          <w:highlight w:val="none"/>
        </w:rPr>
      </w:pPr>
    </w:p>
    <w:p w14:paraId="1B1631ED">
      <w:pPr>
        <w:overflowPunct w:val="0"/>
        <w:adjustRightInd w:val="0"/>
        <w:snapToGrid w:val="0"/>
        <w:jc w:val="center"/>
        <w:rPr>
          <w:rFonts w:eastAsia="仿宋"/>
          <w:color w:val="auto"/>
          <w:szCs w:val="32"/>
          <w:highlight w:val="none"/>
        </w:rPr>
      </w:pPr>
    </w:p>
    <w:p w14:paraId="2B76251F">
      <w:pPr>
        <w:overflowPunct w:val="0"/>
        <w:adjustRightInd w:val="0"/>
        <w:snapToGrid w:val="0"/>
        <w:jc w:val="center"/>
        <w:rPr>
          <w:rFonts w:eastAsia="仿宋"/>
          <w:color w:val="auto"/>
          <w:szCs w:val="32"/>
          <w:highlight w:val="none"/>
        </w:rPr>
      </w:pPr>
    </w:p>
    <w:p w14:paraId="330F2168">
      <w:pPr>
        <w:overflowPunct w:val="0"/>
        <w:adjustRightInd w:val="0"/>
        <w:snapToGrid w:val="0"/>
        <w:jc w:val="center"/>
        <w:rPr>
          <w:rFonts w:eastAsia="仿宋"/>
          <w:color w:val="auto"/>
          <w:szCs w:val="32"/>
          <w:highlight w:val="none"/>
        </w:rPr>
      </w:pPr>
    </w:p>
    <w:p w14:paraId="5802448B">
      <w:pPr>
        <w:overflowPunct w:val="0"/>
        <w:adjustRightInd w:val="0"/>
        <w:snapToGrid w:val="0"/>
        <w:jc w:val="center"/>
        <w:rPr>
          <w:rFonts w:eastAsia="仿宋"/>
          <w:color w:val="auto"/>
          <w:szCs w:val="32"/>
          <w:highlight w:val="none"/>
        </w:rPr>
      </w:pPr>
      <w:r>
        <w:rPr>
          <w:rFonts w:hint="eastAsia"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01378688">
      <w:pPr>
        <w:overflowPunct w:val="0"/>
        <w:adjustRightInd w:val="0"/>
        <w:snapToGrid w:val="0"/>
        <w:jc w:val="center"/>
        <w:rPr>
          <w:rFonts w:eastAsia="仿宋"/>
          <w:color w:val="auto"/>
          <w:szCs w:val="32"/>
          <w:highlight w:val="none"/>
        </w:rPr>
      </w:pPr>
    </w:p>
    <w:p w14:paraId="76ED64EE">
      <w:pPr>
        <w:overflowPunct w:val="0"/>
        <w:adjustRightInd w:val="0"/>
        <w:snapToGrid w:val="0"/>
        <w:rPr>
          <w:rFonts w:eastAsia="华文新魏"/>
          <w:b/>
          <w:color w:val="auto"/>
          <w:sz w:val="100"/>
          <w:szCs w:val="100"/>
          <w:highlight w:val="none"/>
        </w:rPr>
      </w:pPr>
      <w:r>
        <w:rPr>
          <w:rFonts w:hint="eastAsia" w:eastAsia="华文新魏"/>
          <w:b/>
          <w:color w:val="auto"/>
          <w:sz w:val="100"/>
          <w:szCs w:val="100"/>
          <w:highlight w:val="none"/>
        </w:rPr>
        <w:t>广西工程职业学院</w:t>
      </w:r>
    </w:p>
    <w:p w14:paraId="3BB1C6E3">
      <w:pPr>
        <w:overflowPunct w:val="0"/>
        <w:adjustRightInd w:val="0"/>
        <w:snapToGrid w:val="0"/>
        <w:jc w:val="center"/>
        <w:rPr>
          <w:rFonts w:eastAsia="仿宋"/>
          <w:color w:val="auto"/>
          <w:szCs w:val="32"/>
          <w:highlight w:val="none"/>
        </w:rPr>
      </w:pPr>
    </w:p>
    <w:p w14:paraId="62F94006">
      <w:pPr>
        <w:overflowPunct w:val="0"/>
        <w:adjustRightInd w:val="0"/>
        <w:snapToGrid w:val="0"/>
        <w:jc w:val="center"/>
        <w:rPr>
          <w:rFonts w:eastAsia="仿宋"/>
          <w:color w:val="auto"/>
          <w:szCs w:val="32"/>
          <w:highlight w:val="none"/>
        </w:rPr>
      </w:pPr>
    </w:p>
    <w:p w14:paraId="09A49DDA">
      <w:pPr>
        <w:overflowPunct w:val="0"/>
        <w:adjustRightInd w:val="0"/>
        <w:snapToGrid w:val="0"/>
        <w:jc w:val="center"/>
        <w:rPr>
          <w:rFonts w:eastAsia="仿宋"/>
          <w:color w:val="auto"/>
          <w:szCs w:val="32"/>
          <w:highlight w:val="none"/>
        </w:rPr>
      </w:pPr>
    </w:p>
    <w:p w14:paraId="2D3552D3">
      <w:pPr>
        <w:overflowPunct w:val="0"/>
        <w:adjustRightInd w:val="0"/>
        <w:snapToGrid w:val="0"/>
        <w:jc w:val="center"/>
        <w:rPr>
          <w:rFonts w:eastAsia="仿宋"/>
          <w:color w:val="auto"/>
          <w:szCs w:val="32"/>
          <w:highlight w:val="none"/>
        </w:rPr>
      </w:pPr>
    </w:p>
    <w:p w14:paraId="3BE221FB">
      <w:pPr>
        <w:overflowPunct w:val="0"/>
        <w:adjustRightInd w:val="0"/>
        <w:snapToGrid w:val="0"/>
        <w:jc w:val="center"/>
        <w:rPr>
          <w:rFonts w:eastAsia="仿宋"/>
          <w:color w:val="auto"/>
          <w:szCs w:val="32"/>
          <w:highlight w:val="none"/>
        </w:rPr>
      </w:pPr>
    </w:p>
    <w:p w14:paraId="294B08FB">
      <w:pPr>
        <w:overflowPunct w:val="0"/>
        <w:adjustRightInd w:val="0"/>
        <w:snapToGrid w:val="0"/>
        <w:jc w:val="center"/>
        <w:rPr>
          <w:rFonts w:eastAsia="华文中宋"/>
          <w:color w:val="auto"/>
          <w:sz w:val="56"/>
          <w:szCs w:val="52"/>
          <w:highlight w:val="none"/>
        </w:rPr>
      </w:pPr>
      <w:r>
        <w:rPr>
          <w:rFonts w:hint="eastAsia" w:eastAsia="华文中宋"/>
          <w:color w:val="auto"/>
          <w:sz w:val="56"/>
          <w:szCs w:val="52"/>
          <w:highlight w:val="none"/>
        </w:rPr>
        <w:t>2024级环境工程技术专业</w:t>
      </w:r>
    </w:p>
    <w:p w14:paraId="4B49DB3C">
      <w:pPr>
        <w:overflowPunct w:val="0"/>
        <w:adjustRightInd w:val="0"/>
        <w:snapToGrid w:val="0"/>
        <w:jc w:val="center"/>
        <w:rPr>
          <w:rFonts w:eastAsia="华文中宋"/>
          <w:color w:val="auto"/>
          <w:sz w:val="56"/>
          <w:szCs w:val="52"/>
          <w:highlight w:val="none"/>
        </w:rPr>
      </w:pPr>
      <w:r>
        <w:rPr>
          <w:rFonts w:hint="eastAsia" w:eastAsia="华文中宋"/>
          <w:color w:val="auto"/>
          <w:sz w:val="56"/>
          <w:szCs w:val="52"/>
          <w:highlight w:val="none"/>
        </w:rPr>
        <w:t>人才培养方案</w:t>
      </w:r>
    </w:p>
    <w:p w14:paraId="6882C43F">
      <w:pPr>
        <w:overflowPunct w:val="0"/>
        <w:adjustRightInd w:val="0"/>
        <w:snapToGrid w:val="0"/>
        <w:jc w:val="center"/>
        <w:rPr>
          <w:rFonts w:eastAsia="仿宋"/>
          <w:color w:val="auto"/>
          <w:szCs w:val="32"/>
          <w:highlight w:val="none"/>
        </w:rPr>
      </w:pPr>
    </w:p>
    <w:p w14:paraId="264E3513">
      <w:pPr>
        <w:overflowPunct w:val="0"/>
        <w:adjustRightInd w:val="0"/>
        <w:snapToGrid w:val="0"/>
        <w:jc w:val="center"/>
        <w:rPr>
          <w:rFonts w:eastAsia="仿宋"/>
          <w:color w:val="auto"/>
          <w:szCs w:val="32"/>
          <w:highlight w:val="none"/>
        </w:rPr>
      </w:pPr>
    </w:p>
    <w:p w14:paraId="7A3DB7BA">
      <w:pPr>
        <w:overflowPunct w:val="0"/>
        <w:adjustRightInd w:val="0"/>
        <w:snapToGrid w:val="0"/>
        <w:jc w:val="center"/>
        <w:rPr>
          <w:rFonts w:eastAsia="仿宋"/>
          <w:color w:val="auto"/>
          <w:szCs w:val="32"/>
          <w:highlight w:val="none"/>
        </w:rPr>
      </w:pPr>
    </w:p>
    <w:p w14:paraId="39A63237">
      <w:pPr>
        <w:overflowPunct w:val="0"/>
        <w:adjustRightInd w:val="0"/>
        <w:snapToGrid w:val="0"/>
        <w:jc w:val="center"/>
        <w:rPr>
          <w:rFonts w:eastAsia="仿宋"/>
          <w:color w:val="auto"/>
          <w:szCs w:val="32"/>
          <w:highlight w:val="none"/>
        </w:rPr>
      </w:pPr>
    </w:p>
    <w:p w14:paraId="4E2C2BDA">
      <w:pPr>
        <w:overflowPunct w:val="0"/>
        <w:adjustRightInd w:val="0"/>
        <w:snapToGrid w:val="0"/>
        <w:jc w:val="center"/>
        <w:rPr>
          <w:rFonts w:eastAsia="仿宋"/>
          <w:color w:val="auto"/>
          <w:szCs w:val="32"/>
          <w:highlight w:val="none"/>
        </w:rPr>
      </w:pPr>
    </w:p>
    <w:p w14:paraId="4A66AFA1">
      <w:pPr>
        <w:overflowPunct w:val="0"/>
        <w:adjustRightInd w:val="0"/>
        <w:snapToGrid w:val="0"/>
        <w:jc w:val="center"/>
        <w:rPr>
          <w:rFonts w:eastAsia="仿宋"/>
          <w:color w:val="auto"/>
          <w:szCs w:val="32"/>
          <w:highlight w:val="none"/>
        </w:rPr>
      </w:pPr>
    </w:p>
    <w:p w14:paraId="13B309AC">
      <w:pPr>
        <w:overflowPunct w:val="0"/>
        <w:adjustRightInd w:val="0"/>
        <w:snapToGrid w:val="0"/>
        <w:jc w:val="center"/>
        <w:rPr>
          <w:rFonts w:eastAsia="仿宋"/>
          <w:color w:val="auto"/>
          <w:szCs w:val="32"/>
          <w:highlight w:val="none"/>
        </w:rPr>
        <w:sectPr>
          <w:pgSz w:w="11906" w:h="16838"/>
          <w:pgMar w:top="1440" w:right="1800" w:bottom="1440" w:left="1800" w:header="851" w:footer="992" w:gutter="0"/>
          <w:cols w:space="425" w:num="1"/>
          <w:docGrid w:type="lines" w:linePitch="312" w:charSpace="0"/>
        </w:sectPr>
      </w:pPr>
    </w:p>
    <w:p w14:paraId="00EDAAB7">
      <w:pPr>
        <w:overflowPunct w:val="0"/>
        <w:adjustRightInd w:val="0"/>
        <w:snapToGrid w:val="0"/>
        <w:jc w:val="center"/>
        <w:rPr>
          <w:rFonts w:eastAsia="仿宋"/>
          <w:color w:val="auto"/>
          <w:szCs w:val="32"/>
          <w:highlight w:val="none"/>
        </w:rPr>
        <w:sectPr>
          <w:pgSz w:w="11906" w:h="16838"/>
          <w:pgMar w:top="1440" w:right="1800" w:bottom="1440" w:left="1800" w:header="851" w:footer="992" w:gutter="0"/>
          <w:cols w:space="425" w:num="1"/>
          <w:docGrid w:type="lines" w:linePitch="312" w:charSpace="0"/>
        </w:sectPr>
      </w:pPr>
    </w:p>
    <w:p w14:paraId="0292C1FE">
      <w:pPr>
        <w:overflowPunct w:val="0"/>
        <w:adjustRightInd w:val="0"/>
        <w:snapToGrid w:val="0"/>
        <w:spacing w:line="520" w:lineRule="exact"/>
        <w:jc w:val="center"/>
        <w:rPr>
          <w:rFonts w:eastAsia="方正小标宋简体" w:cs="方正小标宋简体"/>
          <w:bCs/>
          <w:color w:val="auto"/>
          <w:sz w:val="44"/>
          <w:szCs w:val="44"/>
          <w:highlight w:val="none"/>
        </w:rPr>
      </w:pPr>
      <w:r>
        <w:rPr>
          <w:rFonts w:hint="eastAsia" w:eastAsia="方正小标宋简体" w:cs="方正小标宋简体"/>
          <w:bCs/>
          <w:color w:val="auto"/>
          <w:sz w:val="44"/>
          <w:szCs w:val="44"/>
          <w:highlight w:val="none"/>
        </w:rPr>
        <w:t>环境工程技术专业人才培养方案</w:t>
      </w:r>
    </w:p>
    <w:p w14:paraId="6CCA5619">
      <w:pPr>
        <w:overflowPunct w:val="0"/>
        <w:adjustRightInd w:val="0"/>
        <w:snapToGrid w:val="0"/>
        <w:spacing w:line="520" w:lineRule="exact"/>
        <w:jc w:val="center"/>
        <w:rPr>
          <w:rFonts w:eastAsia="仿宋"/>
          <w:color w:val="auto"/>
          <w:szCs w:val="32"/>
          <w:highlight w:val="none"/>
        </w:rPr>
      </w:pPr>
    </w:p>
    <w:p w14:paraId="517A210B">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一、专业名称及代码</w:t>
      </w:r>
    </w:p>
    <w:p w14:paraId="09C9C9A6">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专业名称：环境工程技术</w:t>
      </w:r>
    </w:p>
    <w:p w14:paraId="3221D510">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专业代码：420802</w:t>
      </w:r>
    </w:p>
    <w:p w14:paraId="07A8053A">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二、入学要求</w:t>
      </w:r>
    </w:p>
    <w:p w14:paraId="1C733CA9">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普通高级中学毕业、中等职业学校毕业或具备同等学力。</w:t>
      </w:r>
    </w:p>
    <w:p w14:paraId="19F90BDF">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三、修业年限</w:t>
      </w:r>
    </w:p>
    <w:p w14:paraId="4FFD1E43">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标准修业年限为3年，弹性学分有效修业年限为2-5年。</w:t>
      </w:r>
    </w:p>
    <w:p w14:paraId="6B8D1C93">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四、职业面向</w:t>
      </w:r>
    </w:p>
    <w:p w14:paraId="1449A412">
      <w:pPr>
        <w:overflowPunct w:val="0"/>
        <w:adjustRightInd w:val="0"/>
        <w:spacing w:line="520" w:lineRule="exact"/>
        <w:ind w:firstLine="640" w:firstLineChars="200"/>
        <w:jc w:val="center"/>
        <w:rPr>
          <w:rFonts w:eastAsia="仿宋_GB2312" w:cs="仿宋"/>
          <w:color w:val="auto"/>
          <w:sz w:val="32"/>
          <w:szCs w:val="32"/>
          <w:highlight w:val="none"/>
        </w:rPr>
      </w:pPr>
      <w:r>
        <w:rPr>
          <w:rFonts w:hint="eastAsia" w:eastAsia="仿宋_GB2312" w:cs="仿宋"/>
          <w:color w:val="auto"/>
          <w:sz w:val="32"/>
          <w:szCs w:val="32"/>
          <w:highlight w:val="none"/>
        </w:rPr>
        <w:t>表1环境工程技术专业职业岗位分析表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417"/>
        <w:gridCol w:w="1165"/>
        <w:gridCol w:w="1833"/>
        <w:gridCol w:w="2105"/>
        <w:gridCol w:w="1785"/>
      </w:tblGrid>
      <w:tr w14:paraId="5C85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90" w:type="dxa"/>
            <w:vAlign w:val="center"/>
          </w:tcPr>
          <w:p w14:paraId="2154E35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所属专业大类（代码）</w:t>
            </w:r>
          </w:p>
        </w:tc>
        <w:tc>
          <w:tcPr>
            <w:tcW w:w="1417" w:type="dxa"/>
            <w:vAlign w:val="center"/>
          </w:tcPr>
          <w:p w14:paraId="4C877525">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所属专业类（代码）</w:t>
            </w:r>
          </w:p>
        </w:tc>
        <w:tc>
          <w:tcPr>
            <w:tcW w:w="1165" w:type="dxa"/>
            <w:vAlign w:val="center"/>
          </w:tcPr>
          <w:p w14:paraId="1F53FBBF">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对应行业</w:t>
            </w:r>
          </w:p>
          <w:p w14:paraId="5246EEE1">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（代码）</w:t>
            </w:r>
          </w:p>
        </w:tc>
        <w:tc>
          <w:tcPr>
            <w:tcW w:w="1833" w:type="dxa"/>
            <w:vAlign w:val="center"/>
          </w:tcPr>
          <w:p w14:paraId="02C14D0F">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主要职业类别（代码）</w:t>
            </w:r>
          </w:p>
        </w:tc>
        <w:tc>
          <w:tcPr>
            <w:tcW w:w="2105" w:type="dxa"/>
            <w:vAlign w:val="center"/>
          </w:tcPr>
          <w:p w14:paraId="11477E45">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主要岗位类别（或技术领域）</w:t>
            </w:r>
          </w:p>
        </w:tc>
        <w:tc>
          <w:tcPr>
            <w:tcW w:w="1785" w:type="dxa"/>
            <w:vAlign w:val="center"/>
          </w:tcPr>
          <w:p w14:paraId="762D7CD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职业资格证书或技能等级证书举例</w:t>
            </w:r>
          </w:p>
        </w:tc>
      </w:tr>
      <w:tr w14:paraId="7E19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90" w:type="dxa"/>
            <w:vAlign w:val="center"/>
          </w:tcPr>
          <w:p w14:paraId="4183A139">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资源环境与环境大类（</w:t>
            </w:r>
            <w:r>
              <w:rPr>
                <w:rFonts w:eastAsia="仿宋_GB2312" w:cs="仿宋"/>
                <w:color w:val="auto"/>
                <w:sz w:val="24"/>
                <w:highlight w:val="none"/>
              </w:rPr>
              <w:t>4</w:t>
            </w:r>
            <w:r>
              <w:rPr>
                <w:rFonts w:hint="eastAsia" w:eastAsia="仿宋_GB2312" w:cs="仿宋"/>
                <w:color w:val="auto"/>
                <w:sz w:val="24"/>
                <w:highlight w:val="none"/>
              </w:rPr>
              <w:t>2）</w:t>
            </w:r>
          </w:p>
        </w:tc>
        <w:tc>
          <w:tcPr>
            <w:tcW w:w="1417" w:type="dxa"/>
            <w:vAlign w:val="center"/>
          </w:tcPr>
          <w:p w14:paraId="73C0516E">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环境保护（</w:t>
            </w:r>
            <w:r>
              <w:rPr>
                <w:rFonts w:eastAsia="仿宋_GB2312" w:cs="仿宋"/>
                <w:color w:val="auto"/>
                <w:sz w:val="24"/>
                <w:highlight w:val="none"/>
              </w:rPr>
              <w:t>4</w:t>
            </w:r>
            <w:r>
              <w:rPr>
                <w:rFonts w:hint="eastAsia" w:eastAsia="仿宋_GB2312" w:cs="仿宋"/>
                <w:color w:val="auto"/>
                <w:sz w:val="24"/>
                <w:highlight w:val="none"/>
              </w:rPr>
              <w:t>208）</w:t>
            </w:r>
          </w:p>
        </w:tc>
        <w:tc>
          <w:tcPr>
            <w:tcW w:w="1165" w:type="dxa"/>
            <w:vAlign w:val="center"/>
          </w:tcPr>
          <w:p w14:paraId="446F98C5">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环境治理业（772）</w:t>
            </w:r>
          </w:p>
          <w:p w14:paraId="3001B04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专业技术服务业（74）</w:t>
            </w:r>
          </w:p>
        </w:tc>
        <w:tc>
          <w:tcPr>
            <w:tcW w:w="1833" w:type="dxa"/>
            <w:vAlign w:val="center"/>
          </w:tcPr>
          <w:p w14:paraId="53C86F9E">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环境污染防治工程技术人员（2-02-27-02）</w:t>
            </w:r>
          </w:p>
          <w:p w14:paraId="19200C8F">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环境治理服务人员（4-09-07）</w:t>
            </w:r>
          </w:p>
          <w:p w14:paraId="41469E99">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环境监测服务人员（4-08-06）</w:t>
            </w:r>
          </w:p>
        </w:tc>
        <w:tc>
          <w:tcPr>
            <w:tcW w:w="2105" w:type="dxa"/>
            <w:vAlign w:val="center"/>
          </w:tcPr>
          <w:p w14:paraId="269E3B9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环境工程工艺设计员；</w:t>
            </w:r>
          </w:p>
          <w:p w14:paraId="5D11B74E">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环境工程施工管理员；</w:t>
            </w:r>
          </w:p>
          <w:p w14:paraId="0C514D48">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环境工程监理员；</w:t>
            </w:r>
          </w:p>
          <w:p w14:paraId="24D5C98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环境设备安装调试员；</w:t>
            </w:r>
          </w:p>
          <w:p w14:paraId="236A4124">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环境业务市场营销员</w:t>
            </w:r>
          </w:p>
        </w:tc>
        <w:tc>
          <w:tcPr>
            <w:tcW w:w="1785" w:type="dxa"/>
            <w:vAlign w:val="center"/>
          </w:tcPr>
          <w:p w14:paraId="537BA6DF">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注册环保工程师；</w:t>
            </w:r>
          </w:p>
          <w:p w14:paraId="323C57B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注册环境影响评价工程师；</w:t>
            </w:r>
          </w:p>
          <w:p w14:paraId="3505E71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注册环境管理师</w:t>
            </w:r>
          </w:p>
        </w:tc>
      </w:tr>
    </w:tbl>
    <w:p w14:paraId="5965FD71">
      <w:pPr>
        <w:overflowPunct w:val="0"/>
        <w:adjustRightIn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五、培养目标与培养规格</w:t>
      </w:r>
    </w:p>
    <w:p w14:paraId="658BE502">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（一）培养目标</w:t>
      </w:r>
    </w:p>
    <w:p w14:paraId="0B362AB3">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面向环境治理业、专业技术服务业等行业的环境污染防治工程技术人员、环境治理服务人员、环境监测服务人员等职业群（或技术技能领域），能够从事环境工程工艺设计员、环境治理服务人员及环境监测服务人员等工作的高素质技术技能人才。</w:t>
      </w:r>
    </w:p>
    <w:p w14:paraId="1EF44E04">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（二）培养规格</w:t>
      </w:r>
    </w:p>
    <w:p w14:paraId="631BB204">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本专业毕业生应在素质、知识和能力等方面达到以下要求：</w:t>
      </w:r>
    </w:p>
    <w:p w14:paraId="71302DB7">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1.素质</w:t>
      </w:r>
    </w:p>
    <w:p w14:paraId="35F87A53">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1B282930">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（2）崇尚宪法、遵法守纪、崇德向善、诚实守信、尊重生命、热爱劳动，履行道德准则和行为规范，具有社会责任感和社会参与意识。</w:t>
      </w:r>
    </w:p>
    <w:p w14:paraId="297E1A0E">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（3）具有质量意识、环保意识、安全意识、信息素养、工匠精神、创新思维。</w:t>
      </w:r>
    </w:p>
    <w:p w14:paraId="2EC8A84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（4）勇于奋斗、乐观向上，具有自我管理能力、职业生涯规划的意识，有较强的集体意识和团队合作精神。</w:t>
      </w:r>
    </w:p>
    <w:p w14:paraId="499C8FEA">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（5）具有健康的体魄、心理和健全的人格，掌握基本运动知识和1—2项运动技能，养成良好的健身与卫生习惯，以及良好的行为习惯。</w:t>
      </w:r>
    </w:p>
    <w:p w14:paraId="21B5BE7D">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（6）具有一定的审美和人文素养，能够形成1—2项艺术特长或爱好。</w:t>
      </w:r>
    </w:p>
    <w:p w14:paraId="7385417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2.知识</w:t>
      </w:r>
    </w:p>
    <w:p w14:paraId="160382F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（1）掌握必备的思想政治理论、科学文化基础知识和中华优秀传统文化知识。</w:t>
      </w:r>
    </w:p>
    <w:p w14:paraId="1C1FE40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（2）熟悉与本专业相关的法律法规以及环境保护、安全消防、文明生产等知识。</w:t>
      </w:r>
    </w:p>
    <w:p w14:paraId="588BBDE5">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（3）掌握与本专业相关的数学、物理、化学等方面的基础知识。</w:t>
      </w:r>
    </w:p>
    <w:p w14:paraId="1D7FA66A">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（4）掌握环境生态、工程制图、环境微生物等基础理论和基本知识。</w:t>
      </w:r>
    </w:p>
    <w:p w14:paraId="1FE24A12">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（5）掌握电工电子、PL</w:t>
      </w:r>
      <w:r>
        <w:rPr>
          <w:rFonts w:eastAsia="仿宋_GB2312" w:cs="仿宋"/>
          <w:color w:val="auto"/>
          <w:sz w:val="32"/>
          <w:szCs w:val="32"/>
          <w:highlight w:val="none"/>
        </w:rPr>
        <w:t>C</w:t>
      </w:r>
      <w:r>
        <w:rPr>
          <w:rFonts w:hint="eastAsia" w:eastAsia="仿宋_GB2312" w:cs="仿宋"/>
          <w:color w:val="auto"/>
          <w:sz w:val="32"/>
          <w:szCs w:val="32"/>
          <w:highlight w:val="none"/>
        </w:rPr>
        <w:t>控制的基本知识。</w:t>
      </w:r>
    </w:p>
    <w:p w14:paraId="36D1FFFA">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（6）掌握水污染治理、大气污染治理、噪声污染治理、固体废物处理与资源化利用的基本方法和原理。</w:t>
      </w:r>
    </w:p>
    <w:p w14:paraId="13EBF52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（7）掌握环保设备基础理论知识和操作规范。</w:t>
      </w:r>
    </w:p>
    <w:p w14:paraId="4324D757">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（8）掌握环保工程施工、运营管理的方法和流程。</w:t>
      </w:r>
    </w:p>
    <w:p w14:paraId="3141D1CF">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（9）掌握污染物常规项目监测方法。</w:t>
      </w:r>
    </w:p>
    <w:p w14:paraId="271BE0FE">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（10）了解最新发布的环境保护相关国家标准和国际标准。</w:t>
      </w:r>
    </w:p>
    <w:p w14:paraId="59AFE233">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3.能力</w:t>
      </w:r>
    </w:p>
    <w:p w14:paraId="474B8B0E">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（1）具有探究学习、终身学习、分析问题和解决问题的能力。</w:t>
      </w:r>
    </w:p>
    <w:p w14:paraId="71692B24">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（2）具有良好的语言、文字表达能力和沟通能力。</w:t>
      </w:r>
    </w:p>
    <w:p w14:paraId="306E89C1">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（3）具有识读各类环保工程工艺图和设备图的能力。</w:t>
      </w:r>
    </w:p>
    <w:p w14:paraId="724DB86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（4）具有熟练使用CAD设计软件进行环保工艺设计的能力。</w:t>
      </w:r>
    </w:p>
    <w:p w14:paraId="3B545BE1">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（5）具有依托法律法规对工程项目开展环境监理的能力。</w:t>
      </w:r>
    </w:p>
    <w:p w14:paraId="581F1F6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（6）具有依据操作规范，对环保设施（如：污水处理厂、大气污染治理设施）进行操作运营和系统维护的能力。</w:t>
      </w:r>
    </w:p>
    <w:p w14:paraId="139AFC5D">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（7）具有对环保设备进行安装、调试和检修的能力。</w:t>
      </w:r>
    </w:p>
    <w:p w14:paraId="3FF5AA9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（8）具有对常规污染物进行检测、数据处理和分析的能力。</w:t>
      </w:r>
    </w:p>
    <w:p w14:paraId="5CCD45F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（9）具有熟练进行口语和书面的表达与交流；能够用工程语言（图纸）与专业人员进行有效的沟通交流能力。</w:t>
      </w:r>
    </w:p>
    <w:p w14:paraId="4F9EADA0">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（10）具有本专业需要的信息技术应用能力。</w:t>
      </w:r>
    </w:p>
    <w:p w14:paraId="37D5EE30">
      <w:pPr>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六、课程设置及要求</w:t>
      </w:r>
    </w:p>
    <w:p w14:paraId="44B92A23">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主要包括公共基础课程和专业（技能）课程。</w:t>
      </w:r>
    </w:p>
    <w:p w14:paraId="76AF8385">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（一）公共基础课程</w:t>
      </w:r>
    </w:p>
    <w:p w14:paraId="32804547">
      <w:pPr>
        <w:overflowPunct w:val="0"/>
        <w:adjustRightInd w:val="0"/>
        <w:spacing w:line="520" w:lineRule="exact"/>
        <w:ind w:firstLine="640" w:firstLineChars="200"/>
        <w:outlineLvl w:val="0"/>
        <w:rPr>
          <w:rFonts w:eastAsia="仿宋_GB2312" w:cs="仿宋"/>
          <w:color w:val="auto"/>
          <w:sz w:val="32"/>
          <w:szCs w:val="32"/>
          <w:highlight w:val="none"/>
        </w:rPr>
      </w:pPr>
      <w:bookmarkStart w:id="0" w:name="_Toc90734974"/>
      <w:r>
        <w:rPr>
          <w:rFonts w:hint="eastAsia" w:eastAsia="仿宋_GB2312" w:cs="仿宋"/>
          <w:color w:val="auto"/>
          <w:sz w:val="32"/>
          <w:szCs w:val="32"/>
          <w:highlight w:val="none"/>
        </w:rPr>
        <w:t>按照教育部要求设置公共基础必修选修课程，公共基础必修课程包括</w:t>
      </w:r>
      <w:bookmarkEnd w:id="0"/>
      <w:r>
        <w:rPr>
          <w:rFonts w:hint="eastAsia" w:eastAsia="仿宋_GB2312" w:cs="仿宋"/>
          <w:color w:val="auto"/>
          <w:sz w:val="32"/>
          <w:szCs w:val="32"/>
          <w:highlight w:val="none"/>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04095C0C">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57095625">
      <w:pPr>
        <w:overflowPunct w:val="0"/>
        <w:adjustRightInd w:val="0"/>
        <w:spacing w:line="520" w:lineRule="exact"/>
        <w:ind w:firstLine="640" w:firstLineChars="200"/>
        <w:jc w:val="center"/>
        <w:outlineLvl w:val="0"/>
        <w:rPr>
          <w:rFonts w:eastAsia="仿宋_GB2312" w:cs="仿宋"/>
          <w:color w:val="auto"/>
          <w:sz w:val="32"/>
          <w:szCs w:val="32"/>
          <w:highlight w:val="none"/>
        </w:rPr>
      </w:pPr>
      <w:r>
        <w:rPr>
          <w:rFonts w:hint="eastAsia" w:eastAsia="仿宋_GB2312" w:cs="仿宋"/>
          <w:color w:val="auto"/>
          <w:sz w:val="32"/>
          <w:szCs w:val="32"/>
          <w:highlight w:val="none"/>
        </w:rPr>
        <w:t>公共基础课程描述表</w:t>
      </w:r>
    </w:p>
    <w:tbl>
      <w:tblPr>
        <w:tblStyle w:val="7"/>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14:paraId="00CDD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522" w:type="dxa"/>
            <w:vAlign w:val="center"/>
          </w:tcPr>
          <w:p w14:paraId="67A34D1E">
            <w:pPr>
              <w:spacing w:line="320" w:lineRule="exact"/>
              <w:jc w:val="center"/>
              <w:rPr>
                <w:rFonts w:eastAsia="仿宋" w:cs="仿宋"/>
                <w:color w:val="auto"/>
                <w:sz w:val="24"/>
                <w:highlight w:val="none"/>
              </w:rPr>
            </w:pPr>
            <w:bookmarkStart w:id="1" w:name="_Toc90734979"/>
            <w:bookmarkStart w:id="2" w:name="_Toc2022"/>
            <w:r>
              <w:rPr>
                <w:rFonts w:hint="eastAsia" w:eastAsia="仿宋" w:cs="仿宋"/>
                <w:color w:val="auto"/>
                <w:sz w:val="24"/>
                <w:highlight w:val="none"/>
              </w:rPr>
              <w:t>序号</w:t>
            </w:r>
            <w:bookmarkEnd w:id="1"/>
            <w:bookmarkEnd w:id="2"/>
          </w:p>
        </w:tc>
        <w:tc>
          <w:tcPr>
            <w:tcW w:w="1416" w:type="dxa"/>
            <w:vAlign w:val="center"/>
          </w:tcPr>
          <w:p w14:paraId="4FA4CC99">
            <w:pPr>
              <w:spacing w:line="320" w:lineRule="exact"/>
              <w:jc w:val="center"/>
              <w:rPr>
                <w:rFonts w:eastAsia="仿宋" w:cs="仿宋"/>
                <w:color w:val="auto"/>
                <w:sz w:val="24"/>
                <w:highlight w:val="none"/>
              </w:rPr>
            </w:pPr>
            <w:bookmarkStart w:id="3" w:name="_Toc90734980"/>
            <w:bookmarkStart w:id="4" w:name="_Toc2635"/>
            <w:r>
              <w:rPr>
                <w:rFonts w:hint="eastAsia" w:eastAsia="仿宋" w:cs="仿宋"/>
                <w:color w:val="auto"/>
                <w:sz w:val="24"/>
                <w:highlight w:val="none"/>
              </w:rPr>
              <w:t>课程名称</w:t>
            </w:r>
            <w:bookmarkEnd w:id="3"/>
            <w:bookmarkEnd w:id="4"/>
          </w:p>
        </w:tc>
        <w:tc>
          <w:tcPr>
            <w:tcW w:w="3418" w:type="dxa"/>
            <w:vAlign w:val="center"/>
          </w:tcPr>
          <w:p w14:paraId="1AAEFDB0">
            <w:pPr>
              <w:spacing w:line="320" w:lineRule="exact"/>
              <w:jc w:val="center"/>
              <w:rPr>
                <w:rFonts w:eastAsia="仿宋" w:cs="仿宋"/>
                <w:color w:val="auto"/>
                <w:sz w:val="24"/>
                <w:highlight w:val="none"/>
              </w:rPr>
            </w:pPr>
            <w:bookmarkStart w:id="5" w:name="_Toc24608"/>
            <w:bookmarkStart w:id="6" w:name="_Toc90734981"/>
            <w:r>
              <w:rPr>
                <w:rFonts w:hint="eastAsia" w:eastAsia="仿宋" w:cs="仿宋"/>
                <w:color w:val="auto"/>
                <w:sz w:val="24"/>
                <w:highlight w:val="none"/>
              </w:rPr>
              <w:t>课程教学目标</w:t>
            </w:r>
            <w:bookmarkEnd w:id="5"/>
            <w:bookmarkEnd w:id="6"/>
          </w:p>
        </w:tc>
        <w:tc>
          <w:tcPr>
            <w:tcW w:w="2982" w:type="dxa"/>
            <w:vAlign w:val="center"/>
          </w:tcPr>
          <w:p w14:paraId="6DFEB8A0">
            <w:pPr>
              <w:spacing w:line="320" w:lineRule="exact"/>
              <w:jc w:val="center"/>
              <w:rPr>
                <w:rFonts w:eastAsia="仿宋" w:cs="仿宋"/>
                <w:color w:val="auto"/>
                <w:sz w:val="24"/>
                <w:highlight w:val="none"/>
              </w:rPr>
            </w:pPr>
            <w:bookmarkStart w:id="7" w:name="_Toc23051"/>
            <w:bookmarkStart w:id="8" w:name="_Toc90734982"/>
            <w:r>
              <w:rPr>
                <w:rFonts w:hint="eastAsia" w:eastAsia="仿宋" w:cs="仿宋"/>
                <w:color w:val="auto"/>
                <w:sz w:val="24"/>
                <w:highlight w:val="none"/>
              </w:rPr>
              <w:t>课程教学内容</w:t>
            </w:r>
            <w:bookmarkEnd w:id="7"/>
            <w:bookmarkEnd w:id="8"/>
          </w:p>
        </w:tc>
        <w:tc>
          <w:tcPr>
            <w:tcW w:w="2982" w:type="dxa"/>
            <w:vAlign w:val="center"/>
          </w:tcPr>
          <w:p w14:paraId="2FAE8157">
            <w:pPr>
              <w:spacing w:line="320" w:lineRule="exact"/>
              <w:jc w:val="center"/>
              <w:rPr>
                <w:rFonts w:eastAsia="仿宋" w:cs="仿宋"/>
                <w:color w:val="auto"/>
                <w:sz w:val="24"/>
                <w:highlight w:val="none"/>
              </w:rPr>
            </w:pPr>
            <w:r>
              <w:rPr>
                <w:rFonts w:hint="eastAsia" w:eastAsia="仿宋" w:cs="仿宋"/>
                <w:color w:val="auto"/>
                <w:sz w:val="24"/>
                <w:highlight w:val="none"/>
              </w:rPr>
              <w:t>课程教学要求</w:t>
            </w:r>
          </w:p>
        </w:tc>
      </w:tr>
      <w:tr w14:paraId="6744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F88E281">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416" w:type="dxa"/>
            <w:vAlign w:val="center"/>
          </w:tcPr>
          <w:p w14:paraId="7F33987A">
            <w:pPr>
              <w:spacing w:line="320" w:lineRule="exact"/>
              <w:jc w:val="left"/>
              <w:rPr>
                <w:rFonts w:eastAsia="仿宋" w:cs="仿宋"/>
                <w:color w:val="auto"/>
                <w:sz w:val="24"/>
                <w:highlight w:val="none"/>
              </w:rPr>
            </w:pPr>
            <w:r>
              <w:rPr>
                <w:rFonts w:hint="eastAsia" w:eastAsia="仿宋" w:cs="仿宋"/>
                <w:color w:val="auto"/>
                <w:sz w:val="24"/>
                <w:highlight w:val="none"/>
              </w:rPr>
              <w:t>思想道德与法治</w:t>
            </w:r>
          </w:p>
        </w:tc>
        <w:tc>
          <w:tcPr>
            <w:tcW w:w="3418" w:type="dxa"/>
            <w:vAlign w:val="center"/>
          </w:tcPr>
          <w:p w14:paraId="378D2C1E">
            <w:pPr>
              <w:spacing w:line="320" w:lineRule="exact"/>
              <w:rPr>
                <w:rFonts w:eastAsia="仿宋" w:cs="仿宋"/>
                <w:color w:val="auto"/>
                <w:sz w:val="24"/>
                <w:highlight w:val="none"/>
              </w:rPr>
            </w:pPr>
            <w:r>
              <w:rPr>
                <w:rFonts w:hint="eastAsia" w:eastAsia="仿宋" w:cs="仿宋"/>
                <w:color w:val="auto"/>
                <w:sz w:val="24"/>
                <w:highlight w:val="none"/>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4523815E">
            <w:pPr>
              <w:spacing w:line="320" w:lineRule="exact"/>
              <w:rPr>
                <w:rFonts w:eastAsia="仿宋" w:cs="仿宋"/>
                <w:color w:val="auto"/>
                <w:sz w:val="24"/>
                <w:highlight w:val="none"/>
              </w:rPr>
            </w:pPr>
            <w:r>
              <w:rPr>
                <w:rFonts w:hint="eastAsia" w:eastAsia="仿宋" w:cs="仿宋"/>
                <w:color w:val="auto"/>
                <w:sz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0737BE5E">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28B17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0F20D57">
            <w:pPr>
              <w:spacing w:line="320" w:lineRule="exact"/>
              <w:jc w:val="center"/>
              <w:rPr>
                <w:rFonts w:eastAsia="仿宋" w:cs="仿宋"/>
                <w:color w:val="auto"/>
                <w:sz w:val="24"/>
                <w:highlight w:val="none"/>
              </w:rPr>
            </w:pPr>
            <w:r>
              <w:rPr>
                <w:rFonts w:hint="eastAsia" w:eastAsia="仿宋" w:cs="仿宋"/>
                <w:color w:val="auto"/>
                <w:sz w:val="24"/>
                <w:highlight w:val="none"/>
              </w:rPr>
              <w:t>2</w:t>
            </w:r>
          </w:p>
        </w:tc>
        <w:tc>
          <w:tcPr>
            <w:tcW w:w="1416" w:type="dxa"/>
            <w:vAlign w:val="center"/>
          </w:tcPr>
          <w:p w14:paraId="716F9159">
            <w:pPr>
              <w:spacing w:line="320" w:lineRule="exact"/>
              <w:jc w:val="left"/>
              <w:rPr>
                <w:rFonts w:eastAsia="仿宋" w:cs="仿宋"/>
                <w:color w:val="auto"/>
                <w:sz w:val="24"/>
                <w:highlight w:val="none"/>
              </w:rPr>
            </w:pPr>
            <w:r>
              <w:rPr>
                <w:rFonts w:hint="eastAsia" w:eastAsia="仿宋" w:cs="仿宋"/>
                <w:color w:val="auto"/>
                <w:sz w:val="24"/>
                <w:highlight w:val="none"/>
              </w:rPr>
              <w:t>毛泽东思想和中国特色社会主义理论体系概论</w:t>
            </w:r>
          </w:p>
        </w:tc>
        <w:tc>
          <w:tcPr>
            <w:tcW w:w="3418" w:type="dxa"/>
            <w:vAlign w:val="center"/>
          </w:tcPr>
          <w:p w14:paraId="5282FD9B">
            <w:pPr>
              <w:spacing w:line="320" w:lineRule="exact"/>
              <w:rPr>
                <w:rFonts w:eastAsia="仿宋" w:cs="仿宋"/>
                <w:color w:val="auto"/>
                <w:sz w:val="24"/>
                <w:highlight w:val="none"/>
              </w:rPr>
            </w:pPr>
            <w:r>
              <w:rPr>
                <w:rFonts w:hint="eastAsia" w:eastAsia="仿宋" w:cs="仿宋"/>
                <w:color w:val="auto"/>
                <w:sz w:val="24"/>
                <w:highlight w:val="none"/>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6A9A7756">
            <w:pPr>
              <w:spacing w:line="320" w:lineRule="exact"/>
              <w:rPr>
                <w:rFonts w:eastAsia="仿宋" w:cs="仿宋"/>
                <w:color w:val="auto"/>
                <w:sz w:val="24"/>
                <w:highlight w:val="none"/>
              </w:rPr>
            </w:pPr>
            <w:r>
              <w:rPr>
                <w:rFonts w:hint="eastAsia" w:eastAsia="仿宋" w:cs="仿宋"/>
                <w:color w:val="auto"/>
                <w:sz w:val="24"/>
                <w:highlight w:val="none"/>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46A01C75">
            <w:pPr>
              <w:spacing w:line="320" w:lineRule="exact"/>
              <w:rPr>
                <w:rFonts w:eastAsia="仿宋" w:cs="仿宋"/>
                <w:color w:val="auto"/>
                <w:sz w:val="24"/>
                <w:highlight w:val="none"/>
              </w:rPr>
            </w:pPr>
            <w:r>
              <w:rPr>
                <w:rFonts w:hint="eastAsia" w:eastAsia="仿宋" w:cs="仿宋"/>
                <w:color w:val="auto"/>
                <w:sz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15ED9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64708E1">
            <w:pPr>
              <w:spacing w:line="320" w:lineRule="exact"/>
              <w:jc w:val="center"/>
              <w:rPr>
                <w:rFonts w:eastAsia="仿宋" w:cs="仿宋"/>
                <w:color w:val="auto"/>
                <w:sz w:val="24"/>
                <w:highlight w:val="none"/>
              </w:rPr>
            </w:pPr>
            <w:r>
              <w:rPr>
                <w:rFonts w:hint="eastAsia" w:eastAsia="仿宋" w:cs="仿宋"/>
                <w:color w:val="auto"/>
                <w:sz w:val="24"/>
                <w:highlight w:val="none"/>
              </w:rPr>
              <w:t>3</w:t>
            </w:r>
          </w:p>
        </w:tc>
        <w:tc>
          <w:tcPr>
            <w:tcW w:w="1416" w:type="dxa"/>
            <w:vAlign w:val="center"/>
          </w:tcPr>
          <w:p w14:paraId="121A96BB">
            <w:pPr>
              <w:spacing w:line="320" w:lineRule="exact"/>
              <w:jc w:val="left"/>
              <w:rPr>
                <w:rFonts w:eastAsia="仿宋" w:cs="仿宋"/>
                <w:color w:val="auto"/>
                <w:sz w:val="24"/>
                <w:highlight w:val="none"/>
              </w:rPr>
            </w:pPr>
            <w:r>
              <w:rPr>
                <w:rFonts w:hint="eastAsia" w:eastAsia="仿宋" w:cs="仿宋"/>
                <w:color w:val="auto"/>
                <w:sz w:val="24"/>
                <w:highlight w:val="none"/>
              </w:rPr>
              <w:t>形势与政策</w:t>
            </w:r>
          </w:p>
        </w:tc>
        <w:tc>
          <w:tcPr>
            <w:tcW w:w="3418" w:type="dxa"/>
            <w:vAlign w:val="center"/>
          </w:tcPr>
          <w:p w14:paraId="5543885B">
            <w:pPr>
              <w:spacing w:line="320" w:lineRule="exact"/>
              <w:rPr>
                <w:rFonts w:eastAsia="仿宋" w:cs="仿宋"/>
                <w:color w:val="auto"/>
                <w:sz w:val="24"/>
                <w:highlight w:val="none"/>
              </w:rPr>
            </w:pPr>
            <w:r>
              <w:rPr>
                <w:rFonts w:hint="eastAsia" w:eastAsia="仿宋" w:cs="仿宋"/>
                <w:color w:val="auto"/>
                <w:sz w:val="24"/>
                <w:highlight w:val="none"/>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6D7F59A1">
            <w:pPr>
              <w:spacing w:line="320" w:lineRule="exact"/>
              <w:rPr>
                <w:rFonts w:eastAsia="仿宋" w:cs="仿宋"/>
                <w:color w:val="auto"/>
                <w:sz w:val="24"/>
                <w:highlight w:val="none"/>
              </w:rPr>
            </w:pPr>
            <w:r>
              <w:rPr>
                <w:rFonts w:hint="eastAsia" w:eastAsia="仿宋" w:cs="仿宋"/>
                <w:color w:val="auto"/>
                <w:sz w:val="24"/>
                <w:highlight w:val="none"/>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3C291407">
            <w:pPr>
              <w:spacing w:line="320" w:lineRule="exact"/>
              <w:rPr>
                <w:rFonts w:eastAsia="仿宋" w:cs="仿宋"/>
                <w:color w:val="auto"/>
                <w:sz w:val="24"/>
                <w:highlight w:val="none"/>
              </w:rPr>
            </w:pPr>
            <w:r>
              <w:rPr>
                <w:rFonts w:hint="eastAsia" w:eastAsia="仿宋" w:cs="仿宋"/>
                <w:color w:val="auto"/>
                <w:sz w:val="24"/>
                <w:highlight w:val="none"/>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381A1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5026024">
            <w:pPr>
              <w:spacing w:line="320" w:lineRule="exact"/>
              <w:jc w:val="center"/>
              <w:rPr>
                <w:rFonts w:eastAsia="仿宋" w:cs="仿宋"/>
                <w:color w:val="auto"/>
                <w:sz w:val="24"/>
                <w:highlight w:val="none"/>
              </w:rPr>
            </w:pPr>
            <w:r>
              <w:rPr>
                <w:rFonts w:hint="eastAsia" w:eastAsia="仿宋" w:cs="仿宋"/>
                <w:color w:val="auto"/>
                <w:sz w:val="24"/>
                <w:highlight w:val="none"/>
              </w:rPr>
              <w:t>4</w:t>
            </w:r>
          </w:p>
        </w:tc>
        <w:tc>
          <w:tcPr>
            <w:tcW w:w="1416" w:type="dxa"/>
            <w:vAlign w:val="center"/>
          </w:tcPr>
          <w:p w14:paraId="0791A66D">
            <w:pPr>
              <w:spacing w:line="320" w:lineRule="exact"/>
              <w:jc w:val="left"/>
              <w:rPr>
                <w:rFonts w:eastAsia="仿宋" w:cs="仿宋"/>
                <w:color w:val="auto"/>
                <w:sz w:val="24"/>
                <w:highlight w:val="none"/>
              </w:rPr>
            </w:pPr>
            <w:r>
              <w:rPr>
                <w:rFonts w:hint="eastAsia" w:eastAsia="仿宋" w:cs="仿宋"/>
                <w:color w:val="auto"/>
                <w:sz w:val="24"/>
                <w:highlight w:val="none"/>
              </w:rPr>
              <w:t>习近平新时代中国特色社会主义思想概论</w:t>
            </w:r>
          </w:p>
        </w:tc>
        <w:tc>
          <w:tcPr>
            <w:tcW w:w="3418" w:type="dxa"/>
            <w:vAlign w:val="center"/>
          </w:tcPr>
          <w:p w14:paraId="0888B249">
            <w:pPr>
              <w:spacing w:line="320" w:lineRule="exact"/>
              <w:rPr>
                <w:rFonts w:eastAsia="仿宋" w:cs="仿宋"/>
                <w:color w:val="auto"/>
                <w:sz w:val="24"/>
                <w:highlight w:val="none"/>
              </w:rPr>
            </w:pPr>
            <w:r>
              <w:rPr>
                <w:rFonts w:hint="eastAsia" w:eastAsia="仿宋" w:cs="仿宋"/>
                <w:color w:val="auto"/>
                <w:sz w:val="24"/>
                <w:highlight w:val="none"/>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0BF63F33">
            <w:pPr>
              <w:spacing w:line="320" w:lineRule="exact"/>
              <w:rPr>
                <w:rFonts w:eastAsia="仿宋" w:cs="仿宋"/>
                <w:color w:val="auto"/>
                <w:sz w:val="24"/>
                <w:highlight w:val="none"/>
              </w:rPr>
            </w:pPr>
          </w:p>
        </w:tc>
        <w:tc>
          <w:tcPr>
            <w:tcW w:w="2982" w:type="dxa"/>
            <w:vAlign w:val="center"/>
          </w:tcPr>
          <w:p w14:paraId="19B9F777">
            <w:pPr>
              <w:spacing w:line="320" w:lineRule="exact"/>
              <w:rPr>
                <w:rFonts w:eastAsia="仿宋" w:cs="仿宋"/>
                <w:color w:val="auto"/>
                <w:sz w:val="24"/>
                <w:highlight w:val="none"/>
              </w:rPr>
            </w:pPr>
            <w:r>
              <w:rPr>
                <w:rFonts w:hint="eastAsia" w:eastAsia="仿宋" w:cs="仿宋"/>
                <w:color w:val="auto"/>
                <w:sz w:val="24"/>
                <w:highlight w:val="none"/>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1F67CC64">
            <w:pPr>
              <w:spacing w:line="320" w:lineRule="exact"/>
              <w:rPr>
                <w:rFonts w:eastAsia="仿宋" w:cs="仿宋"/>
                <w:color w:val="auto"/>
                <w:sz w:val="24"/>
                <w:highlight w:val="none"/>
              </w:rPr>
            </w:pPr>
            <w:r>
              <w:rPr>
                <w:rFonts w:hint="eastAsia" w:eastAsia="仿宋" w:cs="仿宋"/>
                <w:color w:val="auto"/>
                <w:sz w:val="24"/>
                <w:highlight w:val="none"/>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62646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7D40F92">
            <w:pPr>
              <w:spacing w:line="320" w:lineRule="exact"/>
              <w:jc w:val="center"/>
              <w:rPr>
                <w:rFonts w:eastAsia="仿宋" w:cs="仿宋"/>
                <w:color w:val="auto"/>
                <w:sz w:val="24"/>
                <w:highlight w:val="none"/>
              </w:rPr>
            </w:pPr>
            <w:r>
              <w:rPr>
                <w:rFonts w:hint="eastAsia" w:eastAsia="仿宋" w:cs="仿宋"/>
                <w:color w:val="auto"/>
                <w:sz w:val="24"/>
                <w:highlight w:val="none"/>
              </w:rPr>
              <w:t>5</w:t>
            </w:r>
          </w:p>
        </w:tc>
        <w:tc>
          <w:tcPr>
            <w:tcW w:w="1416" w:type="dxa"/>
            <w:vAlign w:val="center"/>
          </w:tcPr>
          <w:p w14:paraId="279D120B">
            <w:pPr>
              <w:spacing w:line="320" w:lineRule="exact"/>
              <w:jc w:val="left"/>
              <w:rPr>
                <w:rFonts w:eastAsia="仿宋" w:cs="仿宋"/>
                <w:color w:val="auto"/>
                <w:sz w:val="24"/>
                <w:highlight w:val="none"/>
              </w:rPr>
            </w:pPr>
            <w:r>
              <w:rPr>
                <w:rFonts w:hint="eastAsia" w:eastAsia="仿宋" w:cs="仿宋"/>
                <w:color w:val="auto"/>
                <w:sz w:val="24"/>
                <w:highlight w:val="none"/>
              </w:rPr>
              <w:t>大学体育</w:t>
            </w:r>
          </w:p>
        </w:tc>
        <w:tc>
          <w:tcPr>
            <w:tcW w:w="3418" w:type="dxa"/>
            <w:vAlign w:val="center"/>
          </w:tcPr>
          <w:p w14:paraId="4BE3F402">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旨在培养学生的体育兴趣，增强其身体素质，提高运动技能，并通过体育运动促进身心健康发展，为未来的学习和生活打下坚实的健康基础。</w:t>
            </w:r>
          </w:p>
          <w:p w14:paraId="408A0AEB">
            <w:pPr>
              <w:spacing w:line="320" w:lineRule="exact"/>
              <w:rPr>
                <w:rFonts w:eastAsia="仿宋" w:cs="仿宋"/>
                <w:color w:val="auto"/>
                <w:sz w:val="24"/>
                <w:highlight w:val="none"/>
                <w:shd w:val="clear" w:color="auto" w:fill="FFFFFF"/>
              </w:rPr>
            </w:pPr>
          </w:p>
        </w:tc>
        <w:tc>
          <w:tcPr>
            <w:tcW w:w="2982" w:type="dxa"/>
            <w:vAlign w:val="center"/>
          </w:tcPr>
          <w:p w14:paraId="7461D890">
            <w:pPr>
              <w:spacing w:line="320" w:lineRule="exact"/>
              <w:rPr>
                <w:rFonts w:eastAsia="仿宋" w:cs="仿宋"/>
                <w:color w:val="auto"/>
                <w:sz w:val="24"/>
                <w:highlight w:val="none"/>
              </w:rPr>
            </w:pPr>
            <w:r>
              <w:rPr>
                <w:rFonts w:hint="eastAsia" w:eastAsia="仿宋" w:cs="仿宋"/>
                <w:color w:val="auto"/>
                <w:sz w:val="24"/>
                <w:highlight w:val="none"/>
                <w:shd w:val="clear" w:color="auto" w:fill="FFFFFF"/>
              </w:rPr>
              <w:t>内容涵盖体育基础理论知识、实践技能训练、身体素质训练和心理健康教育等方面。</w:t>
            </w:r>
          </w:p>
        </w:tc>
        <w:tc>
          <w:tcPr>
            <w:tcW w:w="2982" w:type="dxa"/>
            <w:vAlign w:val="center"/>
          </w:tcPr>
          <w:p w14:paraId="182D0820">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循序渐进，由浅入深，逐步提高学生的体育技能；注重示范指导，通过示范动作带动学生的学习兴趣；强化实践训练，让学生通过实际操作掌握体育技能。</w:t>
            </w:r>
          </w:p>
        </w:tc>
      </w:tr>
      <w:tr w14:paraId="55F1D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E8B4FD4">
            <w:pPr>
              <w:spacing w:line="320" w:lineRule="exact"/>
              <w:jc w:val="center"/>
              <w:rPr>
                <w:rFonts w:eastAsia="仿宋" w:cs="仿宋"/>
                <w:color w:val="auto"/>
                <w:sz w:val="24"/>
                <w:highlight w:val="none"/>
              </w:rPr>
            </w:pPr>
            <w:r>
              <w:rPr>
                <w:rFonts w:hint="eastAsia" w:eastAsia="仿宋" w:cs="仿宋"/>
                <w:color w:val="auto"/>
                <w:sz w:val="24"/>
                <w:highlight w:val="none"/>
              </w:rPr>
              <w:t>6</w:t>
            </w:r>
          </w:p>
        </w:tc>
        <w:tc>
          <w:tcPr>
            <w:tcW w:w="1416" w:type="dxa"/>
            <w:vAlign w:val="center"/>
          </w:tcPr>
          <w:p w14:paraId="3DA3697F">
            <w:pPr>
              <w:spacing w:line="320" w:lineRule="exact"/>
              <w:jc w:val="left"/>
              <w:rPr>
                <w:rFonts w:eastAsia="仿宋" w:cs="仿宋"/>
                <w:color w:val="auto"/>
                <w:sz w:val="24"/>
                <w:highlight w:val="none"/>
              </w:rPr>
            </w:pPr>
            <w:r>
              <w:rPr>
                <w:rFonts w:hint="eastAsia" w:eastAsia="仿宋" w:cs="仿宋"/>
                <w:color w:val="auto"/>
                <w:sz w:val="24"/>
                <w:highlight w:val="none"/>
              </w:rPr>
              <w:t>军事理论及军事技能</w:t>
            </w:r>
          </w:p>
        </w:tc>
        <w:tc>
          <w:tcPr>
            <w:tcW w:w="3418" w:type="dxa"/>
            <w:vAlign w:val="center"/>
          </w:tcPr>
          <w:p w14:paraId="23AB5515">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旨在让学生了解基本的军事理论知识，掌握基本的军事技能，增强国家安全意识和国防观念，培养爱国主义精神，为培养合格公民和后备军事人才打下基础。</w:t>
            </w:r>
          </w:p>
        </w:tc>
        <w:tc>
          <w:tcPr>
            <w:tcW w:w="2982" w:type="dxa"/>
            <w:vAlign w:val="center"/>
          </w:tcPr>
          <w:p w14:paraId="3D01C992">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课程内容包括军事基础知识、国家安全形势分析、军事技能训练等。</w:t>
            </w:r>
          </w:p>
          <w:p w14:paraId="383B7865">
            <w:pPr>
              <w:spacing w:line="320" w:lineRule="exact"/>
              <w:rPr>
                <w:rFonts w:eastAsia="仿宋" w:cs="仿宋"/>
                <w:color w:val="auto"/>
                <w:sz w:val="24"/>
                <w:highlight w:val="none"/>
                <w:shd w:val="clear" w:color="auto" w:fill="FFFFFF"/>
              </w:rPr>
            </w:pPr>
          </w:p>
        </w:tc>
        <w:tc>
          <w:tcPr>
            <w:tcW w:w="2982" w:type="dxa"/>
            <w:vAlign w:val="center"/>
          </w:tcPr>
          <w:p w14:paraId="407F6398">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循序渐进，由浅入深，逐步提高学生的军训技能；注重示范指导，通过示范动作带动学生的学习兴趣；强化实践训练，让学生通过实际操作掌握军事技能。</w:t>
            </w:r>
          </w:p>
        </w:tc>
      </w:tr>
      <w:tr w14:paraId="2BC7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522" w:type="dxa"/>
            <w:vAlign w:val="center"/>
          </w:tcPr>
          <w:p w14:paraId="72272F97">
            <w:pPr>
              <w:spacing w:line="320" w:lineRule="exact"/>
              <w:jc w:val="center"/>
              <w:rPr>
                <w:rFonts w:eastAsia="仿宋" w:cs="仿宋"/>
                <w:color w:val="auto"/>
                <w:sz w:val="24"/>
                <w:highlight w:val="none"/>
              </w:rPr>
            </w:pPr>
            <w:r>
              <w:rPr>
                <w:rFonts w:hint="eastAsia" w:eastAsia="仿宋" w:cs="仿宋"/>
                <w:color w:val="auto"/>
                <w:sz w:val="24"/>
                <w:highlight w:val="none"/>
              </w:rPr>
              <w:t>7</w:t>
            </w:r>
          </w:p>
        </w:tc>
        <w:tc>
          <w:tcPr>
            <w:tcW w:w="1416" w:type="dxa"/>
            <w:vAlign w:val="center"/>
          </w:tcPr>
          <w:p w14:paraId="4A4D57F3">
            <w:pPr>
              <w:spacing w:line="320" w:lineRule="exact"/>
              <w:jc w:val="left"/>
              <w:rPr>
                <w:rFonts w:eastAsia="仿宋" w:cs="仿宋"/>
                <w:color w:val="auto"/>
                <w:sz w:val="24"/>
                <w:highlight w:val="none"/>
              </w:rPr>
            </w:pPr>
            <w:r>
              <w:rPr>
                <w:rFonts w:hint="eastAsia" w:eastAsia="仿宋" w:cs="仿宋"/>
                <w:color w:val="auto"/>
                <w:sz w:val="24"/>
                <w:highlight w:val="none"/>
              </w:rPr>
              <w:t>大学生心理健康教育</w:t>
            </w:r>
          </w:p>
        </w:tc>
        <w:tc>
          <w:tcPr>
            <w:tcW w:w="3418" w:type="dxa"/>
            <w:vAlign w:val="center"/>
          </w:tcPr>
          <w:p w14:paraId="2A422274">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旨在帮助学生建立正确的心理健康观念，提高心理素质，增强心理调适能力，预防和解决心理问题，促进个人全面发展，为未来的学习和生活奠定坚实的心理基础。</w:t>
            </w:r>
          </w:p>
        </w:tc>
        <w:tc>
          <w:tcPr>
            <w:tcW w:w="2982" w:type="dxa"/>
            <w:vAlign w:val="center"/>
          </w:tcPr>
          <w:p w14:paraId="2B5F18C4">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课程内容涵盖了心理学基础知识、自我认知与情绪管理、人际关系处理、学业与职业规划、心理健康维护与危机应对等方面。</w:t>
            </w:r>
          </w:p>
        </w:tc>
        <w:tc>
          <w:tcPr>
            <w:tcW w:w="2982" w:type="dxa"/>
            <w:vAlign w:val="center"/>
          </w:tcPr>
          <w:p w14:paraId="321C8BF4">
            <w:pPr>
              <w:spacing w:line="320" w:lineRule="exact"/>
              <w:rPr>
                <w:rFonts w:cs="仿宋"/>
                <w:color w:val="auto"/>
                <w:sz w:val="24"/>
                <w:highlight w:val="none"/>
                <w:shd w:val="clear" w:color="auto" w:fill="FFFFFF"/>
              </w:rPr>
            </w:pPr>
            <w:r>
              <w:rPr>
                <w:rFonts w:hint="eastAsia" w:eastAsia="仿宋" w:cs="仿宋"/>
                <w:color w:val="auto"/>
                <w:sz w:val="24"/>
                <w:highlight w:val="none"/>
                <w:shd w:val="clear" w:color="auto" w:fill="FFFFFF"/>
              </w:rPr>
              <w:t>要注重理论联系实际，注重培养学生实际应用能力；既有心理知识的传授，心理活动的体验，还有心理调适技能的训练等。</w:t>
            </w:r>
          </w:p>
        </w:tc>
      </w:tr>
      <w:tr w14:paraId="62462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196C5F07">
            <w:pPr>
              <w:spacing w:line="320" w:lineRule="exact"/>
              <w:jc w:val="center"/>
              <w:rPr>
                <w:rFonts w:eastAsia="仿宋" w:cs="仿宋"/>
                <w:color w:val="auto"/>
                <w:sz w:val="24"/>
                <w:highlight w:val="none"/>
              </w:rPr>
            </w:pPr>
            <w:r>
              <w:rPr>
                <w:rFonts w:hint="eastAsia" w:eastAsia="仿宋" w:cs="仿宋"/>
                <w:color w:val="auto"/>
                <w:sz w:val="24"/>
                <w:highlight w:val="none"/>
              </w:rPr>
              <w:t>8</w:t>
            </w:r>
          </w:p>
        </w:tc>
        <w:tc>
          <w:tcPr>
            <w:tcW w:w="1416" w:type="dxa"/>
            <w:vAlign w:val="center"/>
          </w:tcPr>
          <w:p w14:paraId="1E301890">
            <w:pPr>
              <w:spacing w:line="320" w:lineRule="exact"/>
              <w:jc w:val="left"/>
              <w:rPr>
                <w:rFonts w:eastAsia="仿宋" w:cs="仿宋"/>
                <w:color w:val="auto"/>
                <w:sz w:val="24"/>
                <w:highlight w:val="none"/>
              </w:rPr>
            </w:pPr>
            <w:r>
              <w:rPr>
                <w:rFonts w:hint="eastAsia" w:eastAsia="仿宋" w:cs="仿宋"/>
                <w:color w:val="auto"/>
                <w:sz w:val="24"/>
                <w:highlight w:val="none"/>
              </w:rPr>
              <w:t>大学英语</w:t>
            </w:r>
          </w:p>
        </w:tc>
        <w:tc>
          <w:tcPr>
            <w:tcW w:w="3418" w:type="dxa"/>
            <w:vAlign w:val="center"/>
          </w:tcPr>
          <w:p w14:paraId="6B7E5472">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培养学生具备基本的英语听、说、读、写、译能力，增强其跨文化交际意识和沟通能力，同时提高其综合素养，为未来的学术、职业和国际交流做好准备。</w:t>
            </w:r>
          </w:p>
        </w:tc>
        <w:tc>
          <w:tcPr>
            <w:tcW w:w="2982" w:type="dxa"/>
            <w:vAlign w:val="center"/>
          </w:tcPr>
          <w:p w14:paraId="0302BAE5">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777CD8F9">
            <w:pPr>
              <w:spacing w:line="320" w:lineRule="exact"/>
              <w:rPr>
                <w:rFonts w:cs="仿宋"/>
                <w:color w:val="auto"/>
                <w:sz w:val="24"/>
                <w:highlight w:val="none"/>
                <w:shd w:val="clear" w:color="auto" w:fill="FFFFFF"/>
              </w:rPr>
            </w:pPr>
            <w:r>
              <w:rPr>
                <w:rFonts w:hint="eastAsia" w:eastAsia="仿宋" w:cs="仿宋"/>
                <w:color w:val="auto"/>
                <w:sz w:val="24"/>
                <w:highlight w:val="none"/>
                <w:shd w:val="clear" w:color="auto" w:fill="FFFFFF"/>
              </w:rPr>
              <w:t>视听说部分加强对听说能力的培养和训练；读写部分加强对文章的理解和运用，引导学生提高全面理解整篇文章的能力。</w:t>
            </w:r>
          </w:p>
        </w:tc>
      </w:tr>
      <w:tr w14:paraId="2DB56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0208FA8">
            <w:pPr>
              <w:spacing w:line="320" w:lineRule="exact"/>
              <w:jc w:val="center"/>
              <w:rPr>
                <w:rFonts w:eastAsia="仿宋" w:cs="仿宋"/>
                <w:color w:val="auto"/>
                <w:sz w:val="24"/>
                <w:highlight w:val="none"/>
              </w:rPr>
            </w:pPr>
            <w:r>
              <w:rPr>
                <w:rFonts w:hint="eastAsia" w:eastAsia="仿宋" w:cs="仿宋"/>
                <w:color w:val="auto"/>
                <w:sz w:val="24"/>
                <w:highlight w:val="none"/>
              </w:rPr>
              <w:t>9</w:t>
            </w:r>
          </w:p>
        </w:tc>
        <w:tc>
          <w:tcPr>
            <w:tcW w:w="1416" w:type="dxa"/>
            <w:vAlign w:val="center"/>
          </w:tcPr>
          <w:p w14:paraId="12388AA7">
            <w:pPr>
              <w:spacing w:line="320" w:lineRule="exact"/>
              <w:jc w:val="left"/>
              <w:rPr>
                <w:rFonts w:eastAsia="仿宋" w:cs="仿宋"/>
                <w:color w:val="auto"/>
                <w:sz w:val="24"/>
                <w:highlight w:val="none"/>
              </w:rPr>
            </w:pPr>
            <w:r>
              <w:rPr>
                <w:rFonts w:hint="eastAsia" w:eastAsia="仿宋" w:cs="仿宋"/>
                <w:color w:val="auto"/>
                <w:sz w:val="24"/>
                <w:highlight w:val="none"/>
              </w:rPr>
              <w:t>高等数学</w:t>
            </w:r>
          </w:p>
        </w:tc>
        <w:tc>
          <w:tcPr>
            <w:tcW w:w="3418" w:type="dxa"/>
            <w:vAlign w:val="center"/>
          </w:tcPr>
          <w:p w14:paraId="7E08ACB0">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培养学生的数学逻辑思维、抽象思维和问题解决能力，使其掌握高等数学的基本概念和方法，为后续的学术研究、工程应用以及科学探索打下坚实的数学基础。</w:t>
            </w:r>
          </w:p>
        </w:tc>
        <w:tc>
          <w:tcPr>
            <w:tcW w:w="2982" w:type="dxa"/>
            <w:vAlign w:val="center"/>
          </w:tcPr>
          <w:p w14:paraId="570AE2DA">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课程内容包括函数、极限与连续、一元函数微积分、多元微积分、级数、常微分方程等。</w:t>
            </w:r>
          </w:p>
        </w:tc>
        <w:tc>
          <w:tcPr>
            <w:tcW w:w="2982" w:type="dxa"/>
            <w:vAlign w:val="center"/>
          </w:tcPr>
          <w:p w14:paraId="244B368F">
            <w:pPr>
              <w:spacing w:line="320" w:lineRule="exact"/>
              <w:rPr>
                <w:rFonts w:eastAsia="仿宋" w:cs="仿宋"/>
                <w:color w:val="auto"/>
                <w:sz w:val="24"/>
                <w:highlight w:val="none"/>
                <w:shd w:val="clear" w:color="auto" w:fill="FFFFFF"/>
              </w:rPr>
            </w:pPr>
            <w:r>
              <w:rPr>
                <w:rFonts w:hint="eastAsia" w:eastAsia="仿宋" w:cs="仿宋"/>
                <w:color w:val="auto"/>
                <w:sz w:val="24"/>
                <w:highlight w:val="none"/>
                <w:shd w:val="clear" w:color="auto" w:fill="FFFFFF"/>
              </w:rPr>
              <w:t>根据教学内容，结合学情分析以及教学重点、难点突破等，采用混合式教学模式，综合运用讲授法、案例教学法、启发式教学法、练习法教学方法。</w:t>
            </w:r>
          </w:p>
        </w:tc>
      </w:tr>
      <w:tr w14:paraId="7390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F318B29">
            <w:pPr>
              <w:spacing w:line="320" w:lineRule="exact"/>
              <w:jc w:val="center"/>
              <w:rPr>
                <w:rFonts w:eastAsia="仿宋" w:cs="仿宋"/>
                <w:color w:val="auto"/>
                <w:sz w:val="24"/>
                <w:highlight w:val="none"/>
              </w:rPr>
            </w:pPr>
            <w:r>
              <w:rPr>
                <w:rFonts w:hint="eastAsia" w:eastAsia="仿宋" w:cs="仿宋"/>
                <w:color w:val="auto"/>
                <w:sz w:val="24"/>
                <w:highlight w:val="none"/>
              </w:rPr>
              <w:t>10</w:t>
            </w:r>
          </w:p>
        </w:tc>
        <w:tc>
          <w:tcPr>
            <w:tcW w:w="1416" w:type="dxa"/>
            <w:vAlign w:val="center"/>
          </w:tcPr>
          <w:p w14:paraId="53F9B640">
            <w:pPr>
              <w:spacing w:line="320" w:lineRule="exact"/>
              <w:jc w:val="left"/>
              <w:rPr>
                <w:rFonts w:eastAsia="仿宋" w:cs="仿宋"/>
                <w:color w:val="auto"/>
                <w:sz w:val="24"/>
                <w:highlight w:val="none"/>
              </w:rPr>
            </w:pPr>
            <w:r>
              <w:rPr>
                <w:rFonts w:hint="eastAsia" w:eastAsia="仿宋" w:cs="仿宋"/>
                <w:color w:val="auto"/>
                <w:sz w:val="24"/>
                <w:highlight w:val="none"/>
              </w:rPr>
              <w:t>计算机基础</w:t>
            </w:r>
          </w:p>
        </w:tc>
        <w:tc>
          <w:tcPr>
            <w:tcW w:w="3418" w:type="dxa"/>
            <w:vAlign w:val="center"/>
          </w:tcPr>
          <w:p w14:paraId="5552720A">
            <w:pPr>
              <w:spacing w:line="320" w:lineRule="exact"/>
              <w:rPr>
                <w:rFonts w:eastAsia="仿宋" w:cs="仿宋"/>
                <w:color w:val="auto"/>
                <w:sz w:val="24"/>
                <w:highlight w:val="none"/>
              </w:rPr>
            </w:pPr>
            <w:r>
              <w:rPr>
                <w:rFonts w:hint="eastAsia" w:eastAsia="仿宋" w:cs="仿宋"/>
                <w:color w:val="auto"/>
                <w:sz w:val="24"/>
                <w:highlight w:val="none"/>
              </w:rPr>
              <w:t>让学生掌握计算机的基本概念和操作技能，培养其利用计算机解决实际问题的能力，为其未来的学习和工作提供必要的计算机技能支持。</w:t>
            </w:r>
          </w:p>
        </w:tc>
        <w:tc>
          <w:tcPr>
            <w:tcW w:w="2982" w:type="dxa"/>
            <w:vAlign w:val="center"/>
          </w:tcPr>
          <w:p w14:paraId="2BA116E3">
            <w:pPr>
              <w:spacing w:line="320" w:lineRule="exact"/>
              <w:rPr>
                <w:rFonts w:eastAsia="仿宋" w:cs="仿宋"/>
                <w:color w:val="auto"/>
                <w:sz w:val="24"/>
                <w:highlight w:val="none"/>
              </w:rPr>
            </w:pPr>
            <w:r>
              <w:rPr>
                <w:rFonts w:hint="eastAsia" w:eastAsia="仿宋" w:cs="仿宋"/>
                <w:color w:val="auto"/>
                <w:sz w:val="24"/>
                <w:highlight w:val="none"/>
              </w:rPr>
              <w:t>课程内容涵盖计算机基础知识、操作系统、办公软件应用、网络基础等方面。</w:t>
            </w:r>
          </w:p>
        </w:tc>
        <w:tc>
          <w:tcPr>
            <w:tcW w:w="2982" w:type="dxa"/>
            <w:vAlign w:val="center"/>
          </w:tcPr>
          <w:p w14:paraId="6ECA4985">
            <w:pPr>
              <w:spacing w:line="320" w:lineRule="exact"/>
              <w:rPr>
                <w:rFonts w:eastAsia="仿宋" w:cs="仿宋"/>
                <w:color w:val="auto"/>
                <w:sz w:val="24"/>
                <w:highlight w:val="none"/>
              </w:rPr>
            </w:pPr>
            <w:r>
              <w:rPr>
                <w:rFonts w:hint="eastAsia" w:eastAsia="仿宋" w:cs="仿宋"/>
                <w:color w:val="auto"/>
                <w:sz w:val="24"/>
                <w:highlight w:val="none"/>
              </w:rPr>
              <w:t>注重实践操作，加强实际操作练习。</w:t>
            </w:r>
          </w:p>
        </w:tc>
      </w:tr>
      <w:tr w14:paraId="443F4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B5F80BB">
            <w:pPr>
              <w:spacing w:line="320" w:lineRule="exact"/>
              <w:jc w:val="center"/>
              <w:rPr>
                <w:rFonts w:eastAsia="仿宋" w:cs="仿宋"/>
                <w:color w:val="auto"/>
                <w:sz w:val="24"/>
                <w:highlight w:val="none"/>
              </w:rPr>
            </w:pPr>
            <w:r>
              <w:rPr>
                <w:rFonts w:hint="eastAsia" w:eastAsia="仿宋" w:cs="仿宋"/>
                <w:color w:val="auto"/>
                <w:sz w:val="24"/>
                <w:highlight w:val="none"/>
              </w:rPr>
              <w:t>11</w:t>
            </w:r>
          </w:p>
        </w:tc>
        <w:tc>
          <w:tcPr>
            <w:tcW w:w="1416" w:type="dxa"/>
            <w:vAlign w:val="center"/>
          </w:tcPr>
          <w:p w14:paraId="3611B45C">
            <w:pPr>
              <w:spacing w:line="320" w:lineRule="exact"/>
              <w:jc w:val="left"/>
              <w:rPr>
                <w:rFonts w:eastAsia="仿宋" w:cs="仿宋"/>
                <w:color w:val="auto"/>
                <w:sz w:val="24"/>
                <w:highlight w:val="none"/>
              </w:rPr>
            </w:pPr>
            <w:r>
              <w:rPr>
                <w:rFonts w:hint="eastAsia" w:eastAsia="仿宋" w:cs="仿宋"/>
                <w:color w:val="auto"/>
                <w:sz w:val="24"/>
                <w:highlight w:val="none"/>
              </w:rPr>
              <w:t>大学生职业发展与就业指导</w:t>
            </w:r>
          </w:p>
        </w:tc>
        <w:tc>
          <w:tcPr>
            <w:tcW w:w="3418" w:type="dxa"/>
            <w:vAlign w:val="center"/>
          </w:tcPr>
          <w:p w14:paraId="0A6D20F4">
            <w:pPr>
              <w:spacing w:line="320" w:lineRule="exact"/>
              <w:rPr>
                <w:rFonts w:eastAsia="仿宋" w:cs="仿宋"/>
                <w:color w:val="auto"/>
                <w:sz w:val="24"/>
                <w:highlight w:val="none"/>
              </w:rPr>
            </w:pPr>
            <w:r>
              <w:rPr>
                <w:rFonts w:hint="eastAsia" w:eastAsia="仿宋" w:cs="仿宋"/>
                <w:color w:val="auto"/>
                <w:sz w:val="24"/>
                <w:highlight w:val="none"/>
              </w:rPr>
              <w:t>帮助学生明确职业方向，提升就业竞争力，培养创业意识，以及提供个性化的职业规划指导，为未来的职业生涯发展奠定坚实基础。</w:t>
            </w:r>
          </w:p>
        </w:tc>
        <w:tc>
          <w:tcPr>
            <w:tcW w:w="2982" w:type="dxa"/>
            <w:vAlign w:val="center"/>
          </w:tcPr>
          <w:p w14:paraId="3BE6EB18">
            <w:pPr>
              <w:spacing w:line="320" w:lineRule="exact"/>
              <w:rPr>
                <w:rFonts w:eastAsia="仿宋" w:cs="仿宋"/>
                <w:color w:val="auto"/>
                <w:sz w:val="24"/>
                <w:highlight w:val="none"/>
              </w:rPr>
            </w:pPr>
            <w:r>
              <w:rPr>
                <w:rFonts w:hint="eastAsia" w:eastAsia="仿宋" w:cs="仿宋"/>
                <w:color w:val="auto"/>
                <w:sz w:val="24"/>
                <w:highlight w:val="none"/>
              </w:rPr>
              <w:t>课程内容包括自我认知与职业定位、就业市场分析、求职技巧与方法、职业生涯规划、创业基础知识等。</w:t>
            </w:r>
          </w:p>
        </w:tc>
        <w:tc>
          <w:tcPr>
            <w:tcW w:w="2982" w:type="dxa"/>
            <w:vAlign w:val="center"/>
          </w:tcPr>
          <w:p w14:paraId="6E8C5BB3">
            <w:pPr>
              <w:spacing w:line="320" w:lineRule="exact"/>
              <w:rPr>
                <w:rFonts w:eastAsia="仿宋" w:cs="仿宋"/>
                <w:color w:val="auto"/>
                <w:sz w:val="24"/>
                <w:highlight w:val="none"/>
              </w:rPr>
            </w:pPr>
            <w:r>
              <w:rPr>
                <w:rFonts w:hint="eastAsia" w:eastAsia="仿宋" w:cs="仿宋"/>
                <w:color w:val="auto"/>
                <w:sz w:val="24"/>
                <w:highlight w:val="none"/>
              </w:rPr>
              <w:t>在教学中主要采用讲授法、讨论法、案例教学法，以充分调动学生进行思考，激发学生主动性和参与性，增加学生在课堂中的获得感，提高教学实效。</w:t>
            </w:r>
          </w:p>
        </w:tc>
      </w:tr>
      <w:tr w14:paraId="3CD8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7C6A8AD">
            <w:pPr>
              <w:spacing w:line="320" w:lineRule="exact"/>
              <w:jc w:val="center"/>
              <w:rPr>
                <w:rFonts w:eastAsia="仿宋" w:cs="仿宋"/>
                <w:color w:val="auto"/>
                <w:sz w:val="24"/>
                <w:highlight w:val="none"/>
              </w:rPr>
            </w:pPr>
            <w:r>
              <w:rPr>
                <w:rFonts w:hint="eastAsia" w:eastAsia="仿宋" w:cs="仿宋"/>
                <w:color w:val="auto"/>
                <w:sz w:val="24"/>
                <w:highlight w:val="none"/>
              </w:rPr>
              <w:t>12</w:t>
            </w:r>
          </w:p>
        </w:tc>
        <w:tc>
          <w:tcPr>
            <w:tcW w:w="1416" w:type="dxa"/>
            <w:vAlign w:val="center"/>
          </w:tcPr>
          <w:p w14:paraId="3A11B702">
            <w:pPr>
              <w:spacing w:line="320" w:lineRule="exact"/>
              <w:jc w:val="left"/>
              <w:rPr>
                <w:rFonts w:eastAsia="仿宋" w:cs="仿宋"/>
                <w:color w:val="auto"/>
                <w:sz w:val="24"/>
                <w:highlight w:val="none"/>
              </w:rPr>
            </w:pPr>
            <w:r>
              <w:rPr>
                <w:rFonts w:hint="eastAsia" w:eastAsia="仿宋" w:cs="仿宋"/>
                <w:color w:val="auto"/>
                <w:sz w:val="24"/>
                <w:highlight w:val="none"/>
              </w:rPr>
              <w:t>劳动教育</w:t>
            </w:r>
          </w:p>
        </w:tc>
        <w:tc>
          <w:tcPr>
            <w:tcW w:w="3418" w:type="dxa"/>
            <w:vAlign w:val="center"/>
          </w:tcPr>
          <w:p w14:paraId="3A96D054">
            <w:pPr>
              <w:spacing w:line="320" w:lineRule="exact"/>
              <w:rPr>
                <w:rFonts w:eastAsia="仿宋" w:cs="仿宋"/>
                <w:color w:val="auto"/>
                <w:sz w:val="24"/>
                <w:highlight w:val="none"/>
              </w:rPr>
            </w:pPr>
            <w:r>
              <w:rPr>
                <w:rFonts w:hint="eastAsia" w:eastAsia="仿宋" w:cs="仿宋"/>
                <w:color w:val="auto"/>
                <w:sz w:val="24"/>
                <w:highlight w:val="none"/>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75BFB616">
            <w:pPr>
              <w:spacing w:line="320" w:lineRule="exact"/>
              <w:rPr>
                <w:rFonts w:eastAsia="仿宋" w:cs="仿宋"/>
                <w:color w:val="auto"/>
                <w:sz w:val="24"/>
                <w:highlight w:val="none"/>
              </w:rPr>
            </w:pPr>
            <w:r>
              <w:rPr>
                <w:rFonts w:hint="eastAsia" w:eastAsia="仿宋" w:cs="仿宋"/>
                <w:color w:val="auto"/>
                <w:sz w:val="24"/>
                <w:highlight w:val="none"/>
              </w:rPr>
              <w:t>以实习实训课为主要载体开展劳动教育，包含劳动精神、劳模精神、工匠精神专题教育。</w:t>
            </w:r>
          </w:p>
        </w:tc>
        <w:tc>
          <w:tcPr>
            <w:tcW w:w="2982" w:type="dxa"/>
            <w:vAlign w:val="center"/>
          </w:tcPr>
          <w:p w14:paraId="367568A9">
            <w:pPr>
              <w:spacing w:line="320" w:lineRule="exact"/>
              <w:rPr>
                <w:rFonts w:eastAsia="仿宋" w:cs="仿宋"/>
                <w:color w:val="auto"/>
                <w:sz w:val="24"/>
                <w:highlight w:val="none"/>
              </w:rPr>
            </w:pPr>
            <w:r>
              <w:rPr>
                <w:rFonts w:hint="eastAsia" w:eastAsia="仿宋" w:cs="仿宋"/>
                <w:color w:val="auto"/>
                <w:sz w:val="24"/>
                <w:highlight w:val="none"/>
              </w:rPr>
              <w:t>注重围绕创新创业，结合学科和专业积极开展实习实训、专业服务、社会实践、勤工助学等，重视新知识、新技术、新工艺、新方法应用，创造性地解决实际问题。</w:t>
            </w:r>
          </w:p>
        </w:tc>
      </w:tr>
      <w:tr w14:paraId="15824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57BB9FB">
            <w:pPr>
              <w:spacing w:line="320" w:lineRule="exact"/>
              <w:jc w:val="center"/>
              <w:rPr>
                <w:rFonts w:eastAsia="仿宋" w:cs="仿宋"/>
                <w:color w:val="auto"/>
                <w:sz w:val="24"/>
                <w:highlight w:val="none"/>
              </w:rPr>
            </w:pPr>
            <w:r>
              <w:rPr>
                <w:rFonts w:hint="eastAsia" w:eastAsia="仿宋" w:cs="仿宋"/>
                <w:color w:val="auto"/>
                <w:sz w:val="24"/>
                <w:highlight w:val="none"/>
              </w:rPr>
              <w:t>13</w:t>
            </w:r>
          </w:p>
        </w:tc>
        <w:tc>
          <w:tcPr>
            <w:tcW w:w="1416" w:type="dxa"/>
            <w:vAlign w:val="center"/>
          </w:tcPr>
          <w:p w14:paraId="2363DA9C">
            <w:pPr>
              <w:spacing w:line="320" w:lineRule="exact"/>
              <w:jc w:val="left"/>
              <w:rPr>
                <w:rFonts w:eastAsia="仿宋" w:cs="仿宋"/>
                <w:color w:val="auto"/>
                <w:sz w:val="24"/>
                <w:highlight w:val="none"/>
              </w:rPr>
            </w:pPr>
            <w:r>
              <w:rPr>
                <w:rFonts w:hint="eastAsia" w:eastAsia="仿宋" w:cs="仿宋"/>
                <w:color w:val="auto"/>
                <w:sz w:val="24"/>
                <w:highlight w:val="none"/>
              </w:rPr>
              <w:t>大学生礼仪修养</w:t>
            </w:r>
          </w:p>
        </w:tc>
        <w:tc>
          <w:tcPr>
            <w:tcW w:w="3418" w:type="dxa"/>
            <w:vAlign w:val="center"/>
          </w:tcPr>
          <w:p w14:paraId="0AA935BD">
            <w:pPr>
              <w:spacing w:line="320" w:lineRule="exact"/>
              <w:rPr>
                <w:rFonts w:eastAsia="仿宋" w:cs="仿宋"/>
                <w:color w:val="auto"/>
                <w:sz w:val="24"/>
                <w:highlight w:val="none"/>
              </w:rPr>
            </w:pPr>
            <w:r>
              <w:rPr>
                <w:rFonts w:hint="eastAsia" w:eastAsia="仿宋" w:cs="仿宋"/>
                <w:color w:val="auto"/>
                <w:sz w:val="24"/>
                <w:highlight w:val="none"/>
              </w:rPr>
              <w:t>培养学生具备优雅得体的社交礼仪，提高其人际交往能力和社会适应能力，为未来的职业生涯和个人发展打下良好的社交基础。</w:t>
            </w:r>
          </w:p>
        </w:tc>
        <w:tc>
          <w:tcPr>
            <w:tcW w:w="2982" w:type="dxa"/>
            <w:vAlign w:val="center"/>
          </w:tcPr>
          <w:p w14:paraId="681689DD">
            <w:pPr>
              <w:spacing w:line="320" w:lineRule="exact"/>
              <w:rPr>
                <w:rFonts w:eastAsia="仿宋" w:cs="仿宋"/>
                <w:color w:val="auto"/>
                <w:sz w:val="24"/>
                <w:highlight w:val="none"/>
              </w:rPr>
            </w:pPr>
            <w:r>
              <w:rPr>
                <w:rFonts w:hint="eastAsia" w:eastAsia="仿宋" w:cs="仿宋"/>
                <w:color w:val="auto"/>
                <w:sz w:val="24"/>
                <w:highlight w:val="none"/>
              </w:rPr>
              <w:t>课程涵盖仪表仪态、日常社交礼仪、商务礼仪、公共礼仪、国际礼仪等方面。</w:t>
            </w:r>
          </w:p>
        </w:tc>
        <w:tc>
          <w:tcPr>
            <w:tcW w:w="2982" w:type="dxa"/>
            <w:vAlign w:val="center"/>
          </w:tcPr>
          <w:p w14:paraId="03086C2D">
            <w:pPr>
              <w:spacing w:line="320" w:lineRule="exact"/>
              <w:rPr>
                <w:rFonts w:eastAsia="仿宋" w:cs="仿宋"/>
                <w:color w:val="auto"/>
                <w:sz w:val="24"/>
                <w:highlight w:val="none"/>
              </w:rPr>
            </w:pPr>
            <w:r>
              <w:rPr>
                <w:rFonts w:hint="eastAsia" w:eastAsia="仿宋" w:cs="仿宋"/>
                <w:color w:val="auto"/>
                <w:sz w:val="24"/>
                <w:highlight w:val="none"/>
                <w:shd w:val="clear" w:color="auto" w:fill="FFFFFF"/>
              </w:rPr>
              <w:t>注重礼仪示范指导，通过礼仪示范动作带动学生的学习兴趣；强化礼仪实践训练，让学生通过礼仪实际操作掌握礼仪技能。</w:t>
            </w:r>
          </w:p>
        </w:tc>
      </w:tr>
      <w:tr w14:paraId="06755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E6DAE76">
            <w:pPr>
              <w:spacing w:line="320" w:lineRule="exact"/>
              <w:jc w:val="center"/>
              <w:rPr>
                <w:rFonts w:eastAsia="仿宋" w:cs="仿宋"/>
                <w:color w:val="auto"/>
                <w:sz w:val="24"/>
                <w:highlight w:val="none"/>
              </w:rPr>
            </w:pPr>
            <w:r>
              <w:rPr>
                <w:rFonts w:hint="eastAsia" w:eastAsia="仿宋" w:cs="仿宋"/>
                <w:color w:val="auto"/>
                <w:sz w:val="24"/>
                <w:highlight w:val="none"/>
              </w:rPr>
              <w:t>14</w:t>
            </w:r>
          </w:p>
        </w:tc>
        <w:tc>
          <w:tcPr>
            <w:tcW w:w="1416" w:type="dxa"/>
            <w:vAlign w:val="center"/>
          </w:tcPr>
          <w:p w14:paraId="04B8BCC6">
            <w:pPr>
              <w:spacing w:line="320" w:lineRule="exact"/>
              <w:jc w:val="left"/>
              <w:rPr>
                <w:rFonts w:eastAsia="仿宋" w:cs="仿宋"/>
                <w:color w:val="auto"/>
                <w:sz w:val="24"/>
                <w:highlight w:val="none"/>
              </w:rPr>
            </w:pPr>
            <w:r>
              <w:rPr>
                <w:rFonts w:hint="eastAsia" w:eastAsia="仿宋" w:cs="仿宋"/>
                <w:color w:val="auto"/>
                <w:sz w:val="24"/>
                <w:highlight w:val="none"/>
              </w:rPr>
              <w:t>中国民俗剪纸技法</w:t>
            </w:r>
          </w:p>
        </w:tc>
        <w:tc>
          <w:tcPr>
            <w:tcW w:w="3418" w:type="dxa"/>
            <w:vAlign w:val="center"/>
          </w:tcPr>
          <w:p w14:paraId="2968EDD3">
            <w:pPr>
              <w:spacing w:line="320" w:lineRule="exact"/>
              <w:rPr>
                <w:rFonts w:eastAsia="仿宋" w:cs="仿宋"/>
                <w:color w:val="auto"/>
                <w:sz w:val="24"/>
                <w:highlight w:val="none"/>
              </w:rPr>
            </w:pPr>
            <w:r>
              <w:rPr>
                <w:rFonts w:hint="eastAsia" w:eastAsia="仿宋" w:cs="仿宋"/>
                <w:color w:val="auto"/>
                <w:sz w:val="24"/>
                <w:highlight w:val="none"/>
              </w:rPr>
              <w:t>传承和弘扬中华传统文化，让学生掌握基本的剪纸技法和创作思维，培养其创意实践能力，并增进对中国传统民间艺术的了解与欣赏。</w:t>
            </w:r>
          </w:p>
          <w:p w14:paraId="028942C4">
            <w:pPr>
              <w:spacing w:line="320" w:lineRule="exact"/>
              <w:rPr>
                <w:rFonts w:eastAsia="仿宋" w:cs="仿宋"/>
                <w:color w:val="auto"/>
                <w:sz w:val="24"/>
                <w:highlight w:val="none"/>
              </w:rPr>
            </w:pPr>
          </w:p>
        </w:tc>
        <w:tc>
          <w:tcPr>
            <w:tcW w:w="2982" w:type="dxa"/>
            <w:vAlign w:val="center"/>
          </w:tcPr>
          <w:p w14:paraId="0C8C0303">
            <w:pPr>
              <w:spacing w:line="320" w:lineRule="exact"/>
              <w:rPr>
                <w:rFonts w:eastAsia="仿宋" w:cs="仿宋"/>
                <w:color w:val="auto"/>
                <w:sz w:val="24"/>
                <w:highlight w:val="none"/>
              </w:rPr>
            </w:pPr>
            <w:r>
              <w:rPr>
                <w:rFonts w:hint="eastAsia" w:eastAsia="仿宋" w:cs="仿宋"/>
                <w:color w:val="auto"/>
                <w:sz w:val="24"/>
                <w:highlight w:val="none"/>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11612343">
            <w:pPr>
              <w:spacing w:line="320" w:lineRule="exact"/>
              <w:rPr>
                <w:rFonts w:eastAsia="仿宋" w:cs="仿宋"/>
                <w:color w:val="auto"/>
                <w:sz w:val="24"/>
                <w:highlight w:val="none"/>
              </w:rPr>
            </w:pPr>
            <w:r>
              <w:rPr>
                <w:rFonts w:hint="eastAsia" w:eastAsia="仿宋" w:cs="仿宋"/>
                <w:color w:val="auto"/>
                <w:sz w:val="24"/>
                <w:highlight w:val="none"/>
              </w:rPr>
              <w:t>通过示范教学，直观的了解剪纸的技法和要领，通过剪纸创作，提高剪纸技能。</w:t>
            </w:r>
          </w:p>
        </w:tc>
      </w:tr>
      <w:tr w14:paraId="272AD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AB4794D">
            <w:pPr>
              <w:spacing w:line="320" w:lineRule="exact"/>
              <w:jc w:val="center"/>
              <w:rPr>
                <w:rFonts w:eastAsia="仿宋" w:cs="仿宋"/>
                <w:color w:val="auto"/>
                <w:sz w:val="24"/>
                <w:highlight w:val="none"/>
              </w:rPr>
            </w:pPr>
            <w:r>
              <w:rPr>
                <w:rFonts w:hint="eastAsia" w:eastAsia="仿宋" w:cs="仿宋"/>
                <w:color w:val="auto"/>
                <w:sz w:val="24"/>
                <w:highlight w:val="none"/>
              </w:rPr>
              <w:t>15</w:t>
            </w:r>
          </w:p>
        </w:tc>
        <w:tc>
          <w:tcPr>
            <w:tcW w:w="1416" w:type="dxa"/>
            <w:vAlign w:val="center"/>
          </w:tcPr>
          <w:p w14:paraId="04A6A2C3">
            <w:pPr>
              <w:spacing w:line="320" w:lineRule="exact"/>
              <w:jc w:val="left"/>
              <w:rPr>
                <w:rFonts w:eastAsia="仿宋" w:cs="仿宋"/>
                <w:color w:val="auto"/>
                <w:sz w:val="24"/>
                <w:highlight w:val="none"/>
              </w:rPr>
            </w:pPr>
            <w:r>
              <w:rPr>
                <w:rFonts w:hint="eastAsia" w:eastAsia="仿宋" w:cs="仿宋"/>
                <w:color w:val="auto"/>
                <w:sz w:val="24"/>
                <w:highlight w:val="none"/>
              </w:rPr>
              <w:t>影视与鉴赏</w:t>
            </w:r>
          </w:p>
        </w:tc>
        <w:tc>
          <w:tcPr>
            <w:tcW w:w="3418" w:type="dxa"/>
            <w:vAlign w:val="center"/>
          </w:tcPr>
          <w:p w14:paraId="1C7B9D26">
            <w:pPr>
              <w:spacing w:line="320" w:lineRule="exact"/>
              <w:rPr>
                <w:rFonts w:eastAsia="仿宋" w:cs="仿宋"/>
                <w:color w:val="auto"/>
                <w:sz w:val="24"/>
                <w:highlight w:val="none"/>
              </w:rPr>
            </w:pPr>
            <w:r>
              <w:rPr>
                <w:rFonts w:hint="eastAsia" w:eastAsia="仿宋" w:cs="仿宋"/>
                <w:color w:val="auto"/>
                <w:sz w:val="24"/>
                <w:highlight w:val="none"/>
              </w:rPr>
              <w:t>培养学生具备对影视作品的基本鉴赏能力，理解影视艺术的内涵与特点，提高审美水平，同时引导学生思考影视作品所反映的社会、文化和人性问题，促进批判性思维的形成。</w:t>
            </w:r>
          </w:p>
        </w:tc>
        <w:tc>
          <w:tcPr>
            <w:tcW w:w="2982" w:type="dxa"/>
            <w:vAlign w:val="center"/>
          </w:tcPr>
          <w:p w14:paraId="0545BD64">
            <w:pPr>
              <w:spacing w:line="320" w:lineRule="exact"/>
              <w:rPr>
                <w:rFonts w:eastAsia="仿宋" w:cs="仿宋"/>
                <w:color w:val="auto"/>
                <w:sz w:val="24"/>
                <w:highlight w:val="none"/>
              </w:rPr>
            </w:pPr>
            <w:r>
              <w:rPr>
                <w:rFonts w:hint="eastAsia" w:eastAsia="仿宋" w:cs="仿宋"/>
                <w:color w:val="auto"/>
                <w:sz w:val="24"/>
                <w:highlight w:val="none"/>
              </w:rPr>
              <w:t>课程内容涵盖影视作品分析、影视艺术理论、影视史论等方面。</w:t>
            </w:r>
          </w:p>
        </w:tc>
        <w:tc>
          <w:tcPr>
            <w:tcW w:w="2982" w:type="dxa"/>
            <w:vAlign w:val="center"/>
          </w:tcPr>
          <w:p w14:paraId="18DFEFAB">
            <w:pPr>
              <w:spacing w:line="320" w:lineRule="exact"/>
              <w:rPr>
                <w:rFonts w:eastAsia="仿宋" w:cs="仿宋"/>
                <w:color w:val="auto"/>
                <w:sz w:val="24"/>
                <w:highlight w:val="none"/>
              </w:rPr>
            </w:pPr>
            <w:r>
              <w:rPr>
                <w:rFonts w:hint="eastAsia" w:eastAsia="仿宋" w:cs="仿宋"/>
                <w:color w:val="auto"/>
                <w:sz w:val="24"/>
                <w:highlight w:val="none"/>
              </w:rPr>
              <w:t>利用启发诱导提升、优秀案例赏析、项目分组讨论等教学方法，引导学生主动思索，参与创新来达成有效提升学习效果目标。</w:t>
            </w:r>
          </w:p>
        </w:tc>
      </w:tr>
      <w:tr w14:paraId="7246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AE1B08D">
            <w:pPr>
              <w:spacing w:line="320" w:lineRule="exact"/>
              <w:jc w:val="center"/>
              <w:rPr>
                <w:rFonts w:eastAsia="仿宋" w:cs="仿宋"/>
                <w:color w:val="auto"/>
                <w:sz w:val="24"/>
                <w:highlight w:val="none"/>
              </w:rPr>
            </w:pPr>
            <w:r>
              <w:rPr>
                <w:rFonts w:hint="eastAsia" w:eastAsia="仿宋" w:cs="仿宋"/>
                <w:color w:val="auto"/>
                <w:sz w:val="24"/>
                <w:highlight w:val="none"/>
              </w:rPr>
              <w:t>16</w:t>
            </w:r>
          </w:p>
        </w:tc>
        <w:tc>
          <w:tcPr>
            <w:tcW w:w="1416" w:type="dxa"/>
            <w:vAlign w:val="center"/>
          </w:tcPr>
          <w:p w14:paraId="31351522">
            <w:pPr>
              <w:spacing w:line="320" w:lineRule="exact"/>
              <w:jc w:val="left"/>
              <w:rPr>
                <w:rFonts w:eastAsia="仿宋" w:cs="仿宋"/>
                <w:color w:val="auto"/>
                <w:sz w:val="24"/>
                <w:highlight w:val="none"/>
              </w:rPr>
            </w:pPr>
            <w:r>
              <w:rPr>
                <w:rFonts w:hint="eastAsia" w:eastAsia="仿宋" w:cs="仿宋"/>
                <w:color w:val="auto"/>
                <w:sz w:val="24"/>
                <w:highlight w:val="none"/>
              </w:rPr>
              <w:t>人际交流与沟通</w:t>
            </w:r>
          </w:p>
        </w:tc>
        <w:tc>
          <w:tcPr>
            <w:tcW w:w="3418" w:type="dxa"/>
            <w:vAlign w:val="center"/>
          </w:tcPr>
          <w:p w14:paraId="5EF2024C">
            <w:pPr>
              <w:spacing w:line="320" w:lineRule="exact"/>
              <w:rPr>
                <w:rFonts w:eastAsia="仿宋" w:cs="仿宋"/>
                <w:color w:val="auto"/>
                <w:sz w:val="24"/>
                <w:highlight w:val="none"/>
              </w:rPr>
            </w:pPr>
            <w:r>
              <w:rPr>
                <w:rFonts w:hint="eastAsia" w:eastAsia="仿宋" w:cs="仿宋"/>
                <w:color w:val="auto"/>
                <w:sz w:val="24"/>
                <w:highlight w:val="none"/>
              </w:rPr>
              <w:t>课程旨在帮助学生掌握有效的人际沟通技巧，提升其在工作、学习和日常生活中的沟通能力，以更好地建立和维护人际关系，实现有效合作与问题解决。</w:t>
            </w:r>
          </w:p>
        </w:tc>
        <w:tc>
          <w:tcPr>
            <w:tcW w:w="2982" w:type="dxa"/>
            <w:vAlign w:val="center"/>
          </w:tcPr>
          <w:p w14:paraId="201375E2">
            <w:pPr>
              <w:spacing w:line="320" w:lineRule="exact"/>
              <w:rPr>
                <w:rFonts w:eastAsia="仿宋" w:cs="仿宋"/>
                <w:color w:val="auto"/>
                <w:sz w:val="24"/>
                <w:highlight w:val="none"/>
              </w:rPr>
            </w:pPr>
            <w:r>
              <w:rPr>
                <w:rFonts w:hint="eastAsia" w:eastAsia="仿宋" w:cs="仿宋"/>
                <w:color w:val="auto"/>
                <w:sz w:val="24"/>
                <w:highlight w:val="none"/>
              </w:rPr>
              <w:t>课程内容包括沟通基础理论、沟通技巧、冲突处理、团队合作等方面。</w:t>
            </w:r>
          </w:p>
        </w:tc>
        <w:tc>
          <w:tcPr>
            <w:tcW w:w="2982" w:type="dxa"/>
            <w:vAlign w:val="center"/>
          </w:tcPr>
          <w:p w14:paraId="2CA2731B">
            <w:pPr>
              <w:spacing w:line="320" w:lineRule="exact"/>
              <w:rPr>
                <w:rFonts w:eastAsia="仿宋" w:cs="仿宋"/>
                <w:color w:val="auto"/>
                <w:sz w:val="24"/>
                <w:highlight w:val="none"/>
              </w:rPr>
            </w:pPr>
            <w:r>
              <w:rPr>
                <w:rFonts w:hint="eastAsia" w:eastAsia="仿宋" w:cs="仿宋"/>
                <w:color w:val="auto"/>
                <w:sz w:val="24"/>
                <w:highlight w:val="none"/>
              </w:rPr>
              <w:t>通过案例引导、深度解析，情景模拟，角色扮演，媒体演示，专项实践，让学生达到掌握知识技能目的。</w:t>
            </w:r>
          </w:p>
        </w:tc>
      </w:tr>
      <w:tr w14:paraId="488B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5DCEC17">
            <w:pPr>
              <w:spacing w:line="320" w:lineRule="exact"/>
              <w:jc w:val="center"/>
              <w:rPr>
                <w:rFonts w:eastAsia="仿宋" w:cs="仿宋"/>
                <w:color w:val="auto"/>
                <w:sz w:val="24"/>
                <w:highlight w:val="none"/>
              </w:rPr>
            </w:pPr>
            <w:r>
              <w:rPr>
                <w:rFonts w:hint="eastAsia" w:eastAsia="仿宋" w:cs="仿宋"/>
                <w:color w:val="auto"/>
                <w:sz w:val="24"/>
                <w:highlight w:val="none"/>
              </w:rPr>
              <w:t>17</w:t>
            </w:r>
          </w:p>
        </w:tc>
        <w:tc>
          <w:tcPr>
            <w:tcW w:w="1416" w:type="dxa"/>
            <w:vAlign w:val="center"/>
          </w:tcPr>
          <w:p w14:paraId="457A5993">
            <w:pPr>
              <w:spacing w:line="320" w:lineRule="exact"/>
              <w:jc w:val="left"/>
              <w:rPr>
                <w:rFonts w:eastAsia="仿宋" w:cs="仿宋"/>
                <w:color w:val="auto"/>
                <w:sz w:val="24"/>
                <w:highlight w:val="none"/>
              </w:rPr>
            </w:pPr>
            <w:r>
              <w:rPr>
                <w:rFonts w:hint="eastAsia" w:eastAsia="仿宋" w:cs="仿宋"/>
                <w:color w:val="auto"/>
                <w:sz w:val="24"/>
                <w:highlight w:val="none"/>
              </w:rPr>
              <w:t>演讲与口才</w:t>
            </w:r>
          </w:p>
        </w:tc>
        <w:tc>
          <w:tcPr>
            <w:tcW w:w="3418" w:type="dxa"/>
            <w:vAlign w:val="center"/>
          </w:tcPr>
          <w:p w14:paraId="1E111506">
            <w:pPr>
              <w:spacing w:line="320" w:lineRule="exact"/>
              <w:rPr>
                <w:rFonts w:eastAsia="仿宋" w:cs="仿宋"/>
                <w:color w:val="auto"/>
                <w:sz w:val="24"/>
                <w:highlight w:val="none"/>
              </w:rPr>
            </w:pPr>
            <w:r>
              <w:rPr>
                <w:rFonts w:hint="eastAsia" w:eastAsia="仿宋" w:cs="仿宋"/>
                <w:color w:val="auto"/>
                <w:sz w:val="24"/>
                <w:highlight w:val="none"/>
              </w:rPr>
              <w:t>培养学生的口头表达能力，使其具备清晰、准确、有逻辑的语言表达能力，同时增强学生的自信心和应变能力，为未来的公众演讲和职场沟通打下坚实基础。</w:t>
            </w:r>
          </w:p>
          <w:p w14:paraId="39A5D292">
            <w:pPr>
              <w:spacing w:line="320" w:lineRule="exact"/>
              <w:rPr>
                <w:rFonts w:eastAsia="仿宋" w:cs="仿宋"/>
                <w:color w:val="auto"/>
                <w:sz w:val="24"/>
                <w:highlight w:val="none"/>
              </w:rPr>
            </w:pPr>
          </w:p>
        </w:tc>
        <w:tc>
          <w:tcPr>
            <w:tcW w:w="2982" w:type="dxa"/>
            <w:vAlign w:val="center"/>
          </w:tcPr>
          <w:p w14:paraId="2380E11F">
            <w:pPr>
              <w:spacing w:line="320" w:lineRule="exact"/>
              <w:rPr>
                <w:rFonts w:eastAsia="仿宋" w:cs="仿宋"/>
                <w:color w:val="auto"/>
                <w:sz w:val="24"/>
                <w:highlight w:val="none"/>
              </w:rPr>
            </w:pPr>
            <w:r>
              <w:rPr>
                <w:rFonts w:hint="eastAsia" w:eastAsia="仿宋" w:cs="仿宋"/>
                <w:color w:val="auto"/>
                <w:sz w:val="24"/>
                <w:highlight w:val="none"/>
              </w:rPr>
              <w:t>课程内容包括演讲基础理论、演讲技巧、口才训练、实践演练等方面。学生将学习演讲的基本结构、语言技巧、肢体语言以及应对紧张情绪的方法。</w:t>
            </w:r>
          </w:p>
        </w:tc>
        <w:tc>
          <w:tcPr>
            <w:tcW w:w="2982" w:type="dxa"/>
            <w:vAlign w:val="center"/>
          </w:tcPr>
          <w:p w14:paraId="2E829822">
            <w:pPr>
              <w:spacing w:line="320" w:lineRule="exact"/>
              <w:rPr>
                <w:rFonts w:cs="仿宋"/>
                <w:color w:val="auto"/>
                <w:sz w:val="24"/>
                <w:highlight w:val="none"/>
              </w:rPr>
            </w:pPr>
            <w:r>
              <w:rPr>
                <w:rFonts w:hint="eastAsia" w:eastAsia="仿宋" w:cs="仿宋"/>
                <w:color w:val="auto"/>
                <w:sz w:val="24"/>
                <w:highlight w:val="none"/>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14:paraId="3902D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3CAD25C">
            <w:pPr>
              <w:spacing w:line="320" w:lineRule="exact"/>
              <w:jc w:val="center"/>
              <w:rPr>
                <w:rFonts w:eastAsia="仿宋" w:cs="仿宋"/>
                <w:color w:val="auto"/>
                <w:sz w:val="24"/>
                <w:highlight w:val="none"/>
              </w:rPr>
            </w:pPr>
            <w:r>
              <w:rPr>
                <w:rFonts w:hint="eastAsia" w:eastAsia="仿宋" w:cs="仿宋"/>
                <w:color w:val="auto"/>
                <w:sz w:val="24"/>
                <w:highlight w:val="none"/>
              </w:rPr>
              <w:t>18</w:t>
            </w:r>
          </w:p>
        </w:tc>
        <w:tc>
          <w:tcPr>
            <w:tcW w:w="1416" w:type="dxa"/>
            <w:vAlign w:val="center"/>
          </w:tcPr>
          <w:p w14:paraId="1AA76160">
            <w:pPr>
              <w:spacing w:line="320" w:lineRule="exact"/>
              <w:jc w:val="left"/>
              <w:rPr>
                <w:rFonts w:eastAsia="仿宋" w:cs="仿宋"/>
                <w:color w:val="auto"/>
                <w:sz w:val="24"/>
                <w:highlight w:val="none"/>
              </w:rPr>
            </w:pPr>
            <w:r>
              <w:rPr>
                <w:rFonts w:hint="eastAsia" w:eastAsia="仿宋" w:cs="仿宋"/>
                <w:color w:val="auto"/>
                <w:sz w:val="24"/>
                <w:highlight w:val="none"/>
              </w:rPr>
              <w:t>创新创业教育</w:t>
            </w:r>
          </w:p>
        </w:tc>
        <w:tc>
          <w:tcPr>
            <w:tcW w:w="3418" w:type="dxa"/>
            <w:vAlign w:val="center"/>
          </w:tcPr>
          <w:p w14:paraId="090014C6">
            <w:pPr>
              <w:spacing w:line="320" w:lineRule="exact"/>
              <w:rPr>
                <w:rFonts w:eastAsia="仿宋" w:cs="仿宋"/>
                <w:color w:val="auto"/>
                <w:sz w:val="24"/>
                <w:highlight w:val="none"/>
              </w:rPr>
            </w:pPr>
            <w:r>
              <w:rPr>
                <w:rFonts w:hint="eastAsia" w:eastAsia="仿宋" w:cs="仿宋"/>
                <w:color w:val="auto"/>
                <w:sz w:val="24"/>
                <w:highlight w:val="none"/>
              </w:rPr>
              <w:t>培养学生的创新思维、创业意识和创业能力，让学生了解创业的基本知识和流程，掌握创业所需的基本技能，为未来的创业实践或职业发展打下坚实基础。</w:t>
            </w:r>
          </w:p>
          <w:p w14:paraId="47036B74">
            <w:pPr>
              <w:spacing w:line="320" w:lineRule="exact"/>
              <w:rPr>
                <w:rFonts w:eastAsia="仿宋" w:cs="仿宋"/>
                <w:color w:val="auto"/>
                <w:sz w:val="24"/>
                <w:highlight w:val="none"/>
              </w:rPr>
            </w:pPr>
          </w:p>
        </w:tc>
        <w:tc>
          <w:tcPr>
            <w:tcW w:w="2982" w:type="dxa"/>
            <w:vAlign w:val="center"/>
          </w:tcPr>
          <w:p w14:paraId="540C0041">
            <w:pPr>
              <w:spacing w:line="320" w:lineRule="exact"/>
              <w:rPr>
                <w:rFonts w:eastAsia="仿宋" w:cs="仿宋"/>
                <w:color w:val="auto"/>
                <w:sz w:val="24"/>
                <w:highlight w:val="none"/>
              </w:rPr>
            </w:pPr>
            <w:r>
              <w:rPr>
                <w:rFonts w:hint="eastAsia" w:eastAsia="仿宋" w:cs="仿宋"/>
                <w:color w:val="auto"/>
                <w:sz w:val="24"/>
                <w:highlight w:val="none"/>
              </w:rPr>
              <w:t>课程内容涵盖创新思维培养、创业理念引导、市场调研分析、商业模式构建、团队建设与管理、创业计划书撰写、资金筹措与投资等方面。</w:t>
            </w:r>
          </w:p>
        </w:tc>
        <w:tc>
          <w:tcPr>
            <w:tcW w:w="2982" w:type="dxa"/>
            <w:vAlign w:val="center"/>
          </w:tcPr>
          <w:p w14:paraId="6FD01F3D">
            <w:pPr>
              <w:spacing w:line="320" w:lineRule="exact"/>
              <w:rPr>
                <w:rFonts w:cs="仿宋"/>
                <w:color w:val="auto"/>
                <w:sz w:val="24"/>
                <w:highlight w:val="none"/>
              </w:rPr>
            </w:pPr>
            <w:r>
              <w:rPr>
                <w:rFonts w:eastAsia="Helvetica" w:cs="Helvetica"/>
                <w:color w:val="auto"/>
                <w:szCs w:val="21"/>
                <w:highlight w:val="none"/>
                <w:shd w:val="clear" w:color="auto" w:fill="FFFFFF"/>
              </w:rPr>
              <w:t>理</w:t>
            </w:r>
            <w:r>
              <w:rPr>
                <w:rFonts w:hint="eastAsia" w:eastAsia="仿宋" w:cs="仿宋"/>
                <w:color w:val="auto"/>
                <w:sz w:val="24"/>
                <w:highlight w:val="none"/>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65D83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6591CBD">
            <w:pPr>
              <w:spacing w:line="320" w:lineRule="exact"/>
              <w:jc w:val="center"/>
              <w:rPr>
                <w:rFonts w:eastAsia="仿宋" w:cs="仿宋"/>
                <w:color w:val="auto"/>
                <w:sz w:val="24"/>
                <w:highlight w:val="none"/>
              </w:rPr>
            </w:pPr>
            <w:r>
              <w:rPr>
                <w:rFonts w:hint="eastAsia" w:eastAsia="仿宋" w:cs="仿宋"/>
                <w:color w:val="auto"/>
                <w:sz w:val="24"/>
                <w:highlight w:val="none"/>
              </w:rPr>
              <w:t>19</w:t>
            </w:r>
          </w:p>
        </w:tc>
        <w:tc>
          <w:tcPr>
            <w:tcW w:w="1416" w:type="dxa"/>
            <w:vAlign w:val="center"/>
          </w:tcPr>
          <w:p w14:paraId="3F4BD686">
            <w:pPr>
              <w:spacing w:line="320" w:lineRule="exact"/>
              <w:jc w:val="left"/>
              <w:rPr>
                <w:rFonts w:eastAsia="仿宋" w:cs="仿宋"/>
                <w:color w:val="auto"/>
                <w:sz w:val="24"/>
                <w:highlight w:val="none"/>
              </w:rPr>
            </w:pPr>
            <w:r>
              <w:rPr>
                <w:rFonts w:hint="eastAsia" w:eastAsia="仿宋" w:cs="仿宋"/>
                <w:color w:val="auto"/>
                <w:sz w:val="24"/>
                <w:highlight w:val="none"/>
              </w:rPr>
              <w:t>中国共产党简史</w:t>
            </w:r>
          </w:p>
        </w:tc>
        <w:tc>
          <w:tcPr>
            <w:tcW w:w="3418" w:type="dxa"/>
            <w:vAlign w:val="center"/>
          </w:tcPr>
          <w:p w14:paraId="13595D14">
            <w:pPr>
              <w:spacing w:line="320" w:lineRule="exact"/>
              <w:rPr>
                <w:rFonts w:eastAsia="仿宋" w:cs="仿宋"/>
                <w:color w:val="auto"/>
                <w:sz w:val="24"/>
                <w:highlight w:val="none"/>
              </w:rPr>
            </w:pPr>
            <w:r>
              <w:rPr>
                <w:rFonts w:hint="eastAsia" w:eastAsia="仿宋" w:cs="仿宋"/>
                <w:color w:val="auto"/>
                <w:sz w:val="24"/>
                <w:highlight w:val="none"/>
              </w:rPr>
              <w:t>中国共产党简史课程的目的是让学生了解中国共产党的光辉历程、伟大成就和宝贵经验，加深对中国特色社会主义道路、理论、制度、文化的认识，增强对党的信仰和对中国特色社会主义的信念。</w:t>
            </w:r>
          </w:p>
          <w:p w14:paraId="7FB400A4">
            <w:pPr>
              <w:spacing w:line="320" w:lineRule="exact"/>
              <w:rPr>
                <w:rFonts w:eastAsia="仿宋" w:cs="仿宋"/>
                <w:color w:val="auto"/>
                <w:sz w:val="24"/>
                <w:highlight w:val="none"/>
              </w:rPr>
            </w:pPr>
          </w:p>
        </w:tc>
        <w:tc>
          <w:tcPr>
            <w:tcW w:w="2982" w:type="dxa"/>
            <w:vAlign w:val="center"/>
          </w:tcPr>
          <w:p w14:paraId="25F6EDBA">
            <w:pPr>
              <w:spacing w:line="320" w:lineRule="exact"/>
              <w:rPr>
                <w:rFonts w:eastAsia="仿宋" w:cs="仿宋"/>
                <w:color w:val="auto"/>
                <w:sz w:val="24"/>
                <w:highlight w:val="none"/>
              </w:rPr>
            </w:pPr>
            <w:r>
              <w:rPr>
                <w:rFonts w:hint="eastAsia" w:eastAsia="仿宋" w:cs="仿宋"/>
                <w:color w:val="auto"/>
                <w:sz w:val="24"/>
                <w:highlight w:val="none"/>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vAlign w:val="center"/>
          </w:tcPr>
          <w:p w14:paraId="21FD8134">
            <w:pPr>
              <w:spacing w:line="320" w:lineRule="exact"/>
              <w:rPr>
                <w:rFonts w:eastAsia="仿宋" w:cs="仿宋"/>
                <w:color w:val="auto"/>
                <w:sz w:val="24"/>
                <w:highlight w:val="none"/>
              </w:rPr>
            </w:pPr>
            <w:r>
              <w:rPr>
                <w:rFonts w:hint="eastAsia" w:eastAsia="仿宋" w:cs="仿宋"/>
                <w:color w:val="auto"/>
                <w:sz w:val="24"/>
                <w:highlight w:val="none"/>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3772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6CFC20A">
            <w:pPr>
              <w:spacing w:line="320" w:lineRule="exact"/>
              <w:jc w:val="center"/>
              <w:rPr>
                <w:rFonts w:eastAsia="仿宋" w:cs="仿宋"/>
                <w:color w:val="auto"/>
                <w:sz w:val="24"/>
                <w:highlight w:val="none"/>
              </w:rPr>
            </w:pPr>
            <w:r>
              <w:rPr>
                <w:rFonts w:hint="eastAsia" w:eastAsia="仿宋" w:cs="仿宋"/>
                <w:color w:val="auto"/>
                <w:sz w:val="24"/>
                <w:highlight w:val="none"/>
              </w:rPr>
              <w:t>20</w:t>
            </w:r>
          </w:p>
        </w:tc>
        <w:tc>
          <w:tcPr>
            <w:tcW w:w="1416" w:type="dxa"/>
            <w:vAlign w:val="center"/>
          </w:tcPr>
          <w:p w14:paraId="0C2AF2FA">
            <w:pPr>
              <w:spacing w:line="320" w:lineRule="exact"/>
              <w:jc w:val="left"/>
              <w:rPr>
                <w:rFonts w:eastAsia="仿宋" w:cs="仿宋"/>
                <w:color w:val="auto"/>
                <w:sz w:val="24"/>
                <w:highlight w:val="none"/>
              </w:rPr>
            </w:pPr>
            <w:r>
              <w:rPr>
                <w:rFonts w:hint="eastAsia" w:eastAsia="仿宋" w:cs="仿宋"/>
                <w:color w:val="auto"/>
                <w:sz w:val="24"/>
                <w:highlight w:val="none"/>
              </w:rPr>
              <w:t>改革开放简史</w:t>
            </w:r>
          </w:p>
        </w:tc>
        <w:tc>
          <w:tcPr>
            <w:tcW w:w="3418" w:type="dxa"/>
            <w:vAlign w:val="center"/>
          </w:tcPr>
          <w:p w14:paraId="2335F302">
            <w:pPr>
              <w:spacing w:line="320" w:lineRule="exact"/>
              <w:rPr>
                <w:rFonts w:eastAsia="仿宋" w:cs="仿宋"/>
                <w:color w:val="auto"/>
                <w:sz w:val="24"/>
                <w:highlight w:val="none"/>
              </w:rPr>
            </w:pPr>
            <w:r>
              <w:rPr>
                <w:rFonts w:hint="eastAsia" w:eastAsia="仿宋" w:cs="仿宋"/>
                <w:color w:val="auto"/>
                <w:sz w:val="24"/>
                <w:highlight w:val="none"/>
              </w:rPr>
              <w:t>让学生全面了解改革开放的历史背景、进程和成就，深刻理解改革开放对中国现代化建设的深远影响，增强对中国特色社会主义道路、理论、制度、文化的自信。</w:t>
            </w:r>
          </w:p>
          <w:p w14:paraId="18D095E5">
            <w:pPr>
              <w:spacing w:line="320" w:lineRule="exact"/>
              <w:rPr>
                <w:rFonts w:eastAsia="仿宋" w:cs="仿宋"/>
                <w:color w:val="auto"/>
                <w:sz w:val="24"/>
                <w:highlight w:val="none"/>
              </w:rPr>
            </w:pPr>
          </w:p>
        </w:tc>
        <w:tc>
          <w:tcPr>
            <w:tcW w:w="2982" w:type="dxa"/>
            <w:vAlign w:val="center"/>
          </w:tcPr>
          <w:p w14:paraId="268B011D">
            <w:pPr>
              <w:spacing w:line="320" w:lineRule="exact"/>
              <w:rPr>
                <w:rFonts w:eastAsia="仿宋" w:cs="仿宋"/>
                <w:color w:val="auto"/>
                <w:sz w:val="24"/>
                <w:highlight w:val="none"/>
              </w:rPr>
            </w:pPr>
            <w:r>
              <w:rPr>
                <w:rFonts w:hint="eastAsia" w:eastAsia="仿宋" w:cs="仿宋"/>
                <w:color w:val="auto"/>
                <w:sz w:val="24"/>
                <w:highlight w:val="none"/>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06EAEE4D">
            <w:pPr>
              <w:spacing w:line="320" w:lineRule="exact"/>
              <w:rPr>
                <w:rFonts w:eastAsia="仿宋" w:cs="仿宋"/>
                <w:color w:val="auto"/>
                <w:sz w:val="24"/>
                <w:highlight w:val="none"/>
              </w:rPr>
            </w:pPr>
            <w:r>
              <w:rPr>
                <w:rFonts w:hint="eastAsia" w:eastAsia="仿宋" w:cs="仿宋"/>
                <w:color w:val="auto"/>
                <w:sz w:val="24"/>
                <w:highlight w:val="none"/>
              </w:rPr>
              <w:t>通过专</w:t>
            </w:r>
            <w:r>
              <w:rPr>
                <w:rFonts w:eastAsia="仿宋" w:cs="仿宋"/>
                <w:color w:val="auto"/>
                <w:sz w:val="24"/>
                <w:highlight w:val="none"/>
              </w:rPr>
              <w:t>题讲授法</w:t>
            </w:r>
            <w:r>
              <w:rPr>
                <w:rFonts w:hint="eastAsia" w:eastAsia="仿宋" w:cs="仿宋"/>
                <w:color w:val="auto"/>
                <w:sz w:val="24"/>
                <w:highlight w:val="none"/>
              </w:rPr>
              <w:t>、情</w:t>
            </w:r>
            <w:r>
              <w:rPr>
                <w:rFonts w:eastAsia="仿宋" w:cs="仿宋"/>
                <w:color w:val="auto"/>
                <w:sz w:val="24"/>
                <w:highlight w:val="none"/>
              </w:rPr>
              <w:t>境教学法</w:t>
            </w:r>
            <w:r>
              <w:rPr>
                <w:rFonts w:hint="eastAsia" w:eastAsia="仿宋" w:cs="仿宋"/>
                <w:color w:val="auto"/>
                <w:sz w:val="24"/>
                <w:highlight w:val="none"/>
              </w:rPr>
              <w:t>，让学生能</w:t>
            </w:r>
            <w:r>
              <w:rPr>
                <w:rFonts w:eastAsia="仿宋" w:cs="仿宋"/>
                <w:color w:val="auto"/>
                <w:sz w:val="24"/>
                <w:highlight w:val="none"/>
              </w:rPr>
              <w:t>够系统把握中国改革开放事业的辉煌成就、重大贡献、重要经验和深刻启示。</w:t>
            </w:r>
          </w:p>
        </w:tc>
      </w:tr>
      <w:tr w14:paraId="34C6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05240BC">
            <w:pPr>
              <w:spacing w:line="320" w:lineRule="exact"/>
              <w:jc w:val="center"/>
              <w:rPr>
                <w:rFonts w:eastAsia="仿宋" w:cs="仿宋"/>
                <w:color w:val="auto"/>
                <w:sz w:val="24"/>
                <w:highlight w:val="none"/>
              </w:rPr>
            </w:pPr>
            <w:r>
              <w:rPr>
                <w:rFonts w:hint="eastAsia" w:eastAsia="仿宋" w:cs="仿宋"/>
                <w:color w:val="auto"/>
                <w:sz w:val="24"/>
                <w:highlight w:val="none"/>
              </w:rPr>
              <w:t>21</w:t>
            </w:r>
          </w:p>
        </w:tc>
        <w:tc>
          <w:tcPr>
            <w:tcW w:w="1416" w:type="dxa"/>
            <w:vAlign w:val="center"/>
          </w:tcPr>
          <w:p w14:paraId="62402FF4">
            <w:pPr>
              <w:spacing w:line="320" w:lineRule="exact"/>
              <w:jc w:val="left"/>
              <w:rPr>
                <w:rFonts w:eastAsia="仿宋" w:cs="仿宋"/>
                <w:color w:val="auto"/>
                <w:sz w:val="24"/>
                <w:highlight w:val="none"/>
              </w:rPr>
            </w:pPr>
            <w:r>
              <w:rPr>
                <w:rFonts w:hint="eastAsia" w:eastAsia="仿宋" w:cs="仿宋"/>
                <w:color w:val="auto"/>
                <w:sz w:val="24"/>
                <w:highlight w:val="none"/>
              </w:rPr>
              <w:t>中华人民共和国简史</w:t>
            </w:r>
          </w:p>
        </w:tc>
        <w:tc>
          <w:tcPr>
            <w:tcW w:w="3418" w:type="dxa"/>
            <w:vAlign w:val="center"/>
          </w:tcPr>
          <w:p w14:paraId="3CA94B61">
            <w:pPr>
              <w:spacing w:line="320" w:lineRule="exact"/>
              <w:rPr>
                <w:rFonts w:eastAsia="仿宋" w:cs="仿宋"/>
                <w:color w:val="auto"/>
                <w:sz w:val="24"/>
                <w:highlight w:val="none"/>
              </w:rPr>
            </w:pPr>
            <w:r>
              <w:rPr>
                <w:rFonts w:hint="eastAsia" w:eastAsia="仿宋" w:cs="仿宋"/>
                <w:color w:val="auto"/>
                <w:sz w:val="24"/>
                <w:highlight w:val="none"/>
              </w:rPr>
              <w:t>让学生全面了解中华人民共和国从成立至今的历史进程、主要成就和基本经验，加深对中国特色社会主义道路、理论、制度、文化的认识，增强国家认同感和民族自豪感。</w:t>
            </w:r>
          </w:p>
          <w:p w14:paraId="1751CF72">
            <w:pPr>
              <w:spacing w:line="320" w:lineRule="exact"/>
              <w:rPr>
                <w:rFonts w:eastAsia="仿宋" w:cs="仿宋"/>
                <w:color w:val="auto"/>
                <w:sz w:val="24"/>
                <w:highlight w:val="none"/>
              </w:rPr>
            </w:pPr>
          </w:p>
          <w:p w14:paraId="66A1446F">
            <w:pPr>
              <w:spacing w:line="320" w:lineRule="exact"/>
              <w:rPr>
                <w:rFonts w:eastAsia="仿宋" w:cs="仿宋"/>
                <w:color w:val="auto"/>
                <w:sz w:val="24"/>
                <w:highlight w:val="none"/>
              </w:rPr>
            </w:pPr>
          </w:p>
        </w:tc>
        <w:tc>
          <w:tcPr>
            <w:tcW w:w="2982" w:type="dxa"/>
            <w:vAlign w:val="center"/>
          </w:tcPr>
          <w:p w14:paraId="01B6EB10">
            <w:pPr>
              <w:spacing w:line="320" w:lineRule="exact"/>
              <w:rPr>
                <w:rFonts w:eastAsia="仿宋" w:cs="仿宋"/>
                <w:color w:val="auto"/>
                <w:sz w:val="24"/>
                <w:highlight w:val="none"/>
              </w:rPr>
            </w:pPr>
            <w:r>
              <w:rPr>
                <w:rFonts w:hint="eastAsia" w:eastAsia="仿宋" w:cs="仿宋"/>
                <w:color w:val="auto"/>
                <w:sz w:val="24"/>
                <w:highlight w:val="none"/>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24DE29C6">
            <w:pPr>
              <w:spacing w:line="320" w:lineRule="exact"/>
              <w:rPr>
                <w:rFonts w:eastAsia="微软雅黑" w:cs="仿宋"/>
                <w:color w:val="auto"/>
                <w:sz w:val="24"/>
                <w:highlight w:val="none"/>
              </w:rPr>
            </w:pPr>
            <w:r>
              <w:rPr>
                <w:rFonts w:hint="eastAsia" w:eastAsia="仿宋" w:cs="仿宋"/>
                <w:color w:val="auto"/>
                <w:sz w:val="24"/>
                <w:highlight w:val="none"/>
              </w:rPr>
              <w:t>通过课堂讲解、案例分析、小组讨论、模拟实践等方式，促进学生进一步增强民族自尊心、自信心和自豪感,坚定对马克思主义的信仰、对中国共产党的信任、对社会主义的信心。</w:t>
            </w:r>
          </w:p>
        </w:tc>
      </w:tr>
      <w:tr w14:paraId="03598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63816EB0">
            <w:pPr>
              <w:spacing w:line="320" w:lineRule="exact"/>
              <w:jc w:val="center"/>
              <w:rPr>
                <w:rFonts w:eastAsia="仿宋" w:cs="仿宋"/>
                <w:color w:val="auto"/>
                <w:sz w:val="24"/>
                <w:highlight w:val="none"/>
              </w:rPr>
            </w:pPr>
            <w:r>
              <w:rPr>
                <w:rFonts w:hint="eastAsia" w:eastAsia="仿宋" w:cs="仿宋"/>
                <w:color w:val="auto"/>
                <w:sz w:val="24"/>
                <w:highlight w:val="none"/>
              </w:rPr>
              <w:t>22</w:t>
            </w:r>
          </w:p>
        </w:tc>
        <w:tc>
          <w:tcPr>
            <w:tcW w:w="1416" w:type="dxa"/>
            <w:vAlign w:val="center"/>
          </w:tcPr>
          <w:p w14:paraId="10693D0C">
            <w:pPr>
              <w:spacing w:line="320" w:lineRule="exact"/>
              <w:jc w:val="left"/>
              <w:rPr>
                <w:rFonts w:eastAsia="仿宋" w:cs="仿宋"/>
                <w:color w:val="auto"/>
                <w:sz w:val="24"/>
                <w:highlight w:val="none"/>
              </w:rPr>
            </w:pPr>
            <w:r>
              <w:rPr>
                <w:rFonts w:hint="eastAsia" w:eastAsia="仿宋" w:cs="仿宋"/>
                <w:color w:val="auto"/>
                <w:sz w:val="24"/>
                <w:highlight w:val="none"/>
              </w:rPr>
              <w:t>社会主义发展简史</w:t>
            </w:r>
          </w:p>
        </w:tc>
        <w:tc>
          <w:tcPr>
            <w:tcW w:w="3418" w:type="dxa"/>
            <w:vAlign w:val="center"/>
          </w:tcPr>
          <w:p w14:paraId="09129213">
            <w:pPr>
              <w:spacing w:line="320" w:lineRule="exact"/>
              <w:rPr>
                <w:rFonts w:eastAsia="仿宋" w:cs="仿宋"/>
                <w:color w:val="auto"/>
                <w:sz w:val="24"/>
                <w:highlight w:val="none"/>
              </w:rPr>
            </w:pPr>
            <w:r>
              <w:rPr>
                <w:rFonts w:hint="eastAsia" w:eastAsia="仿宋" w:cs="仿宋"/>
                <w:color w:val="auto"/>
                <w:sz w:val="24"/>
                <w:highlight w:val="none"/>
              </w:rPr>
              <w:t>让学生全面了解社会主义思想和实践的历史演变，深入理解社会主义的基本原则和核心价值，认识社会主义在不同国家和时期的发展与挑战，从而增强对社会主义制度的认识与信心。</w:t>
            </w:r>
          </w:p>
          <w:p w14:paraId="0AA7DCFB">
            <w:pPr>
              <w:spacing w:line="320" w:lineRule="exact"/>
              <w:rPr>
                <w:rFonts w:eastAsia="仿宋" w:cs="仿宋"/>
                <w:color w:val="auto"/>
                <w:sz w:val="24"/>
                <w:highlight w:val="none"/>
              </w:rPr>
            </w:pPr>
          </w:p>
          <w:p w14:paraId="0C9AAE57">
            <w:pPr>
              <w:spacing w:line="320" w:lineRule="exact"/>
              <w:rPr>
                <w:rFonts w:eastAsia="仿宋" w:cs="仿宋"/>
                <w:color w:val="auto"/>
                <w:sz w:val="24"/>
                <w:highlight w:val="none"/>
              </w:rPr>
            </w:pPr>
          </w:p>
        </w:tc>
        <w:tc>
          <w:tcPr>
            <w:tcW w:w="2982" w:type="dxa"/>
            <w:vAlign w:val="center"/>
          </w:tcPr>
          <w:p w14:paraId="2CCD9972">
            <w:pPr>
              <w:spacing w:line="320" w:lineRule="exact"/>
              <w:rPr>
                <w:rFonts w:eastAsia="仿宋" w:cs="仿宋"/>
                <w:color w:val="auto"/>
                <w:sz w:val="24"/>
                <w:highlight w:val="none"/>
              </w:rPr>
            </w:pPr>
            <w:r>
              <w:rPr>
                <w:rFonts w:hint="eastAsia" w:eastAsia="仿宋" w:cs="仿宋"/>
                <w:color w:val="auto"/>
                <w:sz w:val="24"/>
                <w:highlight w:val="none"/>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1D7C37CE">
            <w:pPr>
              <w:spacing w:line="320" w:lineRule="exact"/>
              <w:rPr>
                <w:rFonts w:eastAsia="仿宋" w:cs="仿宋"/>
                <w:color w:val="auto"/>
                <w:sz w:val="24"/>
                <w:highlight w:val="none"/>
              </w:rPr>
            </w:pPr>
            <w:r>
              <w:rPr>
                <w:rFonts w:hint="eastAsia" w:eastAsia="仿宋" w:cs="仿宋"/>
                <w:color w:val="auto"/>
                <w:sz w:val="24"/>
                <w:highlight w:val="none"/>
              </w:rPr>
              <w:t>通过文本解读法、故事穿插法、存疑追问法等方式，帮助学生掌握关于当代社会主义的基本知识，以更深刻的视角理解认识当代中国社会，强化共产主义世界观。</w:t>
            </w:r>
          </w:p>
        </w:tc>
      </w:tr>
      <w:tr w14:paraId="52F3E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jc w:val="center"/>
        </w:trPr>
        <w:tc>
          <w:tcPr>
            <w:tcW w:w="522" w:type="dxa"/>
            <w:vAlign w:val="center"/>
          </w:tcPr>
          <w:p w14:paraId="2E39A012">
            <w:pPr>
              <w:spacing w:line="320" w:lineRule="exact"/>
              <w:jc w:val="center"/>
              <w:rPr>
                <w:rFonts w:eastAsia="仿宋" w:cs="仿宋"/>
                <w:color w:val="auto"/>
                <w:sz w:val="24"/>
                <w:highlight w:val="none"/>
              </w:rPr>
            </w:pPr>
            <w:r>
              <w:rPr>
                <w:rFonts w:hint="eastAsia" w:eastAsia="仿宋" w:cs="仿宋"/>
                <w:color w:val="auto"/>
                <w:sz w:val="24"/>
                <w:highlight w:val="none"/>
              </w:rPr>
              <w:t>23</w:t>
            </w:r>
          </w:p>
        </w:tc>
        <w:tc>
          <w:tcPr>
            <w:tcW w:w="1416" w:type="dxa"/>
            <w:vAlign w:val="center"/>
          </w:tcPr>
          <w:p w14:paraId="2C7F77BC">
            <w:pPr>
              <w:spacing w:line="320" w:lineRule="exact"/>
              <w:jc w:val="left"/>
              <w:rPr>
                <w:rFonts w:eastAsia="仿宋" w:cs="仿宋"/>
                <w:color w:val="auto"/>
                <w:sz w:val="24"/>
                <w:highlight w:val="none"/>
              </w:rPr>
            </w:pPr>
            <w:r>
              <w:rPr>
                <w:rFonts w:hint="eastAsia" w:eastAsia="仿宋" w:cs="仿宋"/>
                <w:color w:val="auto"/>
                <w:sz w:val="24"/>
                <w:highlight w:val="none"/>
              </w:rPr>
              <w:t>国家安全教育</w:t>
            </w:r>
          </w:p>
        </w:tc>
        <w:tc>
          <w:tcPr>
            <w:tcW w:w="3418" w:type="dxa"/>
            <w:vAlign w:val="center"/>
          </w:tcPr>
          <w:p w14:paraId="738E8E8A">
            <w:pPr>
              <w:spacing w:line="320" w:lineRule="exact"/>
              <w:rPr>
                <w:rFonts w:eastAsia="仿宋" w:cs="仿宋"/>
                <w:color w:val="auto"/>
                <w:sz w:val="24"/>
                <w:highlight w:val="none"/>
              </w:rPr>
            </w:pPr>
            <w:r>
              <w:rPr>
                <w:rFonts w:hint="eastAsia" w:eastAsia="仿宋" w:cs="仿宋"/>
                <w:color w:val="auto"/>
                <w:sz w:val="24"/>
                <w:highlight w:val="none"/>
              </w:rPr>
              <w:t>让学生系统掌握总体国家安全观的内涵和精神实质，理解中国特色国家安全体系，树立国家安全底线思维，将国家安全意识转化为自觉行动，强化责任担当。</w:t>
            </w:r>
          </w:p>
        </w:tc>
        <w:tc>
          <w:tcPr>
            <w:tcW w:w="2982" w:type="dxa"/>
            <w:vAlign w:val="center"/>
          </w:tcPr>
          <w:p w14:paraId="17AE2087">
            <w:pPr>
              <w:spacing w:line="320" w:lineRule="exact"/>
              <w:rPr>
                <w:rFonts w:eastAsia="仿宋" w:cs="仿宋"/>
                <w:color w:val="auto"/>
                <w:sz w:val="24"/>
                <w:highlight w:val="none"/>
              </w:rPr>
            </w:pPr>
            <w:r>
              <w:rPr>
                <w:rFonts w:hint="eastAsia" w:eastAsia="仿宋" w:cs="仿宋"/>
                <w:color w:val="auto"/>
                <w:sz w:val="24"/>
                <w:highlight w:val="none"/>
              </w:rPr>
              <w:t>政治安全、国土安全、军事安全、经济安全、文化安全、社会安全、科技安全、网络安全、生态安全、资源安全、核安全、海外利益安全、新型领域安全</w:t>
            </w:r>
          </w:p>
        </w:tc>
        <w:tc>
          <w:tcPr>
            <w:tcW w:w="2982" w:type="dxa"/>
            <w:vAlign w:val="center"/>
          </w:tcPr>
          <w:p w14:paraId="4B384CFC">
            <w:pPr>
              <w:spacing w:line="320" w:lineRule="exact"/>
              <w:rPr>
                <w:rFonts w:cs="仿宋"/>
                <w:color w:val="auto"/>
                <w:sz w:val="24"/>
                <w:highlight w:val="none"/>
              </w:rPr>
            </w:pPr>
            <w:r>
              <w:rPr>
                <w:rFonts w:hint="eastAsia" w:eastAsia="仿宋" w:cs="仿宋"/>
                <w:color w:val="auto"/>
                <w:sz w:val="24"/>
                <w:highlight w:val="none"/>
              </w:rPr>
              <w:t>通过组织讲座、参观、调研、体验式、实践活动等方式，进行案例分析、实地考察、访谈探究、行动反思，积极引导学生自主参与、体验感悟。</w:t>
            </w:r>
          </w:p>
        </w:tc>
      </w:tr>
      <w:tr w14:paraId="202C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5" w:hRule="atLeast"/>
          <w:jc w:val="center"/>
        </w:trPr>
        <w:tc>
          <w:tcPr>
            <w:tcW w:w="522" w:type="dxa"/>
            <w:vAlign w:val="center"/>
          </w:tcPr>
          <w:p w14:paraId="45034263">
            <w:pPr>
              <w:spacing w:line="320" w:lineRule="exact"/>
              <w:jc w:val="center"/>
              <w:rPr>
                <w:rFonts w:eastAsia="仿宋" w:cs="仿宋"/>
                <w:color w:val="auto"/>
                <w:sz w:val="24"/>
                <w:highlight w:val="none"/>
              </w:rPr>
            </w:pPr>
            <w:r>
              <w:rPr>
                <w:rFonts w:hint="eastAsia" w:eastAsia="仿宋" w:cs="仿宋"/>
                <w:color w:val="auto"/>
                <w:sz w:val="24"/>
                <w:highlight w:val="none"/>
              </w:rPr>
              <w:t>24</w:t>
            </w:r>
          </w:p>
        </w:tc>
        <w:tc>
          <w:tcPr>
            <w:tcW w:w="1416" w:type="dxa"/>
            <w:vAlign w:val="center"/>
          </w:tcPr>
          <w:p w14:paraId="10957E4A">
            <w:pPr>
              <w:spacing w:line="320" w:lineRule="exact"/>
              <w:jc w:val="left"/>
              <w:rPr>
                <w:rFonts w:eastAsia="仿宋" w:cs="仿宋"/>
                <w:color w:val="auto"/>
                <w:sz w:val="24"/>
                <w:highlight w:val="none"/>
              </w:rPr>
            </w:pPr>
            <w:r>
              <w:rPr>
                <w:rFonts w:hint="eastAsia" w:eastAsia="仿宋" w:cs="仿宋"/>
                <w:color w:val="auto"/>
                <w:sz w:val="24"/>
                <w:highlight w:val="none"/>
              </w:rPr>
              <w:t>语文</w:t>
            </w:r>
          </w:p>
        </w:tc>
        <w:tc>
          <w:tcPr>
            <w:tcW w:w="3418" w:type="dxa"/>
            <w:vAlign w:val="center"/>
          </w:tcPr>
          <w:p w14:paraId="5F3D0CFA">
            <w:pPr>
              <w:spacing w:line="320" w:lineRule="exact"/>
              <w:rPr>
                <w:rFonts w:eastAsia="仿宋" w:cs="仿宋"/>
                <w:color w:val="auto"/>
                <w:sz w:val="24"/>
                <w:highlight w:val="none"/>
              </w:rPr>
            </w:pPr>
            <w:r>
              <w:rPr>
                <w:rFonts w:hint="eastAsia" w:eastAsia="仿宋" w:cs="仿宋"/>
                <w:color w:val="auto"/>
                <w:sz w:val="24"/>
                <w:highlight w:val="none"/>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302CC796">
            <w:pPr>
              <w:spacing w:line="320" w:lineRule="exact"/>
              <w:rPr>
                <w:rFonts w:eastAsia="仿宋" w:cs="仿宋"/>
                <w:color w:val="auto"/>
                <w:sz w:val="24"/>
                <w:highlight w:val="none"/>
              </w:rPr>
            </w:pPr>
            <w:r>
              <w:rPr>
                <w:rFonts w:hint="eastAsia" w:eastAsia="仿宋" w:cs="仿宋"/>
                <w:color w:val="auto"/>
                <w:sz w:val="24"/>
                <w:highlight w:val="none"/>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439BC6FA">
            <w:pPr>
              <w:spacing w:line="320" w:lineRule="exact"/>
              <w:rPr>
                <w:rFonts w:eastAsia="仿宋" w:cs="仿宋"/>
                <w:color w:val="auto"/>
                <w:sz w:val="24"/>
                <w:highlight w:val="none"/>
              </w:rPr>
            </w:pPr>
            <w:r>
              <w:rPr>
                <w:rFonts w:hint="eastAsia" w:eastAsia="仿宋" w:cs="仿宋"/>
                <w:color w:val="auto"/>
                <w:sz w:val="24"/>
                <w:highlight w:val="none"/>
              </w:rPr>
              <w:t>通过多媒体教学设备展示文学作品的相关图片、视频和音频资料，帮助学生更好理解作品。其次组织课堂讨论、小组合作等教学活动，鼓励学生积极参与，培养其合作意识和创新能力。</w:t>
            </w:r>
          </w:p>
        </w:tc>
      </w:tr>
    </w:tbl>
    <w:p w14:paraId="673A79B4">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（二）专业（技能）课程</w:t>
      </w:r>
    </w:p>
    <w:p w14:paraId="5B1C4C0F">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专业（技能）课程包括专业基础课程、专业核心课程、专业拓展课程，并涵盖有关实践性教学环节。</w:t>
      </w:r>
    </w:p>
    <w:p w14:paraId="7709B975">
      <w:pPr>
        <w:overflowPunct w:val="0"/>
        <w:adjustRightInd w:val="0"/>
        <w:spacing w:line="520" w:lineRule="exact"/>
        <w:ind w:firstLine="640" w:firstLineChars="200"/>
        <w:rPr>
          <w:rFonts w:eastAsia="仿宋_GB2312" w:cs="仿宋"/>
          <w:color w:val="auto"/>
          <w:sz w:val="32"/>
          <w:szCs w:val="32"/>
          <w:highlight w:val="none"/>
        </w:rPr>
      </w:pPr>
      <w:bookmarkStart w:id="9" w:name="_Toc90734975"/>
      <w:r>
        <w:rPr>
          <w:rFonts w:hint="eastAsia" w:eastAsia="仿宋_GB2312" w:cs="仿宋"/>
          <w:color w:val="auto"/>
          <w:sz w:val="32"/>
          <w:szCs w:val="32"/>
          <w:highlight w:val="none"/>
        </w:rPr>
        <w:t>1.专业基础课程</w:t>
      </w:r>
      <w:bookmarkEnd w:id="9"/>
    </w:p>
    <w:p w14:paraId="74C17C12">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基础课是为后续专业课程学习打基础的课程。包括：环境工程概论、土木工程概论、工程制图、普通化学、计算机辅助设计（CAD）、工程地质与水文、建筑力学与结构、测量学、安全生产管理、土力学与地基基础等课程。</w:t>
      </w:r>
    </w:p>
    <w:p w14:paraId="7004EB3F">
      <w:pPr>
        <w:overflowPunct w:val="0"/>
        <w:adjustRightInd w:val="0"/>
        <w:spacing w:line="520" w:lineRule="exact"/>
        <w:ind w:firstLine="2880" w:firstLineChars="900"/>
        <w:rPr>
          <w:rFonts w:eastAsia="仿宋_GB2312" w:cs="仿宋"/>
          <w:color w:val="auto"/>
          <w:sz w:val="32"/>
          <w:szCs w:val="32"/>
          <w:highlight w:val="none"/>
        </w:rPr>
      </w:pPr>
      <w:r>
        <w:rPr>
          <w:rFonts w:hint="eastAsia" w:eastAsia="仿宋_GB2312" w:cs="仿宋"/>
          <w:color w:val="auto"/>
          <w:sz w:val="32"/>
          <w:szCs w:val="32"/>
          <w:highlight w:val="none"/>
        </w:rPr>
        <w:t>专业基础课程描述表</w:t>
      </w:r>
    </w:p>
    <w:tbl>
      <w:tblPr>
        <w:tblStyle w:val="8"/>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830"/>
        <w:gridCol w:w="2321"/>
        <w:gridCol w:w="2274"/>
        <w:gridCol w:w="2725"/>
      </w:tblGrid>
      <w:tr w14:paraId="27A59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F6A2B56">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830" w:type="dxa"/>
            <w:vAlign w:val="center"/>
          </w:tcPr>
          <w:p w14:paraId="5AC6433F">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321" w:type="dxa"/>
            <w:vAlign w:val="center"/>
          </w:tcPr>
          <w:p w14:paraId="21FD8E63">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274" w:type="dxa"/>
            <w:vAlign w:val="center"/>
          </w:tcPr>
          <w:p w14:paraId="5AA5584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2725" w:type="dxa"/>
            <w:vAlign w:val="center"/>
          </w:tcPr>
          <w:p w14:paraId="48A8402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2DFA4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6AD8ECF">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830" w:type="dxa"/>
            <w:vAlign w:val="center"/>
          </w:tcPr>
          <w:p w14:paraId="547C7FFB">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环境工程概论</w:t>
            </w:r>
          </w:p>
        </w:tc>
        <w:tc>
          <w:tcPr>
            <w:tcW w:w="2321" w:type="dxa"/>
            <w:vAlign w:val="center"/>
          </w:tcPr>
          <w:p w14:paraId="0D8B14DB">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全面了解环境工程的基本概念、原理、技术体系及发展趋势，掌握环境污染控制的基本方法和手段，培养学生的环境意识和解决环境问题的能力，为其后续深入学习环境工程专业知识及从事环境保护工作奠定基础。</w:t>
            </w:r>
          </w:p>
        </w:tc>
        <w:tc>
          <w:tcPr>
            <w:tcW w:w="2274" w:type="dxa"/>
            <w:vAlign w:val="center"/>
          </w:tcPr>
          <w:p w14:paraId="08502DDC">
            <w:pPr>
              <w:spacing w:line="320" w:lineRule="exact"/>
              <w:jc w:val="center"/>
              <w:rPr>
                <w:rFonts w:eastAsia="仿宋_GB2312" w:cs="仿宋"/>
                <w:color w:val="auto"/>
                <w:sz w:val="24"/>
                <w:highlight w:val="none"/>
              </w:rPr>
            </w:pPr>
            <w:r>
              <w:rPr>
                <w:rFonts w:hint="eastAsia" w:eastAsia="仿宋_GB2312" w:cs="仿宋"/>
                <w:color w:val="auto"/>
                <w:sz w:val="24"/>
                <w:highlight w:val="none"/>
              </w:rPr>
              <w:t>包括环境工程的定义、发展历程、研究内容、技术体系及发展趋势；大气污染、水污染、土壤污染、固体废物污染等环境污染问题的成因、危害及治理技术；环境规划、环境管理、环境评价等环境工程的综合应用。同时，结合国内外环境工程领域的典型案例，分析环境工程技术的实际应用效果及存在的问题。</w:t>
            </w:r>
          </w:p>
        </w:tc>
        <w:tc>
          <w:tcPr>
            <w:tcW w:w="2725" w:type="dxa"/>
            <w:vAlign w:val="center"/>
          </w:tcPr>
          <w:p w14:paraId="3672311C">
            <w:pPr>
              <w:spacing w:line="320" w:lineRule="exact"/>
              <w:jc w:val="center"/>
              <w:rPr>
                <w:rFonts w:eastAsia="仿宋_GB2312" w:cs="仿宋"/>
                <w:color w:val="auto"/>
                <w:sz w:val="24"/>
                <w:highlight w:val="none"/>
              </w:rPr>
            </w:pPr>
            <w:r>
              <w:rPr>
                <w:rFonts w:hint="eastAsia" w:eastAsia="仿宋_GB2312" w:cs="仿宋"/>
                <w:color w:val="auto"/>
                <w:sz w:val="24"/>
                <w:highlight w:val="none"/>
              </w:rPr>
              <w:t>注重理论与实践相结合，通过课堂讲授、案例分析、小组讨论、实地考察等多种教学方式，使学生掌握环境工程的基本概念和原理，了解环境污染控制的技术手段和方法。同时，强调培养学生的环境意识和责任感，引导学生关注环境问题，积极参与环境保护活动。注重培养学生的创新思维和解决问题的能力，鼓励学生探索新的环境工程技术和方法。</w:t>
            </w:r>
          </w:p>
        </w:tc>
      </w:tr>
      <w:tr w14:paraId="5A095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C38959E">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830" w:type="dxa"/>
            <w:vAlign w:val="center"/>
          </w:tcPr>
          <w:p w14:paraId="068B57DD">
            <w:pPr>
              <w:spacing w:line="320" w:lineRule="exact"/>
              <w:jc w:val="center"/>
              <w:rPr>
                <w:rFonts w:eastAsia="仿宋_GB2312" w:cs="仿宋"/>
                <w:color w:val="auto"/>
                <w:sz w:val="24"/>
                <w:highlight w:val="none"/>
              </w:rPr>
            </w:pPr>
            <w:r>
              <w:rPr>
                <w:rFonts w:hint="eastAsia" w:eastAsia="仿宋_GB2312" w:cs="仿宋"/>
                <w:color w:val="auto"/>
                <w:sz w:val="24"/>
                <w:highlight w:val="none"/>
              </w:rPr>
              <w:t>土木工程概论</w:t>
            </w:r>
          </w:p>
        </w:tc>
        <w:tc>
          <w:tcPr>
            <w:tcW w:w="2321" w:type="dxa"/>
            <w:vAlign w:val="center"/>
          </w:tcPr>
          <w:p w14:paraId="0B12167C">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2274" w:type="dxa"/>
            <w:vAlign w:val="center"/>
          </w:tcPr>
          <w:p w14:paraId="02901E63">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2725" w:type="dxa"/>
            <w:vAlign w:val="center"/>
          </w:tcPr>
          <w:p w14:paraId="472F5CCF">
            <w:pPr>
              <w:spacing w:line="320" w:lineRule="exact"/>
              <w:jc w:val="center"/>
              <w:rPr>
                <w:rFonts w:eastAsia="仿宋_GB2312" w:cs="仿宋"/>
                <w:color w:val="auto"/>
                <w:sz w:val="24"/>
                <w:highlight w:val="none"/>
              </w:rPr>
            </w:pPr>
            <w:r>
              <w:rPr>
                <w:rFonts w:hint="eastAsia" w:eastAsia="仿宋_GB2312" w:cs="仿宋"/>
                <w:color w:val="auto"/>
                <w:sz w:val="24"/>
                <w:highlight w:val="none"/>
              </w:rPr>
              <w:t>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w:t>
            </w:r>
          </w:p>
        </w:tc>
      </w:tr>
      <w:tr w14:paraId="6B7D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FBCEAE4">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830" w:type="dxa"/>
            <w:vAlign w:val="center"/>
          </w:tcPr>
          <w:p w14:paraId="26AACB90">
            <w:pPr>
              <w:spacing w:line="320" w:lineRule="exact"/>
              <w:jc w:val="center"/>
              <w:rPr>
                <w:rFonts w:eastAsia="仿宋_GB2312" w:cs="仿宋"/>
                <w:color w:val="auto"/>
                <w:sz w:val="24"/>
                <w:highlight w:val="none"/>
              </w:rPr>
            </w:pPr>
            <w:r>
              <w:rPr>
                <w:rFonts w:hint="eastAsia" w:eastAsia="仿宋_GB2312" w:cs="仿宋"/>
                <w:color w:val="auto"/>
                <w:sz w:val="24"/>
                <w:highlight w:val="none"/>
              </w:rPr>
              <w:t>工程制图</w:t>
            </w:r>
          </w:p>
        </w:tc>
        <w:tc>
          <w:tcPr>
            <w:tcW w:w="2321" w:type="dxa"/>
            <w:vAlign w:val="center"/>
          </w:tcPr>
          <w:p w14:paraId="6047D5EE">
            <w:pPr>
              <w:spacing w:line="320" w:lineRule="exact"/>
              <w:jc w:val="center"/>
              <w:rPr>
                <w:rFonts w:eastAsia="仿宋_GB2312" w:cs="仿宋"/>
                <w:color w:val="auto"/>
                <w:sz w:val="24"/>
                <w:highlight w:val="none"/>
              </w:rPr>
            </w:pPr>
            <w:r>
              <w:rPr>
                <w:rFonts w:hint="eastAsia" w:eastAsia="仿宋_GB2312" w:cs="仿宋"/>
                <w:color w:val="auto"/>
                <w:sz w:val="24"/>
                <w:highlight w:val="none"/>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274" w:type="dxa"/>
            <w:vAlign w:val="center"/>
          </w:tcPr>
          <w:p w14:paraId="306A8EEF">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2725" w:type="dxa"/>
            <w:vAlign w:val="center"/>
          </w:tcPr>
          <w:p w14:paraId="2BF5C57C">
            <w:pPr>
              <w:spacing w:line="320" w:lineRule="exact"/>
              <w:jc w:val="center"/>
              <w:rPr>
                <w:rFonts w:eastAsia="仿宋_GB2312" w:cs="仿宋"/>
                <w:color w:val="auto"/>
                <w:sz w:val="24"/>
                <w:highlight w:val="none"/>
              </w:rPr>
            </w:pPr>
            <w:r>
              <w:rPr>
                <w:rFonts w:hint="eastAsia" w:eastAsia="仿宋_GB2312" w:cs="仿宋"/>
                <w:color w:val="auto"/>
                <w:sz w:val="24"/>
                <w:highlight w:val="none"/>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2954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6C306A5">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830" w:type="dxa"/>
            <w:vAlign w:val="center"/>
          </w:tcPr>
          <w:p w14:paraId="11DE180F">
            <w:pPr>
              <w:spacing w:line="320" w:lineRule="exact"/>
              <w:jc w:val="center"/>
              <w:rPr>
                <w:rFonts w:eastAsia="仿宋_GB2312" w:cs="仿宋"/>
                <w:color w:val="auto"/>
                <w:sz w:val="24"/>
                <w:highlight w:val="none"/>
              </w:rPr>
            </w:pPr>
            <w:r>
              <w:rPr>
                <w:rFonts w:hint="eastAsia" w:eastAsia="仿宋_GB2312" w:cs="仿宋"/>
                <w:color w:val="auto"/>
                <w:sz w:val="24"/>
                <w:highlight w:val="none"/>
              </w:rPr>
              <w:t>普通化学</w:t>
            </w:r>
          </w:p>
        </w:tc>
        <w:tc>
          <w:tcPr>
            <w:tcW w:w="2321" w:type="dxa"/>
            <w:vAlign w:val="center"/>
          </w:tcPr>
          <w:p w14:paraId="1CC6A047">
            <w:pPr>
              <w:spacing w:line="320" w:lineRule="exact"/>
              <w:jc w:val="center"/>
              <w:rPr>
                <w:rFonts w:eastAsia="仿宋_GB2312" w:cs="仿宋"/>
                <w:color w:val="auto"/>
                <w:sz w:val="24"/>
                <w:highlight w:val="none"/>
              </w:rPr>
            </w:pPr>
            <w:r>
              <w:rPr>
                <w:rFonts w:hint="eastAsia" w:eastAsia="仿宋_GB2312" w:cs="仿宋"/>
                <w:color w:val="auto"/>
                <w:sz w:val="24"/>
                <w:highlight w:val="none"/>
              </w:rPr>
              <w:t>全面提高学生的化学素养，不仅要求学生掌握扎实的化学基础知识和基本技能，还注重培养学生的科学素养、创新能力和社会责任感，为学生今后的学习和工作打下坚实的化学基础。</w:t>
            </w:r>
          </w:p>
        </w:tc>
        <w:tc>
          <w:tcPr>
            <w:tcW w:w="2274" w:type="dxa"/>
            <w:vAlign w:val="center"/>
          </w:tcPr>
          <w:p w14:paraId="5EB9433B">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本课程包括近代化学的基本理论、基本知识和基本技能，包括化学热力学、化学反应速率、平衡原理、溶液中的各种化学平衡及其应用等。</w:t>
            </w:r>
          </w:p>
        </w:tc>
        <w:tc>
          <w:tcPr>
            <w:tcW w:w="2725" w:type="dxa"/>
            <w:vAlign w:val="center"/>
          </w:tcPr>
          <w:p w14:paraId="3A352048">
            <w:pPr>
              <w:spacing w:line="320" w:lineRule="exact"/>
              <w:rPr>
                <w:rFonts w:eastAsia="仿宋_GB2312" w:cs="仿宋"/>
                <w:color w:val="auto"/>
                <w:sz w:val="24"/>
                <w:highlight w:val="none"/>
              </w:rPr>
            </w:pPr>
            <w:r>
              <w:rPr>
                <w:rFonts w:hint="eastAsia" w:eastAsia="仿宋_GB2312" w:cs="仿宋"/>
                <w:color w:val="auto"/>
                <w:sz w:val="24"/>
                <w:highlight w:val="none"/>
              </w:rPr>
              <w:t>通过学习，学生能够掌握各种化学分析方法，提高分析和处理化学问题的能力。培养学生独立思考问题、解决实际问题的能力，树立学生自主探究、实事求是、严谨认真的科学素养。使学生掌握认识物质世界的多维度思维方式，促进学生辩证唯物主义世界观的形成。</w:t>
            </w:r>
          </w:p>
        </w:tc>
      </w:tr>
      <w:tr w14:paraId="69D96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C5A0CB5">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830" w:type="dxa"/>
            <w:vAlign w:val="center"/>
          </w:tcPr>
          <w:p w14:paraId="39441CB8">
            <w:pPr>
              <w:spacing w:line="320" w:lineRule="exact"/>
              <w:jc w:val="center"/>
              <w:rPr>
                <w:rFonts w:eastAsia="仿宋_GB2312" w:cs="仿宋"/>
                <w:color w:val="auto"/>
                <w:sz w:val="24"/>
                <w:highlight w:val="none"/>
              </w:rPr>
            </w:pPr>
            <w:r>
              <w:rPr>
                <w:rFonts w:hint="eastAsia" w:eastAsia="仿宋_GB2312" w:cs="仿宋"/>
                <w:color w:val="auto"/>
                <w:sz w:val="24"/>
                <w:highlight w:val="none"/>
              </w:rPr>
              <w:t>计算机辅助设计（CAD）</w:t>
            </w:r>
          </w:p>
        </w:tc>
        <w:tc>
          <w:tcPr>
            <w:tcW w:w="2321" w:type="dxa"/>
            <w:vAlign w:val="center"/>
          </w:tcPr>
          <w:p w14:paraId="60AB649C">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2274" w:type="dxa"/>
            <w:vAlign w:val="center"/>
          </w:tcPr>
          <w:p w14:paraId="40BF1F55">
            <w:pPr>
              <w:spacing w:line="320" w:lineRule="exact"/>
              <w:jc w:val="center"/>
              <w:rPr>
                <w:rFonts w:eastAsia="仿宋_GB2312" w:cs="仿宋"/>
                <w:color w:val="auto"/>
                <w:sz w:val="24"/>
                <w:highlight w:val="none"/>
              </w:rPr>
            </w:pPr>
            <w:r>
              <w:rPr>
                <w:rFonts w:hint="eastAsia" w:eastAsia="仿宋_GB2312" w:cs="仿宋"/>
                <w:color w:val="auto"/>
                <w:sz w:val="24"/>
                <w:highlight w:val="none"/>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2725" w:type="dxa"/>
            <w:vAlign w:val="center"/>
          </w:tcPr>
          <w:p w14:paraId="7908D682">
            <w:pPr>
              <w:spacing w:line="320" w:lineRule="exact"/>
              <w:jc w:val="center"/>
              <w:rPr>
                <w:rFonts w:eastAsia="仿宋_GB2312" w:cs="仿宋"/>
                <w:color w:val="auto"/>
                <w:sz w:val="24"/>
                <w:highlight w:val="none"/>
              </w:rPr>
            </w:pPr>
            <w:r>
              <w:rPr>
                <w:rFonts w:hint="eastAsia" w:eastAsia="仿宋_GB2312" w:cs="仿宋"/>
                <w:color w:val="auto"/>
                <w:sz w:val="24"/>
                <w:highlight w:val="none"/>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0B9D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8731A72">
            <w:pPr>
              <w:spacing w:line="32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830" w:type="dxa"/>
            <w:vAlign w:val="center"/>
          </w:tcPr>
          <w:p w14:paraId="59C9264C">
            <w:pPr>
              <w:spacing w:line="320" w:lineRule="exact"/>
              <w:jc w:val="center"/>
              <w:rPr>
                <w:rFonts w:eastAsia="仿宋_GB2312" w:cs="仿宋"/>
                <w:color w:val="auto"/>
                <w:sz w:val="24"/>
                <w:highlight w:val="none"/>
              </w:rPr>
            </w:pPr>
            <w:r>
              <w:rPr>
                <w:rFonts w:hint="eastAsia" w:eastAsia="仿宋_GB2312" w:cs="仿宋"/>
                <w:color w:val="auto"/>
                <w:sz w:val="24"/>
                <w:highlight w:val="none"/>
              </w:rPr>
              <w:t>工程地质与水文</w:t>
            </w:r>
          </w:p>
        </w:tc>
        <w:tc>
          <w:tcPr>
            <w:tcW w:w="2321" w:type="dxa"/>
            <w:vAlign w:val="center"/>
          </w:tcPr>
          <w:p w14:paraId="54C776BD">
            <w:pPr>
              <w:spacing w:line="320" w:lineRule="exact"/>
              <w:jc w:val="center"/>
              <w:rPr>
                <w:rFonts w:eastAsia="仿宋_GB2312" w:cs="仿宋"/>
                <w:color w:val="auto"/>
                <w:sz w:val="24"/>
                <w:highlight w:val="none"/>
              </w:rPr>
            </w:pPr>
            <w:r>
              <w:rPr>
                <w:rFonts w:hint="eastAsia" w:eastAsia="仿宋_GB2312" w:cs="仿宋"/>
                <w:color w:val="auto"/>
                <w:sz w:val="24"/>
                <w:highlight w:val="none"/>
              </w:rPr>
              <w:t>知识掌握：使学生掌握工程地质及水文地质的基本知识，包括地质基础、构造地质、岩石学、地下水文等。</w:t>
            </w:r>
          </w:p>
          <w:p w14:paraId="2B24D5B0">
            <w:pPr>
              <w:spacing w:line="320" w:lineRule="exact"/>
              <w:jc w:val="center"/>
              <w:rPr>
                <w:rFonts w:eastAsia="仿宋_GB2312" w:cs="仿宋"/>
                <w:color w:val="auto"/>
                <w:sz w:val="24"/>
                <w:highlight w:val="none"/>
              </w:rPr>
            </w:pPr>
            <w:r>
              <w:rPr>
                <w:rFonts w:hint="eastAsia" w:eastAsia="仿宋_GB2312" w:cs="仿宋"/>
                <w:color w:val="auto"/>
                <w:sz w:val="24"/>
                <w:highlight w:val="none"/>
              </w:rPr>
              <w:t>技能培养：培养学生分析水工建筑物的工程地质条件和问题的基本方法，能阅读和分析水工建筑中常用的地质图件和资料。</w:t>
            </w:r>
          </w:p>
          <w:p w14:paraId="42F06871">
            <w:pPr>
              <w:spacing w:line="320" w:lineRule="exact"/>
              <w:jc w:val="center"/>
              <w:rPr>
                <w:rFonts w:eastAsia="仿宋_GB2312" w:cs="仿宋"/>
                <w:color w:val="auto"/>
                <w:sz w:val="24"/>
                <w:highlight w:val="none"/>
              </w:rPr>
            </w:pPr>
            <w:r>
              <w:rPr>
                <w:rFonts w:hint="eastAsia" w:eastAsia="仿宋_GB2312" w:cs="仿宋"/>
                <w:color w:val="auto"/>
                <w:sz w:val="24"/>
                <w:highlight w:val="none"/>
              </w:rPr>
              <w:t>实践应用：通过课程学习，学生能够利用所学知识进行工程地质勘察与评价、水文地质勘察与评价等工作，为今后的专业学习及职业生涯打下坚实基础。</w:t>
            </w:r>
          </w:p>
        </w:tc>
        <w:tc>
          <w:tcPr>
            <w:tcW w:w="2274" w:type="dxa"/>
            <w:vAlign w:val="center"/>
          </w:tcPr>
          <w:p w14:paraId="1A18C5E6">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本课程涵盖</w:t>
            </w:r>
          </w:p>
          <w:p w14:paraId="5E0AF988">
            <w:pPr>
              <w:spacing w:line="320" w:lineRule="exact"/>
              <w:jc w:val="center"/>
              <w:rPr>
                <w:rFonts w:eastAsia="仿宋_GB2312" w:cs="仿宋"/>
                <w:color w:val="auto"/>
                <w:sz w:val="24"/>
                <w:highlight w:val="none"/>
              </w:rPr>
            </w:pPr>
            <w:r>
              <w:rPr>
                <w:rFonts w:hint="eastAsia" w:eastAsia="仿宋_GB2312" w:cs="仿宋"/>
                <w:color w:val="auto"/>
                <w:sz w:val="24"/>
                <w:highlight w:val="none"/>
              </w:rPr>
              <w:t>地质基础：介绍地球的结构、地质作用、岩石及矿物等基础知识。构造地质：学习地壳运动、地质构造（如褶皱、节理、断层）及其与工程的关系。水文地质：讲解地下水的形成、分布、运动规律及其工程意义，包括地下水文地质勘察的基本方法。岩土工程：分析岩土体的物理力学性质、岩土工程勘察技术、岩土体的稳定性评价及工程处理措施。工程地质分析：结合实际工程案例，学习如何分析工程地质条件、预测和评估工程地质问题</w:t>
            </w:r>
          </w:p>
        </w:tc>
        <w:tc>
          <w:tcPr>
            <w:tcW w:w="2725" w:type="dxa"/>
            <w:vAlign w:val="center"/>
          </w:tcPr>
          <w:p w14:paraId="288E6E8A">
            <w:pPr>
              <w:spacing w:line="320" w:lineRule="exact"/>
              <w:jc w:val="center"/>
              <w:rPr>
                <w:rFonts w:eastAsia="仿宋_GB2312" w:cs="仿宋"/>
                <w:color w:val="auto"/>
                <w:sz w:val="24"/>
                <w:highlight w:val="none"/>
              </w:rPr>
            </w:pPr>
            <w:r>
              <w:rPr>
                <w:rFonts w:hint="eastAsia" w:eastAsia="仿宋_GB2312" w:cs="仿宋"/>
                <w:color w:val="auto"/>
                <w:sz w:val="24"/>
                <w:highlight w:val="none"/>
              </w:rPr>
              <w:t>工程地质与水文课程的教学要求通常包括以下几个方面</w:t>
            </w:r>
          </w:p>
          <w:p w14:paraId="1B5031A7">
            <w:pPr>
              <w:spacing w:line="320" w:lineRule="exact"/>
              <w:jc w:val="center"/>
              <w:rPr>
                <w:rFonts w:eastAsia="仿宋_GB2312" w:cs="仿宋"/>
                <w:color w:val="auto"/>
                <w:sz w:val="24"/>
                <w:highlight w:val="none"/>
              </w:rPr>
            </w:pPr>
            <w:r>
              <w:rPr>
                <w:rFonts w:hint="eastAsia" w:eastAsia="仿宋_GB2312" w:cs="仿宋"/>
                <w:color w:val="auto"/>
                <w:sz w:val="24"/>
                <w:highlight w:val="none"/>
              </w:rPr>
              <w:t>理论学习：要求学生扎实掌握工程地质与水文地质的基本概念和原理，理解相关理论知识的内涵和外延。技能提升：通过实践教学环节，培养学生的动手能力、分析能力和解决问题的能力综合素质：注重学生综合素质的培养，包括科学思维、创新精神、团队协作和社会责任感等。</w:t>
            </w:r>
          </w:p>
        </w:tc>
      </w:tr>
      <w:tr w14:paraId="26597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ED4DB43">
            <w:pPr>
              <w:spacing w:line="32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1830" w:type="dxa"/>
            <w:vAlign w:val="center"/>
          </w:tcPr>
          <w:p w14:paraId="112F897C">
            <w:pPr>
              <w:spacing w:line="320" w:lineRule="exact"/>
              <w:jc w:val="center"/>
              <w:rPr>
                <w:rFonts w:eastAsia="仿宋_GB2312" w:cs="仿宋"/>
                <w:color w:val="auto"/>
                <w:sz w:val="24"/>
                <w:highlight w:val="none"/>
              </w:rPr>
            </w:pPr>
            <w:r>
              <w:rPr>
                <w:rFonts w:hint="eastAsia" w:eastAsia="仿宋_GB2312" w:cs="仿宋"/>
                <w:color w:val="auto"/>
                <w:sz w:val="24"/>
                <w:highlight w:val="none"/>
              </w:rPr>
              <w:t>建筑力学与结构</w:t>
            </w:r>
          </w:p>
        </w:tc>
        <w:tc>
          <w:tcPr>
            <w:tcW w:w="2321" w:type="dxa"/>
            <w:vAlign w:val="center"/>
          </w:tcPr>
          <w:p w14:paraId="6A203FF8">
            <w:pPr>
              <w:spacing w:line="320" w:lineRule="exact"/>
              <w:jc w:val="center"/>
              <w:rPr>
                <w:rFonts w:eastAsia="仿宋_GB2312" w:cs="仿宋"/>
                <w:color w:val="auto"/>
                <w:sz w:val="24"/>
                <w:highlight w:val="none"/>
              </w:rPr>
            </w:pPr>
            <w:r>
              <w:rPr>
                <w:rFonts w:hint="eastAsia" w:eastAsia="仿宋_GB2312" w:cs="仿宋"/>
                <w:color w:val="auto"/>
                <w:sz w:val="24"/>
                <w:highlight w:val="none"/>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w:t>
            </w:r>
          </w:p>
          <w:p w14:paraId="2676A565">
            <w:pPr>
              <w:spacing w:line="320" w:lineRule="exact"/>
              <w:jc w:val="center"/>
              <w:rPr>
                <w:rFonts w:eastAsia="仿宋_GB2312" w:cs="仿宋"/>
                <w:color w:val="auto"/>
                <w:sz w:val="24"/>
                <w:highlight w:val="none"/>
              </w:rPr>
            </w:pPr>
            <w:r>
              <w:rPr>
                <w:rFonts w:hint="eastAsia" w:eastAsia="仿宋_GB2312" w:cs="仿宋"/>
                <w:color w:val="auto"/>
                <w:sz w:val="24"/>
                <w:highlight w:val="none"/>
              </w:rPr>
              <w:t>能够判定力学传递途径及危险截面，识别结构中的薄弱环节。</w:t>
            </w:r>
          </w:p>
        </w:tc>
        <w:tc>
          <w:tcPr>
            <w:tcW w:w="2274" w:type="dxa"/>
            <w:vAlign w:val="center"/>
          </w:tcPr>
          <w:p w14:paraId="290EC748">
            <w:pPr>
              <w:spacing w:line="320" w:lineRule="exact"/>
              <w:jc w:val="center"/>
              <w:rPr>
                <w:rFonts w:eastAsia="仿宋_GB2312" w:cs="仿宋"/>
                <w:color w:val="auto"/>
                <w:sz w:val="24"/>
                <w:highlight w:val="none"/>
              </w:rPr>
            </w:pPr>
            <w:r>
              <w:rPr>
                <w:rFonts w:hint="eastAsia" w:eastAsia="仿宋_GB2312" w:cs="仿宋"/>
                <w:color w:val="auto"/>
                <w:sz w:val="24"/>
                <w:highlight w:val="none"/>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2725" w:type="dxa"/>
            <w:vAlign w:val="center"/>
          </w:tcPr>
          <w:p w14:paraId="54AF7C49">
            <w:pPr>
              <w:spacing w:line="320" w:lineRule="exact"/>
              <w:jc w:val="center"/>
              <w:rPr>
                <w:rFonts w:eastAsia="仿宋_GB2312" w:cs="仿宋"/>
                <w:color w:val="auto"/>
                <w:sz w:val="24"/>
                <w:highlight w:val="none"/>
              </w:rPr>
            </w:pPr>
            <w:r>
              <w:rPr>
                <w:rFonts w:hint="eastAsia" w:eastAsia="仿宋_GB2312" w:cs="仿宋"/>
                <w:color w:val="auto"/>
                <w:sz w:val="24"/>
                <w:highlight w:val="none"/>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掌握结构内力的计算方法，能够绘制结构的内力图，并进行内力分析。</w:t>
            </w:r>
          </w:p>
          <w:p w14:paraId="007B4B2D">
            <w:pPr>
              <w:spacing w:line="320" w:lineRule="exact"/>
              <w:jc w:val="center"/>
              <w:rPr>
                <w:rFonts w:eastAsia="仿宋_GB2312" w:cs="仿宋"/>
                <w:color w:val="auto"/>
                <w:sz w:val="24"/>
                <w:highlight w:val="none"/>
              </w:rPr>
            </w:pPr>
            <w:r>
              <w:rPr>
                <w:rFonts w:hint="eastAsia" w:eastAsia="仿宋_GB2312" w:cs="仿宋"/>
                <w:color w:val="auto"/>
                <w:sz w:val="24"/>
                <w:highlight w:val="none"/>
              </w:rPr>
              <w:t>能够运用所学知识进行简单建筑结构的设计，包括结构选型、构件尺寸确定、配筋计算等。</w:t>
            </w:r>
          </w:p>
        </w:tc>
      </w:tr>
      <w:tr w14:paraId="7465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5F934D2">
            <w:pPr>
              <w:spacing w:line="320" w:lineRule="exact"/>
              <w:jc w:val="center"/>
              <w:rPr>
                <w:rFonts w:eastAsia="仿宋_GB2312" w:cs="仿宋"/>
                <w:color w:val="auto"/>
                <w:sz w:val="24"/>
                <w:highlight w:val="none"/>
              </w:rPr>
            </w:pPr>
            <w:r>
              <w:rPr>
                <w:rFonts w:hint="eastAsia" w:eastAsia="仿宋_GB2312" w:cs="仿宋"/>
                <w:color w:val="auto"/>
                <w:sz w:val="24"/>
                <w:highlight w:val="none"/>
              </w:rPr>
              <w:t>8</w:t>
            </w:r>
          </w:p>
        </w:tc>
        <w:tc>
          <w:tcPr>
            <w:tcW w:w="1830" w:type="dxa"/>
            <w:vAlign w:val="center"/>
          </w:tcPr>
          <w:p w14:paraId="72607491">
            <w:pPr>
              <w:spacing w:line="320" w:lineRule="exact"/>
              <w:jc w:val="center"/>
              <w:rPr>
                <w:rFonts w:eastAsia="仿宋_GB2312" w:cs="仿宋"/>
                <w:color w:val="auto"/>
                <w:sz w:val="24"/>
                <w:highlight w:val="none"/>
              </w:rPr>
            </w:pPr>
            <w:r>
              <w:rPr>
                <w:rFonts w:hint="eastAsia" w:eastAsia="仿宋_GB2312" w:cs="仿宋"/>
                <w:color w:val="auto"/>
                <w:sz w:val="24"/>
                <w:highlight w:val="none"/>
              </w:rPr>
              <w:t>测量学</w:t>
            </w:r>
          </w:p>
        </w:tc>
        <w:tc>
          <w:tcPr>
            <w:tcW w:w="2321" w:type="dxa"/>
            <w:vAlign w:val="center"/>
          </w:tcPr>
          <w:p w14:paraId="32BB30E4">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274" w:type="dxa"/>
            <w:vAlign w:val="center"/>
          </w:tcPr>
          <w:p w14:paraId="4B78EF61">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2725" w:type="dxa"/>
            <w:vAlign w:val="center"/>
          </w:tcPr>
          <w:p w14:paraId="23CD3567">
            <w:pPr>
              <w:spacing w:line="320" w:lineRule="exact"/>
              <w:jc w:val="center"/>
              <w:rPr>
                <w:rFonts w:eastAsia="仿宋_GB2312" w:cs="仿宋"/>
                <w:color w:val="auto"/>
                <w:sz w:val="24"/>
                <w:highlight w:val="none"/>
              </w:rPr>
            </w:pPr>
            <w:r>
              <w:rPr>
                <w:rFonts w:hint="eastAsia" w:eastAsia="仿宋_GB2312" w:cs="仿宋"/>
                <w:color w:val="auto"/>
                <w:sz w:val="24"/>
                <w:highlight w:val="none"/>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45B56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056B449">
            <w:pPr>
              <w:spacing w:line="320" w:lineRule="exact"/>
              <w:jc w:val="center"/>
              <w:rPr>
                <w:rFonts w:eastAsia="仿宋_GB2312" w:cs="仿宋"/>
                <w:color w:val="auto"/>
                <w:sz w:val="24"/>
                <w:highlight w:val="none"/>
              </w:rPr>
            </w:pPr>
            <w:r>
              <w:rPr>
                <w:rFonts w:hint="eastAsia" w:eastAsia="仿宋_GB2312" w:cs="仿宋"/>
                <w:color w:val="auto"/>
                <w:sz w:val="24"/>
                <w:highlight w:val="none"/>
              </w:rPr>
              <w:t>9</w:t>
            </w:r>
          </w:p>
        </w:tc>
        <w:tc>
          <w:tcPr>
            <w:tcW w:w="1830" w:type="dxa"/>
            <w:vAlign w:val="center"/>
          </w:tcPr>
          <w:p w14:paraId="5ECD6A3B">
            <w:pPr>
              <w:spacing w:line="320" w:lineRule="exact"/>
              <w:jc w:val="center"/>
              <w:rPr>
                <w:rFonts w:eastAsia="仿宋_GB2312" w:cs="仿宋"/>
                <w:color w:val="auto"/>
                <w:sz w:val="24"/>
                <w:highlight w:val="none"/>
              </w:rPr>
            </w:pPr>
            <w:r>
              <w:rPr>
                <w:rFonts w:hint="eastAsia" w:eastAsia="仿宋_GB2312" w:cs="仿宋"/>
                <w:color w:val="auto"/>
                <w:sz w:val="24"/>
                <w:highlight w:val="none"/>
              </w:rPr>
              <w:t>安全生产管理</w:t>
            </w:r>
          </w:p>
        </w:tc>
        <w:tc>
          <w:tcPr>
            <w:tcW w:w="2321" w:type="dxa"/>
            <w:vAlign w:val="center"/>
          </w:tcPr>
          <w:p w14:paraId="69DCC442">
            <w:pPr>
              <w:spacing w:line="320" w:lineRule="exact"/>
              <w:jc w:val="center"/>
              <w:rPr>
                <w:rFonts w:eastAsia="仿宋_GB2312" w:cs="仿宋"/>
                <w:color w:val="auto"/>
                <w:sz w:val="24"/>
                <w:highlight w:val="none"/>
              </w:rPr>
            </w:pPr>
            <w:r>
              <w:rPr>
                <w:rFonts w:hint="eastAsia" w:eastAsia="仿宋_GB2312" w:cs="仿宋"/>
                <w:color w:val="auto"/>
                <w:sz w:val="24"/>
                <w:highlight w:val="none"/>
              </w:rPr>
              <w:t>主要是确保学员能够全面理解安全生产管理的重要性，掌握相关的管理知识和技能，从而在实际工作中能够有效地预防和控制安全事故的发生，保障员工的人身安全和企业的财产安全。</w:t>
            </w:r>
          </w:p>
        </w:tc>
        <w:tc>
          <w:tcPr>
            <w:tcW w:w="2274" w:type="dxa"/>
            <w:vAlign w:val="center"/>
          </w:tcPr>
          <w:p w14:paraId="5F6A32C0">
            <w:pPr>
              <w:spacing w:line="320" w:lineRule="exact"/>
              <w:jc w:val="center"/>
              <w:rPr>
                <w:rFonts w:eastAsia="仿宋_GB2312" w:cs="仿宋"/>
                <w:color w:val="auto"/>
                <w:sz w:val="24"/>
                <w:highlight w:val="none"/>
              </w:rPr>
            </w:pPr>
            <w:r>
              <w:rPr>
                <w:rFonts w:hint="eastAsia" w:eastAsia="仿宋_GB2312" w:cs="仿宋"/>
                <w:color w:val="auto"/>
                <w:sz w:val="24"/>
                <w:highlight w:val="none"/>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p>
        </w:tc>
        <w:tc>
          <w:tcPr>
            <w:tcW w:w="2725" w:type="dxa"/>
            <w:vAlign w:val="center"/>
          </w:tcPr>
          <w:p w14:paraId="69910594">
            <w:pPr>
              <w:spacing w:line="320" w:lineRule="exact"/>
              <w:jc w:val="center"/>
              <w:rPr>
                <w:rFonts w:eastAsia="仿宋_GB2312" w:cs="仿宋"/>
                <w:color w:val="auto"/>
                <w:sz w:val="24"/>
                <w:highlight w:val="none"/>
              </w:rPr>
            </w:pPr>
            <w:r>
              <w:rPr>
                <w:rFonts w:hint="eastAsia" w:eastAsia="仿宋_GB2312" w:cs="仿宋"/>
                <w:color w:val="auto"/>
                <w:sz w:val="24"/>
                <w:highlight w:val="none"/>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r w14:paraId="7DA8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CD826F0">
            <w:pPr>
              <w:spacing w:line="320" w:lineRule="exact"/>
              <w:jc w:val="center"/>
              <w:rPr>
                <w:rFonts w:eastAsia="仿宋_GB2312" w:cs="仿宋"/>
                <w:color w:val="auto"/>
                <w:sz w:val="24"/>
                <w:highlight w:val="none"/>
              </w:rPr>
            </w:pPr>
            <w:r>
              <w:rPr>
                <w:rFonts w:hint="eastAsia" w:eastAsia="仿宋_GB2312" w:cs="仿宋"/>
                <w:color w:val="auto"/>
                <w:sz w:val="24"/>
                <w:highlight w:val="none"/>
              </w:rPr>
              <w:t>10</w:t>
            </w:r>
          </w:p>
        </w:tc>
        <w:tc>
          <w:tcPr>
            <w:tcW w:w="1830" w:type="dxa"/>
            <w:vAlign w:val="center"/>
          </w:tcPr>
          <w:p w14:paraId="4CCA2E67">
            <w:pPr>
              <w:spacing w:line="320" w:lineRule="exact"/>
              <w:jc w:val="center"/>
              <w:rPr>
                <w:rFonts w:eastAsia="仿宋_GB2312" w:cs="仿宋"/>
                <w:color w:val="auto"/>
                <w:sz w:val="24"/>
                <w:highlight w:val="none"/>
              </w:rPr>
            </w:pPr>
            <w:r>
              <w:rPr>
                <w:rFonts w:hint="eastAsia" w:eastAsia="仿宋_GB2312" w:cs="仿宋"/>
                <w:color w:val="auto"/>
                <w:sz w:val="24"/>
                <w:highlight w:val="none"/>
              </w:rPr>
              <w:t>土力学与地基基础</w:t>
            </w:r>
          </w:p>
        </w:tc>
        <w:tc>
          <w:tcPr>
            <w:tcW w:w="2321" w:type="dxa"/>
            <w:vAlign w:val="center"/>
          </w:tcPr>
          <w:p w14:paraId="378E951E">
            <w:pPr>
              <w:spacing w:line="320" w:lineRule="exact"/>
              <w:jc w:val="center"/>
              <w:rPr>
                <w:rFonts w:eastAsia="仿宋_GB2312" w:cs="仿宋"/>
                <w:color w:val="auto"/>
                <w:sz w:val="24"/>
                <w:highlight w:val="none"/>
              </w:rPr>
            </w:pPr>
            <w:r>
              <w:rPr>
                <w:rFonts w:hint="eastAsia" w:eastAsia="仿宋_GB2312" w:cs="仿宋"/>
                <w:color w:val="auto"/>
                <w:sz w:val="24"/>
                <w:highlight w:val="none"/>
              </w:rPr>
              <w:t>土力学与地基基础课程旨在通过理论教学、实践训练、问题解决和职业素养培养等多个方面，全面提升学生在地基与基础工程领域的综合素质和能力。</w:t>
            </w:r>
          </w:p>
        </w:tc>
        <w:tc>
          <w:tcPr>
            <w:tcW w:w="2274" w:type="dxa"/>
            <w:vAlign w:val="center"/>
          </w:tcPr>
          <w:p w14:paraId="66CDFA3C">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本课程教学内容主要包括土的物理性质及工程分类、地基中的应力和变形、土的强度问题、土压力与挡土墙设计、地基勘察、浅基础常规设计、桩基础及地基处理八大方面的内容。</w:t>
            </w:r>
          </w:p>
        </w:tc>
        <w:tc>
          <w:tcPr>
            <w:tcW w:w="2725" w:type="dxa"/>
            <w:vAlign w:val="center"/>
          </w:tcPr>
          <w:p w14:paraId="51B7BAA7">
            <w:pPr>
              <w:spacing w:line="320" w:lineRule="exact"/>
              <w:jc w:val="center"/>
              <w:rPr>
                <w:rFonts w:eastAsia="仿宋_GB2312" w:cs="仿宋"/>
                <w:color w:val="auto"/>
                <w:sz w:val="24"/>
                <w:highlight w:val="none"/>
              </w:rPr>
            </w:pPr>
            <w:r>
              <w:rPr>
                <w:rFonts w:hint="eastAsia" w:eastAsia="仿宋_GB2312" w:cs="仿宋"/>
                <w:color w:val="auto"/>
                <w:sz w:val="24"/>
                <w:highlight w:val="none"/>
              </w:rPr>
              <w:t>学生应深入理解土力学与地基基础的基本概念、基本原理和计算方法。这包括土的物理性质、力学性质、渗透性、土中应力、土的压缩性与沉降计算、土的抗剪强度等。掌握地基基础的基本知识，包括地基承载力、地基稳定性分析、基础类型及设计原理等。了解地基处理的各种方法及其适用条件。</w:t>
            </w:r>
          </w:p>
        </w:tc>
      </w:tr>
    </w:tbl>
    <w:p w14:paraId="65261744">
      <w:pPr>
        <w:adjustRightInd w:val="0"/>
        <w:snapToGrid w:val="0"/>
        <w:spacing w:line="520" w:lineRule="exact"/>
        <w:ind w:firstLine="640" w:firstLineChars="200"/>
        <w:rPr>
          <w:rFonts w:eastAsia="仿宋_GB2312" w:cs="仿宋"/>
          <w:color w:val="auto"/>
          <w:sz w:val="32"/>
          <w:szCs w:val="32"/>
          <w:highlight w:val="none"/>
        </w:rPr>
      </w:pPr>
      <w:bookmarkStart w:id="10" w:name="_Toc90734977"/>
      <w:r>
        <w:rPr>
          <w:rFonts w:hint="eastAsia" w:eastAsia="仿宋_GB2312" w:cs="仿宋"/>
          <w:color w:val="auto"/>
          <w:sz w:val="32"/>
          <w:szCs w:val="32"/>
          <w:highlight w:val="none"/>
        </w:rPr>
        <w:t>2.专业核心课程</w:t>
      </w:r>
      <w:bookmarkEnd w:id="10"/>
    </w:p>
    <w:p w14:paraId="26A769D7">
      <w:pPr>
        <w:adjustRightInd w:val="0"/>
        <w:snapToGri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专业核心课是面向</w:t>
      </w:r>
      <w:r>
        <w:rPr>
          <w:rFonts w:hint="eastAsia" w:eastAsia="仿宋_GB2312" w:cs="仿宋"/>
          <w:color w:val="auto"/>
          <w:spacing w:val="-2"/>
          <w:sz w:val="32"/>
          <w:szCs w:val="32"/>
          <w:highlight w:val="none"/>
        </w:rPr>
        <w:t>环境保护工程师、环境监测员、环境治理项目经理、环境评价师</w:t>
      </w:r>
      <w:r>
        <w:rPr>
          <w:rFonts w:hint="eastAsia" w:eastAsia="仿宋_GB2312" w:cs="仿宋"/>
          <w:color w:val="auto"/>
          <w:sz w:val="32"/>
          <w:szCs w:val="32"/>
          <w:highlight w:val="none"/>
        </w:rPr>
        <w:t>等岗位（群），结合</w:t>
      </w:r>
      <w:r>
        <w:rPr>
          <w:rFonts w:hint="eastAsia" w:eastAsia="仿宋_GB2312" w:cs="仿宋"/>
          <w:color w:val="auto"/>
          <w:spacing w:val="-2"/>
          <w:sz w:val="32"/>
          <w:szCs w:val="32"/>
          <w:highlight w:val="none"/>
        </w:rPr>
        <w:t>环境监测、水污染控制、大气污染治理、固体废物处理与资源化、环境噪声控制及环境工程施工与管理等</w:t>
      </w:r>
      <w:r>
        <w:rPr>
          <w:rFonts w:hint="eastAsia" w:eastAsia="仿宋_GB2312" w:cs="仿宋"/>
          <w:color w:val="auto"/>
          <w:sz w:val="32"/>
          <w:szCs w:val="32"/>
          <w:highlight w:val="none"/>
        </w:rPr>
        <w:t>就业岗位，建立</w:t>
      </w:r>
      <w:r>
        <w:rPr>
          <w:rFonts w:hint="eastAsia" w:eastAsia="仿宋_GB2312" w:cs="仿宋"/>
          <w:color w:val="auto"/>
          <w:spacing w:val="-2"/>
          <w:sz w:val="32"/>
          <w:szCs w:val="32"/>
          <w:highlight w:val="none"/>
        </w:rPr>
        <w:t>环境工程技术</w:t>
      </w:r>
      <w:r>
        <w:rPr>
          <w:rFonts w:hint="eastAsia" w:eastAsia="仿宋_GB2312" w:cs="仿宋"/>
          <w:color w:val="auto"/>
          <w:sz w:val="32"/>
          <w:szCs w:val="32"/>
          <w:highlight w:val="none"/>
        </w:rPr>
        <w:t>专业核心课程，培养学生</w:t>
      </w:r>
      <w:r>
        <w:rPr>
          <w:rFonts w:hint="eastAsia" w:eastAsia="仿宋_GB2312" w:cs="仿宋"/>
          <w:color w:val="auto"/>
          <w:spacing w:val="-2"/>
          <w:sz w:val="32"/>
          <w:szCs w:val="32"/>
          <w:highlight w:val="none"/>
        </w:rPr>
        <w:t>具备环境监测与分析、环境污染控制工程设计与实施、环境工程施工管理、环境规划与管理</w:t>
      </w:r>
      <w:r>
        <w:rPr>
          <w:rFonts w:hint="eastAsia" w:eastAsia="仿宋_GB2312" w:cs="仿宋"/>
          <w:color w:val="auto"/>
          <w:sz w:val="32"/>
          <w:szCs w:val="32"/>
          <w:highlight w:val="none"/>
        </w:rPr>
        <w:t>等方面的能力。包括</w:t>
      </w:r>
      <w:r>
        <w:rPr>
          <w:rFonts w:hint="eastAsia" w:eastAsia="仿宋_GB2312" w:cs="仿宋"/>
          <w:color w:val="auto"/>
          <w:spacing w:val="-2"/>
          <w:sz w:val="32"/>
          <w:szCs w:val="32"/>
          <w:highlight w:val="none"/>
        </w:rPr>
        <w:t>环境监测技术、水污染控制工程、环境工程施工技术、大气污染控制工程、固体废物污染控制工程、环境噪声控制工程</w:t>
      </w:r>
      <w:r>
        <w:rPr>
          <w:rFonts w:hint="eastAsia" w:eastAsia="仿宋_GB2312" w:cs="仿宋"/>
          <w:color w:val="auto"/>
          <w:spacing w:val="-2"/>
          <w:sz w:val="32"/>
          <w:szCs w:val="32"/>
          <w:highlight w:val="none"/>
        </w:rPr>
        <w:t>、水力学、环境微生物</w:t>
      </w:r>
      <w:r>
        <w:rPr>
          <w:rFonts w:hint="eastAsia" w:eastAsia="仿宋_GB2312" w:cs="仿宋"/>
          <w:color w:val="auto"/>
          <w:spacing w:val="-4"/>
          <w:sz w:val="32"/>
          <w:szCs w:val="32"/>
          <w:highlight w:val="none"/>
        </w:rPr>
        <w:t>等课程。</w:t>
      </w:r>
    </w:p>
    <w:p w14:paraId="49A49E6E">
      <w:pPr>
        <w:adjustRightInd w:val="0"/>
        <w:snapToGrid w:val="0"/>
        <w:spacing w:line="520" w:lineRule="exact"/>
        <w:ind w:firstLine="640" w:firstLineChars="200"/>
        <w:jc w:val="center"/>
        <w:rPr>
          <w:rFonts w:eastAsia="仿宋_GB2312" w:cs="仿宋"/>
          <w:color w:val="auto"/>
          <w:sz w:val="32"/>
          <w:szCs w:val="32"/>
          <w:highlight w:val="none"/>
        </w:rPr>
      </w:pPr>
      <w:r>
        <w:rPr>
          <w:rFonts w:hint="eastAsia" w:eastAsia="仿宋_GB2312" w:cs="仿宋"/>
          <w:color w:val="auto"/>
          <w:sz w:val="32"/>
          <w:szCs w:val="32"/>
          <w:highlight w:val="none"/>
        </w:rPr>
        <w:t>专业核心课程描述表</w:t>
      </w:r>
    </w:p>
    <w:tbl>
      <w:tblPr>
        <w:tblStyle w:val="8"/>
        <w:tblW w:w="10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357"/>
        <w:gridCol w:w="2667"/>
        <w:gridCol w:w="2645"/>
        <w:gridCol w:w="2729"/>
      </w:tblGrid>
      <w:tr w14:paraId="7A481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14:paraId="2D49401E">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357" w:type="dxa"/>
            <w:vAlign w:val="center"/>
          </w:tcPr>
          <w:p w14:paraId="08BE2CFB">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667" w:type="dxa"/>
            <w:vAlign w:val="center"/>
          </w:tcPr>
          <w:p w14:paraId="760EC35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645" w:type="dxa"/>
            <w:vAlign w:val="center"/>
          </w:tcPr>
          <w:p w14:paraId="7610D869">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2729" w:type="dxa"/>
            <w:vAlign w:val="center"/>
          </w:tcPr>
          <w:p w14:paraId="362981EE">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19F66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14:paraId="0465BA89">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57" w:type="dxa"/>
            <w:vAlign w:val="center"/>
          </w:tcPr>
          <w:p w14:paraId="5A354872">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环境监测技术</w:t>
            </w:r>
          </w:p>
        </w:tc>
        <w:tc>
          <w:tcPr>
            <w:tcW w:w="2667" w:type="dxa"/>
          </w:tcPr>
          <w:p w14:paraId="3931DE6A">
            <w:pPr>
              <w:spacing w:line="320" w:lineRule="exact"/>
              <w:rPr>
                <w:rFonts w:eastAsia="仿宋_GB2312" w:cs="仿宋"/>
                <w:color w:val="auto"/>
                <w:sz w:val="24"/>
                <w:highlight w:val="none"/>
              </w:rPr>
            </w:pPr>
            <w:r>
              <w:rPr>
                <w:rFonts w:hint="eastAsia" w:eastAsia="仿宋_GB2312" w:cs="仿宋"/>
                <w:color w:val="auto"/>
                <w:sz w:val="24"/>
                <w:highlight w:val="none"/>
              </w:rPr>
              <w:t>使学生掌握环境监测的基本知识，包括水及废水、大气及废气、噪声等环境监测的基本理论。培养学生能够独立操作环境监测仪器，完成从采样到数据处理、结果验证的全过程，并具备对实验数据和分析方法进行科学评价的能力。培养学生的职业习惯、吃苦耐劳精神、安全操作理念和环保意识，提高自主学习和将理论知识与实际情况结合运用的能力</w:t>
            </w:r>
          </w:p>
        </w:tc>
        <w:tc>
          <w:tcPr>
            <w:tcW w:w="2645" w:type="dxa"/>
          </w:tcPr>
          <w:p w14:paraId="68B898E8">
            <w:pPr>
              <w:spacing w:line="320" w:lineRule="exact"/>
              <w:rPr>
                <w:rFonts w:eastAsia="仿宋_GB2312" w:cs="仿宋"/>
                <w:color w:val="auto"/>
                <w:sz w:val="24"/>
                <w:highlight w:val="none"/>
              </w:rPr>
            </w:pPr>
            <w:r>
              <w:rPr>
                <w:rFonts w:hint="eastAsia" w:eastAsia="仿宋_GB2312" w:cs="仿宋"/>
                <w:color w:val="auto"/>
                <w:sz w:val="24"/>
                <w:highlight w:val="none"/>
              </w:rPr>
              <w:t>环境监测基本知识：包括环境监测的定义、分类、发展历程等。水及废水环境监测：水样采集、保存、预处理、分析测试及数据处理等。大气及废气环境监测：大气污染物采样、监测方法、数据分析等。噪声监测：噪声源识别、噪声测量、噪声评价及噪声控制等。</w:t>
            </w:r>
          </w:p>
          <w:p w14:paraId="68F751F9">
            <w:pPr>
              <w:spacing w:line="320" w:lineRule="exact"/>
              <w:rPr>
                <w:rFonts w:eastAsia="仿宋_GB2312" w:cs="仿宋"/>
                <w:color w:val="auto"/>
                <w:sz w:val="24"/>
                <w:highlight w:val="none"/>
              </w:rPr>
            </w:pPr>
            <w:r>
              <w:rPr>
                <w:rFonts w:hint="eastAsia" w:eastAsia="仿宋_GB2312" w:cs="仿宋"/>
                <w:color w:val="auto"/>
                <w:sz w:val="24"/>
                <w:highlight w:val="none"/>
              </w:rPr>
              <w:t>监测仪器操作与维护：环境监测仪器的使用、日常维护及故障排除。监测方案设计与实施：根据监测对象选择合适的监测方法、制定监测方案并实施。</w:t>
            </w:r>
          </w:p>
        </w:tc>
        <w:tc>
          <w:tcPr>
            <w:tcW w:w="2729" w:type="dxa"/>
          </w:tcPr>
          <w:p w14:paraId="21E8470A">
            <w:pPr>
              <w:spacing w:line="320" w:lineRule="exact"/>
              <w:rPr>
                <w:rFonts w:eastAsia="仿宋_GB2312" w:cs="仿宋"/>
                <w:color w:val="auto"/>
                <w:sz w:val="24"/>
                <w:highlight w:val="none"/>
              </w:rPr>
            </w:pPr>
            <w:r>
              <w:rPr>
                <w:rFonts w:hint="eastAsia" w:eastAsia="仿宋_GB2312" w:cs="仿宋"/>
                <w:color w:val="auto"/>
                <w:sz w:val="24"/>
                <w:highlight w:val="none"/>
              </w:rPr>
              <w:t>理论与实践相结合，注重培养学生的动手能力和实践操作能力。强调学生对环境监测标准的理解和应用，确保监测结果的准确性和可靠性。鼓励学生参与科研项目和实际监测工作，提高解决实际问题的能力。</w:t>
            </w:r>
          </w:p>
          <w:p w14:paraId="08B5E03B">
            <w:pPr>
              <w:spacing w:line="320" w:lineRule="exact"/>
              <w:rPr>
                <w:rFonts w:eastAsia="仿宋_GB2312" w:cs="仿宋"/>
                <w:color w:val="auto"/>
                <w:sz w:val="24"/>
                <w:highlight w:val="none"/>
              </w:rPr>
            </w:pPr>
            <w:r>
              <w:rPr>
                <w:rFonts w:hint="eastAsia" w:eastAsia="仿宋_GB2312" w:cs="仿宋"/>
                <w:color w:val="auto"/>
                <w:sz w:val="24"/>
                <w:highlight w:val="none"/>
              </w:rPr>
              <w:t>注重培养学生的创新意识和自主学习能力，引导学生关注环境监测领域的最新发展动态。</w:t>
            </w:r>
          </w:p>
        </w:tc>
      </w:tr>
      <w:tr w14:paraId="1C6D0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14:paraId="440AE6E3">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57" w:type="dxa"/>
            <w:vAlign w:val="center"/>
          </w:tcPr>
          <w:p w14:paraId="209C0AE0">
            <w:pPr>
              <w:spacing w:line="320" w:lineRule="exact"/>
              <w:jc w:val="center"/>
              <w:rPr>
                <w:rFonts w:eastAsia="仿宋_GB2312" w:cs="仿宋"/>
                <w:color w:val="auto"/>
                <w:sz w:val="24"/>
                <w:highlight w:val="none"/>
              </w:rPr>
            </w:pPr>
            <w:r>
              <w:rPr>
                <w:rFonts w:hint="eastAsia" w:eastAsia="仿宋_GB2312" w:cs="仿宋"/>
                <w:color w:val="auto"/>
                <w:sz w:val="24"/>
                <w:highlight w:val="none"/>
              </w:rPr>
              <w:t>水污染控制工程</w:t>
            </w:r>
          </w:p>
        </w:tc>
        <w:tc>
          <w:tcPr>
            <w:tcW w:w="2667" w:type="dxa"/>
            <w:vAlign w:val="center"/>
          </w:tcPr>
          <w:p w14:paraId="52D13B22">
            <w:pPr>
              <w:spacing w:line="320" w:lineRule="exact"/>
              <w:rPr>
                <w:rFonts w:eastAsia="仿宋_GB2312" w:cs="仿宋"/>
                <w:color w:val="auto"/>
                <w:sz w:val="24"/>
                <w:highlight w:val="none"/>
              </w:rPr>
            </w:pPr>
            <w:r>
              <w:rPr>
                <w:rFonts w:hint="eastAsia" w:eastAsia="仿宋_GB2312" w:cs="仿宋"/>
                <w:color w:val="auto"/>
                <w:sz w:val="24"/>
                <w:highlight w:val="none"/>
              </w:rPr>
              <w:t>使学生掌握水污染控制技术的基本原理、工艺流程、设备选型及运行管理等方面的知识。</w:t>
            </w:r>
          </w:p>
          <w:p w14:paraId="79FC7FD0">
            <w:pPr>
              <w:spacing w:line="320" w:lineRule="exact"/>
              <w:rPr>
                <w:rFonts w:eastAsia="仿宋_GB2312" w:cs="仿宋"/>
                <w:color w:val="auto"/>
                <w:sz w:val="24"/>
                <w:highlight w:val="none"/>
              </w:rPr>
            </w:pPr>
            <w:r>
              <w:rPr>
                <w:rFonts w:hint="eastAsia" w:eastAsia="仿宋_GB2312" w:cs="仿宋"/>
                <w:color w:val="auto"/>
                <w:sz w:val="24"/>
                <w:highlight w:val="none"/>
              </w:rPr>
              <w:t>培养学生具备设计、建设和运营水污染控制工程的能力，以及解决复杂水污染问题的能力。培养学生的环保意识、社会责任感以及团队合作精神。</w:t>
            </w:r>
          </w:p>
        </w:tc>
        <w:tc>
          <w:tcPr>
            <w:tcW w:w="2645" w:type="dxa"/>
          </w:tcPr>
          <w:p w14:paraId="378DBB2E">
            <w:pPr>
              <w:spacing w:line="320" w:lineRule="exact"/>
              <w:rPr>
                <w:rFonts w:eastAsia="仿宋_GB2312" w:cs="仿宋"/>
                <w:color w:val="auto"/>
                <w:sz w:val="24"/>
                <w:highlight w:val="none"/>
              </w:rPr>
            </w:pPr>
            <w:r>
              <w:rPr>
                <w:rFonts w:hint="eastAsia" w:eastAsia="仿宋_GB2312" w:cs="仿宋"/>
                <w:color w:val="auto"/>
                <w:sz w:val="24"/>
                <w:highlight w:val="none"/>
              </w:rPr>
              <w:t>水污染控制基础：包括水污染现状、污染物种类及危害等。水污染控制技术：包括物理处理、化学处理、生物处理及组合工艺等。污水处理工艺设计：包括工艺流程选择、设备选型、工艺计算及布局设计等。污水处理运营管理：包括水质监测、设备维护、故障诊断及应急处理等。污水处理新技术与发展趋势：介绍最新的水污染控制技术和未来发展趋势。</w:t>
            </w:r>
          </w:p>
        </w:tc>
        <w:tc>
          <w:tcPr>
            <w:tcW w:w="2729" w:type="dxa"/>
          </w:tcPr>
          <w:p w14:paraId="76C9FCD4">
            <w:pPr>
              <w:spacing w:line="320" w:lineRule="exact"/>
              <w:rPr>
                <w:rFonts w:eastAsia="仿宋_GB2312" w:cs="仿宋"/>
                <w:color w:val="auto"/>
                <w:sz w:val="24"/>
                <w:highlight w:val="none"/>
              </w:rPr>
            </w:pPr>
            <w:r>
              <w:rPr>
                <w:rFonts w:hint="eastAsia" w:eastAsia="仿宋_GB2312" w:cs="仿宋"/>
                <w:color w:val="auto"/>
                <w:sz w:val="24"/>
                <w:highlight w:val="none"/>
              </w:rPr>
              <w:t>理论与实践相结合，注重培养学生的工程设计能力和实践操作能力。</w:t>
            </w:r>
          </w:p>
          <w:p w14:paraId="7E1149C3">
            <w:pPr>
              <w:spacing w:line="320" w:lineRule="exact"/>
              <w:rPr>
                <w:rFonts w:eastAsia="仿宋_GB2312" w:cs="仿宋"/>
                <w:color w:val="auto"/>
                <w:sz w:val="24"/>
                <w:highlight w:val="none"/>
              </w:rPr>
            </w:pPr>
            <w:r>
              <w:rPr>
                <w:rFonts w:hint="eastAsia" w:eastAsia="仿宋_GB2312" w:cs="仿宋"/>
                <w:color w:val="auto"/>
                <w:sz w:val="24"/>
                <w:highlight w:val="none"/>
              </w:rPr>
              <w:t>强调学生对污水处理工艺原理的理解和掌握，确保设计方案的合理性和可行性。</w:t>
            </w:r>
          </w:p>
          <w:p w14:paraId="358C6099">
            <w:pPr>
              <w:spacing w:line="320" w:lineRule="exact"/>
              <w:rPr>
                <w:rFonts w:eastAsia="仿宋_GB2312" w:cs="仿宋"/>
                <w:color w:val="auto"/>
                <w:sz w:val="24"/>
                <w:highlight w:val="none"/>
              </w:rPr>
            </w:pPr>
            <w:r>
              <w:rPr>
                <w:rFonts w:hint="eastAsia" w:eastAsia="仿宋_GB2312" w:cs="仿宋"/>
                <w:color w:val="auto"/>
                <w:sz w:val="24"/>
                <w:highlight w:val="none"/>
              </w:rPr>
              <w:t>鼓励学生参与实际工程项目，提高解决实际问题的能力。</w:t>
            </w:r>
          </w:p>
          <w:p w14:paraId="0A874935">
            <w:pPr>
              <w:spacing w:line="320" w:lineRule="exact"/>
              <w:rPr>
                <w:rFonts w:eastAsia="仿宋_GB2312" w:cs="仿宋"/>
                <w:color w:val="auto"/>
                <w:sz w:val="24"/>
                <w:highlight w:val="none"/>
              </w:rPr>
            </w:pPr>
            <w:r>
              <w:rPr>
                <w:rFonts w:hint="eastAsia" w:eastAsia="仿宋_GB2312" w:cs="仿宋"/>
                <w:color w:val="auto"/>
                <w:sz w:val="24"/>
                <w:highlight w:val="none"/>
              </w:rPr>
              <w:t>注重培养学生的创新意识和自主学习能力，引导学生关注水污染控制领域的最新发展动态。</w:t>
            </w:r>
          </w:p>
        </w:tc>
      </w:tr>
      <w:tr w14:paraId="371DD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14:paraId="0C0CADBC">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357" w:type="dxa"/>
            <w:vAlign w:val="center"/>
          </w:tcPr>
          <w:p w14:paraId="14433973">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环境工程施工技术</w:t>
            </w:r>
          </w:p>
        </w:tc>
        <w:tc>
          <w:tcPr>
            <w:tcW w:w="2667" w:type="dxa"/>
            <w:vAlign w:val="center"/>
          </w:tcPr>
          <w:p w14:paraId="7FA54CA2">
            <w:pPr>
              <w:spacing w:line="320" w:lineRule="exact"/>
              <w:rPr>
                <w:rFonts w:eastAsia="仿宋_GB2312" w:cs="仿宋"/>
                <w:color w:val="auto"/>
                <w:sz w:val="24"/>
                <w:highlight w:val="none"/>
              </w:rPr>
            </w:pPr>
            <w:r>
              <w:rPr>
                <w:rFonts w:hint="eastAsia" w:eastAsia="仿宋_GB2312" w:cs="仿宋"/>
                <w:color w:val="auto"/>
                <w:sz w:val="24"/>
                <w:highlight w:val="none"/>
              </w:rPr>
              <w:t>使学生掌握环境工程施工技术的基本理论、方法和工艺流程。培养学生具备环境工程施工组织与管理、施工质量控制及安全管理等方面的能力。培养学生的工程素养、团队合作精神和创新能力。</w:t>
            </w:r>
          </w:p>
        </w:tc>
        <w:tc>
          <w:tcPr>
            <w:tcW w:w="2645" w:type="dxa"/>
          </w:tcPr>
          <w:p w14:paraId="7576A3A2">
            <w:pPr>
              <w:spacing w:line="320" w:lineRule="exact"/>
              <w:rPr>
                <w:rFonts w:eastAsia="仿宋_GB2312" w:cs="仿宋"/>
                <w:color w:val="auto"/>
                <w:sz w:val="24"/>
                <w:highlight w:val="none"/>
              </w:rPr>
            </w:pPr>
            <w:r>
              <w:rPr>
                <w:rFonts w:hint="eastAsia" w:eastAsia="仿宋_GB2312" w:cs="仿宋"/>
                <w:color w:val="auto"/>
                <w:sz w:val="24"/>
                <w:highlight w:val="none"/>
              </w:rPr>
              <w:t>环境工程施工基础：包括施工图的识读、施工准备及施工组织设计等。环境工程专项施工技术：包括土方工程、地基与基础工程、砌筑工程、钢筋混凝土结构工程等。环境保护工程施工技术：包括水处理工程、大气污染治理工程、噪声控制工程等施工技术。施工管理：包括施工进度控制、成本控制、质量控制及安全管理等。</w:t>
            </w:r>
          </w:p>
        </w:tc>
        <w:tc>
          <w:tcPr>
            <w:tcW w:w="2729" w:type="dxa"/>
          </w:tcPr>
          <w:p w14:paraId="21FD11C2">
            <w:pPr>
              <w:spacing w:line="320" w:lineRule="exact"/>
              <w:rPr>
                <w:rFonts w:eastAsia="仿宋_GB2312" w:cs="仿宋"/>
                <w:color w:val="auto"/>
                <w:sz w:val="24"/>
                <w:highlight w:val="none"/>
              </w:rPr>
            </w:pPr>
            <w:r>
              <w:rPr>
                <w:rFonts w:hint="eastAsia" w:eastAsia="仿宋_GB2312" w:cs="仿宋"/>
                <w:color w:val="auto"/>
                <w:sz w:val="24"/>
                <w:highlight w:val="none"/>
              </w:rPr>
              <w:t>理论与实践相结合，注重培养学生的施工组织与管理能力。</w:t>
            </w:r>
          </w:p>
          <w:p w14:paraId="68F0FE98">
            <w:pPr>
              <w:spacing w:line="320" w:lineRule="exact"/>
              <w:rPr>
                <w:rFonts w:eastAsia="仿宋_GB2312" w:cs="仿宋"/>
                <w:color w:val="auto"/>
                <w:sz w:val="24"/>
                <w:highlight w:val="none"/>
              </w:rPr>
            </w:pPr>
            <w:r>
              <w:rPr>
                <w:rFonts w:hint="eastAsia" w:eastAsia="仿宋_GB2312" w:cs="仿宋"/>
                <w:color w:val="auto"/>
                <w:sz w:val="24"/>
                <w:highlight w:val="none"/>
              </w:rPr>
              <w:t>强调学生对施工技术的掌握和应用，确保施工过程的规范性和安全性。</w:t>
            </w:r>
          </w:p>
          <w:p w14:paraId="23ABDD83">
            <w:pPr>
              <w:spacing w:line="320" w:lineRule="exact"/>
              <w:rPr>
                <w:rFonts w:eastAsia="仿宋_GB2312" w:cs="仿宋"/>
                <w:color w:val="auto"/>
                <w:sz w:val="24"/>
                <w:highlight w:val="none"/>
              </w:rPr>
            </w:pPr>
            <w:r>
              <w:rPr>
                <w:rFonts w:hint="eastAsia" w:eastAsia="仿宋_GB2312" w:cs="仿宋"/>
                <w:color w:val="auto"/>
                <w:sz w:val="24"/>
                <w:highlight w:val="none"/>
              </w:rPr>
              <w:t>鼓励学生参与实际工程项目，提高解决实际问题的能力。</w:t>
            </w:r>
          </w:p>
          <w:p w14:paraId="000F5D6F">
            <w:pPr>
              <w:spacing w:line="320" w:lineRule="exact"/>
              <w:rPr>
                <w:rFonts w:eastAsia="仿宋_GB2312" w:cs="仿宋"/>
                <w:color w:val="auto"/>
                <w:sz w:val="24"/>
                <w:highlight w:val="none"/>
              </w:rPr>
            </w:pPr>
            <w:r>
              <w:rPr>
                <w:rFonts w:hint="eastAsia" w:eastAsia="仿宋_GB2312" w:cs="仿宋"/>
                <w:color w:val="auto"/>
                <w:sz w:val="24"/>
                <w:highlight w:val="none"/>
              </w:rPr>
              <w:t>注重培养学生的创新意识和自主学习能力，引导学生关注环境工程施工技术的最新发展动态。</w:t>
            </w:r>
          </w:p>
        </w:tc>
      </w:tr>
      <w:tr w14:paraId="652C6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14:paraId="38814883">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57" w:type="dxa"/>
            <w:vAlign w:val="center"/>
          </w:tcPr>
          <w:p w14:paraId="3583AA8D">
            <w:pPr>
              <w:spacing w:line="320" w:lineRule="exact"/>
              <w:jc w:val="center"/>
              <w:rPr>
                <w:rFonts w:eastAsia="仿宋_GB2312" w:cs="仿宋"/>
                <w:color w:val="auto"/>
                <w:sz w:val="24"/>
                <w:highlight w:val="none"/>
              </w:rPr>
            </w:pPr>
            <w:r>
              <w:rPr>
                <w:rFonts w:hint="eastAsia" w:eastAsia="仿宋_GB2312" w:cs="仿宋"/>
                <w:color w:val="auto"/>
                <w:sz w:val="24"/>
                <w:highlight w:val="none"/>
              </w:rPr>
              <w:t>大气污染控制工程</w:t>
            </w:r>
          </w:p>
        </w:tc>
        <w:tc>
          <w:tcPr>
            <w:tcW w:w="2667" w:type="dxa"/>
          </w:tcPr>
          <w:p w14:paraId="6377593E">
            <w:pPr>
              <w:spacing w:line="320" w:lineRule="exact"/>
              <w:rPr>
                <w:rFonts w:eastAsia="仿宋_GB2312" w:cs="仿宋"/>
                <w:color w:val="auto"/>
                <w:sz w:val="24"/>
                <w:highlight w:val="none"/>
              </w:rPr>
            </w:pPr>
            <w:r>
              <w:rPr>
                <w:rFonts w:hint="eastAsia" w:eastAsia="仿宋_GB2312" w:cs="仿宋"/>
                <w:color w:val="auto"/>
                <w:sz w:val="24"/>
                <w:highlight w:val="none"/>
              </w:rPr>
              <w:t>使学生掌握大气污染控制的基本理论、技术和方法。培养学生具备分析大气污染问题、设计大气污染控制方案及实施控制工程的能力。培养学生的环保意识、创新思维和团队合作精神。</w:t>
            </w:r>
          </w:p>
        </w:tc>
        <w:tc>
          <w:tcPr>
            <w:tcW w:w="2645" w:type="dxa"/>
          </w:tcPr>
          <w:p w14:paraId="509F336D">
            <w:pPr>
              <w:spacing w:line="320" w:lineRule="exact"/>
              <w:rPr>
                <w:rFonts w:eastAsia="仿宋_GB2312" w:cs="仿宋"/>
                <w:color w:val="auto"/>
                <w:sz w:val="24"/>
                <w:highlight w:val="none"/>
              </w:rPr>
            </w:pPr>
            <w:r>
              <w:rPr>
                <w:rFonts w:hint="eastAsia" w:eastAsia="仿宋_GB2312" w:cs="仿宋"/>
                <w:color w:val="auto"/>
                <w:sz w:val="24"/>
                <w:highlight w:val="none"/>
              </w:rPr>
              <w:t>大气污染基础：包括大气污染物的种类、来源及危害等。大气污染控制理论：包括大气污染扩散模型、污染物控制技术原理等。</w:t>
            </w:r>
          </w:p>
          <w:p w14:paraId="64EDCAD7">
            <w:pPr>
              <w:spacing w:line="320" w:lineRule="exact"/>
              <w:rPr>
                <w:rFonts w:eastAsia="仿宋_GB2312" w:cs="仿宋"/>
                <w:color w:val="auto"/>
                <w:sz w:val="24"/>
                <w:highlight w:val="none"/>
              </w:rPr>
            </w:pPr>
            <w:r>
              <w:rPr>
                <w:rFonts w:hint="eastAsia" w:eastAsia="仿宋_GB2312" w:cs="仿宋"/>
                <w:color w:val="auto"/>
                <w:sz w:val="24"/>
                <w:highlight w:val="none"/>
              </w:rPr>
              <w:t>大气污染控制技术：包括除尘技术、脱硫脱硝技术、挥发性有机物控制技术等。</w:t>
            </w:r>
          </w:p>
          <w:p w14:paraId="12FCD4B1">
            <w:pPr>
              <w:spacing w:line="320" w:lineRule="exact"/>
              <w:rPr>
                <w:rFonts w:eastAsia="仿宋_GB2312" w:cs="仿宋"/>
                <w:color w:val="auto"/>
                <w:sz w:val="24"/>
                <w:highlight w:val="none"/>
              </w:rPr>
            </w:pPr>
            <w:r>
              <w:rPr>
                <w:rFonts w:hint="eastAsia" w:eastAsia="仿宋_GB2312" w:cs="仿宋"/>
                <w:color w:val="auto"/>
                <w:sz w:val="24"/>
                <w:highlight w:val="none"/>
              </w:rPr>
              <w:t>大气污染控制工程设计：包括工艺设计、设备选型及工程计算等。</w:t>
            </w:r>
          </w:p>
        </w:tc>
        <w:tc>
          <w:tcPr>
            <w:tcW w:w="2729" w:type="dxa"/>
          </w:tcPr>
          <w:p w14:paraId="1257E467">
            <w:pPr>
              <w:spacing w:line="320" w:lineRule="exact"/>
              <w:rPr>
                <w:rFonts w:eastAsia="仿宋_GB2312" w:cs="仿宋"/>
                <w:color w:val="auto"/>
                <w:sz w:val="24"/>
                <w:highlight w:val="none"/>
              </w:rPr>
            </w:pPr>
            <w:r>
              <w:rPr>
                <w:rFonts w:hint="eastAsia" w:eastAsia="仿宋_GB2312" w:cs="仿宋"/>
                <w:color w:val="auto"/>
                <w:sz w:val="24"/>
                <w:highlight w:val="none"/>
              </w:rPr>
              <w:t>理论与实践相结合，注重培养学生的工程设计能力和实践操作能力。强调学生对大气污染控制技术的理解和掌握，确保设计方案的合理性和可行性。鼓励学生参与实际工程项目或模拟项目设计，提高解决实际问题的能力。</w:t>
            </w:r>
          </w:p>
          <w:p w14:paraId="3E01089C">
            <w:pPr>
              <w:spacing w:line="320" w:lineRule="exact"/>
              <w:rPr>
                <w:rFonts w:eastAsia="仿宋_GB2312" w:cs="仿宋"/>
                <w:color w:val="auto"/>
                <w:sz w:val="24"/>
                <w:highlight w:val="none"/>
              </w:rPr>
            </w:pPr>
            <w:r>
              <w:rPr>
                <w:rFonts w:hint="eastAsia" w:eastAsia="仿宋_GB2312" w:cs="仿宋"/>
                <w:color w:val="auto"/>
                <w:sz w:val="24"/>
                <w:highlight w:val="none"/>
              </w:rPr>
              <w:t>注重培养学生的创新意识和自主学习能力，引导学生关注大气污染控制领域的最新发展动态。</w:t>
            </w:r>
          </w:p>
        </w:tc>
      </w:tr>
      <w:tr w14:paraId="51C0F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0" w:hRule="atLeast"/>
          <w:jc w:val="center"/>
        </w:trPr>
        <w:tc>
          <w:tcPr>
            <w:tcW w:w="733" w:type="dxa"/>
            <w:vAlign w:val="center"/>
          </w:tcPr>
          <w:p w14:paraId="394FF1D3">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357" w:type="dxa"/>
            <w:vAlign w:val="center"/>
          </w:tcPr>
          <w:p w14:paraId="7175C9D1">
            <w:pPr>
              <w:spacing w:line="320" w:lineRule="exact"/>
              <w:jc w:val="center"/>
              <w:rPr>
                <w:rFonts w:eastAsia="仿宋_GB2312" w:cs="仿宋"/>
                <w:color w:val="auto"/>
                <w:sz w:val="24"/>
                <w:highlight w:val="none"/>
              </w:rPr>
            </w:pPr>
            <w:r>
              <w:rPr>
                <w:rFonts w:hint="eastAsia" w:eastAsia="仿宋_GB2312" w:cs="仿宋"/>
                <w:color w:val="auto"/>
                <w:sz w:val="24"/>
                <w:highlight w:val="none"/>
              </w:rPr>
              <w:t>固体废物污染控制工程</w:t>
            </w:r>
          </w:p>
        </w:tc>
        <w:tc>
          <w:tcPr>
            <w:tcW w:w="2667" w:type="dxa"/>
            <w:vAlign w:val="center"/>
          </w:tcPr>
          <w:p w14:paraId="6A99F861">
            <w:pPr>
              <w:spacing w:line="320" w:lineRule="exact"/>
              <w:rPr>
                <w:rFonts w:eastAsia="仿宋_GB2312" w:cs="仿宋"/>
                <w:color w:val="auto"/>
                <w:sz w:val="24"/>
                <w:highlight w:val="none"/>
              </w:rPr>
            </w:pPr>
            <w:r>
              <w:rPr>
                <w:rFonts w:hint="eastAsia" w:eastAsia="仿宋_GB2312" w:cs="仿宋"/>
                <w:color w:val="auto"/>
                <w:sz w:val="24"/>
                <w:highlight w:val="none"/>
              </w:rPr>
              <w:t>使学生掌握固体废物污染控制的基本理论、技术和方法。培养学生具备分析固体废物污染问题、设计固体废物处理处置方案及实施管理的能力。培养学生的环保意识、社会责任感及团队协作精神。</w:t>
            </w:r>
          </w:p>
        </w:tc>
        <w:tc>
          <w:tcPr>
            <w:tcW w:w="2645" w:type="dxa"/>
            <w:vAlign w:val="center"/>
          </w:tcPr>
          <w:p w14:paraId="17795913">
            <w:pPr>
              <w:spacing w:line="320" w:lineRule="exact"/>
              <w:rPr>
                <w:rFonts w:eastAsia="仿宋_GB2312" w:cs="仿宋"/>
                <w:color w:val="auto"/>
                <w:sz w:val="24"/>
                <w:highlight w:val="none"/>
              </w:rPr>
            </w:pPr>
            <w:r>
              <w:rPr>
                <w:rFonts w:hint="eastAsia" w:eastAsia="仿宋_GB2312" w:cs="仿宋"/>
                <w:color w:val="auto"/>
                <w:sz w:val="24"/>
                <w:highlight w:val="none"/>
              </w:rPr>
              <w:t>固体废物基础：包括固体废物的定义、分类、来源及危害等。</w:t>
            </w:r>
          </w:p>
          <w:p w14:paraId="5159124A">
            <w:pPr>
              <w:spacing w:line="320" w:lineRule="exact"/>
              <w:rPr>
                <w:rFonts w:eastAsia="仿宋_GB2312" w:cs="仿宋"/>
                <w:color w:val="auto"/>
                <w:sz w:val="24"/>
                <w:highlight w:val="none"/>
              </w:rPr>
            </w:pPr>
            <w:r>
              <w:rPr>
                <w:rFonts w:hint="eastAsia" w:eastAsia="仿宋_GB2312" w:cs="仿宋"/>
                <w:color w:val="auto"/>
                <w:sz w:val="24"/>
                <w:highlight w:val="none"/>
              </w:rPr>
              <w:t>固体废物处理技术：包括物理处理、化学处理、生物处理及焚烧处理等。固体废物资源化利用：包括回收利用、资源再生及能源化利用等。固体废物管理：包括固体废物法规政策、管理体系及环境风险评估等。</w:t>
            </w:r>
          </w:p>
        </w:tc>
        <w:tc>
          <w:tcPr>
            <w:tcW w:w="2729" w:type="dxa"/>
          </w:tcPr>
          <w:p w14:paraId="0BC7B721">
            <w:pPr>
              <w:spacing w:line="320" w:lineRule="exact"/>
              <w:rPr>
                <w:rFonts w:eastAsia="仿宋_GB2312" w:cs="仿宋"/>
                <w:color w:val="auto"/>
                <w:sz w:val="24"/>
                <w:highlight w:val="none"/>
              </w:rPr>
            </w:pPr>
            <w:r>
              <w:rPr>
                <w:rFonts w:hint="eastAsia" w:eastAsia="仿宋_GB2312" w:cs="仿宋"/>
                <w:color w:val="auto"/>
                <w:sz w:val="24"/>
                <w:highlight w:val="none"/>
              </w:rPr>
              <w:t>理论与实践相结合，注重培养学生的处理技术和管理能力。强调学生对固体废物处理技术的理解和掌握，确保处理方案的合理性和可行性。鼓励学生参与实际项目或案例分析，提高解决实际问题的能力。注重培养学生的创新意识和自主学习能力，引导学生关注固体废物污染控制领域的最新发展动态。</w:t>
            </w:r>
          </w:p>
        </w:tc>
      </w:tr>
      <w:tr w14:paraId="695C6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33" w:type="dxa"/>
            <w:vAlign w:val="center"/>
          </w:tcPr>
          <w:p w14:paraId="43A70376">
            <w:pPr>
              <w:spacing w:line="320" w:lineRule="exact"/>
              <w:jc w:val="center"/>
              <w:rPr>
                <w:rFonts w:hint="eastAsia" w:eastAsia="仿宋_GB2312" w:cs="仿宋"/>
                <w:color w:val="auto"/>
                <w:sz w:val="24"/>
                <w:highlight w:val="none"/>
              </w:rPr>
            </w:pPr>
            <w:r>
              <w:rPr>
                <w:rFonts w:hint="eastAsia" w:eastAsia="仿宋_GB2312" w:cs="仿宋"/>
                <w:color w:val="auto"/>
                <w:sz w:val="24"/>
                <w:highlight w:val="none"/>
              </w:rPr>
              <w:t>6</w:t>
            </w:r>
          </w:p>
        </w:tc>
        <w:tc>
          <w:tcPr>
            <w:tcW w:w="1357" w:type="dxa"/>
            <w:vAlign w:val="center"/>
          </w:tcPr>
          <w:p w14:paraId="1EA6B1C8">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环境噪声控制工程</w:t>
            </w:r>
          </w:p>
        </w:tc>
        <w:tc>
          <w:tcPr>
            <w:tcW w:w="2667" w:type="dxa"/>
            <w:vAlign w:val="center"/>
          </w:tcPr>
          <w:p w14:paraId="58D46504">
            <w:pPr>
              <w:spacing w:line="320" w:lineRule="exact"/>
              <w:rPr>
                <w:rFonts w:eastAsia="仿宋_GB2312" w:cs="仿宋"/>
                <w:color w:val="auto"/>
                <w:sz w:val="24"/>
                <w:highlight w:val="none"/>
              </w:rPr>
            </w:pPr>
            <w:r>
              <w:rPr>
                <w:rFonts w:hint="eastAsia" w:eastAsia="仿宋_GB2312" w:cs="仿宋"/>
                <w:color w:val="auto"/>
                <w:sz w:val="24"/>
                <w:highlight w:val="none"/>
              </w:rPr>
              <w:t>使学生掌握环境噪声控制的基本理论、技术和方法。培养学生具备分析环境噪声问题、设计噪声控制方案及实施噪声控制工程的能力。培养学生的环保意识、创新思维和团队合作精神。</w:t>
            </w:r>
          </w:p>
        </w:tc>
        <w:tc>
          <w:tcPr>
            <w:tcW w:w="2645" w:type="dxa"/>
            <w:vAlign w:val="center"/>
          </w:tcPr>
          <w:p w14:paraId="5467DAB7">
            <w:pPr>
              <w:spacing w:line="320" w:lineRule="exact"/>
              <w:rPr>
                <w:rFonts w:eastAsia="仿宋_GB2312" w:cs="仿宋"/>
                <w:color w:val="auto"/>
                <w:sz w:val="24"/>
                <w:highlight w:val="none"/>
              </w:rPr>
            </w:pPr>
            <w:r>
              <w:rPr>
                <w:rFonts w:hint="eastAsia" w:eastAsia="仿宋_GB2312" w:cs="仿宋"/>
                <w:color w:val="auto"/>
                <w:sz w:val="24"/>
                <w:highlight w:val="none"/>
              </w:rPr>
              <w:t>环境噪声基础：包括噪声的定义、分类、来源及危害等。声学基础：包括声波的产生、传播及接收等基本知识。噪声控制技术：包括吸声、隔声、消声及阻尼减振等控制技术。噪声控制工程设计：包括噪声源识别、控制方案设计及工程实施等。</w:t>
            </w:r>
          </w:p>
        </w:tc>
        <w:tc>
          <w:tcPr>
            <w:tcW w:w="2729" w:type="dxa"/>
          </w:tcPr>
          <w:p w14:paraId="6AB36DB7">
            <w:pPr>
              <w:spacing w:line="320" w:lineRule="exact"/>
              <w:rPr>
                <w:rFonts w:eastAsia="仿宋_GB2312" w:cs="仿宋"/>
                <w:color w:val="auto"/>
                <w:sz w:val="24"/>
                <w:highlight w:val="none"/>
              </w:rPr>
            </w:pPr>
            <w:r>
              <w:rPr>
                <w:rFonts w:hint="eastAsia" w:eastAsia="仿宋_GB2312" w:cs="仿宋"/>
                <w:color w:val="auto"/>
                <w:sz w:val="24"/>
                <w:highlight w:val="none"/>
              </w:rPr>
              <w:t>理论与实践相结合，注重培养学生的设计能力和实践操作能力。</w:t>
            </w:r>
          </w:p>
          <w:p w14:paraId="3A198B8C">
            <w:pPr>
              <w:spacing w:line="320" w:lineRule="exact"/>
              <w:rPr>
                <w:rFonts w:eastAsia="仿宋_GB2312" w:cs="仿宋"/>
                <w:color w:val="auto"/>
                <w:sz w:val="24"/>
                <w:highlight w:val="none"/>
              </w:rPr>
            </w:pPr>
            <w:r>
              <w:rPr>
                <w:rFonts w:hint="eastAsia" w:eastAsia="仿宋_GB2312" w:cs="仿宋"/>
                <w:color w:val="auto"/>
                <w:sz w:val="24"/>
                <w:highlight w:val="none"/>
              </w:rPr>
              <w:t>强调学生对声学基础知识和噪声控制技术的理解和掌握，确保设计方案的合理性和可行性。鼓励学生参与实际工程项目或噪声控制实验，提高解决实际问题的能力。注重培养学生的创新意识和自主学习能力，引导学生关注环境噪声控制领域的最新发展动态。</w:t>
            </w:r>
          </w:p>
        </w:tc>
      </w:tr>
      <w:tr w14:paraId="46F51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733" w:type="dxa"/>
            <w:vAlign w:val="center"/>
          </w:tcPr>
          <w:p w14:paraId="43F1D8AE">
            <w:pPr>
              <w:spacing w:line="320" w:lineRule="exact"/>
              <w:jc w:val="center"/>
              <w:rPr>
                <w:rFonts w:hint="eastAsia" w:eastAsia="仿宋_GB2312" w:cs="仿宋"/>
                <w:color w:val="auto"/>
                <w:sz w:val="24"/>
                <w:highlight w:val="none"/>
              </w:rPr>
            </w:pPr>
            <w:r>
              <w:rPr>
                <w:rFonts w:hint="eastAsia" w:eastAsia="仿宋_GB2312" w:cs="仿宋"/>
                <w:color w:val="auto"/>
                <w:sz w:val="24"/>
                <w:highlight w:val="none"/>
              </w:rPr>
              <w:t>7</w:t>
            </w:r>
          </w:p>
        </w:tc>
        <w:tc>
          <w:tcPr>
            <w:tcW w:w="1357" w:type="dxa"/>
            <w:vAlign w:val="center"/>
          </w:tcPr>
          <w:p w14:paraId="5D733B39">
            <w:pPr>
              <w:spacing w:line="320" w:lineRule="exact"/>
              <w:jc w:val="center"/>
              <w:rPr>
                <w:rFonts w:eastAsia="仿宋_GB2312" w:cs="仿宋"/>
                <w:color w:val="auto"/>
                <w:sz w:val="24"/>
                <w:highlight w:val="none"/>
              </w:rPr>
            </w:pPr>
            <w:r>
              <w:rPr>
                <w:rFonts w:hint="eastAsia" w:eastAsia="仿宋_GB2312" w:cs="仿宋"/>
                <w:color w:val="auto"/>
                <w:sz w:val="24"/>
                <w:highlight w:val="none"/>
              </w:rPr>
              <w:t>水力学</w:t>
            </w:r>
          </w:p>
        </w:tc>
        <w:tc>
          <w:tcPr>
            <w:tcW w:w="2667" w:type="dxa"/>
            <w:vAlign w:val="center"/>
          </w:tcPr>
          <w:p w14:paraId="0004C3DC">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使学生掌握水力学的基本理论、基本原理和基本方法，了解水流运动的基本规律及其在工程实践中的应用，培养学生的水力学计算能力和解决实际问题的能力。</w:t>
            </w:r>
          </w:p>
        </w:tc>
        <w:tc>
          <w:tcPr>
            <w:tcW w:w="2645" w:type="dxa"/>
            <w:vAlign w:val="center"/>
          </w:tcPr>
          <w:p w14:paraId="0A548A79">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包括水静力学（如液体压强、浮力等）、水动力学基础（如水流运动的基本方程、水流阻力等）、明渠流（如明渠均匀流、非均匀流等）、管流（如压力管道流、虹吸管流等）、渗流（如土壤渗流、地下水运动等）以及水力学在工程实践中的应用（如水工建筑物设计、河流治理等）。</w:t>
            </w:r>
          </w:p>
        </w:tc>
        <w:tc>
          <w:tcPr>
            <w:tcW w:w="2729" w:type="dxa"/>
            <w:vAlign w:val="center"/>
          </w:tcPr>
          <w:p w14:paraId="42479A32">
            <w:pPr>
              <w:spacing w:line="320" w:lineRule="exact"/>
              <w:jc w:val="center"/>
              <w:rPr>
                <w:rFonts w:eastAsia="仿宋_GB2312" w:cs="仿宋"/>
                <w:color w:val="auto"/>
                <w:sz w:val="24"/>
                <w:highlight w:val="none"/>
              </w:rPr>
            </w:pPr>
            <w:r>
              <w:rPr>
                <w:rFonts w:hint="eastAsia" w:eastAsia="仿宋_GB2312" w:cs="仿宋"/>
                <w:color w:val="auto"/>
                <w:sz w:val="24"/>
                <w:highlight w:val="none"/>
              </w:rPr>
              <w:t>注重理论与实践相结合，通过课堂讲授、例题分析、实验演示等多种教学方式，使学生掌握水力学的基本理论和方法。同时，强调培养学生的计算能力和解决实际问题的能力，鼓励学生参与水力学实验和工程设计实践。注重培养学生的创新思维和批判性思维，引导学生关注水力学领域的最新研究成果和发展趋势。</w:t>
            </w:r>
          </w:p>
        </w:tc>
      </w:tr>
      <w:tr w14:paraId="554D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14:paraId="0D0DC67A">
            <w:pPr>
              <w:spacing w:line="320" w:lineRule="exact"/>
              <w:jc w:val="center"/>
              <w:rPr>
                <w:rFonts w:eastAsia="仿宋_GB2312" w:cs="仿宋"/>
                <w:color w:val="auto"/>
                <w:sz w:val="24"/>
                <w:highlight w:val="none"/>
              </w:rPr>
            </w:pPr>
            <w:r>
              <w:rPr>
                <w:rFonts w:hint="eastAsia" w:eastAsia="仿宋_GB2312" w:cs="仿宋"/>
                <w:color w:val="auto"/>
                <w:sz w:val="24"/>
                <w:highlight w:val="none"/>
              </w:rPr>
              <w:t>8</w:t>
            </w:r>
          </w:p>
        </w:tc>
        <w:tc>
          <w:tcPr>
            <w:tcW w:w="1357" w:type="dxa"/>
            <w:vAlign w:val="center"/>
          </w:tcPr>
          <w:p w14:paraId="0FCD5F94">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环境微生物</w:t>
            </w:r>
          </w:p>
        </w:tc>
        <w:tc>
          <w:tcPr>
            <w:tcW w:w="2667" w:type="dxa"/>
            <w:vAlign w:val="center"/>
          </w:tcPr>
          <w:p w14:paraId="3DAD21CB">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使学生掌握环境微生物学的基本理论、微生物在环境中的作用及其与环境污染治理的关系，了解微生物在环境监测、环境修复等领域的应用，培养学生的微生物学实验技能和解决环境问题的能力。</w:t>
            </w:r>
          </w:p>
        </w:tc>
        <w:tc>
          <w:tcPr>
            <w:tcW w:w="2645" w:type="dxa"/>
            <w:vAlign w:val="center"/>
          </w:tcPr>
          <w:p w14:paraId="1C945437">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包括微生物学基础、环境微生物的多样性、微生物在自然环境中的生态作用、微生物对污染物的降解与转化、环境微生物监测技术、环境微生物修复技术等。同时，通过实验课程，使学生掌握微生物的分离、培养、鉴定及微生物学实验的基本操作技能。</w:t>
            </w:r>
          </w:p>
        </w:tc>
        <w:tc>
          <w:tcPr>
            <w:tcW w:w="2729" w:type="dxa"/>
            <w:vAlign w:val="center"/>
          </w:tcPr>
          <w:p w14:paraId="4E319C9D">
            <w:pPr>
              <w:spacing w:line="320" w:lineRule="exact"/>
              <w:jc w:val="center"/>
              <w:rPr>
                <w:rFonts w:eastAsia="仿宋_GB2312" w:cs="仿宋"/>
                <w:color w:val="auto"/>
                <w:sz w:val="24"/>
                <w:highlight w:val="none"/>
              </w:rPr>
            </w:pPr>
            <w:r>
              <w:rPr>
                <w:rFonts w:hint="eastAsia" w:eastAsia="仿宋_GB2312" w:cs="仿宋"/>
                <w:color w:val="auto"/>
                <w:sz w:val="24"/>
                <w:highlight w:val="none"/>
              </w:rPr>
              <w:t>注重理论与实践相结合，通过课堂讲授、实验操作、案例分析等多种教学方式，使学生掌握环境微生物学的基本理论和实验技能。同时，强调培养学生的观察力和实验设计能力，鼓励学生参与科研活动，探索微生物在环境保护中的新应用。注重培养学生的创新思维和解决问题的能力，引导学生关注环境微生物学的最新研究进展。</w:t>
            </w:r>
          </w:p>
        </w:tc>
      </w:tr>
    </w:tbl>
    <w:p w14:paraId="2DE3B59E">
      <w:pPr>
        <w:adjustRightInd w:val="0"/>
        <w:snapToGri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3.主要实践性课程：毕业设计、岗位实习</w:t>
      </w:r>
    </w:p>
    <w:p w14:paraId="529D35D0">
      <w:pPr>
        <w:adjustRightInd w:val="0"/>
        <w:snapToGrid w:val="0"/>
        <w:spacing w:line="520" w:lineRule="exact"/>
        <w:ind w:firstLine="2560" w:firstLineChars="800"/>
        <w:rPr>
          <w:rFonts w:eastAsia="仿宋_GB2312" w:cs="仿宋"/>
          <w:color w:val="auto"/>
          <w:sz w:val="32"/>
          <w:szCs w:val="32"/>
          <w:highlight w:val="none"/>
        </w:rPr>
      </w:pPr>
      <w:r>
        <w:rPr>
          <w:rFonts w:hint="eastAsia" w:eastAsia="仿宋_GB2312" w:cs="仿宋"/>
          <w:color w:val="auto"/>
          <w:sz w:val="32"/>
          <w:szCs w:val="32"/>
          <w:highlight w:val="none"/>
        </w:rPr>
        <w:t>主要实践课程描述表</w:t>
      </w:r>
    </w:p>
    <w:tbl>
      <w:tblPr>
        <w:tblStyle w:val="8"/>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1576"/>
        <w:gridCol w:w="2034"/>
        <w:gridCol w:w="2150"/>
        <w:gridCol w:w="2963"/>
      </w:tblGrid>
      <w:tr w14:paraId="15BB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vAlign w:val="center"/>
          </w:tcPr>
          <w:p w14:paraId="5B06C9F5">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576" w:type="dxa"/>
            <w:vAlign w:val="center"/>
          </w:tcPr>
          <w:p w14:paraId="0A7DB9B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034" w:type="dxa"/>
            <w:vAlign w:val="center"/>
          </w:tcPr>
          <w:p w14:paraId="21B3C65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150" w:type="dxa"/>
            <w:vAlign w:val="center"/>
          </w:tcPr>
          <w:p w14:paraId="5D364F8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2963" w:type="dxa"/>
            <w:vAlign w:val="center"/>
          </w:tcPr>
          <w:p w14:paraId="2C12935C">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79752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vAlign w:val="center"/>
          </w:tcPr>
          <w:p w14:paraId="0DE77B65">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576" w:type="dxa"/>
            <w:vAlign w:val="center"/>
          </w:tcPr>
          <w:p w14:paraId="43435CAF">
            <w:pPr>
              <w:spacing w:line="320" w:lineRule="exact"/>
              <w:jc w:val="center"/>
              <w:rPr>
                <w:rFonts w:eastAsia="仿宋_GB2312" w:cs="仿宋"/>
                <w:color w:val="auto"/>
                <w:sz w:val="24"/>
                <w:highlight w:val="none"/>
              </w:rPr>
            </w:pPr>
            <w:r>
              <w:rPr>
                <w:rFonts w:hint="eastAsia" w:eastAsia="仿宋_GB2312" w:cs="仿宋"/>
                <w:color w:val="auto"/>
                <w:sz w:val="24"/>
                <w:highlight w:val="none"/>
              </w:rPr>
              <w:t>毕业设计</w:t>
            </w:r>
          </w:p>
        </w:tc>
        <w:tc>
          <w:tcPr>
            <w:tcW w:w="2034" w:type="dxa"/>
            <w:vAlign w:val="center"/>
          </w:tcPr>
          <w:p w14:paraId="68722073">
            <w:pPr>
              <w:spacing w:line="320" w:lineRule="exact"/>
              <w:jc w:val="center"/>
              <w:rPr>
                <w:rFonts w:eastAsia="仿宋_GB2312" w:cs="仿宋"/>
                <w:color w:val="auto"/>
                <w:sz w:val="24"/>
                <w:highlight w:val="none"/>
              </w:rPr>
            </w:pPr>
            <w:r>
              <w:rPr>
                <w:rFonts w:hint="eastAsia" w:eastAsia="仿宋_GB2312" w:cs="仿宋"/>
                <w:color w:val="auto"/>
                <w:sz w:val="24"/>
                <w:highlight w:val="none"/>
              </w:rPr>
              <w:t>培养学生的开发和设计能力，提高综合应用所学知识和技能去分析、解决实际问题，检验学生的学习效果。</w:t>
            </w:r>
          </w:p>
        </w:tc>
        <w:tc>
          <w:tcPr>
            <w:tcW w:w="2150" w:type="dxa"/>
            <w:vAlign w:val="center"/>
          </w:tcPr>
          <w:p w14:paraId="28A1F260">
            <w:pPr>
              <w:spacing w:line="320" w:lineRule="exact"/>
              <w:jc w:val="center"/>
              <w:rPr>
                <w:rFonts w:eastAsia="仿宋_GB2312" w:cs="仿宋"/>
                <w:color w:val="auto"/>
                <w:sz w:val="24"/>
                <w:highlight w:val="none"/>
              </w:rPr>
            </w:pPr>
            <w:r>
              <w:rPr>
                <w:rFonts w:hint="eastAsia" w:eastAsia="仿宋_GB2312" w:cs="仿宋"/>
                <w:color w:val="auto"/>
                <w:sz w:val="24"/>
                <w:highlight w:val="none"/>
              </w:rPr>
              <w:t>论文必须以所在实习企业为研究对象，通过实地调查、收集资料，参照其他企业状况或其他案例进行分析研究。</w:t>
            </w:r>
          </w:p>
        </w:tc>
        <w:tc>
          <w:tcPr>
            <w:tcW w:w="2963" w:type="dxa"/>
            <w:vAlign w:val="center"/>
          </w:tcPr>
          <w:p w14:paraId="7A76CC0B">
            <w:pPr>
              <w:spacing w:line="320" w:lineRule="exact"/>
              <w:jc w:val="center"/>
              <w:rPr>
                <w:rFonts w:eastAsia="仿宋_GB2312" w:cs="仿宋"/>
                <w:color w:val="auto"/>
                <w:sz w:val="24"/>
                <w:highlight w:val="none"/>
              </w:rPr>
            </w:pPr>
            <w:r>
              <w:rPr>
                <w:rFonts w:hint="eastAsia" w:eastAsia="仿宋_GB2312" w:cs="仿宋"/>
                <w:color w:val="auto"/>
                <w:sz w:val="24"/>
                <w:highlight w:val="none"/>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6176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vAlign w:val="center"/>
          </w:tcPr>
          <w:p w14:paraId="5A4ED874">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576" w:type="dxa"/>
            <w:vAlign w:val="center"/>
          </w:tcPr>
          <w:p w14:paraId="1B252D6D">
            <w:pPr>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2034" w:type="dxa"/>
            <w:vAlign w:val="center"/>
          </w:tcPr>
          <w:p w14:paraId="44BE77DE">
            <w:pPr>
              <w:spacing w:line="320" w:lineRule="exact"/>
              <w:jc w:val="center"/>
              <w:rPr>
                <w:rFonts w:eastAsia="仿宋_GB2312" w:cs="仿宋"/>
                <w:color w:val="auto"/>
                <w:sz w:val="24"/>
                <w:highlight w:val="none"/>
              </w:rPr>
            </w:pPr>
            <w:r>
              <w:rPr>
                <w:rFonts w:hint="eastAsia" w:eastAsia="仿宋_GB2312" w:cs="仿宋"/>
                <w:color w:val="auto"/>
                <w:sz w:val="24"/>
                <w:highlight w:val="none"/>
              </w:rPr>
              <w:t>通过岗位实习，学生需将理论知识融入实际操作，提升环境监测、污染治理等专业技能；在真实工作环境中，增强问题解决、团队协作等综合能力；同时，明确个人职业定位，为未来的职业生涯奠定坚实基础。</w:t>
            </w:r>
          </w:p>
        </w:tc>
        <w:tc>
          <w:tcPr>
            <w:tcW w:w="2150" w:type="dxa"/>
            <w:vAlign w:val="center"/>
          </w:tcPr>
          <w:p w14:paraId="12CDEAE7">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环境监测员岗位实习、环境治理项目经理岗位实习、环境评价师岗位实习。</w:t>
            </w:r>
          </w:p>
        </w:tc>
        <w:tc>
          <w:tcPr>
            <w:tcW w:w="2963" w:type="dxa"/>
            <w:vAlign w:val="center"/>
          </w:tcPr>
          <w:p w14:paraId="35BD7BDF">
            <w:pPr>
              <w:spacing w:line="320" w:lineRule="exact"/>
              <w:jc w:val="center"/>
              <w:rPr>
                <w:rFonts w:eastAsia="仿宋_GB2312" w:cs="仿宋"/>
                <w:color w:val="auto"/>
                <w:sz w:val="24"/>
                <w:highlight w:val="none"/>
              </w:rPr>
            </w:pPr>
            <w:r>
              <w:rPr>
                <w:rFonts w:hint="eastAsia" w:eastAsia="仿宋_GB2312" w:cs="仿宋"/>
                <w:color w:val="auto"/>
                <w:sz w:val="24"/>
                <w:highlight w:val="none"/>
              </w:rPr>
              <w:t>实习期间，学生需严格遵守实习单位与学校的管理规定，确保实习安全；积极投入实践，主动提升专业技能；加强团队协作，有效沟通；注重职业道德培养，树立环保意识；最后，通过实习报告、项目评价等方式，全面展现实习成果与学习收获。</w:t>
            </w:r>
          </w:p>
        </w:tc>
      </w:tr>
    </w:tbl>
    <w:p w14:paraId="07DFDAB8">
      <w:pPr>
        <w:adjustRightInd w:val="0"/>
        <w:snapToGrid w:val="0"/>
        <w:spacing w:line="520" w:lineRule="exact"/>
        <w:ind w:left="420" w:leftChars="200" w:firstLine="640" w:firstLineChars="200"/>
        <w:rPr>
          <w:rFonts w:eastAsia="仿宋_GB2312" w:cs="仿宋"/>
          <w:color w:val="auto"/>
          <w:sz w:val="32"/>
          <w:szCs w:val="32"/>
          <w:highlight w:val="none"/>
        </w:rPr>
      </w:pPr>
      <w:bookmarkStart w:id="11" w:name="_Toc90734991"/>
      <w:r>
        <w:rPr>
          <w:rFonts w:hint="eastAsia" w:eastAsia="仿宋_GB2312" w:cs="仿宋"/>
          <w:color w:val="auto"/>
          <w:sz w:val="32"/>
          <w:szCs w:val="32"/>
          <w:highlight w:val="none"/>
        </w:rPr>
        <w:t>4.专业拓展课程：</w:t>
      </w:r>
      <w:bookmarkEnd w:id="11"/>
    </w:p>
    <w:p w14:paraId="44387947">
      <w:pPr>
        <w:adjustRightInd w:val="0"/>
        <w:snapToGrid w:val="0"/>
        <w:spacing w:line="520" w:lineRule="exact"/>
        <w:ind w:left="420" w:leftChars="200"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专业拓展课程是按照岗位迁移，根据</w:t>
      </w:r>
      <w:r>
        <w:rPr>
          <w:rFonts w:hint="eastAsia" w:eastAsia="仿宋_GB2312" w:cs="仿宋"/>
          <w:color w:val="auto"/>
          <w:spacing w:val="-2"/>
          <w:sz w:val="32"/>
          <w:szCs w:val="32"/>
          <w:highlight w:val="none"/>
        </w:rPr>
        <w:t>环境保护与可持续发展行业</w:t>
      </w:r>
      <w:r>
        <w:rPr>
          <w:rFonts w:hint="eastAsia" w:eastAsia="仿宋_GB2312" w:cs="仿宋"/>
          <w:color w:val="auto"/>
          <w:sz w:val="32"/>
          <w:szCs w:val="32"/>
          <w:highlight w:val="none"/>
        </w:rPr>
        <w:t>发展的趋势，依据企业用人需求调研，企业对</w:t>
      </w:r>
      <w:r>
        <w:rPr>
          <w:rFonts w:hint="eastAsia" w:eastAsia="仿宋_GB2312" w:cs="仿宋"/>
          <w:color w:val="auto"/>
          <w:spacing w:val="-2"/>
          <w:sz w:val="32"/>
          <w:szCs w:val="32"/>
          <w:highlight w:val="none"/>
        </w:rPr>
        <w:t>水利资源高效利用与保护、环境资源法律保障、绿色建筑与节能技术、以及环境健康风险评估与管理</w:t>
      </w:r>
      <w:r>
        <w:rPr>
          <w:rFonts w:hint="eastAsia" w:eastAsia="仿宋_GB2312" w:cs="仿宋"/>
          <w:color w:val="auto"/>
          <w:sz w:val="32"/>
          <w:szCs w:val="32"/>
          <w:highlight w:val="none"/>
        </w:rPr>
        <w:t>等方面日益增加的需求，建立了</w:t>
      </w:r>
      <w:r>
        <w:rPr>
          <w:rFonts w:hint="eastAsia" w:eastAsia="仿宋_GB2312" w:cs="仿宋"/>
          <w:color w:val="auto"/>
          <w:spacing w:val="-2"/>
          <w:sz w:val="32"/>
          <w:szCs w:val="32"/>
          <w:highlight w:val="none"/>
        </w:rPr>
        <w:t>环境工程技术</w:t>
      </w:r>
      <w:r>
        <w:rPr>
          <w:rFonts w:hint="eastAsia" w:eastAsia="仿宋_GB2312" w:cs="仿宋"/>
          <w:color w:val="auto"/>
          <w:sz w:val="32"/>
          <w:szCs w:val="32"/>
          <w:highlight w:val="none"/>
        </w:rPr>
        <w:t>专业拓展课，并将辅修方向课程纳入其中。由</w:t>
      </w:r>
      <w:r>
        <w:rPr>
          <w:rFonts w:hint="eastAsia" w:eastAsia="仿宋_GB2312" w:cs="仿宋"/>
          <w:color w:val="auto"/>
          <w:spacing w:val="-2"/>
          <w:sz w:val="32"/>
          <w:szCs w:val="32"/>
          <w:highlight w:val="none"/>
        </w:rPr>
        <w:t>水利资源与保护、环境资源与保护法、建筑节能、环境健康科学</w:t>
      </w:r>
      <w:r>
        <w:rPr>
          <w:rFonts w:hint="eastAsia" w:eastAsia="仿宋_GB2312" w:cs="仿宋"/>
          <w:color w:val="auto"/>
          <w:sz w:val="32"/>
          <w:szCs w:val="32"/>
          <w:highlight w:val="none"/>
        </w:rPr>
        <w:t>等课程构成专业拓展课。</w:t>
      </w:r>
    </w:p>
    <w:p w14:paraId="4F6BE080">
      <w:pPr>
        <w:adjustRightInd w:val="0"/>
        <w:snapToGrid w:val="0"/>
        <w:spacing w:line="520" w:lineRule="exact"/>
        <w:ind w:left="420" w:leftChars="200"/>
        <w:jc w:val="center"/>
        <w:rPr>
          <w:rFonts w:eastAsia="仿宋_GB2312" w:cs="仿宋"/>
          <w:color w:val="auto"/>
          <w:sz w:val="32"/>
          <w:szCs w:val="32"/>
          <w:highlight w:val="none"/>
        </w:rPr>
      </w:pPr>
      <w:r>
        <w:rPr>
          <w:rFonts w:hint="eastAsia" w:eastAsia="仿宋_GB2312" w:cs="仿宋"/>
          <w:color w:val="auto"/>
          <w:sz w:val="32"/>
          <w:szCs w:val="32"/>
          <w:highlight w:val="none"/>
        </w:rPr>
        <w:t>专业拓展课程描述表</w:t>
      </w:r>
    </w:p>
    <w:tbl>
      <w:tblPr>
        <w:tblStyle w:val="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1398"/>
        <w:gridCol w:w="2400"/>
        <w:gridCol w:w="2400"/>
        <w:gridCol w:w="2552"/>
      </w:tblGrid>
      <w:tr w14:paraId="7652F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1270AB32">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398" w:type="dxa"/>
            <w:vAlign w:val="center"/>
          </w:tcPr>
          <w:p w14:paraId="6750CC4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400" w:type="dxa"/>
            <w:vAlign w:val="center"/>
          </w:tcPr>
          <w:p w14:paraId="297C74F1">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400" w:type="dxa"/>
            <w:vAlign w:val="center"/>
          </w:tcPr>
          <w:p w14:paraId="324AB7A7">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2552" w:type="dxa"/>
            <w:vAlign w:val="center"/>
          </w:tcPr>
          <w:p w14:paraId="5E61A7E9">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76410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2E87C46C">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98" w:type="dxa"/>
            <w:vAlign w:val="center"/>
          </w:tcPr>
          <w:p w14:paraId="1DD8A0DF">
            <w:pPr>
              <w:spacing w:line="320" w:lineRule="exact"/>
              <w:jc w:val="center"/>
              <w:rPr>
                <w:rFonts w:eastAsia="仿宋_GB2312" w:cs="仿宋"/>
                <w:color w:val="auto"/>
                <w:sz w:val="24"/>
                <w:highlight w:val="none"/>
              </w:rPr>
            </w:pPr>
            <w:r>
              <w:rPr>
                <w:rFonts w:hint="eastAsia" w:eastAsia="仿宋_GB2312" w:cs="仿宋"/>
                <w:color w:val="auto"/>
                <w:sz w:val="24"/>
                <w:highlight w:val="none"/>
              </w:rPr>
              <w:t>水利资源与保护</w:t>
            </w:r>
          </w:p>
        </w:tc>
        <w:tc>
          <w:tcPr>
            <w:tcW w:w="2400" w:type="dxa"/>
            <w:vAlign w:val="center"/>
          </w:tcPr>
          <w:p w14:paraId="03987DCB">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本课程旨在使学生掌握水利资源的基本概念、分布特点与管理原理，理解水环境保护的重要性与紧迫性，学会运用科学方法评估水利资源状况，制定合理的水资源保护策略，以应对水资源短缺与水污染</w:t>
            </w:r>
          </w:p>
          <w:p w14:paraId="5689783B">
            <w:pPr>
              <w:spacing w:line="320" w:lineRule="exact"/>
              <w:rPr>
                <w:rFonts w:eastAsia="仿宋_GB2312" w:cs="仿宋"/>
                <w:color w:val="auto"/>
                <w:sz w:val="24"/>
                <w:highlight w:val="none"/>
              </w:rPr>
            </w:pPr>
            <w:r>
              <w:rPr>
                <w:rFonts w:hint="eastAsia" w:eastAsia="仿宋_GB2312" w:cs="仿宋"/>
                <w:color w:val="auto"/>
                <w:sz w:val="24"/>
                <w:highlight w:val="none"/>
              </w:rPr>
              <w:t>等挑战。</w:t>
            </w:r>
          </w:p>
        </w:tc>
        <w:tc>
          <w:tcPr>
            <w:tcW w:w="2400" w:type="dxa"/>
            <w:vAlign w:val="center"/>
          </w:tcPr>
          <w:p w14:paraId="44CB92BC">
            <w:pPr>
              <w:spacing w:line="320" w:lineRule="exact"/>
              <w:jc w:val="center"/>
              <w:rPr>
                <w:rFonts w:eastAsia="仿宋_GB2312" w:cs="仿宋"/>
                <w:color w:val="auto"/>
                <w:sz w:val="24"/>
                <w:highlight w:val="none"/>
              </w:rPr>
            </w:pPr>
            <w:r>
              <w:rPr>
                <w:rFonts w:hint="eastAsia" w:eastAsia="仿宋_GB2312" w:cs="仿宋"/>
                <w:color w:val="auto"/>
                <w:sz w:val="24"/>
                <w:highlight w:val="none"/>
              </w:rPr>
              <w:t>涵盖水资源调查与评价、水资源规划与管理、水污染防治技术、水资源法律法规、节水型社会建设等内容，通过案例分析、实地考察等方式，加深学生对水利资源与保护的理解。</w:t>
            </w:r>
          </w:p>
        </w:tc>
        <w:tc>
          <w:tcPr>
            <w:tcW w:w="2552" w:type="dxa"/>
            <w:vAlign w:val="center"/>
          </w:tcPr>
          <w:p w14:paraId="2E48E89F">
            <w:pPr>
              <w:spacing w:line="320" w:lineRule="exact"/>
              <w:jc w:val="center"/>
              <w:rPr>
                <w:rFonts w:eastAsia="仿宋_GB2312" w:cs="仿宋"/>
                <w:color w:val="auto"/>
                <w:sz w:val="24"/>
                <w:highlight w:val="none"/>
              </w:rPr>
            </w:pPr>
            <w:r>
              <w:rPr>
                <w:rFonts w:hint="eastAsia" w:eastAsia="仿宋_GB2312" w:cs="仿宋"/>
                <w:color w:val="auto"/>
                <w:sz w:val="24"/>
                <w:highlight w:val="none"/>
              </w:rPr>
              <w:t>学生需积极参与课堂讨论，完成课程作业，掌握水利资源保护的基本理论与方法；同时，鼓励学生参与科研项目或社会实践，将所学知识应用于解决实际问题，培养创新思维和实践能力。</w:t>
            </w:r>
          </w:p>
        </w:tc>
      </w:tr>
      <w:tr w14:paraId="17F0F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732FAB8C">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98" w:type="dxa"/>
            <w:vAlign w:val="center"/>
          </w:tcPr>
          <w:p w14:paraId="551AE0D9">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环境资源与保护法</w:t>
            </w:r>
          </w:p>
        </w:tc>
        <w:tc>
          <w:tcPr>
            <w:tcW w:w="2400" w:type="dxa"/>
            <w:vAlign w:val="center"/>
          </w:tcPr>
          <w:p w14:paraId="5D2C6E62">
            <w:pPr>
              <w:spacing w:line="320" w:lineRule="exact"/>
              <w:jc w:val="center"/>
              <w:rPr>
                <w:rFonts w:eastAsia="仿宋_GB2312" w:cs="仿宋"/>
                <w:color w:val="auto"/>
                <w:sz w:val="24"/>
                <w:highlight w:val="none"/>
              </w:rPr>
            </w:pPr>
            <w:r>
              <w:rPr>
                <w:rFonts w:hint="eastAsia" w:eastAsia="仿宋_GB2312" w:cs="仿宋"/>
                <w:color w:val="auto"/>
                <w:sz w:val="24"/>
                <w:highlight w:val="none"/>
              </w:rPr>
              <w:t>本课程旨在使学生全面掌握环境资源保护的基本法律理论和制度，了解国内外环境法的发展动态，增强学生的环境法律意识，培养其运用环境法律知识解决实际问题的能力，为从事环境保护、资源管理及法律工作奠定坚实基</w:t>
            </w:r>
          </w:p>
          <w:p w14:paraId="17F17670">
            <w:pPr>
              <w:spacing w:line="320" w:lineRule="exact"/>
              <w:rPr>
                <w:rFonts w:eastAsia="仿宋_GB2312" w:cs="仿宋"/>
                <w:color w:val="auto"/>
                <w:sz w:val="24"/>
                <w:highlight w:val="none"/>
              </w:rPr>
            </w:pPr>
            <w:r>
              <w:rPr>
                <w:rFonts w:hint="eastAsia" w:eastAsia="仿宋_GB2312" w:cs="仿宋"/>
                <w:color w:val="auto"/>
                <w:sz w:val="24"/>
                <w:highlight w:val="none"/>
              </w:rPr>
              <w:t>础。</w:t>
            </w:r>
          </w:p>
        </w:tc>
        <w:tc>
          <w:tcPr>
            <w:tcW w:w="2400" w:type="dxa"/>
            <w:vAlign w:val="center"/>
          </w:tcPr>
          <w:p w14:paraId="403DA58A">
            <w:pPr>
              <w:spacing w:line="320" w:lineRule="exact"/>
              <w:jc w:val="center"/>
              <w:rPr>
                <w:rFonts w:eastAsia="仿宋_GB2312" w:cs="仿宋"/>
                <w:color w:val="auto"/>
                <w:sz w:val="24"/>
                <w:highlight w:val="none"/>
              </w:rPr>
            </w:pPr>
            <w:r>
              <w:rPr>
                <w:rFonts w:hint="eastAsia" w:eastAsia="仿宋_GB2312" w:cs="仿宋"/>
                <w:color w:val="auto"/>
                <w:sz w:val="24"/>
                <w:highlight w:val="none"/>
              </w:rPr>
              <w:t>涵盖环境资源保护法的基本概念、体系、基本原则、主要制度，以及环境污染防治法、自然资源保护法、国际环境法等核心领域。通过案例分析、法律条文解读等方式，使学生深入理解环境法律体系的构成及其运作机制。</w:t>
            </w:r>
          </w:p>
        </w:tc>
        <w:tc>
          <w:tcPr>
            <w:tcW w:w="2552" w:type="dxa"/>
            <w:vAlign w:val="center"/>
          </w:tcPr>
          <w:p w14:paraId="6BA27629">
            <w:pPr>
              <w:spacing w:line="320" w:lineRule="exact"/>
              <w:jc w:val="center"/>
              <w:rPr>
                <w:rFonts w:eastAsia="仿宋_GB2312" w:cs="仿宋"/>
                <w:color w:val="auto"/>
                <w:sz w:val="24"/>
                <w:highlight w:val="none"/>
              </w:rPr>
            </w:pPr>
            <w:r>
              <w:rPr>
                <w:rFonts w:hint="eastAsia" w:eastAsia="仿宋_GB2312" w:cs="仿宋"/>
                <w:color w:val="auto"/>
                <w:sz w:val="24"/>
                <w:highlight w:val="none"/>
              </w:rPr>
              <w:t>注重理论与实践相结合，加强师生互动，鼓励学生自主查阅相关资料，积极参与课堂讨论。要求学生掌握环境法律的基本概念和理论，熟悉主要法律制度和条款，具备分析和解决环境法律问题的能力。同时，注重培养学生的法律思维和职业道德，为成为合格的环境法律人才做好准备。</w:t>
            </w:r>
          </w:p>
        </w:tc>
      </w:tr>
      <w:tr w14:paraId="1638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2D7733A4">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398" w:type="dxa"/>
            <w:vAlign w:val="center"/>
          </w:tcPr>
          <w:p w14:paraId="380EC8B1">
            <w:pPr>
              <w:spacing w:line="320" w:lineRule="exact"/>
              <w:jc w:val="center"/>
              <w:rPr>
                <w:rFonts w:eastAsia="仿宋_GB2312" w:cs="仿宋"/>
                <w:color w:val="auto"/>
                <w:sz w:val="24"/>
                <w:highlight w:val="none"/>
              </w:rPr>
            </w:pPr>
            <w:r>
              <w:rPr>
                <w:rFonts w:hint="eastAsia" w:eastAsia="仿宋_GB2312" w:cs="仿宋"/>
                <w:color w:val="auto"/>
                <w:sz w:val="24"/>
                <w:highlight w:val="none"/>
              </w:rPr>
              <w:t>建筑节能</w:t>
            </w:r>
          </w:p>
        </w:tc>
        <w:tc>
          <w:tcPr>
            <w:tcW w:w="2400" w:type="dxa"/>
            <w:vAlign w:val="center"/>
          </w:tcPr>
          <w:p w14:paraId="34B3000F">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使学生全面掌握建筑节能的基本理论、政策法规及实用技术，培养学生的节能意识和环保意识，提升他们在建筑节能设计、施工、管理等方面的</w:t>
            </w:r>
          </w:p>
          <w:p w14:paraId="1DAC6BDE">
            <w:pPr>
              <w:spacing w:line="320" w:lineRule="exact"/>
              <w:rPr>
                <w:rFonts w:eastAsia="仿宋_GB2312" w:cs="仿宋"/>
                <w:color w:val="auto"/>
                <w:sz w:val="24"/>
                <w:highlight w:val="none"/>
              </w:rPr>
            </w:pPr>
            <w:r>
              <w:rPr>
                <w:rFonts w:hint="eastAsia" w:eastAsia="仿宋_GB2312" w:cs="仿宋"/>
                <w:color w:val="auto"/>
                <w:sz w:val="24"/>
                <w:highlight w:val="none"/>
              </w:rPr>
              <w:t>综合能力。</w:t>
            </w:r>
          </w:p>
        </w:tc>
        <w:tc>
          <w:tcPr>
            <w:tcW w:w="2400" w:type="dxa"/>
            <w:vAlign w:val="center"/>
          </w:tcPr>
          <w:p w14:paraId="7021666C">
            <w:pPr>
              <w:spacing w:line="320" w:lineRule="exact"/>
              <w:jc w:val="center"/>
              <w:rPr>
                <w:rFonts w:eastAsia="仿宋_GB2312" w:cs="仿宋"/>
                <w:color w:val="auto"/>
                <w:sz w:val="24"/>
                <w:highlight w:val="none"/>
              </w:rPr>
            </w:pPr>
            <w:r>
              <w:rPr>
                <w:rFonts w:hint="eastAsia" w:eastAsia="仿宋_GB2312" w:cs="仿宋"/>
                <w:color w:val="auto"/>
                <w:sz w:val="24"/>
                <w:highlight w:val="none"/>
              </w:rPr>
              <w:t>涵盖建筑节能的基础知识、节能设计原理、围护结构节能技术、暖通空调系统节能、可再生能源利用等关键领域。通过理论讲授、案例分析、实践操作等多种教学方式，使学生深刻理解建筑节能的重要性及其实施策略。</w:t>
            </w:r>
          </w:p>
        </w:tc>
        <w:tc>
          <w:tcPr>
            <w:tcW w:w="2552" w:type="dxa"/>
            <w:vAlign w:val="center"/>
          </w:tcPr>
          <w:p w14:paraId="2F4B5AC0">
            <w:pPr>
              <w:spacing w:line="320" w:lineRule="exact"/>
              <w:jc w:val="center"/>
              <w:rPr>
                <w:rFonts w:eastAsia="仿宋_GB2312" w:cs="仿宋"/>
                <w:color w:val="auto"/>
                <w:sz w:val="24"/>
                <w:highlight w:val="none"/>
              </w:rPr>
            </w:pPr>
            <w:r>
              <w:rPr>
                <w:rFonts w:hint="eastAsia" w:eastAsia="仿宋_GB2312" w:cs="仿宋"/>
                <w:color w:val="auto"/>
                <w:sz w:val="24"/>
                <w:highlight w:val="none"/>
              </w:rPr>
              <w:t>掌握建筑节能的基本概念和原理，熟悉相关政策法规和技术标准，具备运用所学知识分析和解决建筑节能问题的能力。同时，课程还强调培养学生的实践动手能力和创新思维，鼓励他们在建筑节能领域积极探索和应用新技术、新材料。</w:t>
            </w:r>
          </w:p>
        </w:tc>
      </w:tr>
      <w:tr w14:paraId="5A03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vAlign w:val="center"/>
          </w:tcPr>
          <w:p w14:paraId="4D4722B1">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98" w:type="dxa"/>
            <w:vAlign w:val="center"/>
          </w:tcPr>
          <w:p w14:paraId="09C2570F">
            <w:pPr>
              <w:spacing w:line="320" w:lineRule="exact"/>
              <w:jc w:val="center"/>
              <w:rPr>
                <w:rFonts w:eastAsia="仿宋_GB2312" w:cs="仿宋"/>
                <w:color w:val="auto"/>
                <w:sz w:val="24"/>
                <w:highlight w:val="none"/>
              </w:rPr>
            </w:pPr>
            <w:r>
              <w:rPr>
                <w:rFonts w:hint="eastAsia" w:eastAsia="仿宋_GB2312" w:cs="仿宋"/>
                <w:color w:val="auto"/>
                <w:sz w:val="24"/>
                <w:highlight w:val="none"/>
              </w:rPr>
              <w:t>环境健康科学</w:t>
            </w:r>
          </w:p>
        </w:tc>
        <w:tc>
          <w:tcPr>
            <w:tcW w:w="2400" w:type="dxa"/>
            <w:vAlign w:val="center"/>
          </w:tcPr>
          <w:p w14:paraId="5741CC81">
            <w:pPr>
              <w:spacing w:line="320" w:lineRule="exact"/>
              <w:jc w:val="center"/>
              <w:rPr>
                <w:rFonts w:eastAsia="仿宋_GB2312" w:cs="仿宋"/>
                <w:color w:val="auto"/>
                <w:sz w:val="24"/>
                <w:highlight w:val="none"/>
              </w:rPr>
            </w:pPr>
            <w:r>
              <w:rPr>
                <w:rFonts w:hint="eastAsia" w:eastAsia="仿宋_GB2312" w:cs="仿宋"/>
                <w:color w:val="auto"/>
                <w:sz w:val="24"/>
                <w:highlight w:val="none"/>
              </w:rPr>
              <w:t>使学生掌握环境与健康之间的基本关系、影响因素及作用机制，培养学生的环境健康风险评估与管理能力，增强他们的环境健康意识和社会责</w:t>
            </w:r>
          </w:p>
          <w:p w14:paraId="331C2CBB">
            <w:pPr>
              <w:spacing w:line="320" w:lineRule="exact"/>
              <w:rPr>
                <w:rFonts w:eastAsia="仿宋_GB2312" w:cs="仿宋"/>
                <w:color w:val="auto"/>
                <w:sz w:val="24"/>
                <w:highlight w:val="none"/>
              </w:rPr>
            </w:pPr>
            <w:r>
              <w:rPr>
                <w:rFonts w:hint="eastAsia" w:eastAsia="仿宋_GB2312" w:cs="仿宋"/>
                <w:color w:val="auto"/>
                <w:sz w:val="24"/>
                <w:highlight w:val="none"/>
              </w:rPr>
              <w:t>任感。</w:t>
            </w:r>
          </w:p>
        </w:tc>
        <w:tc>
          <w:tcPr>
            <w:tcW w:w="2400" w:type="dxa"/>
            <w:vAlign w:val="center"/>
          </w:tcPr>
          <w:p w14:paraId="342207B3">
            <w:pPr>
              <w:spacing w:line="320" w:lineRule="exact"/>
              <w:jc w:val="center"/>
              <w:rPr>
                <w:rFonts w:eastAsia="仿宋_GB2312" w:cs="仿宋"/>
                <w:color w:val="auto"/>
                <w:sz w:val="24"/>
                <w:highlight w:val="none"/>
              </w:rPr>
            </w:pPr>
            <w:r>
              <w:rPr>
                <w:rFonts w:hint="eastAsia" w:eastAsia="仿宋_GB2312" w:cs="仿宋"/>
                <w:color w:val="auto"/>
                <w:sz w:val="24"/>
                <w:highlight w:val="none"/>
              </w:rPr>
              <w:t>包括环境污染物对健康的影响、环境流行病学原理与方法、环境健康风险评估技术、环境健康管理与政策制定等核心知识点。通过理论教学、案例分析、实地考察等多元化教学手段，使学生深入理解环境健康问题的复杂性和</w:t>
            </w:r>
          </w:p>
          <w:p w14:paraId="2214052F">
            <w:pPr>
              <w:spacing w:line="320" w:lineRule="exact"/>
              <w:rPr>
                <w:rFonts w:eastAsia="仿宋_GB2312" w:cs="仿宋"/>
                <w:color w:val="auto"/>
                <w:sz w:val="24"/>
                <w:highlight w:val="none"/>
              </w:rPr>
            </w:pPr>
            <w:r>
              <w:rPr>
                <w:rFonts w:hint="eastAsia" w:eastAsia="仿宋_GB2312" w:cs="仿宋"/>
                <w:color w:val="auto"/>
                <w:sz w:val="24"/>
                <w:highlight w:val="none"/>
              </w:rPr>
              <w:t>紧迫性。</w:t>
            </w:r>
          </w:p>
        </w:tc>
        <w:tc>
          <w:tcPr>
            <w:tcW w:w="2552" w:type="dxa"/>
            <w:vAlign w:val="center"/>
          </w:tcPr>
          <w:p w14:paraId="519C72B6">
            <w:pPr>
              <w:spacing w:line="320" w:lineRule="exact"/>
              <w:jc w:val="center"/>
              <w:rPr>
                <w:rFonts w:eastAsia="仿宋_GB2312" w:cs="仿宋"/>
                <w:color w:val="auto"/>
                <w:sz w:val="24"/>
                <w:highlight w:val="none"/>
              </w:rPr>
            </w:pPr>
            <w:r>
              <w:rPr>
                <w:rFonts w:hint="eastAsia" w:eastAsia="仿宋_GB2312" w:cs="仿宋"/>
                <w:color w:val="auto"/>
                <w:sz w:val="24"/>
                <w:highlight w:val="none"/>
              </w:rPr>
              <w:t>掌握环境健康科学的基本理论和方法，具备识别、评估和控制环境健康风险的能力。同时，要求学生关注当前环境健康领域的热点问题，培养创新思维和跨学科合作能力，为解决实际环境健康问题提供科学依据和解决方案。</w:t>
            </w:r>
          </w:p>
        </w:tc>
      </w:tr>
    </w:tbl>
    <w:p w14:paraId="009AF023">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（三）第二课堂</w:t>
      </w:r>
    </w:p>
    <w:p w14:paraId="197F5E9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第二课堂包括思想成长、社会实践与志愿服务、文艺体育、工作履历、科技学术和创新创业、专业技能特长等其他各类课程及活动。</w:t>
      </w:r>
    </w:p>
    <w:p w14:paraId="73F79E02">
      <w:pPr>
        <w:overflowPunct w:val="0"/>
        <w:adjustRightInd w:val="0"/>
        <w:spacing w:line="520" w:lineRule="exact"/>
        <w:ind w:firstLine="640" w:firstLineChars="200"/>
        <w:outlineLvl w:val="0"/>
        <w:rPr>
          <w:rFonts w:eastAsia="黑体"/>
          <w:color w:val="auto"/>
          <w:sz w:val="32"/>
          <w:szCs w:val="32"/>
          <w:highlight w:val="none"/>
        </w:rPr>
      </w:pPr>
      <w:r>
        <w:rPr>
          <w:rFonts w:eastAsia="黑体"/>
          <w:color w:val="auto"/>
          <w:sz w:val="32"/>
          <w:szCs w:val="32"/>
          <w:highlight w:val="none"/>
        </w:rPr>
        <w:t>七、教学进程总体安排</w:t>
      </w:r>
    </w:p>
    <w:p w14:paraId="62D2C2DF">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（一）教学时间安排</w:t>
      </w:r>
    </w:p>
    <w:p w14:paraId="622ECD7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本专业总周数为120周。其中，校内教学共76周，校外教学共31周，复习考试共6周，机动共7周。教学安排可根据具体情况经教务科研处审批后作适当调整。</w:t>
      </w:r>
    </w:p>
    <w:p w14:paraId="6F381B44">
      <w:pPr>
        <w:spacing w:line="520" w:lineRule="exact"/>
        <w:jc w:val="center"/>
        <w:rPr>
          <w:rFonts w:eastAsia="仿宋_GB2312" w:cs="楷体"/>
          <w:color w:val="auto"/>
          <w:sz w:val="32"/>
          <w:szCs w:val="32"/>
          <w:highlight w:val="none"/>
        </w:rPr>
      </w:pPr>
      <w:r>
        <w:rPr>
          <w:rFonts w:hint="eastAsia" w:eastAsia="仿宋_GB2312" w:cs="楷体"/>
          <w:color w:val="auto"/>
          <w:sz w:val="32"/>
          <w:szCs w:val="32"/>
          <w:highlight w:val="none"/>
        </w:rPr>
        <w:t>环境工程技术专业教学时间安排表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316D8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tcPr>
          <w:p w14:paraId="0FDE527C">
            <w:pPr>
              <w:snapToGrid w:val="0"/>
              <w:spacing w:line="320" w:lineRule="exact"/>
              <w:rPr>
                <w:rFonts w:eastAsia="仿宋_GB2312" w:cs="仿宋"/>
                <w:color w:val="auto"/>
                <w:sz w:val="24"/>
                <w:highlight w:val="none"/>
              </w:rPr>
            </w:pPr>
          </w:p>
          <w:p w14:paraId="3C7BEC9B">
            <w:pPr>
              <w:snapToGrid w:val="0"/>
              <w:spacing w:line="320" w:lineRule="exact"/>
              <w:rPr>
                <w:rFonts w:eastAsia="仿宋_GB2312" w:cs="仿宋"/>
                <w:color w:val="auto"/>
                <w:sz w:val="24"/>
                <w:highlight w:val="none"/>
              </w:rPr>
            </w:pPr>
            <w:r>
              <w:rPr>
                <w:rFonts w:hint="eastAsia" w:eastAsia="仿宋_GB2312" w:cs="仿宋"/>
                <w:color w:val="auto"/>
                <w:sz w:val="24"/>
                <w:highlight w:val="none"/>
              </w:rPr>
              <w:t>学年</w:t>
            </w:r>
          </w:p>
          <w:p w14:paraId="696F3616">
            <w:pPr>
              <w:snapToGrid w:val="0"/>
              <w:spacing w:line="320" w:lineRule="exact"/>
              <w:rPr>
                <w:rFonts w:eastAsia="仿宋_GB2312" w:cs="仿宋"/>
                <w:color w:val="auto"/>
                <w:sz w:val="24"/>
                <w:highlight w:val="none"/>
              </w:rPr>
            </w:pPr>
          </w:p>
          <w:p w14:paraId="04EE8E0D">
            <w:pPr>
              <w:snapToGrid w:val="0"/>
              <w:spacing w:line="320" w:lineRule="exact"/>
              <w:rPr>
                <w:rFonts w:eastAsia="仿宋_GB2312" w:cs="仿宋"/>
                <w:color w:val="auto"/>
                <w:sz w:val="24"/>
                <w:highlight w:val="none"/>
              </w:rPr>
            </w:pPr>
            <w:r>
              <w:rPr>
                <w:rFonts w:hint="eastAsia" w:eastAsia="仿宋_GB2312" w:cs="仿宋"/>
                <w:color w:val="auto"/>
                <w:sz w:val="24"/>
                <w:highlight w:val="none"/>
              </w:rPr>
              <w:t>周数</w:t>
            </w:r>
          </w:p>
          <w:p w14:paraId="5B85021B">
            <w:pPr>
              <w:spacing w:line="320" w:lineRule="exact"/>
              <w:ind w:firstLine="240" w:firstLineChars="100"/>
              <w:rPr>
                <w:rFonts w:eastAsia="仿宋_GB2312" w:cs="仿宋"/>
                <w:color w:val="auto"/>
                <w:sz w:val="24"/>
                <w:highlight w:val="none"/>
              </w:rPr>
            </w:pPr>
            <w:r>
              <w:rPr>
                <w:rFonts w:hint="eastAsia" w:eastAsia="仿宋_GB2312" w:cs="仿宋"/>
                <w:color w:val="auto"/>
                <w:sz w:val="24"/>
                <w:highlight w:val="none"/>
              </w:rPr>
              <w:t>内容</w:t>
            </w:r>
          </w:p>
        </w:tc>
        <w:tc>
          <w:tcPr>
            <w:tcW w:w="1327" w:type="dxa"/>
            <w:vAlign w:val="center"/>
          </w:tcPr>
          <w:p w14:paraId="2E774AD4">
            <w:pPr>
              <w:spacing w:line="320" w:lineRule="exact"/>
              <w:jc w:val="center"/>
              <w:rPr>
                <w:rFonts w:eastAsia="仿宋_GB2312" w:cs="仿宋"/>
                <w:color w:val="auto"/>
                <w:sz w:val="24"/>
                <w:highlight w:val="none"/>
              </w:rPr>
            </w:pPr>
            <w:r>
              <w:rPr>
                <w:rFonts w:hint="eastAsia" w:eastAsia="仿宋_GB2312" w:cs="仿宋"/>
                <w:color w:val="auto"/>
                <w:sz w:val="24"/>
                <w:highlight w:val="none"/>
              </w:rPr>
              <w:t>校内教学</w:t>
            </w:r>
          </w:p>
        </w:tc>
        <w:tc>
          <w:tcPr>
            <w:tcW w:w="1327" w:type="dxa"/>
            <w:vAlign w:val="center"/>
          </w:tcPr>
          <w:p w14:paraId="6F13F300">
            <w:pPr>
              <w:spacing w:line="320" w:lineRule="exact"/>
              <w:jc w:val="center"/>
              <w:rPr>
                <w:rFonts w:eastAsia="仿宋_GB2312" w:cs="仿宋"/>
                <w:color w:val="auto"/>
                <w:sz w:val="24"/>
                <w:highlight w:val="none"/>
              </w:rPr>
            </w:pPr>
            <w:r>
              <w:rPr>
                <w:rFonts w:hint="eastAsia" w:eastAsia="仿宋_GB2312" w:cs="仿宋"/>
                <w:color w:val="auto"/>
                <w:sz w:val="24"/>
                <w:highlight w:val="none"/>
              </w:rPr>
              <w:t>校外教学</w:t>
            </w:r>
          </w:p>
        </w:tc>
        <w:tc>
          <w:tcPr>
            <w:tcW w:w="1327" w:type="dxa"/>
            <w:vAlign w:val="center"/>
          </w:tcPr>
          <w:p w14:paraId="27493D29">
            <w:pPr>
              <w:spacing w:line="320" w:lineRule="exact"/>
              <w:jc w:val="center"/>
              <w:rPr>
                <w:rFonts w:eastAsia="仿宋_GB2312" w:cs="仿宋"/>
                <w:color w:val="auto"/>
                <w:sz w:val="24"/>
                <w:highlight w:val="none"/>
              </w:rPr>
            </w:pPr>
            <w:r>
              <w:rPr>
                <w:rFonts w:hint="eastAsia" w:eastAsia="仿宋_GB2312" w:cs="仿宋"/>
                <w:color w:val="auto"/>
                <w:sz w:val="24"/>
                <w:highlight w:val="none"/>
              </w:rPr>
              <w:t>考试</w:t>
            </w:r>
          </w:p>
        </w:tc>
        <w:tc>
          <w:tcPr>
            <w:tcW w:w="1327" w:type="dxa"/>
            <w:vAlign w:val="center"/>
          </w:tcPr>
          <w:p w14:paraId="14E1917B">
            <w:pPr>
              <w:spacing w:line="320" w:lineRule="exact"/>
              <w:jc w:val="center"/>
              <w:rPr>
                <w:rFonts w:eastAsia="仿宋_GB2312" w:cs="仿宋"/>
                <w:color w:val="auto"/>
                <w:sz w:val="24"/>
                <w:highlight w:val="none"/>
              </w:rPr>
            </w:pPr>
            <w:r>
              <w:rPr>
                <w:rFonts w:hint="eastAsia" w:eastAsia="仿宋_GB2312" w:cs="仿宋"/>
                <w:color w:val="auto"/>
                <w:sz w:val="24"/>
                <w:highlight w:val="none"/>
              </w:rPr>
              <w:t>机动</w:t>
            </w:r>
          </w:p>
        </w:tc>
        <w:tc>
          <w:tcPr>
            <w:tcW w:w="1327" w:type="dxa"/>
            <w:vAlign w:val="center"/>
          </w:tcPr>
          <w:p w14:paraId="0AF78827">
            <w:pPr>
              <w:spacing w:line="320" w:lineRule="exact"/>
              <w:jc w:val="center"/>
              <w:rPr>
                <w:rFonts w:eastAsia="仿宋_GB2312" w:cs="仿宋"/>
                <w:color w:val="auto"/>
                <w:sz w:val="24"/>
                <w:highlight w:val="none"/>
              </w:rPr>
            </w:pPr>
            <w:r>
              <w:rPr>
                <w:rFonts w:hint="eastAsia" w:eastAsia="仿宋_GB2312" w:cs="仿宋"/>
                <w:color w:val="auto"/>
                <w:sz w:val="24"/>
                <w:highlight w:val="none"/>
              </w:rPr>
              <w:t>合计</w:t>
            </w:r>
          </w:p>
        </w:tc>
      </w:tr>
      <w:tr w14:paraId="15EA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411C2BC6">
            <w:pPr>
              <w:spacing w:line="320" w:lineRule="exact"/>
              <w:jc w:val="center"/>
              <w:rPr>
                <w:rFonts w:eastAsia="仿宋_GB2312" w:cs="仿宋"/>
                <w:color w:val="auto"/>
                <w:sz w:val="24"/>
                <w:highlight w:val="none"/>
              </w:rPr>
            </w:pPr>
            <w:r>
              <w:rPr>
                <w:rFonts w:hint="eastAsia" w:eastAsia="仿宋_GB2312" w:cs="仿宋"/>
                <w:color w:val="auto"/>
                <w:sz w:val="24"/>
                <w:highlight w:val="none"/>
              </w:rPr>
              <w:t>第一学年</w:t>
            </w:r>
          </w:p>
        </w:tc>
        <w:tc>
          <w:tcPr>
            <w:tcW w:w="1327" w:type="dxa"/>
            <w:vAlign w:val="center"/>
          </w:tcPr>
          <w:p w14:paraId="2D03919A">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7DBD8FD3">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4B64EA1E">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656688EE">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54731D2">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9F9E1F8">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7BF04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vAlign w:val="center"/>
          </w:tcPr>
          <w:p w14:paraId="13A25479">
            <w:pPr>
              <w:spacing w:line="320" w:lineRule="exact"/>
              <w:jc w:val="center"/>
              <w:rPr>
                <w:rFonts w:eastAsia="仿宋_GB2312" w:cs="仿宋"/>
                <w:color w:val="auto"/>
                <w:sz w:val="24"/>
                <w:highlight w:val="none"/>
              </w:rPr>
            </w:pPr>
          </w:p>
        </w:tc>
        <w:tc>
          <w:tcPr>
            <w:tcW w:w="1327" w:type="dxa"/>
            <w:vAlign w:val="center"/>
          </w:tcPr>
          <w:p w14:paraId="61731486">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27" w:type="dxa"/>
            <w:vAlign w:val="center"/>
          </w:tcPr>
          <w:p w14:paraId="446F6757">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5CCC0F7A">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4FD1F564">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7A064AD9">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F9AF2A2">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1674D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308433B8">
            <w:pPr>
              <w:spacing w:line="320" w:lineRule="exact"/>
              <w:jc w:val="center"/>
              <w:rPr>
                <w:rFonts w:eastAsia="仿宋_GB2312" w:cs="仿宋"/>
                <w:color w:val="auto"/>
                <w:sz w:val="24"/>
                <w:highlight w:val="none"/>
              </w:rPr>
            </w:pPr>
            <w:r>
              <w:rPr>
                <w:rFonts w:hint="eastAsia" w:eastAsia="仿宋_GB2312" w:cs="仿宋"/>
                <w:color w:val="auto"/>
                <w:sz w:val="24"/>
                <w:highlight w:val="none"/>
              </w:rPr>
              <w:t>第二学年</w:t>
            </w:r>
          </w:p>
        </w:tc>
        <w:tc>
          <w:tcPr>
            <w:tcW w:w="1327" w:type="dxa"/>
            <w:vAlign w:val="center"/>
          </w:tcPr>
          <w:p w14:paraId="591D24CC">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327" w:type="dxa"/>
            <w:vAlign w:val="center"/>
          </w:tcPr>
          <w:p w14:paraId="57C74194">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035A47DB">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60BF9441">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239C79C0">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212FB29B">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0B84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vAlign w:val="center"/>
          </w:tcPr>
          <w:p w14:paraId="7A1D2F78">
            <w:pPr>
              <w:spacing w:line="320" w:lineRule="exact"/>
              <w:jc w:val="center"/>
              <w:rPr>
                <w:rFonts w:eastAsia="仿宋_GB2312" w:cs="仿宋"/>
                <w:color w:val="auto"/>
                <w:sz w:val="24"/>
                <w:highlight w:val="none"/>
              </w:rPr>
            </w:pPr>
          </w:p>
        </w:tc>
        <w:tc>
          <w:tcPr>
            <w:tcW w:w="1327" w:type="dxa"/>
            <w:vAlign w:val="center"/>
          </w:tcPr>
          <w:p w14:paraId="7754316C">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27" w:type="dxa"/>
            <w:vAlign w:val="center"/>
          </w:tcPr>
          <w:p w14:paraId="2C59F5EB">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08C2D713">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42E022DC">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12348225">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EBAFBEB">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152F5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2C4FCC63">
            <w:pPr>
              <w:spacing w:line="320" w:lineRule="exact"/>
              <w:jc w:val="center"/>
              <w:rPr>
                <w:rFonts w:eastAsia="仿宋_GB2312" w:cs="仿宋"/>
                <w:color w:val="auto"/>
                <w:sz w:val="24"/>
                <w:highlight w:val="none"/>
              </w:rPr>
            </w:pPr>
            <w:r>
              <w:rPr>
                <w:rFonts w:hint="eastAsia" w:eastAsia="仿宋_GB2312" w:cs="仿宋"/>
                <w:color w:val="auto"/>
                <w:sz w:val="24"/>
                <w:highlight w:val="none"/>
              </w:rPr>
              <w:t>第三学年</w:t>
            </w:r>
          </w:p>
        </w:tc>
        <w:tc>
          <w:tcPr>
            <w:tcW w:w="1327" w:type="dxa"/>
            <w:vAlign w:val="center"/>
          </w:tcPr>
          <w:p w14:paraId="55929C8D">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327" w:type="dxa"/>
            <w:vAlign w:val="center"/>
          </w:tcPr>
          <w:p w14:paraId="38CAA47B">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27" w:type="dxa"/>
            <w:vAlign w:val="center"/>
          </w:tcPr>
          <w:p w14:paraId="381BC2D8">
            <w:pPr>
              <w:spacing w:line="320" w:lineRule="exact"/>
              <w:jc w:val="center"/>
              <w:rPr>
                <w:rFonts w:eastAsia="仿宋_GB2312" w:cs="仿宋"/>
                <w:color w:val="auto"/>
                <w:sz w:val="24"/>
                <w:highlight w:val="none"/>
              </w:rPr>
            </w:pPr>
            <w:r>
              <w:rPr>
                <w:rFonts w:hint="eastAsia" w:eastAsia="仿宋_GB2312" w:cs="仿宋"/>
                <w:color w:val="auto"/>
                <w:sz w:val="24"/>
                <w:highlight w:val="none"/>
              </w:rPr>
              <w:t>14</w:t>
            </w:r>
          </w:p>
        </w:tc>
        <w:tc>
          <w:tcPr>
            <w:tcW w:w="1327" w:type="dxa"/>
            <w:vAlign w:val="center"/>
          </w:tcPr>
          <w:p w14:paraId="78C3D965">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16868C8C">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B2CDCFB">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054AB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5FD59743">
            <w:pPr>
              <w:spacing w:line="320" w:lineRule="exact"/>
              <w:rPr>
                <w:rFonts w:eastAsia="仿宋_GB2312" w:cs="仿宋"/>
                <w:color w:val="auto"/>
                <w:sz w:val="24"/>
                <w:highlight w:val="none"/>
              </w:rPr>
            </w:pPr>
          </w:p>
        </w:tc>
        <w:tc>
          <w:tcPr>
            <w:tcW w:w="1327" w:type="dxa"/>
            <w:vAlign w:val="center"/>
          </w:tcPr>
          <w:p w14:paraId="62DC1609">
            <w:pPr>
              <w:spacing w:line="32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327" w:type="dxa"/>
            <w:vAlign w:val="center"/>
          </w:tcPr>
          <w:p w14:paraId="756E9C3F">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719F5D43">
            <w:pPr>
              <w:spacing w:line="320" w:lineRule="exact"/>
              <w:jc w:val="center"/>
              <w:rPr>
                <w:rFonts w:eastAsia="仿宋_GB2312" w:cs="仿宋"/>
                <w:color w:val="auto"/>
                <w:sz w:val="24"/>
                <w:highlight w:val="none"/>
              </w:rPr>
            </w:pPr>
            <w:r>
              <w:rPr>
                <w:rFonts w:hint="eastAsia" w:eastAsia="仿宋_GB2312" w:cs="仿宋"/>
                <w:color w:val="auto"/>
                <w:sz w:val="24"/>
                <w:highlight w:val="none"/>
              </w:rPr>
              <w:t>17</w:t>
            </w:r>
          </w:p>
        </w:tc>
        <w:tc>
          <w:tcPr>
            <w:tcW w:w="1327" w:type="dxa"/>
            <w:vAlign w:val="center"/>
          </w:tcPr>
          <w:p w14:paraId="5A2A75FF">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652B40E2">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27" w:type="dxa"/>
            <w:vAlign w:val="center"/>
          </w:tcPr>
          <w:p w14:paraId="370A189E">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76598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vAlign w:val="center"/>
          </w:tcPr>
          <w:p w14:paraId="34469CFF">
            <w:pPr>
              <w:spacing w:line="320" w:lineRule="exact"/>
              <w:jc w:val="center"/>
              <w:rPr>
                <w:rFonts w:eastAsia="仿宋_GB2312" w:cs="仿宋"/>
                <w:color w:val="auto"/>
                <w:sz w:val="24"/>
                <w:highlight w:val="none"/>
              </w:rPr>
            </w:pPr>
            <w:r>
              <w:rPr>
                <w:rFonts w:hint="eastAsia" w:eastAsia="仿宋_GB2312" w:cs="仿宋"/>
                <w:color w:val="auto"/>
                <w:sz w:val="24"/>
                <w:highlight w:val="none"/>
              </w:rPr>
              <w:t>合计</w:t>
            </w:r>
          </w:p>
        </w:tc>
        <w:tc>
          <w:tcPr>
            <w:tcW w:w="1327" w:type="dxa"/>
            <w:vAlign w:val="center"/>
          </w:tcPr>
          <w:p w14:paraId="336AAB97">
            <w:pPr>
              <w:spacing w:line="320" w:lineRule="exact"/>
              <w:jc w:val="center"/>
              <w:rPr>
                <w:rFonts w:eastAsia="仿宋_GB2312" w:cs="仿宋"/>
                <w:color w:val="auto"/>
                <w:sz w:val="24"/>
                <w:highlight w:val="none"/>
              </w:rPr>
            </w:pPr>
          </w:p>
        </w:tc>
        <w:tc>
          <w:tcPr>
            <w:tcW w:w="1327" w:type="dxa"/>
            <w:vAlign w:val="center"/>
          </w:tcPr>
          <w:p w14:paraId="7B941F92">
            <w:pPr>
              <w:spacing w:line="320" w:lineRule="exact"/>
              <w:jc w:val="center"/>
              <w:rPr>
                <w:rFonts w:eastAsia="仿宋_GB2312" w:cs="仿宋"/>
                <w:color w:val="auto"/>
                <w:sz w:val="24"/>
                <w:highlight w:val="none"/>
              </w:rPr>
            </w:pPr>
          </w:p>
        </w:tc>
        <w:tc>
          <w:tcPr>
            <w:tcW w:w="1327" w:type="dxa"/>
            <w:vAlign w:val="center"/>
          </w:tcPr>
          <w:p w14:paraId="766690B7">
            <w:pPr>
              <w:spacing w:line="320" w:lineRule="exact"/>
              <w:jc w:val="center"/>
              <w:rPr>
                <w:rFonts w:eastAsia="仿宋_GB2312" w:cs="仿宋"/>
                <w:color w:val="auto"/>
                <w:sz w:val="24"/>
                <w:highlight w:val="none"/>
              </w:rPr>
            </w:pPr>
          </w:p>
        </w:tc>
        <w:tc>
          <w:tcPr>
            <w:tcW w:w="1327" w:type="dxa"/>
            <w:vAlign w:val="center"/>
          </w:tcPr>
          <w:p w14:paraId="3D968BE1">
            <w:pPr>
              <w:spacing w:line="320" w:lineRule="exact"/>
              <w:jc w:val="center"/>
              <w:rPr>
                <w:rFonts w:eastAsia="仿宋_GB2312" w:cs="仿宋"/>
                <w:color w:val="auto"/>
                <w:sz w:val="24"/>
                <w:highlight w:val="none"/>
              </w:rPr>
            </w:pPr>
          </w:p>
        </w:tc>
        <w:tc>
          <w:tcPr>
            <w:tcW w:w="1327" w:type="dxa"/>
            <w:vAlign w:val="center"/>
          </w:tcPr>
          <w:p w14:paraId="0F302E42">
            <w:pPr>
              <w:spacing w:line="320" w:lineRule="exact"/>
              <w:jc w:val="center"/>
              <w:rPr>
                <w:rFonts w:eastAsia="仿宋_GB2312" w:cs="仿宋"/>
                <w:color w:val="auto"/>
                <w:sz w:val="24"/>
                <w:highlight w:val="none"/>
              </w:rPr>
            </w:pPr>
            <w:r>
              <w:rPr>
                <w:rFonts w:hint="eastAsia" w:eastAsia="仿宋_GB2312" w:cs="仿宋"/>
                <w:color w:val="auto"/>
                <w:sz w:val="24"/>
                <w:highlight w:val="none"/>
              </w:rPr>
              <w:t>120</w:t>
            </w:r>
          </w:p>
        </w:tc>
      </w:tr>
    </w:tbl>
    <w:p w14:paraId="0D70F843">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（二）课程结构与学时、学分分配</w:t>
      </w:r>
    </w:p>
    <w:p w14:paraId="0C164EA2">
      <w:pPr>
        <w:spacing w:line="520" w:lineRule="exact"/>
        <w:ind w:firstLine="640" w:firstLineChars="200"/>
        <w:rPr>
          <w:rFonts w:eastAsia="仿宋_GB2312" w:cs="楷体"/>
          <w:bCs/>
          <w:color w:val="auto"/>
          <w:sz w:val="32"/>
          <w:szCs w:val="32"/>
          <w:highlight w:val="none"/>
        </w:rPr>
      </w:pPr>
      <w:r>
        <w:rPr>
          <w:rFonts w:hint="eastAsia" w:eastAsia="仿宋_GB2312" w:cs="楷体"/>
          <w:bCs/>
          <w:color w:val="auto"/>
          <w:sz w:val="32"/>
          <w:szCs w:val="32"/>
          <w:highlight w:val="none"/>
        </w:rPr>
        <w:t>本专业教学总学时为</w:t>
      </w:r>
      <w:r>
        <w:rPr>
          <w:rFonts w:hint="eastAsia" w:eastAsia="仿宋_GB2312" w:cs="仿宋"/>
          <w:color w:val="auto"/>
          <w:spacing w:val="-2"/>
          <w:sz w:val="32"/>
          <w:szCs w:val="32"/>
          <w:highlight w:val="none"/>
        </w:rPr>
        <w:t>2990</w:t>
      </w:r>
      <w:r>
        <w:rPr>
          <w:rFonts w:hint="eastAsia" w:eastAsia="仿宋_GB2312" w:cs="楷体"/>
          <w:bCs/>
          <w:color w:val="auto"/>
          <w:sz w:val="32"/>
          <w:szCs w:val="32"/>
          <w:highlight w:val="none"/>
        </w:rPr>
        <w:t>学时。其中理论教学</w:t>
      </w:r>
      <w:r>
        <w:rPr>
          <w:rFonts w:hint="eastAsia" w:eastAsia="仿宋_GB2312" w:cs="仿宋"/>
          <w:color w:val="auto"/>
          <w:spacing w:val="-2"/>
          <w:sz w:val="32"/>
          <w:szCs w:val="32"/>
          <w:highlight w:val="none"/>
        </w:rPr>
        <w:t>1416</w:t>
      </w:r>
      <w:r>
        <w:rPr>
          <w:rFonts w:hint="eastAsia" w:eastAsia="仿宋_GB2312" w:cs="楷体"/>
          <w:bCs/>
          <w:color w:val="auto"/>
          <w:sz w:val="32"/>
          <w:szCs w:val="32"/>
          <w:highlight w:val="none"/>
        </w:rPr>
        <w:t>学时，占</w:t>
      </w:r>
      <w:r>
        <w:rPr>
          <w:rFonts w:hint="eastAsia" w:eastAsia="仿宋_GB2312" w:cs="仿宋"/>
          <w:color w:val="auto"/>
          <w:spacing w:val="-2"/>
          <w:sz w:val="32"/>
          <w:szCs w:val="32"/>
          <w:highlight w:val="none"/>
        </w:rPr>
        <w:t>47.36</w:t>
      </w:r>
      <w:r>
        <w:rPr>
          <w:rFonts w:hint="eastAsia" w:eastAsia="仿宋_GB2312" w:cs="楷体"/>
          <w:bCs/>
          <w:color w:val="auto"/>
          <w:sz w:val="32"/>
          <w:szCs w:val="32"/>
          <w:highlight w:val="none"/>
        </w:rPr>
        <w:t>%；实践教学</w:t>
      </w:r>
      <w:r>
        <w:rPr>
          <w:rFonts w:hint="eastAsia" w:eastAsia="仿宋_GB2312" w:cs="仿宋"/>
          <w:color w:val="auto"/>
          <w:spacing w:val="-2"/>
          <w:sz w:val="32"/>
          <w:szCs w:val="32"/>
          <w:highlight w:val="none"/>
        </w:rPr>
        <w:t>1574</w:t>
      </w:r>
      <w:r>
        <w:rPr>
          <w:rFonts w:hint="eastAsia" w:eastAsia="仿宋_GB2312" w:cs="楷体"/>
          <w:bCs/>
          <w:color w:val="auto"/>
          <w:sz w:val="32"/>
          <w:szCs w:val="32"/>
          <w:highlight w:val="none"/>
        </w:rPr>
        <w:t>学时，占</w:t>
      </w:r>
      <w:r>
        <w:rPr>
          <w:rFonts w:hint="eastAsia" w:eastAsia="仿宋_GB2312" w:cs="仿宋"/>
          <w:color w:val="auto"/>
          <w:spacing w:val="-2"/>
          <w:sz w:val="32"/>
          <w:szCs w:val="32"/>
          <w:highlight w:val="none"/>
        </w:rPr>
        <w:t>52.64</w:t>
      </w:r>
      <w:r>
        <w:rPr>
          <w:rFonts w:hint="eastAsia" w:eastAsia="仿宋_GB2312" w:cs="楷体"/>
          <w:bCs/>
          <w:color w:val="auto"/>
          <w:sz w:val="32"/>
          <w:szCs w:val="32"/>
          <w:highlight w:val="none"/>
        </w:rPr>
        <w:t>%，其中岗位实习累计时间6个月。公共基础课</w:t>
      </w:r>
      <w:r>
        <w:rPr>
          <w:rFonts w:hint="eastAsia" w:eastAsia="仿宋_GB2312" w:cs="仿宋"/>
          <w:color w:val="auto"/>
          <w:spacing w:val="-2"/>
          <w:sz w:val="32"/>
          <w:szCs w:val="32"/>
          <w:highlight w:val="none"/>
        </w:rPr>
        <w:t>974</w:t>
      </w:r>
      <w:r>
        <w:rPr>
          <w:rFonts w:hint="eastAsia" w:eastAsia="仿宋_GB2312" w:cs="楷体"/>
          <w:bCs/>
          <w:color w:val="auto"/>
          <w:sz w:val="32"/>
          <w:szCs w:val="32"/>
          <w:highlight w:val="none"/>
        </w:rPr>
        <w:t>学时，占</w:t>
      </w:r>
      <w:r>
        <w:rPr>
          <w:rFonts w:hint="eastAsia" w:eastAsia="仿宋_GB2312" w:cs="仿宋"/>
          <w:color w:val="auto"/>
          <w:spacing w:val="-2"/>
          <w:sz w:val="32"/>
          <w:szCs w:val="32"/>
          <w:highlight w:val="none"/>
        </w:rPr>
        <w:t>32.58</w:t>
      </w:r>
      <w:r>
        <w:rPr>
          <w:rFonts w:hint="eastAsia" w:eastAsia="仿宋_GB2312" w:cs="楷体"/>
          <w:bCs/>
          <w:color w:val="auto"/>
          <w:sz w:val="32"/>
          <w:szCs w:val="32"/>
          <w:highlight w:val="none"/>
        </w:rPr>
        <w:t>%；选修课</w:t>
      </w:r>
      <w:r>
        <w:rPr>
          <w:rFonts w:hint="eastAsia" w:eastAsia="仿宋_GB2312" w:cs="仿宋"/>
          <w:color w:val="auto"/>
          <w:spacing w:val="-2"/>
          <w:sz w:val="32"/>
          <w:szCs w:val="32"/>
          <w:highlight w:val="none"/>
        </w:rPr>
        <w:t>324</w:t>
      </w:r>
      <w:r>
        <w:rPr>
          <w:rFonts w:hint="eastAsia" w:eastAsia="仿宋_GB2312" w:cs="楷体"/>
          <w:bCs/>
          <w:color w:val="auto"/>
          <w:sz w:val="32"/>
          <w:szCs w:val="32"/>
          <w:highlight w:val="none"/>
        </w:rPr>
        <w:t>学时，占</w:t>
      </w:r>
      <w:r>
        <w:rPr>
          <w:rFonts w:hint="eastAsia" w:eastAsia="仿宋_GB2312" w:cs="仿宋"/>
          <w:color w:val="auto"/>
          <w:spacing w:val="-2"/>
          <w:sz w:val="32"/>
          <w:szCs w:val="32"/>
          <w:highlight w:val="none"/>
        </w:rPr>
        <w:t>10.84</w:t>
      </w:r>
      <w:r>
        <w:rPr>
          <w:rFonts w:hint="eastAsia" w:eastAsia="仿宋_GB2312" w:cs="楷体"/>
          <w:bCs/>
          <w:color w:val="auto"/>
          <w:sz w:val="32"/>
          <w:szCs w:val="32"/>
          <w:highlight w:val="none"/>
        </w:rPr>
        <w:t>%。</w:t>
      </w:r>
    </w:p>
    <w:p w14:paraId="59D8D562">
      <w:pPr>
        <w:spacing w:line="520" w:lineRule="exact"/>
        <w:jc w:val="center"/>
        <w:rPr>
          <w:rFonts w:eastAsia="仿宋_GB2312" w:cs="楷体"/>
          <w:color w:val="auto"/>
          <w:sz w:val="32"/>
          <w:szCs w:val="32"/>
          <w:highlight w:val="none"/>
        </w:rPr>
      </w:pPr>
      <w:r>
        <w:rPr>
          <w:rFonts w:hint="eastAsia" w:eastAsia="仿宋_GB2312" w:cs="楷体"/>
          <w:color w:val="auto"/>
          <w:sz w:val="32"/>
          <w:szCs w:val="32"/>
          <w:highlight w:val="none"/>
        </w:rPr>
        <w:t>环境工程技术专业课程学时、学分分配表</w:t>
      </w:r>
    </w:p>
    <w:tbl>
      <w:tblPr>
        <w:tblStyle w:val="7"/>
        <w:tblW w:w="10389" w:type="dxa"/>
        <w:tblInd w:w="-815" w:type="dxa"/>
        <w:tblLayout w:type="fixed"/>
        <w:tblCellMar>
          <w:top w:w="0" w:type="dxa"/>
          <w:left w:w="108" w:type="dxa"/>
          <w:bottom w:w="0" w:type="dxa"/>
          <w:right w:w="108" w:type="dxa"/>
        </w:tblCellMar>
      </w:tblPr>
      <w:tblGrid>
        <w:gridCol w:w="581"/>
        <w:gridCol w:w="1684"/>
        <w:gridCol w:w="735"/>
        <w:gridCol w:w="975"/>
        <w:gridCol w:w="1155"/>
        <w:gridCol w:w="1020"/>
        <w:gridCol w:w="945"/>
        <w:gridCol w:w="1260"/>
        <w:gridCol w:w="915"/>
        <w:gridCol w:w="1119"/>
      </w:tblGrid>
      <w:tr w14:paraId="6B9A182C">
        <w:tblPrEx>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AFD78F">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AB38B17">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047AFBB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1A21750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245205AC">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学时</w:t>
            </w:r>
          </w:p>
        </w:tc>
      </w:tr>
      <w:tr w14:paraId="11D8636E">
        <w:tblPrEx>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E53F27">
            <w:pPr>
              <w:jc w:val="center"/>
              <w:rPr>
                <w:rFonts w:eastAsia="仿宋_GB2312" w:cs="仿宋"/>
                <w:color w:val="auto"/>
                <w:sz w:val="24"/>
                <w:highlight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61CDAE1">
            <w:pPr>
              <w:jc w:val="center"/>
              <w:rPr>
                <w:rFonts w:eastAsia="仿宋_GB2312" w:cs="仿宋"/>
                <w:color w:val="auto"/>
                <w:sz w:val="24"/>
                <w:highlight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997073C">
            <w:pPr>
              <w:jc w:val="center"/>
              <w:rPr>
                <w:rFonts w:eastAsia="仿宋_GB2312" w:cs="仿宋"/>
                <w:color w:val="auto"/>
                <w:sz w:val="24"/>
                <w:highlight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A9A88A4">
            <w:pPr>
              <w:jc w:val="center"/>
              <w:rPr>
                <w:rFonts w:eastAsia="仿宋_GB2312" w:cs="仿宋"/>
                <w:color w:val="auto"/>
                <w:sz w:val="24"/>
                <w:highlight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718A4F3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377B598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23878305">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实践教学</w:t>
            </w:r>
          </w:p>
        </w:tc>
      </w:tr>
      <w:tr w14:paraId="08585BE4">
        <w:tblPrEx>
          <w:tblCellMar>
            <w:top w:w="0" w:type="dxa"/>
            <w:left w:w="108" w:type="dxa"/>
            <w:bottom w:w="0" w:type="dxa"/>
            <w:right w:w="108" w:type="dxa"/>
          </w:tblCellMar>
        </w:tblPrEx>
        <w:trPr>
          <w:trHeight w:val="771"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181C68">
            <w:pPr>
              <w:jc w:val="center"/>
              <w:rPr>
                <w:rFonts w:eastAsia="仿宋_GB2312" w:cs="仿宋"/>
                <w:color w:val="auto"/>
                <w:sz w:val="24"/>
                <w:highlight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016E660">
            <w:pPr>
              <w:jc w:val="center"/>
              <w:rPr>
                <w:rFonts w:eastAsia="仿宋_GB2312" w:cs="仿宋"/>
                <w:color w:val="auto"/>
                <w:sz w:val="24"/>
                <w:highlight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081FE6F">
            <w:pPr>
              <w:jc w:val="center"/>
              <w:rPr>
                <w:rFonts w:eastAsia="仿宋_GB2312" w:cs="仿宋"/>
                <w:color w:val="auto"/>
                <w:sz w:val="24"/>
                <w:highlight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C4C480C">
            <w:pPr>
              <w:jc w:val="center"/>
              <w:rPr>
                <w:rFonts w:eastAsia="仿宋_GB2312" w:cs="仿宋"/>
                <w:color w:val="auto"/>
                <w:sz w:val="24"/>
                <w:highlight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4296E9A9">
            <w:pPr>
              <w:jc w:val="center"/>
              <w:rPr>
                <w:rFonts w:eastAsia="仿宋_GB2312" w:cs="仿宋"/>
                <w:color w:val="auto"/>
                <w:sz w:val="24"/>
                <w:highlight w:val="none"/>
              </w:rPr>
            </w:pPr>
          </w:p>
        </w:tc>
        <w:tc>
          <w:tcPr>
            <w:tcW w:w="945" w:type="dxa"/>
            <w:tcBorders>
              <w:top w:val="nil"/>
              <w:left w:val="nil"/>
              <w:bottom w:val="single" w:color="000000" w:sz="8" w:space="0"/>
              <w:right w:val="single" w:color="000000" w:sz="8" w:space="0"/>
            </w:tcBorders>
            <w:shd w:val="clear" w:color="auto" w:fill="auto"/>
            <w:noWrap/>
            <w:vAlign w:val="center"/>
          </w:tcPr>
          <w:p w14:paraId="4BD17CE0">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学时</w:t>
            </w:r>
          </w:p>
        </w:tc>
        <w:tc>
          <w:tcPr>
            <w:tcW w:w="1260" w:type="dxa"/>
            <w:tcBorders>
              <w:top w:val="nil"/>
              <w:left w:val="nil"/>
              <w:bottom w:val="single" w:color="000000" w:sz="8" w:space="0"/>
              <w:right w:val="single" w:color="000000" w:sz="8" w:space="0"/>
            </w:tcBorders>
            <w:shd w:val="clear" w:color="auto" w:fill="auto"/>
            <w:vAlign w:val="center"/>
          </w:tcPr>
          <w:p w14:paraId="761889FD">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1705417D">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学时</w:t>
            </w:r>
          </w:p>
        </w:tc>
        <w:tc>
          <w:tcPr>
            <w:tcW w:w="1119" w:type="dxa"/>
            <w:tcBorders>
              <w:top w:val="single" w:color="000000" w:sz="8" w:space="0"/>
              <w:left w:val="nil"/>
              <w:bottom w:val="single" w:color="000000" w:sz="8" w:space="0"/>
              <w:right w:val="single" w:color="000000" w:sz="8" w:space="0"/>
            </w:tcBorders>
            <w:shd w:val="clear" w:color="auto" w:fill="auto"/>
            <w:vAlign w:val="center"/>
          </w:tcPr>
          <w:p w14:paraId="3FA1FA4C">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占专业总学时比例（%）</w:t>
            </w:r>
          </w:p>
        </w:tc>
      </w:tr>
      <w:tr w14:paraId="2E8EE88E">
        <w:tblPrEx>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7B3B4840">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40B48DF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vAlign w:val="center"/>
          </w:tcPr>
          <w:p w14:paraId="255416A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3FCFF47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25.81%</w:t>
            </w:r>
          </w:p>
        </w:tc>
        <w:tc>
          <w:tcPr>
            <w:tcW w:w="1020" w:type="dxa"/>
            <w:tcBorders>
              <w:top w:val="nil"/>
              <w:left w:val="nil"/>
              <w:bottom w:val="single" w:color="000000" w:sz="8" w:space="0"/>
              <w:right w:val="single" w:color="000000" w:sz="8" w:space="0"/>
            </w:tcBorders>
            <w:shd w:val="clear" w:color="auto" w:fill="auto"/>
            <w:noWrap/>
            <w:vAlign w:val="center"/>
          </w:tcPr>
          <w:p w14:paraId="3A960FE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16B9063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442</w:t>
            </w:r>
          </w:p>
        </w:tc>
        <w:tc>
          <w:tcPr>
            <w:tcW w:w="1260" w:type="dxa"/>
            <w:tcBorders>
              <w:top w:val="nil"/>
              <w:left w:val="nil"/>
              <w:bottom w:val="single" w:color="000000" w:sz="8" w:space="0"/>
              <w:right w:val="single" w:color="000000" w:sz="8" w:space="0"/>
            </w:tcBorders>
            <w:shd w:val="clear" w:color="auto" w:fill="auto"/>
            <w:vAlign w:val="center"/>
          </w:tcPr>
          <w:p w14:paraId="503A456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14.78%</w:t>
            </w:r>
          </w:p>
        </w:tc>
        <w:tc>
          <w:tcPr>
            <w:tcW w:w="915" w:type="dxa"/>
            <w:tcBorders>
              <w:top w:val="nil"/>
              <w:left w:val="nil"/>
              <w:bottom w:val="single" w:color="000000" w:sz="8" w:space="0"/>
              <w:right w:val="single" w:color="000000" w:sz="8" w:space="0"/>
            </w:tcBorders>
            <w:shd w:val="clear" w:color="auto" w:fill="auto"/>
            <w:noWrap/>
            <w:vAlign w:val="center"/>
          </w:tcPr>
          <w:p w14:paraId="63DE82E4">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316</w:t>
            </w:r>
          </w:p>
        </w:tc>
        <w:tc>
          <w:tcPr>
            <w:tcW w:w="1119" w:type="dxa"/>
            <w:tcBorders>
              <w:top w:val="nil"/>
              <w:left w:val="nil"/>
              <w:bottom w:val="single" w:color="000000" w:sz="8" w:space="0"/>
              <w:right w:val="single" w:color="000000" w:sz="8" w:space="0"/>
            </w:tcBorders>
            <w:shd w:val="clear" w:color="auto" w:fill="auto"/>
            <w:noWrap/>
            <w:vAlign w:val="center"/>
          </w:tcPr>
          <w:p w14:paraId="374DC2F7">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10.57%</w:t>
            </w:r>
          </w:p>
        </w:tc>
      </w:tr>
      <w:tr w14:paraId="1DA411EC">
        <w:tblPrEx>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69A805CA">
            <w:pPr>
              <w:jc w:val="center"/>
              <w:rPr>
                <w:rFonts w:eastAsia="仿宋_GB2312" w:cs="仿宋"/>
                <w:color w:val="auto"/>
                <w:sz w:val="24"/>
                <w:highlight w:val="none"/>
              </w:rPr>
            </w:pPr>
          </w:p>
        </w:tc>
        <w:tc>
          <w:tcPr>
            <w:tcW w:w="735" w:type="dxa"/>
            <w:tcBorders>
              <w:top w:val="nil"/>
              <w:left w:val="nil"/>
              <w:bottom w:val="single" w:color="000000" w:sz="8" w:space="0"/>
              <w:right w:val="single" w:color="000000" w:sz="8" w:space="0"/>
            </w:tcBorders>
            <w:shd w:val="clear" w:color="auto" w:fill="auto"/>
            <w:noWrap/>
            <w:vAlign w:val="center"/>
          </w:tcPr>
          <w:p w14:paraId="74CF8474">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选修</w:t>
            </w:r>
          </w:p>
        </w:tc>
        <w:tc>
          <w:tcPr>
            <w:tcW w:w="975" w:type="dxa"/>
            <w:tcBorders>
              <w:top w:val="nil"/>
              <w:left w:val="nil"/>
              <w:bottom w:val="single" w:color="000000" w:sz="8" w:space="0"/>
              <w:right w:val="single" w:color="000000" w:sz="8" w:space="0"/>
            </w:tcBorders>
            <w:shd w:val="clear" w:color="auto" w:fill="auto"/>
            <w:vAlign w:val="center"/>
          </w:tcPr>
          <w:p w14:paraId="6F3561AB">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6CF2696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7.74%</w:t>
            </w:r>
          </w:p>
        </w:tc>
        <w:tc>
          <w:tcPr>
            <w:tcW w:w="1020" w:type="dxa"/>
            <w:tcBorders>
              <w:top w:val="nil"/>
              <w:left w:val="nil"/>
              <w:bottom w:val="single" w:color="000000" w:sz="8" w:space="0"/>
              <w:right w:val="single" w:color="000000" w:sz="8" w:space="0"/>
            </w:tcBorders>
            <w:shd w:val="clear" w:color="auto" w:fill="auto"/>
            <w:noWrap/>
            <w:vAlign w:val="center"/>
          </w:tcPr>
          <w:p w14:paraId="17C6BCB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1FE9700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144</w:t>
            </w:r>
          </w:p>
        </w:tc>
        <w:tc>
          <w:tcPr>
            <w:tcW w:w="1260" w:type="dxa"/>
            <w:tcBorders>
              <w:top w:val="nil"/>
              <w:left w:val="nil"/>
              <w:bottom w:val="single" w:color="000000" w:sz="8" w:space="0"/>
              <w:right w:val="single" w:color="000000" w:sz="8" w:space="0"/>
            </w:tcBorders>
            <w:shd w:val="clear" w:color="auto" w:fill="auto"/>
            <w:vAlign w:val="center"/>
          </w:tcPr>
          <w:p w14:paraId="740152A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4.82%</w:t>
            </w:r>
          </w:p>
        </w:tc>
        <w:tc>
          <w:tcPr>
            <w:tcW w:w="915" w:type="dxa"/>
            <w:tcBorders>
              <w:top w:val="nil"/>
              <w:left w:val="nil"/>
              <w:bottom w:val="single" w:color="000000" w:sz="8" w:space="0"/>
              <w:right w:val="single" w:color="000000" w:sz="8" w:space="0"/>
            </w:tcBorders>
            <w:shd w:val="clear" w:color="auto" w:fill="auto"/>
            <w:noWrap/>
            <w:vAlign w:val="center"/>
          </w:tcPr>
          <w:p w14:paraId="38C07D8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72</w:t>
            </w:r>
          </w:p>
        </w:tc>
        <w:tc>
          <w:tcPr>
            <w:tcW w:w="1119" w:type="dxa"/>
            <w:tcBorders>
              <w:top w:val="nil"/>
              <w:left w:val="nil"/>
              <w:bottom w:val="single" w:color="000000" w:sz="8" w:space="0"/>
              <w:right w:val="single" w:color="000000" w:sz="8" w:space="0"/>
            </w:tcBorders>
            <w:shd w:val="clear" w:color="auto" w:fill="auto"/>
            <w:noWrap/>
            <w:vAlign w:val="center"/>
          </w:tcPr>
          <w:p w14:paraId="73A65A4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2.41%</w:t>
            </w:r>
          </w:p>
        </w:tc>
      </w:tr>
      <w:tr w14:paraId="70B410D3">
        <w:tblPrEx>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7F8CF07F">
            <w:pPr>
              <w:jc w:val="center"/>
              <w:rPr>
                <w:rFonts w:eastAsia="仿宋_GB2312" w:cs="仿宋"/>
                <w:color w:val="auto"/>
                <w:sz w:val="24"/>
                <w:highlight w:val="none"/>
              </w:rPr>
            </w:pPr>
          </w:p>
        </w:tc>
        <w:tc>
          <w:tcPr>
            <w:tcW w:w="735" w:type="dxa"/>
            <w:tcBorders>
              <w:top w:val="nil"/>
              <w:left w:val="nil"/>
              <w:bottom w:val="single" w:color="000000" w:sz="8" w:space="0"/>
              <w:right w:val="single" w:color="000000" w:sz="8" w:space="0"/>
            </w:tcBorders>
            <w:shd w:val="clear" w:color="auto" w:fill="auto"/>
            <w:noWrap/>
            <w:vAlign w:val="center"/>
          </w:tcPr>
          <w:p w14:paraId="76247A7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78BBDF3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7937E1B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33.55%</w:t>
            </w:r>
          </w:p>
        </w:tc>
        <w:tc>
          <w:tcPr>
            <w:tcW w:w="1020" w:type="dxa"/>
            <w:tcBorders>
              <w:top w:val="nil"/>
              <w:left w:val="nil"/>
              <w:bottom w:val="single" w:color="000000" w:sz="8" w:space="0"/>
              <w:right w:val="single" w:color="000000" w:sz="8" w:space="0"/>
            </w:tcBorders>
            <w:shd w:val="clear" w:color="auto" w:fill="auto"/>
            <w:noWrap/>
            <w:vAlign w:val="center"/>
          </w:tcPr>
          <w:p w14:paraId="72EBD47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35DD35C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586</w:t>
            </w:r>
          </w:p>
        </w:tc>
        <w:tc>
          <w:tcPr>
            <w:tcW w:w="1260" w:type="dxa"/>
            <w:tcBorders>
              <w:top w:val="nil"/>
              <w:left w:val="nil"/>
              <w:bottom w:val="single" w:color="000000" w:sz="8" w:space="0"/>
              <w:right w:val="single" w:color="000000" w:sz="8" w:space="0"/>
            </w:tcBorders>
            <w:shd w:val="clear" w:color="auto" w:fill="auto"/>
            <w:vAlign w:val="center"/>
          </w:tcPr>
          <w:p w14:paraId="0200E3D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19.60%</w:t>
            </w:r>
          </w:p>
        </w:tc>
        <w:tc>
          <w:tcPr>
            <w:tcW w:w="915" w:type="dxa"/>
            <w:tcBorders>
              <w:top w:val="nil"/>
              <w:left w:val="nil"/>
              <w:bottom w:val="single" w:color="000000" w:sz="8" w:space="0"/>
              <w:right w:val="single" w:color="000000" w:sz="8" w:space="0"/>
            </w:tcBorders>
            <w:shd w:val="clear" w:color="auto" w:fill="auto"/>
            <w:noWrap/>
            <w:vAlign w:val="center"/>
          </w:tcPr>
          <w:p w14:paraId="3CE1F634">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388</w:t>
            </w:r>
          </w:p>
        </w:tc>
        <w:tc>
          <w:tcPr>
            <w:tcW w:w="1119" w:type="dxa"/>
            <w:tcBorders>
              <w:top w:val="nil"/>
              <w:left w:val="nil"/>
              <w:bottom w:val="single" w:color="000000" w:sz="8" w:space="0"/>
              <w:right w:val="single" w:color="000000" w:sz="8" w:space="0"/>
            </w:tcBorders>
            <w:shd w:val="clear" w:color="auto" w:fill="auto"/>
            <w:noWrap/>
            <w:vAlign w:val="center"/>
          </w:tcPr>
          <w:p w14:paraId="50F74ED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12.98%</w:t>
            </w:r>
          </w:p>
        </w:tc>
      </w:tr>
      <w:tr w14:paraId="1BB10076">
        <w:tblPrEx>
          <w:tblCellMar>
            <w:top w:w="0" w:type="dxa"/>
            <w:left w:w="108" w:type="dxa"/>
            <w:bottom w:w="0" w:type="dxa"/>
            <w:right w:w="108" w:type="dxa"/>
          </w:tblCellMar>
        </w:tblPrEx>
        <w:trPr>
          <w:trHeight w:val="369" w:hRule="atLeast"/>
        </w:trPr>
        <w:tc>
          <w:tcPr>
            <w:tcW w:w="581" w:type="dxa"/>
            <w:vMerge w:val="restart"/>
            <w:tcBorders>
              <w:top w:val="nil"/>
              <w:left w:val="single" w:color="000000" w:sz="8" w:space="0"/>
              <w:bottom w:val="single" w:color="000000" w:sz="8" w:space="0"/>
              <w:right w:val="single" w:color="000000" w:sz="8" w:space="0"/>
            </w:tcBorders>
            <w:shd w:val="clear" w:color="auto" w:fill="auto"/>
            <w:vAlign w:val="center"/>
          </w:tcPr>
          <w:p w14:paraId="0E1D8A5E">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专业(技能)课</w:t>
            </w:r>
          </w:p>
        </w:tc>
        <w:tc>
          <w:tcPr>
            <w:tcW w:w="1684" w:type="dxa"/>
            <w:tcBorders>
              <w:top w:val="nil"/>
              <w:left w:val="nil"/>
              <w:bottom w:val="single" w:color="000000" w:sz="8" w:space="0"/>
              <w:right w:val="single" w:color="000000" w:sz="8" w:space="0"/>
            </w:tcBorders>
            <w:shd w:val="clear" w:color="auto" w:fill="auto"/>
            <w:vAlign w:val="center"/>
          </w:tcPr>
          <w:p w14:paraId="066266A3">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4127959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078F26FB">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36</w:t>
            </w:r>
          </w:p>
        </w:tc>
        <w:tc>
          <w:tcPr>
            <w:tcW w:w="1155" w:type="dxa"/>
            <w:tcBorders>
              <w:top w:val="nil"/>
              <w:left w:val="nil"/>
              <w:bottom w:val="single" w:color="000000" w:sz="8" w:space="0"/>
              <w:right w:val="single" w:color="000000" w:sz="8" w:space="0"/>
            </w:tcBorders>
            <w:shd w:val="clear" w:color="auto" w:fill="auto"/>
            <w:noWrap/>
            <w:vAlign w:val="center"/>
          </w:tcPr>
          <w:p w14:paraId="4505879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23.23%</w:t>
            </w:r>
          </w:p>
        </w:tc>
        <w:tc>
          <w:tcPr>
            <w:tcW w:w="1020" w:type="dxa"/>
            <w:tcBorders>
              <w:top w:val="nil"/>
              <w:left w:val="nil"/>
              <w:bottom w:val="single" w:color="000000" w:sz="8" w:space="0"/>
              <w:right w:val="single" w:color="000000" w:sz="8" w:space="0"/>
            </w:tcBorders>
            <w:shd w:val="clear" w:color="auto" w:fill="auto"/>
            <w:noWrap/>
            <w:vAlign w:val="center"/>
          </w:tcPr>
          <w:p w14:paraId="57EA7684">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648</w:t>
            </w:r>
          </w:p>
        </w:tc>
        <w:tc>
          <w:tcPr>
            <w:tcW w:w="945" w:type="dxa"/>
            <w:tcBorders>
              <w:top w:val="nil"/>
              <w:left w:val="nil"/>
              <w:bottom w:val="single" w:color="000000" w:sz="8" w:space="0"/>
              <w:right w:val="single" w:color="000000" w:sz="8" w:space="0"/>
            </w:tcBorders>
            <w:shd w:val="clear" w:color="auto" w:fill="auto"/>
            <w:noWrap/>
            <w:vAlign w:val="center"/>
          </w:tcPr>
          <w:p w14:paraId="2DC3B82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360</w:t>
            </w:r>
          </w:p>
        </w:tc>
        <w:tc>
          <w:tcPr>
            <w:tcW w:w="1260" w:type="dxa"/>
            <w:tcBorders>
              <w:top w:val="nil"/>
              <w:left w:val="nil"/>
              <w:bottom w:val="single" w:color="000000" w:sz="8" w:space="0"/>
              <w:right w:val="single" w:color="000000" w:sz="8" w:space="0"/>
            </w:tcBorders>
            <w:shd w:val="clear" w:color="auto" w:fill="auto"/>
            <w:vAlign w:val="center"/>
          </w:tcPr>
          <w:p w14:paraId="775B46A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12.04%</w:t>
            </w:r>
          </w:p>
        </w:tc>
        <w:tc>
          <w:tcPr>
            <w:tcW w:w="915" w:type="dxa"/>
            <w:tcBorders>
              <w:top w:val="nil"/>
              <w:left w:val="nil"/>
              <w:bottom w:val="single" w:color="000000" w:sz="8" w:space="0"/>
              <w:right w:val="single" w:color="000000" w:sz="8" w:space="0"/>
            </w:tcBorders>
            <w:shd w:val="clear" w:color="auto" w:fill="auto"/>
            <w:vAlign w:val="center"/>
          </w:tcPr>
          <w:p w14:paraId="39E30B8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288</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7E17A59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9.63%</w:t>
            </w:r>
          </w:p>
        </w:tc>
      </w:tr>
      <w:tr w14:paraId="40202E52">
        <w:tblPrEx>
          <w:tblCellMar>
            <w:top w:w="0" w:type="dxa"/>
            <w:left w:w="108" w:type="dxa"/>
            <w:bottom w:w="0" w:type="dxa"/>
            <w:right w:w="108" w:type="dxa"/>
          </w:tblCellMar>
        </w:tblPrEx>
        <w:trPr>
          <w:trHeight w:val="354" w:hRule="atLeast"/>
        </w:trPr>
        <w:tc>
          <w:tcPr>
            <w:tcW w:w="581" w:type="dxa"/>
            <w:vMerge w:val="continue"/>
            <w:tcBorders>
              <w:top w:val="nil"/>
              <w:left w:val="single" w:color="000000" w:sz="8" w:space="0"/>
              <w:bottom w:val="single" w:color="000000" w:sz="8" w:space="0"/>
              <w:right w:val="single" w:color="000000" w:sz="8" w:space="0"/>
            </w:tcBorders>
            <w:shd w:val="clear" w:color="auto" w:fill="auto"/>
            <w:vAlign w:val="center"/>
          </w:tcPr>
          <w:p w14:paraId="57134477">
            <w:pPr>
              <w:jc w:val="center"/>
              <w:rPr>
                <w:rFonts w:eastAsia="仿宋_GB2312" w:cs="仿宋"/>
                <w:color w:val="auto"/>
                <w:sz w:val="24"/>
                <w:highlight w:val="none"/>
              </w:rPr>
            </w:pPr>
          </w:p>
        </w:tc>
        <w:tc>
          <w:tcPr>
            <w:tcW w:w="1684" w:type="dxa"/>
            <w:tcBorders>
              <w:top w:val="nil"/>
              <w:left w:val="nil"/>
              <w:bottom w:val="single" w:color="000000" w:sz="8" w:space="0"/>
              <w:right w:val="single" w:color="000000" w:sz="8" w:space="0"/>
            </w:tcBorders>
            <w:shd w:val="clear" w:color="auto" w:fill="auto"/>
            <w:vAlign w:val="center"/>
          </w:tcPr>
          <w:p w14:paraId="1E26915F">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4B4D1DC4">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5A00B59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186D9BC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20.65%</w:t>
            </w:r>
          </w:p>
        </w:tc>
        <w:tc>
          <w:tcPr>
            <w:tcW w:w="1020" w:type="dxa"/>
            <w:tcBorders>
              <w:top w:val="nil"/>
              <w:left w:val="nil"/>
              <w:bottom w:val="single" w:color="000000" w:sz="8" w:space="0"/>
              <w:right w:val="single" w:color="000000" w:sz="8" w:space="0"/>
            </w:tcBorders>
            <w:shd w:val="clear" w:color="auto" w:fill="auto"/>
            <w:noWrap/>
            <w:vAlign w:val="center"/>
          </w:tcPr>
          <w:p w14:paraId="673E825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1A60DEE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342</w:t>
            </w:r>
          </w:p>
        </w:tc>
        <w:tc>
          <w:tcPr>
            <w:tcW w:w="1260" w:type="dxa"/>
            <w:tcBorders>
              <w:top w:val="nil"/>
              <w:left w:val="nil"/>
              <w:bottom w:val="single" w:color="000000" w:sz="8" w:space="0"/>
              <w:right w:val="single" w:color="000000" w:sz="8" w:space="0"/>
            </w:tcBorders>
            <w:shd w:val="clear" w:color="auto" w:fill="auto"/>
            <w:vAlign w:val="center"/>
          </w:tcPr>
          <w:p w14:paraId="62D58FD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11.44%</w:t>
            </w:r>
          </w:p>
        </w:tc>
        <w:tc>
          <w:tcPr>
            <w:tcW w:w="915" w:type="dxa"/>
            <w:tcBorders>
              <w:top w:val="nil"/>
              <w:left w:val="nil"/>
              <w:bottom w:val="single" w:color="000000" w:sz="8" w:space="0"/>
              <w:right w:val="single" w:color="000000" w:sz="8" w:space="0"/>
            </w:tcBorders>
            <w:shd w:val="clear" w:color="auto" w:fill="auto"/>
            <w:vAlign w:val="center"/>
          </w:tcPr>
          <w:p w14:paraId="5D20B0C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234</w:t>
            </w:r>
          </w:p>
        </w:tc>
        <w:tc>
          <w:tcPr>
            <w:tcW w:w="1119" w:type="dxa"/>
            <w:tcBorders>
              <w:top w:val="nil"/>
              <w:left w:val="nil"/>
              <w:bottom w:val="single" w:color="000000" w:sz="8" w:space="0"/>
              <w:right w:val="single" w:color="000000" w:sz="8" w:space="0"/>
            </w:tcBorders>
            <w:shd w:val="clear" w:color="auto" w:fill="auto"/>
            <w:noWrap/>
            <w:vAlign w:val="center"/>
          </w:tcPr>
          <w:p w14:paraId="40EAB92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7.83%</w:t>
            </w:r>
          </w:p>
        </w:tc>
      </w:tr>
      <w:tr w14:paraId="3513E74F">
        <w:tblPrEx>
          <w:tblCellMar>
            <w:top w:w="0" w:type="dxa"/>
            <w:left w:w="108" w:type="dxa"/>
            <w:bottom w:w="0" w:type="dxa"/>
            <w:right w:w="108" w:type="dxa"/>
          </w:tblCellMar>
        </w:tblPrEx>
        <w:trPr>
          <w:trHeight w:val="489" w:hRule="atLeast"/>
        </w:trPr>
        <w:tc>
          <w:tcPr>
            <w:tcW w:w="581" w:type="dxa"/>
            <w:vMerge w:val="continue"/>
            <w:tcBorders>
              <w:top w:val="nil"/>
              <w:left w:val="single" w:color="000000" w:sz="8" w:space="0"/>
              <w:bottom w:val="single" w:color="000000" w:sz="8" w:space="0"/>
              <w:right w:val="single" w:color="000000" w:sz="8" w:space="0"/>
            </w:tcBorders>
            <w:shd w:val="clear" w:color="auto" w:fill="auto"/>
            <w:vAlign w:val="center"/>
          </w:tcPr>
          <w:p w14:paraId="5A9AEFEE">
            <w:pPr>
              <w:jc w:val="center"/>
              <w:rPr>
                <w:rFonts w:eastAsia="仿宋_GB2312" w:cs="仿宋"/>
                <w:color w:val="auto"/>
                <w:sz w:val="24"/>
                <w:highlight w:val="none"/>
              </w:rPr>
            </w:pPr>
          </w:p>
        </w:tc>
        <w:tc>
          <w:tcPr>
            <w:tcW w:w="1684" w:type="dxa"/>
            <w:tcBorders>
              <w:top w:val="nil"/>
              <w:left w:val="nil"/>
              <w:bottom w:val="single" w:color="000000" w:sz="8" w:space="0"/>
              <w:right w:val="single" w:color="000000" w:sz="8" w:space="0"/>
            </w:tcBorders>
            <w:shd w:val="clear" w:color="auto" w:fill="auto"/>
            <w:vAlign w:val="center"/>
          </w:tcPr>
          <w:p w14:paraId="7C0B259B">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6DCC2CD4">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A9C0F0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25</w:t>
            </w:r>
          </w:p>
        </w:tc>
        <w:tc>
          <w:tcPr>
            <w:tcW w:w="1155" w:type="dxa"/>
            <w:tcBorders>
              <w:top w:val="nil"/>
              <w:left w:val="nil"/>
              <w:bottom w:val="single" w:color="000000" w:sz="8" w:space="0"/>
              <w:right w:val="single" w:color="000000" w:sz="8" w:space="0"/>
            </w:tcBorders>
            <w:shd w:val="clear" w:color="auto" w:fill="auto"/>
            <w:noWrap/>
            <w:vAlign w:val="center"/>
          </w:tcPr>
          <w:p w14:paraId="5883172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16.13%</w:t>
            </w:r>
          </w:p>
        </w:tc>
        <w:tc>
          <w:tcPr>
            <w:tcW w:w="1020" w:type="dxa"/>
            <w:tcBorders>
              <w:top w:val="nil"/>
              <w:left w:val="nil"/>
              <w:bottom w:val="single" w:color="000000" w:sz="8" w:space="0"/>
              <w:right w:val="single" w:color="000000" w:sz="8" w:space="0"/>
            </w:tcBorders>
            <w:shd w:val="clear" w:color="auto" w:fill="auto"/>
            <w:noWrap/>
            <w:vAlign w:val="center"/>
          </w:tcPr>
          <w:p w14:paraId="55E74527">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620</w:t>
            </w:r>
          </w:p>
        </w:tc>
        <w:tc>
          <w:tcPr>
            <w:tcW w:w="945" w:type="dxa"/>
            <w:tcBorders>
              <w:top w:val="nil"/>
              <w:left w:val="nil"/>
              <w:bottom w:val="single" w:color="000000" w:sz="8" w:space="0"/>
              <w:right w:val="single" w:color="000000" w:sz="8" w:space="0"/>
            </w:tcBorders>
            <w:shd w:val="clear" w:color="auto" w:fill="auto"/>
            <w:noWrap/>
            <w:vAlign w:val="center"/>
          </w:tcPr>
          <w:p w14:paraId="1E58D32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20</w:t>
            </w:r>
          </w:p>
        </w:tc>
        <w:tc>
          <w:tcPr>
            <w:tcW w:w="1260" w:type="dxa"/>
            <w:tcBorders>
              <w:top w:val="nil"/>
              <w:left w:val="nil"/>
              <w:bottom w:val="single" w:color="000000" w:sz="8" w:space="0"/>
              <w:right w:val="single" w:color="000000" w:sz="8" w:space="0"/>
            </w:tcBorders>
            <w:shd w:val="clear" w:color="auto" w:fill="auto"/>
            <w:vAlign w:val="center"/>
          </w:tcPr>
          <w:p w14:paraId="104B893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0.67%</w:t>
            </w:r>
          </w:p>
        </w:tc>
        <w:tc>
          <w:tcPr>
            <w:tcW w:w="915" w:type="dxa"/>
            <w:tcBorders>
              <w:top w:val="nil"/>
              <w:left w:val="nil"/>
              <w:bottom w:val="single" w:color="000000" w:sz="8" w:space="0"/>
              <w:right w:val="single" w:color="000000" w:sz="8" w:space="0"/>
            </w:tcBorders>
            <w:shd w:val="clear" w:color="auto" w:fill="auto"/>
            <w:vAlign w:val="center"/>
          </w:tcPr>
          <w:p w14:paraId="7357E39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600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53C85E8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20.01%</w:t>
            </w:r>
          </w:p>
        </w:tc>
      </w:tr>
      <w:tr w14:paraId="1F7E7664">
        <w:tblPrEx>
          <w:tblCellMar>
            <w:top w:w="0" w:type="dxa"/>
            <w:left w:w="108" w:type="dxa"/>
            <w:bottom w:w="0" w:type="dxa"/>
            <w:right w:w="108" w:type="dxa"/>
          </w:tblCellMar>
        </w:tblPrEx>
        <w:trPr>
          <w:trHeight w:val="474" w:hRule="atLeast"/>
        </w:trPr>
        <w:tc>
          <w:tcPr>
            <w:tcW w:w="581" w:type="dxa"/>
            <w:vMerge w:val="continue"/>
            <w:tcBorders>
              <w:top w:val="nil"/>
              <w:left w:val="single" w:color="000000" w:sz="8" w:space="0"/>
              <w:bottom w:val="single" w:color="000000" w:sz="8" w:space="0"/>
              <w:right w:val="single" w:color="000000" w:sz="8" w:space="0"/>
            </w:tcBorders>
            <w:shd w:val="clear" w:color="auto" w:fill="auto"/>
            <w:vAlign w:val="center"/>
          </w:tcPr>
          <w:p w14:paraId="3F3C049C">
            <w:pPr>
              <w:jc w:val="center"/>
              <w:rPr>
                <w:rFonts w:eastAsia="仿宋_GB2312" w:cs="仿宋"/>
                <w:color w:val="auto"/>
                <w:sz w:val="24"/>
                <w:highlight w:val="none"/>
              </w:rPr>
            </w:pPr>
          </w:p>
        </w:tc>
        <w:tc>
          <w:tcPr>
            <w:tcW w:w="1684" w:type="dxa"/>
            <w:tcBorders>
              <w:top w:val="nil"/>
              <w:left w:val="nil"/>
              <w:bottom w:val="single" w:color="000000" w:sz="8" w:space="0"/>
              <w:right w:val="single" w:color="000000" w:sz="8" w:space="0"/>
            </w:tcBorders>
            <w:shd w:val="clear" w:color="auto" w:fill="auto"/>
            <w:vAlign w:val="center"/>
          </w:tcPr>
          <w:p w14:paraId="7FA92FC3">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7C043261">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3BB5A4A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5EBFFC7B">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3.87%</w:t>
            </w:r>
          </w:p>
        </w:tc>
        <w:tc>
          <w:tcPr>
            <w:tcW w:w="1020" w:type="dxa"/>
            <w:tcBorders>
              <w:top w:val="nil"/>
              <w:left w:val="nil"/>
              <w:bottom w:val="single" w:color="000000" w:sz="8" w:space="0"/>
              <w:right w:val="single" w:color="000000" w:sz="8" w:space="0"/>
            </w:tcBorders>
            <w:shd w:val="clear" w:color="auto" w:fill="auto"/>
            <w:noWrap/>
            <w:vAlign w:val="center"/>
          </w:tcPr>
          <w:p w14:paraId="04389AB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142D21E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108</w:t>
            </w:r>
          </w:p>
        </w:tc>
        <w:tc>
          <w:tcPr>
            <w:tcW w:w="1260" w:type="dxa"/>
            <w:tcBorders>
              <w:top w:val="nil"/>
              <w:left w:val="nil"/>
              <w:bottom w:val="single" w:color="000000" w:sz="8" w:space="0"/>
              <w:right w:val="single" w:color="000000" w:sz="8" w:space="0"/>
            </w:tcBorders>
            <w:shd w:val="clear" w:color="auto" w:fill="auto"/>
            <w:vAlign w:val="center"/>
          </w:tcPr>
          <w:p w14:paraId="4A41164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3.61%</w:t>
            </w:r>
          </w:p>
        </w:tc>
        <w:tc>
          <w:tcPr>
            <w:tcW w:w="915" w:type="dxa"/>
            <w:tcBorders>
              <w:top w:val="nil"/>
              <w:left w:val="nil"/>
              <w:bottom w:val="single" w:color="000000" w:sz="8" w:space="0"/>
              <w:right w:val="single" w:color="000000" w:sz="8" w:space="0"/>
            </w:tcBorders>
            <w:shd w:val="clear" w:color="auto" w:fill="auto"/>
            <w:vAlign w:val="center"/>
          </w:tcPr>
          <w:p w14:paraId="077D430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6ADB916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w:t>
            </w:r>
          </w:p>
        </w:tc>
      </w:tr>
      <w:tr w14:paraId="54A37E9B">
        <w:tblPrEx>
          <w:tblCellMar>
            <w:top w:w="0" w:type="dxa"/>
            <w:left w:w="108" w:type="dxa"/>
            <w:bottom w:w="0" w:type="dxa"/>
            <w:right w:w="108" w:type="dxa"/>
          </w:tblCellMar>
        </w:tblPrEx>
        <w:trPr>
          <w:trHeight w:val="357" w:hRule="atLeast"/>
        </w:trPr>
        <w:tc>
          <w:tcPr>
            <w:tcW w:w="581" w:type="dxa"/>
            <w:vMerge w:val="continue"/>
            <w:tcBorders>
              <w:top w:val="nil"/>
              <w:left w:val="single" w:color="000000" w:sz="8" w:space="0"/>
              <w:bottom w:val="single" w:color="000000" w:sz="8" w:space="0"/>
              <w:right w:val="single" w:color="000000" w:sz="8" w:space="0"/>
            </w:tcBorders>
            <w:shd w:val="clear" w:color="auto" w:fill="auto"/>
            <w:vAlign w:val="center"/>
          </w:tcPr>
          <w:p w14:paraId="0AA1D642">
            <w:pPr>
              <w:jc w:val="center"/>
              <w:rPr>
                <w:rFonts w:eastAsia="仿宋_GB2312" w:cs="仿宋"/>
                <w:color w:val="auto"/>
                <w:sz w:val="24"/>
                <w:highlight w:val="none"/>
              </w:rPr>
            </w:pPr>
          </w:p>
        </w:tc>
        <w:tc>
          <w:tcPr>
            <w:tcW w:w="2419" w:type="dxa"/>
            <w:gridSpan w:val="2"/>
            <w:tcBorders>
              <w:top w:val="nil"/>
              <w:left w:val="nil"/>
              <w:bottom w:val="single" w:color="000000" w:sz="8" w:space="0"/>
              <w:right w:val="single" w:color="000000" w:sz="8" w:space="0"/>
            </w:tcBorders>
            <w:shd w:val="clear" w:color="auto" w:fill="auto"/>
            <w:vAlign w:val="center"/>
          </w:tcPr>
          <w:p w14:paraId="3759494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570A109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99</w:t>
            </w:r>
          </w:p>
        </w:tc>
        <w:tc>
          <w:tcPr>
            <w:tcW w:w="1155" w:type="dxa"/>
            <w:tcBorders>
              <w:top w:val="nil"/>
              <w:left w:val="nil"/>
              <w:bottom w:val="single" w:color="000000" w:sz="8" w:space="0"/>
              <w:right w:val="single" w:color="000000" w:sz="8" w:space="0"/>
            </w:tcBorders>
            <w:shd w:val="clear" w:color="auto" w:fill="auto"/>
            <w:noWrap/>
            <w:vAlign w:val="center"/>
          </w:tcPr>
          <w:p w14:paraId="0388213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63.87%</w:t>
            </w:r>
          </w:p>
        </w:tc>
        <w:tc>
          <w:tcPr>
            <w:tcW w:w="1020" w:type="dxa"/>
            <w:tcBorders>
              <w:top w:val="nil"/>
              <w:left w:val="nil"/>
              <w:bottom w:val="single" w:color="000000" w:sz="8" w:space="0"/>
              <w:right w:val="single" w:color="000000" w:sz="8" w:space="0"/>
            </w:tcBorders>
            <w:shd w:val="clear" w:color="auto" w:fill="auto"/>
            <w:noWrap/>
            <w:vAlign w:val="center"/>
          </w:tcPr>
          <w:p w14:paraId="0F51982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1952</w:t>
            </w:r>
          </w:p>
        </w:tc>
        <w:tc>
          <w:tcPr>
            <w:tcW w:w="945" w:type="dxa"/>
            <w:tcBorders>
              <w:top w:val="nil"/>
              <w:left w:val="nil"/>
              <w:bottom w:val="single" w:color="000000" w:sz="8" w:space="0"/>
              <w:right w:val="single" w:color="000000" w:sz="8" w:space="0"/>
            </w:tcBorders>
            <w:shd w:val="clear" w:color="auto" w:fill="auto"/>
            <w:noWrap/>
            <w:vAlign w:val="center"/>
          </w:tcPr>
          <w:p w14:paraId="4771CC0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830</w:t>
            </w:r>
          </w:p>
        </w:tc>
        <w:tc>
          <w:tcPr>
            <w:tcW w:w="1260" w:type="dxa"/>
            <w:tcBorders>
              <w:top w:val="nil"/>
              <w:left w:val="nil"/>
              <w:bottom w:val="single" w:color="000000" w:sz="8" w:space="0"/>
              <w:right w:val="single" w:color="000000" w:sz="8" w:space="0"/>
            </w:tcBorders>
            <w:shd w:val="clear" w:color="auto" w:fill="auto"/>
            <w:vAlign w:val="center"/>
          </w:tcPr>
          <w:p w14:paraId="3BC262C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27.76%</w:t>
            </w:r>
          </w:p>
        </w:tc>
        <w:tc>
          <w:tcPr>
            <w:tcW w:w="915" w:type="dxa"/>
            <w:tcBorders>
              <w:top w:val="nil"/>
              <w:left w:val="nil"/>
              <w:bottom w:val="single" w:color="000000" w:sz="8" w:space="0"/>
              <w:right w:val="single" w:color="000000" w:sz="8" w:space="0"/>
            </w:tcBorders>
            <w:shd w:val="clear" w:color="auto" w:fill="auto"/>
            <w:vAlign w:val="center"/>
          </w:tcPr>
          <w:p w14:paraId="23BAB5D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1122</w:t>
            </w:r>
          </w:p>
        </w:tc>
        <w:tc>
          <w:tcPr>
            <w:tcW w:w="1119" w:type="dxa"/>
            <w:tcBorders>
              <w:top w:val="nil"/>
              <w:left w:val="nil"/>
              <w:bottom w:val="single" w:color="000000" w:sz="8" w:space="0"/>
              <w:right w:val="single" w:color="000000" w:sz="8" w:space="0"/>
            </w:tcBorders>
            <w:shd w:val="clear" w:color="auto" w:fill="auto"/>
            <w:noWrap/>
            <w:vAlign w:val="center"/>
          </w:tcPr>
          <w:p w14:paraId="788C450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37.53%</w:t>
            </w:r>
          </w:p>
        </w:tc>
      </w:tr>
      <w:tr w14:paraId="2C69E20E">
        <w:tblPrEx>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656CA29F">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0FCDC59D">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0B071FD4">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16DBB28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2.58%</w:t>
            </w:r>
          </w:p>
        </w:tc>
        <w:tc>
          <w:tcPr>
            <w:tcW w:w="1020" w:type="dxa"/>
            <w:tcBorders>
              <w:top w:val="nil"/>
              <w:left w:val="nil"/>
              <w:bottom w:val="single" w:color="000000" w:sz="8" w:space="0"/>
              <w:right w:val="single" w:color="000000" w:sz="8" w:space="0"/>
            </w:tcBorders>
            <w:shd w:val="clear" w:color="auto" w:fill="auto"/>
            <w:noWrap/>
            <w:vAlign w:val="center"/>
          </w:tcPr>
          <w:p w14:paraId="2DCC8EB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2A616C8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w:t>
            </w:r>
          </w:p>
        </w:tc>
        <w:tc>
          <w:tcPr>
            <w:tcW w:w="1260" w:type="dxa"/>
            <w:tcBorders>
              <w:top w:val="nil"/>
              <w:left w:val="nil"/>
              <w:bottom w:val="single" w:color="000000" w:sz="8" w:space="0"/>
              <w:right w:val="single" w:color="000000" w:sz="8" w:space="0"/>
            </w:tcBorders>
            <w:shd w:val="clear" w:color="auto" w:fill="auto"/>
            <w:vAlign w:val="center"/>
          </w:tcPr>
          <w:p w14:paraId="292592C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w:t>
            </w:r>
          </w:p>
        </w:tc>
        <w:tc>
          <w:tcPr>
            <w:tcW w:w="915" w:type="dxa"/>
            <w:tcBorders>
              <w:top w:val="nil"/>
              <w:left w:val="nil"/>
              <w:bottom w:val="single" w:color="000000" w:sz="8" w:space="0"/>
              <w:right w:val="single" w:color="000000" w:sz="8" w:space="0"/>
            </w:tcBorders>
            <w:shd w:val="clear" w:color="auto" w:fill="auto"/>
            <w:vAlign w:val="center"/>
          </w:tcPr>
          <w:p w14:paraId="0959B6E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7C9EC88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2.14%</w:t>
            </w:r>
          </w:p>
        </w:tc>
      </w:tr>
      <w:tr w14:paraId="39C00359">
        <w:tblPrEx>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169E2E44">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172956A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155</w:t>
            </w:r>
          </w:p>
        </w:tc>
        <w:tc>
          <w:tcPr>
            <w:tcW w:w="1155" w:type="dxa"/>
            <w:tcBorders>
              <w:top w:val="nil"/>
              <w:left w:val="nil"/>
              <w:bottom w:val="single" w:color="000000" w:sz="8" w:space="0"/>
              <w:right w:val="single" w:color="000000" w:sz="8" w:space="0"/>
            </w:tcBorders>
            <w:shd w:val="clear" w:color="auto" w:fill="auto"/>
            <w:noWrap/>
            <w:vAlign w:val="center"/>
          </w:tcPr>
          <w:p w14:paraId="717A2D4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100%</w:t>
            </w:r>
          </w:p>
        </w:tc>
        <w:tc>
          <w:tcPr>
            <w:tcW w:w="1020" w:type="dxa"/>
            <w:tcBorders>
              <w:top w:val="nil"/>
              <w:left w:val="nil"/>
              <w:bottom w:val="single" w:color="000000" w:sz="8" w:space="0"/>
              <w:right w:val="single" w:color="000000" w:sz="8" w:space="0"/>
            </w:tcBorders>
            <w:shd w:val="clear" w:color="auto" w:fill="auto"/>
            <w:noWrap/>
            <w:vAlign w:val="center"/>
          </w:tcPr>
          <w:p w14:paraId="41202E6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2990</w:t>
            </w:r>
          </w:p>
        </w:tc>
        <w:tc>
          <w:tcPr>
            <w:tcW w:w="945" w:type="dxa"/>
            <w:tcBorders>
              <w:top w:val="nil"/>
              <w:left w:val="nil"/>
              <w:bottom w:val="single" w:color="000000" w:sz="8" w:space="0"/>
              <w:right w:val="single" w:color="000000" w:sz="8" w:space="0"/>
            </w:tcBorders>
            <w:shd w:val="clear" w:color="auto" w:fill="auto"/>
            <w:noWrap/>
            <w:vAlign w:val="center"/>
          </w:tcPr>
          <w:p w14:paraId="508AA6F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1416</w:t>
            </w:r>
          </w:p>
        </w:tc>
        <w:tc>
          <w:tcPr>
            <w:tcW w:w="1260" w:type="dxa"/>
            <w:tcBorders>
              <w:top w:val="nil"/>
              <w:left w:val="nil"/>
              <w:bottom w:val="single" w:color="000000" w:sz="8" w:space="0"/>
              <w:right w:val="single" w:color="000000" w:sz="8" w:space="0"/>
            </w:tcBorders>
            <w:shd w:val="clear" w:color="auto" w:fill="auto"/>
            <w:vAlign w:val="center"/>
          </w:tcPr>
          <w:p w14:paraId="14D89587">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47.36%</w:t>
            </w:r>
          </w:p>
        </w:tc>
        <w:tc>
          <w:tcPr>
            <w:tcW w:w="915" w:type="dxa"/>
            <w:tcBorders>
              <w:top w:val="nil"/>
              <w:left w:val="nil"/>
              <w:bottom w:val="single" w:color="000000" w:sz="8" w:space="0"/>
              <w:right w:val="single" w:color="000000" w:sz="8" w:space="0"/>
            </w:tcBorders>
            <w:shd w:val="clear" w:color="auto" w:fill="auto"/>
            <w:vAlign w:val="center"/>
          </w:tcPr>
          <w:p w14:paraId="0A81432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1574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2E83F3A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52.64%</w:t>
            </w:r>
          </w:p>
        </w:tc>
      </w:tr>
    </w:tbl>
    <w:p w14:paraId="12891AED">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（三）教学计划进程</w:t>
      </w:r>
    </w:p>
    <w:p w14:paraId="691087B5">
      <w:pPr>
        <w:spacing w:line="520" w:lineRule="exact"/>
        <w:jc w:val="center"/>
        <w:rPr>
          <w:rFonts w:eastAsia="仿宋_GB2312" w:cs="楷体"/>
          <w:color w:val="auto"/>
          <w:sz w:val="32"/>
          <w:szCs w:val="32"/>
          <w:highlight w:val="none"/>
        </w:rPr>
      </w:pPr>
      <w:r>
        <w:rPr>
          <w:rFonts w:hint="eastAsia" w:eastAsia="仿宋_GB2312" w:cs="楷体"/>
          <w:color w:val="auto"/>
          <w:sz w:val="32"/>
          <w:szCs w:val="32"/>
          <w:highlight w:val="none"/>
        </w:rPr>
        <w:t>环境工程技术专业教学计划进程安排表</w:t>
      </w:r>
    </w:p>
    <w:tbl>
      <w:tblPr>
        <w:tblStyle w:val="7"/>
        <w:tblW w:w="11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49"/>
        <w:gridCol w:w="185"/>
        <w:gridCol w:w="464"/>
        <w:gridCol w:w="219"/>
        <w:gridCol w:w="353"/>
        <w:gridCol w:w="1358"/>
        <w:gridCol w:w="1738"/>
        <w:gridCol w:w="612"/>
        <w:gridCol w:w="624"/>
        <w:gridCol w:w="720"/>
        <w:gridCol w:w="672"/>
        <w:gridCol w:w="432"/>
        <w:gridCol w:w="384"/>
        <w:gridCol w:w="408"/>
        <w:gridCol w:w="408"/>
        <w:gridCol w:w="432"/>
        <w:gridCol w:w="352"/>
        <w:gridCol w:w="684"/>
      </w:tblGrid>
      <w:tr w14:paraId="5F736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354" w:type="dxa"/>
            <w:gridSpan w:val="2"/>
            <w:vMerge w:val="restart"/>
            <w:shd w:val="clear" w:color="auto" w:fill="auto"/>
            <w:vAlign w:val="center"/>
          </w:tcPr>
          <w:p w14:paraId="33C9CA4C">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课程类别</w:t>
            </w:r>
          </w:p>
        </w:tc>
        <w:tc>
          <w:tcPr>
            <w:tcW w:w="649" w:type="dxa"/>
            <w:gridSpan w:val="2"/>
            <w:vMerge w:val="restart"/>
            <w:shd w:val="clear" w:color="auto" w:fill="auto"/>
            <w:vAlign w:val="center"/>
          </w:tcPr>
          <w:p w14:paraId="0E0CF0BD">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课程性质</w:t>
            </w:r>
          </w:p>
        </w:tc>
        <w:tc>
          <w:tcPr>
            <w:tcW w:w="572" w:type="dxa"/>
            <w:gridSpan w:val="2"/>
            <w:vMerge w:val="restart"/>
            <w:shd w:val="clear" w:color="auto" w:fill="auto"/>
            <w:vAlign w:val="center"/>
          </w:tcPr>
          <w:p w14:paraId="15B57E7F">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序号</w:t>
            </w:r>
          </w:p>
        </w:tc>
        <w:tc>
          <w:tcPr>
            <w:tcW w:w="1358" w:type="dxa"/>
            <w:vMerge w:val="restart"/>
            <w:shd w:val="clear" w:color="auto" w:fill="auto"/>
            <w:vAlign w:val="center"/>
          </w:tcPr>
          <w:p w14:paraId="129DFFC0">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课程代码</w:t>
            </w:r>
          </w:p>
        </w:tc>
        <w:tc>
          <w:tcPr>
            <w:tcW w:w="1738" w:type="dxa"/>
            <w:vMerge w:val="restart"/>
            <w:shd w:val="clear" w:color="auto" w:fill="auto"/>
            <w:vAlign w:val="center"/>
          </w:tcPr>
          <w:p w14:paraId="02EA05CC">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课程名称</w:t>
            </w:r>
          </w:p>
        </w:tc>
        <w:tc>
          <w:tcPr>
            <w:tcW w:w="612" w:type="dxa"/>
            <w:vMerge w:val="restart"/>
            <w:shd w:val="clear" w:color="auto" w:fill="auto"/>
            <w:vAlign w:val="center"/>
          </w:tcPr>
          <w:p w14:paraId="107F1A30">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学分</w:t>
            </w:r>
          </w:p>
        </w:tc>
        <w:tc>
          <w:tcPr>
            <w:tcW w:w="2016" w:type="dxa"/>
            <w:gridSpan w:val="3"/>
            <w:shd w:val="clear" w:color="auto" w:fill="auto"/>
            <w:vAlign w:val="center"/>
          </w:tcPr>
          <w:p w14:paraId="7A07F4E3">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教学学时数</w:t>
            </w:r>
          </w:p>
        </w:tc>
        <w:tc>
          <w:tcPr>
            <w:tcW w:w="2416" w:type="dxa"/>
            <w:gridSpan w:val="6"/>
            <w:shd w:val="clear" w:color="auto" w:fill="auto"/>
            <w:vAlign w:val="center"/>
          </w:tcPr>
          <w:p w14:paraId="72A9A4DF">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开课学期和周学时</w:t>
            </w:r>
          </w:p>
        </w:tc>
        <w:tc>
          <w:tcPr>
            <w:tcW w:w="684" w:type="dxa"/>
            <w:shd w:val="clear" w:color="auto" w:fill="auto"/>
            <w:vAlign w:val="center"/>
          </w:tcPr>
          <w:p w14:paraId="76643E29">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考核类型</w:t>
            </w:r>
          </w:p>
        </w:tc>
      </w:tr>
      <w:tr w14:paraId="27AE1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354" w:type="dxa"/>
            <w:gridSpan w:val="2"/>
            <w:vMerge w:val="continue"/>
            <w:shd w:val="clear" w:color="auto" w:fill="auto"/>
            <w:vAlign w:val="center"/>
          </w:tcPr>
          <w:p w14:paraId="1E61D02F">
            <w:pPr>
              <w:spacing w:line="300" w:lineRule="auto"/>
              <w:jc w:val="center"/>
              <w:rPr>
                <w:rFonts w:eastAsia="仿宋_GB2312" w:cs="仿宋"/>
                <w:color w:val="auto"/>
                <w:szCs w:val="21"/>
                <w:highlight w:val="none"/>
              </w:rPr>
            </w:pPr>
          </w:p>
        </w:tc>
        <w:tc>
          <w:tcPr>
            <w:tcW w:w="649" w:type="dxa"/>
            <w:gridSpan w:val="2"/>
            <w:vMerge w:val="continue"/>
            <w:shd w:val="clear" w:color="auto" w:fill="auto"/>
            <w:vAlign w:val="center"/>
          </w:tcPr>
          <w:p w14:paraId="1235A3F8">
            <w:pPr>
              <w:spacing w:line="300" w:lineRule="auto"/>
              <w:jc w:val="center"/>
              <w:rPr>
                <w:rFonts w:eastAsia="仿宋_GB2312" w:cs="仿宋"/>
                <w:color w:val="auto"/>
                <w:szCs w:val="21"/>
                <w:highlight w:val="none"/>
              </w:rPr>
            </w:pPr>
          </w:p>
        </w:tc>
        <w:tc>
          <w:tcPr>
            <w:tcW w:w="572" w:type="dxa"/>
            <w:gridSpan w:val="2"/>
            <w:vMerge w:val="continue"/>
            <w:shd w:val="clear" w:color="auto" w:fill="auto"/>
            <w:vAlign w:val="center"/>
          </w:tcPr>
          <w:p w14:paraId="52E7E5BF">
            <w:pPr>
              <w:spacing w:line="300" w:lineRule="auto"/>
              <w:jc w:val="center"/>
              <w:rPr>
                <w:rFonts w:eastAsia="仿宋_GB2312" w:cs="仿宋"/>
                <w:color w:val="auto"/>
                <w:szCs w:val="21"/>
                <w:highlight w:val="none"/>
              </w:rPr>
            </w:pPr>
          </w:p>
        </w:tc>
        <w:tc>
          <w:tcPr>
            <w:tcW w:w="1358" w:type="dxa"/>
            <w:vMerge w:val="continue"/>
            <w:shd w:val="clear" w:color="auto" w:fill="auto"/>
            <w:vAlign w:val="center"/>
          </w:tcPr>
          <w:p w14:paraId="0B04A014">
            <w:pPr>
              <w:spacing w:line="300" w:lineRule="auto"/>
              <w:jc w:val="center"/>
              <w:rPr>
                <w:rFonts w:eastAsia="仿宋_GB2312" w:cs="仿宋"/>
                <w:color w:val="auto"/>
                <w:szCs w:val="21"/>
                <w:highlight w:val="none"/>
              </w:rPr>
            </w:pPr>
          </w:p>
        </w:tc>
        <w:tc>
          <w:tcPr>
            <w:tcW w:w="1738" w:type="dxa"/>
            <w:vMerge w:val="continue"/>
            <w:shd w:val="clear" w:color="auto" w:fill="auto"/>
            <w:vAlign w:val="center"/>
          </w:tcPr>
          <w:p w14:paraId="3920DD74">
            <w:pPr>
              <w:spacing w:line="300" w:lineRule="auto"/>
              <w:jc w:val="center"/>
              <w:rPr>
                <w:rFonts w:eastAsia="仿宋_GB2312" w:cs="仿宋"/>
                <w:color w:val="auto"/>
                <w:szCs w:val="21"/>
                <w:highlight w:val="none"/>
              </w:rPr>
            </w:pPr>
          </w:p>
        </w:tc>
        <w:tc>
          <w:tcPr>
            <w:tcW w:w="612" w:type="dxa"/>
            <w:vMerge w:val="continue"/>
            <w:shd w:val="clear" w:color="auto" w:fill="auto"/>
            <w:vAlign w:val="center"/>
          </w:tcPr>
          <w:p w14:paraId="2FD51315">
            <w:pPr>
              <w:spacing w:line="300" w:lineRule="auto"/>
              <w:jc w:val="center"/>
              <w:rPr>
                <w:rFonts w:eastAsia="仿宋_GB2312" w:cs="仿宋"/>
                <w:color w:val="auto"/>
                <w:szCs w:val="21"/>
                <w:highlight w:val="none"/>
              </w:rPr>
            </w:pPr>
          </w:p>
        </w:tc>
        <w:tc>
          <w:tcPr>
            <w:tcW w:w="624" w:type="dxa"/>
            <w:shd w:val="clear" w:color="auto" w:fill="auto"/>
            <w:vAlign w:val="center"/>
          </w:tcPr>
          <w:p w14:paraId="0822F678">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合计</w:t>
            </w:r>
          </w:p>
        </w:tc>
        <w:tc>
          <w:tcPr>
            <w:tcW w:w="720" w:type="dxa"/>
            <w:shd w:val="clear" w:color="auto" w:fill="auto"/>
            <w:vAlign w:val="center"/>
          </w:tcPr>
          <w:p w14:paraId="0C4B3453">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理论学时</w:t>
            </w:r>
          </w:p>
        </w:tc>
        <w:tc>
          <w:tcPr>
            <w:tcW w:w="672" w:type="dxa"/>
            <w:shd w:val="clear" w:color="auto" w:fill="auto"/>
            <w:vAlign w:val="center"/>
          </w:tcPr>
          <w:p w14:paraId="2E14B86D">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实践学时</w:t>
            </w:r>
          </w:p>
        </w:tc>
        <w:tc>
          <w:tcPr>
            <w:tcW w:w="432" w:type="dxa"/>
            <w:shd w:val="clear" w:color="auto" w:fill="auto"/>
            <w:vAlign w:val="center"/>
          </w:tcPr>
          <w:p w14:paraId="3A1C8F21">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一</w:t>
            </w:r>
          </w:p>
        </w:tc>
        <w:tc>
          <w:tcPr>
            <w:tcW w:w="384" w:type="dxa"/>
            <w:shd w:val="clear" w:color="auto" w:fill="auto"/>
            <w:vAlign w:val="center"/>
          </w:tcPr>
          <w:p w14:paraId="74339A9B">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二</w:t>
            </w:r>
          </w:p>
        </w:tc>
        <w:tc>
          <w:tcPr>
            <w:tcW w:w="408" w:type="dxa"/>
            <w:shd w:val="clear" w:color="auto" w:fill="auto"/>
            <w:vAlign w:val="center"/>
          </w:tcPr>
          <w:p w14:paraId="1EA31B64">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三</w:t>
            </w:r>
          </w:p>
        </w:tc>
        <w:tc>
          <w:tcPr>
            <w:tcW w:w="408" w:type="dxa"/>
            <w:shd w:val="clear" w:color="auto" w:fill="auto"/>
            <w:vAlign w:val="center"/>
          </w:tcPr>
          <w:p w14:paraId="084B77EA">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四</w:t>
            </w:r>
          </w:p>
        </w:tc>
        <w:tc>
          <w:tcPr>
            <w:tcW w:w="432" w:type="dxa"/>
            <w:shd w:val="clear" w:color="auto" w:fill="auto"/>
            <w:vAlign w:val="center"/>
          </w:tcPr>
          <w:p w14:paraId="69AA06B9">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五</w:t>
            </w:r>
          </w:p>
        </w:tc>
        <w:tc>
          <w:tcPr>
            <w:tcW w:w="352" w:type="dxa"/>
            <w:shd w:val="clear" w:color="auto" w:fill="auto"/>
            <w:vAlign w:val="center"/>
          </w:tcPr>
          <w:p w14:paraId="026BC45B">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六</w:t>
            </w:r>
          </w:p>
        </w:tc>
        <w:tc>
          <w:tcPr>
            <w:tcW w:w="684" w:type="dxa"/>
            <w:shd w:val="clear" w:color="auto" w:fill="auto"/>
            <w:vAlign w:val="center"/>
          </w:tcPr>
          <w:p w14:paraId="5E7E69FD">
            <w:pPr>
              <w:spacing w:line="300" w:lineRule="auto"/>
              <w:jc w:val="center"/>
              <w:rPr>
                <w:rFonts w:eastAsia="仿宋_GB2312" w:cs="仿宋"/>
                <w:color w:val="auto"/>
                <w:szCs w:val="21"/>
                <w:highlight w:val="none"/>
              </w:rPr>
            </w:pPr>
          </w:p>
        </w:tc>
      </w:tr>
      <w:tr w14:paraId="0BD39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restart"/>
            <w:shd w:val="clear" w:color="auto" w:fill="auto"/>
            <w:tcMar>
              <w:top w:w="0" w:type="dxa"/>
              <w:left w:w="108" w:type="dxa"/>
              <w:bottom w:w="0" w:type="dxa"/>
              <w:right w:w="108" w:type="dxa"/>
            </w:tcMar>
            <w:tcFitText/>
            <w:vAlign w:val="center"/>
          </w:tcPr>
          <w:p w14:paraId="778EB1CD">
            <w:pPr>
              <w:widowControl/>
              <w:spacing w:line="300" w:lineRule="auto"/>
              <w:jc w:val="center"/>
              <w:textAlignment w:val="center"/>
              <w:rPr>
                <w:rFonts w:eastAsia="仿宋_GB2312"/>
                <w:color w:val="auto"/>
                <w:highlight w:val="none"/>
              </w:rPr>
            </w:pPr>
          </w:p>
          <w:p w14:paraId="7F26D6D2">
            <w:pPr>
              <w:widowControl/>
              <w:spacing w:line="300" w:lineRule="auto"/>
              <w:jc w:val="center"/>
              <w:textAlignment w:val="center"/>
              <w:rPr>
                <w:rFonts w:eastAsia="仿宋_GB2312"/>
                <w:color w:val="auto"/>
                <w:highlight w:val="none"/>
              </w:rPr>
            </w:pPr>
          </w:p>
          <w:p w14:paraId="76BA18A1">
            <w:pPr>
              <w:widowControl/>
              <w:spacing w:line="300" w:lineRule="auto"/>
              <w:jc w:val="center"/>
              <w:textAlignment w:val="center"/>
              <w:rPr>
                <w:rFonts w:eastAsia="仿宋_GB2312"/>
                <w:color w:val="auto"/>
                <w:highlight w:val="none"/>
              </w:rPr>
            </w:pPr>
          </w:p>
          <w:p w14:paraId="7F0B516E">
            <w:pPr>
              <w:widowControl/>
              <w:spacing w:line="300" w:lineRule="auto"/>
              <w:jc w:val="center"/>
              <w:textAlignment w:val="center"/>
              <w:rPr>
                <w:rFonts w:eastAsia="仿宋_GB2312"/>
                <w:color w:val="auto"/>
                <w:highlight w:val="none"/>
              </w:rPr>
            </w:pPr>
          </w:p>
          <w:p w14:paraId="3F409033">
            <w:pPr>
              <w:widowControl/>
              <w:spacing w:line="300" w:lineRule="auto"/>
              <w:jc w:val="center"/>
              <w:textAlignment w:val="center"/>
              <w:rPr>
                <w:rFonts w:eastAsia="仿宋_GB2312"/>
                <w:color w:val="auto"/>
                <w:highlight w:val="none"/>
              </w:rPr>
            </w:pPr>
          </w:p>
          <w:p w14:paraId="24AEBA43">
            <w:pPr>
              <w:widowControl/>
              <w:spacing w:line="300" w:lineRule="auto"/>
              <w:jc w:val="center"/>
              <w:textAlignment w:val="center"/>
              <w:rPr>
                <w:rFonts w:eastAsia="仿宋_GB2312"/>
                <w:color w:val="auto"/>
                <w:highlight w:val="none"/>
              </w:rPr>
            </w:pPr>
          </w:p>
          <w:p w14:paraId="3DFB7A5C">
            <w:pPr>
              <w:widowControl/>
              <w:spacing w:line="300" w:lineRule="auto"/>
              <w:jc w:val="center"/>
              <w:textAlignment w:val="center"/>
              <w:rPr>
                <w:rFonts w:eastAsia="仿宋_GB2312"/>
                <w:color w:val="auto"/>
                <w:highlight w:val="none"/>
              </w:rPr>
            </w:pPr>
          </w:p>
          <w:p w14:paraId="3FF57682">
            <w:pPr>
              <w:widowControl/>
              <w:spacing w:line="300" w:lineRule="auto"/>
              <w:jc w:val="center"/>
              <w:textAlignment w:val="center"/>
              <w:rPr>
                <w:rFonts w:eastAsia="仿宋_GB2312"/>
                <w:color w:val="auto"/>
                <w:highlight w:val="none"/>
              </w:rPr>
            </w:pPr>
          </w:p>
          <w:p w14:paraId="34D4DB74">
            <w:pPr>
              <w:widowControl/>
              <w:spacing w:line="300" w:lineRule="auto"/>
              <w:jc w:val="center"/>
              <w:textAlignment w:val="center"/>
              <w:rPr>
                <w:rFonts w:eastAsia="仿宋_GB2312"/>
                <w:color w:val="auto"/>
                <w:highlight w:val="none"/>
              </w:rPr>
            </w:pPr>
          </w:p>
          <w:p w14:paraId="3BEA94E7">
            <w:pPr>
              <w:widowControl/>
              <w:spacing w:line="300" w:lineRule="auto"/>
              <w:jc w:val="center"/>
              <w:textAlignment w:val="center"/>
              <w:rPr>
                <w:rFonts w:eastAsia="仿宋_GB2312"/>
                <w:color w:val="auto"/>
                <w:highlight w:val="none"/>
              </w:rPr>
            </w:pPr>
          </w:p>
          <w:p w14:paraId="11B806C4">
            <w:pPr>
              <w:widowControl/>
              <w:spacing w:line="300" w:lineRule="auto"/>
              <w:jc w:val="center"/>
              <w:textAlignment w:val="center"/>
              <w:rPr>
                <w:rFonts w:eastAsia="仿宋_GB2312"/>
                <w:color w:val="auto"/>
                <w:highlight w:val="none"/>
              </w:rPr>
            </w:pPr>
          </w:p>
          <w:p w14:paraId="4A81C359">
            <w:pPr>
              <w:widowControl/>
              <w:spacing w:line="300" w:lineRule="auto"/>
              <w:jc w:val="center"/>
              <w:textAlignment w:val="center"/>
              <w:rPr>
                <w:rFonts w:eastAsia="仿宋_GB2312"/>
                <w:color w:val="auto"/>
                <w:highlight w:val="none"/>
              </w:rPr>
            </w:pPr>
          </w:p>
          <w:p w14:paraId="1B37E64D">
            <w:pPr>
              <w:widowControl/>
              <w:spacing w:line="300" w:lineRule="auto"/>
              <w:jc w:val="center"/>
              <w:textAlignment w:val="center"/>
              <w:rPr>
                <w:rFonts w:eastAsia="仿宋_GB2312"/>
                <w:color w:val="auto"/>
                <w:highlight w:val="none"/>
              </w:rPr>
            </w:pPr>
          </w:p>
          <w:p w14:paraId="0CB93341">
            <w:pPr>
              <w:widowControl/>
              <w:spacing w:line="300" w:lineRule="auto"/>
              <w:jc w:val="center"/>
              <w:textAlignment w:val="center"/>
              <w:rPr>
                <w:rFonts w:eastAsia="仿宋_GB2312"/>
                <w:color w:val="auto"/>
                <w:highlight w:val="none"/>
              </w:rPr>
            </w:pPr>
            <w:r>
              <w:rPr>
                <w:rFonts w:hint="eastAsia" w:eastAsia="仿宋_GB2312"/>
                <w:color w:val="auto"/>
                <w:highlight w:val="none"/>
              </w:rPr>
              <w:t>公共基础课</w:t>
            </w:r>
          </w:p>
        </w:tc>
        <w:tc>
          <w:tcPr>
            <w:tcW w:w="649" w:type="dxa"/>
            <w:gridSpan w:val="2"/>
            <w:vMerge w:val="restart"/>
            <w:shd w:val="clear" w:color="auto" w:fill="auto"/>
            <w:vAlign w:val="center"/>
          </w:tcPr>
          <w:p w14:paraId="04760B86">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必修</w:t>
            </w:r>
          </w:p>
        </w:tc>
        <w:tc>
          <w:tcPr>
            <w:tcW w:w="572" w:type="dxa"/>
            <w:gridSpan w:val="2"/>
            <w:shd w:val="clear" w:color="auto" w:fill="auto"/>
            <w:vAlign w:val="center"/>
          </w:tcPr>
          <w:p w14:paraId="3E81218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vAlign w:val="center"/>
          </w:tcPr>
          <w:p w14:paraId="6D78CD1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10B110620</w:t>
            </w:r>
          </w:p>
        </w:tc>
        <w:tc>
          <w:tcPr>
            <w:tcW w:w="1738" w:type="dxa"/>
            <w:shd w:val="clear" w:color="auto" w:fill="auto"/>
            <w:vAlign w:val="center"/>
          </w:tcPr>
          <w:p w14:paraId="312F236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毛泽东思想和中国特色社会主义理论体系概论</w:t>
            </w:r>
          </w:p>
        </w:tc>
        <w:tc>
          <w:tcPr>
            <w:tcW w:w="612" w:type="dxa"/>
            <w:shd w:val="clear" w:color="auto" w:fill="auto"/>
            <w:vAlign w:val="center"/>
          </w:tcPr>
          <w:p w14:paraId="0310301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624" w:type="dxa"/>
            <w:shd w:val="clear" w:color="auto" w:fill="auto"/>
            <w:vAlign w:val="center"/>
          </w:tcPr>
          <w:p w14:paraId="214395B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720" w:type="dxa"/>
            <w:shd w:val="clear" w:color="auto" w:fill="auto"/>
            <w:vAlign w:val="center"/>
          </w:tcPr>
          <w:p w14:paraId="6F86696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28</w:t>
            </w:r>
          </w:p>
        </w:tc>
        <w:tc>
          <w:tcPr>
            <w:tcW w:w="672" w:type="dxa"/>
            <w:shd w:val="clear" w:color="auto" w:fill="auto"/>
            <w:vAlign w:val="center"/>
          </w:tcPr>
          <w:p w14:paraId="3F344BB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vAlign w:val="center"/>
          </w:tcPr>
          <w:p w14:paraId="1B0345A2">
            <w:pPr>
              <w:jc w:val="center"/>
              <w:rPr>
                <w:rFonts w:eastAsia="仿宋_GB2312" w:cs="仿宋"/>
                <w:color w:val="auto"/>
                <w:kern w:val="0"/>
                <w:szCs w:val="21"/>
                <w:highlight w:val="none"/>
              </w:rPr>
            </w:pPr>
          </w:p>
        </w:tc>
        <w:tc>
          <w:tcPr>
            <w:tcW w:w="384" w:type="dxa"/>
            <w:shd w:val="clear" w:color="auto" w:fill="auto"/>
            <w:vAlign w:val="center"/>
          </w:tcPr>
          <w:p w14:paraId="40B3349B">
            <w:pPr>
              <w:jc w:val="center"/>
              <w:rPr>
                <w:rFonts w:eastAsia="仿宋_GB2312" w:cs="仿宋"/>
                <w:color w:val="auto"/>
                <w:kern w:val="0"/>
                <w:szCs w:val="21"/>
                <w:highlight w:val="none"/>
              </w:rPr>
            </w:pPr>
          </w:p>
        </w:tc>
        <w:tc>
          <w:tcPr>
            <w:tcW w:w="408" w:type="dxa"/>
            <w:shd w:val="clear" w:color="auto" w:fill="auto"/>
            <w:vAlign w:val="center"/>
          </w:tcPr>
          <w:p w14:paraId="09121A3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6CE62027">
            <w:pPr>
              <w:jc w:val="center"/>
              <w:rPr>
                <w:rFonts w:eastAsia="仿宋_GB2312" w:cs="仿宋"/>
                <w:color w:val="auto"/>
                <w:kern w:val="0"/>
                <w:szCs w:val="21"/>
                <w:highlight w:val="none"/>
              </w:rPr>
            </w:pPr>
          </w:p>
        </w:tc>
        <w:tc>
          <w:tcPr>
            <w:tcW w:w="432" w:type="dxa"/>
            <w:shd w:val="clear" w:color="auto" w:fill="auto"/>
            <w:vAlign w:val="center"/>
          </w:tcPr>
          <w:p w14:paraId="4806FA67">
            <w:pPr>
              <w:jc w:val="center"/>
              <w:rPr>
                <w:rFonts w:eastAsia="仿宋_GB2312" w:cs="仿宋"/>
                <w:color w:val="auto"/>
                <w:kern w:val="0"/>
                <w:szCs w:val="21"/>
                <w:highlight w:val="none"/>
              </w:rPr>
            </w:pPr>
          </w:p>
        </w:tc>
        <w:tc>
          <w:tcPr>
            <w:tcW w:w="352" w:type="dxa"/>
            <w:shd w:val="clear" w:color="auto" w:fill="auto"/>
            <w:vAlign w:val="center"/>
          </w:tcPr>
          <w:p w14:paraId="696C5431">
            <w:pPr>
              <w:jc w:val="center"/>
              <w:rPr>
                <w:rFonts w:eastAsia="仿宋_GB2312" w:cs="仿宋"/>
                <w:color w:val="auto"/>
                <w:kern w:val="0"/>
                <w:szCs w:val="21"/>
                <w:highlight w:val="none"/>
              </w:rPr>
            </w:pPr>
          </w:p>
        </w:tc>
        <w:tc>
          <w:tcPr>
            <w:tcW w:w="684" w:type="dxa"/>
            <w:shd w:val="clear" w:color="auto" w:fill="auto"/>
            <w:vAlign w:val="center"/>
          </w:tcPr>
          <w:p w14:paraId="0B773BE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51809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9FB78EB">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39A56A7F">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4865D702">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1358" w:type="dxa"/>
            <w:shd w:val="clear" w:color="auto" w:fill="auto"/>
            <w:vAlign w:val="center"/>
          </w:tcPr>
          <w:p w14:paraId="424156D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10B110820</w:t>
            </w:r>
          </w:p>
        </w:tc>
        <w:tc>
          <w:tcPr>
            <w:tcW w:w="1738" w:type="dxa"/>
            <w:shd w:val="clear" w:color="auto" w:fill="auto"/>
            <w:vAlign w:val="center"/>
          </w:tcPr>
          <w:p w14:paraId="6F516A9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形势与政策</w:t>
            </w:r>
          </w:p>
        </w:tc>
        <w:tc>
          <w:tcPr>
            <w:tcW w:w="612" w:type="dxa"/>
            <w:shd w:val="clear" w:color="auto" w:fill="auto"/>
            <w:vAlign w:val="center"/>
          </w:tcPr>
          <w:p w14:paraId="022F003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w:t>
            </w:r>
          </w:p>
        </w:tc>
        <w:tc>
          <w:tcPr>
            <w:tcW w:w="624" w:type="dxa"/>
            <w:shd w:val="clear" w:color="auto" w:fill="auto"/>
            <w:vAlign w:val="center"/>
          </w:tcPr>
          <w:p w14:paraId="257E84B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32</w:t>
            </w:r>
          </w:p>
        </w:tc>
        <w:tc>
          <w:tcPr>
            <w:tcW w:w="720" w:type="dxa"/>
            <w:shd w:val="clear" w:color="auto" w:fill="auto"/>
            <w:vAlign w:val="center"/>
          </w:tcPr>
          <w:p w14:paraId="006DC346">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32</w:t>
            </w:r>
          </w:p>
        </w:tc>
        <w:tc>
          <w:tcPr>
            <w:tcW w:w="672" w:type="dxa"/>
            <w:shd w:val="clear" w:color="auto" w:fill="auto"/>
            <w:vAlign w:val="center"/>
          </w:tcPr>
          <w:p w14:paraId="47B84AB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0</w:t>
            </w:r>
          </w:p>
        </w:tc>
        <w:tc>
          <w:tcPr>
            <w:tcW w:w="2416" w:type="dxa"/>
            <w:gridSpan w:val="6"/>
            <w:shd w:val="clear" w:color="auto" w:fill="auto"/>
            <w:vAlign w:val="center"/>
          </w:tcPr>
          <w:p w14:paraId="5DD857FE">
            <w:pPr>
              <w:jc w:val="center"/>
              <w:rPr>
                <w:rFonts w:eastAsia="仿宋_GB2312" w:cs="仿宋"/>
                <w:color w:val="auto"/>
                <w:kern w:val="0"/>
                <w:szCs w:val="21"/>
                <w:highlight w:val="none"/>
              </w:rPr>
            </w:pPr>
            <w:r>
              <w:rPr>
                <w:rFonts w:hint="eastAsia" w:eastAsia="仿宋_GB2312" w:cs="仿宋"/>
                <w:color w:val="auto"/>
                <w:kern w:val="0"/>
                <w:szCs w:val="21"/>
                <w:highlight w:val="none"/>
                <w:lang w:bidi="ar"/>
              </w:rPr>
              <w:t>1到4学期开课，每学期8学时。</w:t>
            </w:r>
          </w:p>
        </w:tc>
        <w:tc>
          <w:tcPr>
            <w:tcW w:w="684" w:type="dxa"/>
            <w:shd w:val="clear" w:color="auto" w:fill="auto"/>
            <w:vAlign w:val="center"/>
          </w:tcPr>
          <w:p w14:paraId="2372195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4B7B3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DD2A777">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58694BE6">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49CF379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vAlign w:val="center"/>
          </w:tcPr>
          <w:p w14:paraId="0619CF5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10B110520</w:t>
            </w:r>
          </w:p>
        </w:tc>
        <w:tc>
          <w:tcPr>
            <w:tcW w:w="1738" w:type="dxa"/>
            <w:shd w:val="clear" w:color="auto" w:fill="auto"/>
            <w:vAlign w:val="center"/>
          </w:tcPr>
          <w:p w14:paraId="33A730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思想道德与法治</w:t>
            </w:r>
          </w:p>
        </w:tc>
        <w:tc>
          <w:tcPr>
            <w:tcW w:w="612" w:type="dxa"/>
            <w:shd w:val="clear" w:color="auto" w:fill="auto"/>
            <w:vAlign w:val="center"/>
          </w:tcPr>
          <w:p w14:paraId="174EF07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40E1BC6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48</w:t>
            </w:r>
          </w:p>
        </w:tc>
        <w:tc>
          <w:tcPr>
            <w:tcW w:w="720" w:type="dxa"/>
            <w:shd w:val="clear" w:color="auto" w:fill="auto"/>
            <w:vAlign w:val="center"/>
          </w:tcPr>
          <w:p w14:paraId="6BBF26D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EC1164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432" w:type="dxa"/>
            <w:shd w:val="clear" w:color="auto" w:fill="auto"/>
            <w:vAlign w:val="center"/>
          </w:tcPr>
          <w:p w14:paraId="1EDC03E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384" w:type="dxa"/>
            <w:shd w:val="clear" w:color="auto" w:fill="auto"/>
            <w:vAlign w:val="center"/>
          </w:tcPr>
          <w:p w14:paraId="701306CD">
            <w:pPr>
              <w:jc w:val="center"/>
              <w:rPr>
                <w:rFonts w:eastAsia="仿宋_GB2312" w:cs="仿宋"/>
                <w:color w:val="auto"/>
                <w:kern w:val="0"/>
                <w:szCs w:val="21"/>
                <w:highlight w:val="none"/>
              </w:rPr>
            </w:pPr>
          </w:p>
        </w:tc>
        <w:tc>
          <w:tcPr>
            <w:tcW w:w="408" w:type="dxa"/>
            <w:shd w:val="clear" w:color="auto" w:fill="auto"/>
            <w:vAlign w:val="center"/>
          </w:tcPr>
          <w:p w14:paraId="364344A3">
            <w:pPr>
              <w:jc w:val="center"/>
              <w:rPr>
                <w:rFonts w:eastAsia="仿宋_GB2312" w:cs="仿宋"/>
                <w:color w:val="auto"/>
                <w:kern w:val="0"/>
                <w:szCs w:val="21"/>
                <w:highlight w:val="none"/>
                <w:lang w:bidi="ar"/>
              </w:rPr>
            </w:pPr>
          </w:p>
        </w:tc>
        <w:tc>
          <w:tcPr>
            <w:tcW w:w="408" w:type="dxa"/>
            <w:shd w:val="clear" w:color="auto" w:fill="auto"/>
            <w:vAlign w:val="center"/>
          </w:tcPr>
          <w:p w14:paraId="2B26A749">
            <w:pPr>
              <w:jc w:val="center"/>
              <w:rPr>
                <w:rFonts w:eastAsia="仿宋_GB2312" w:cs="仿宋"/>
                <w:color w:val="auto"/>
                <w:kern w:val="0"/>
                <w:szCs w:val="21"/>
                <w:highlight w:val="none"/>
              </w:rPr>
            </w:pPr>
          </w:p>
        </w:tc>
        <w:tc>
          <w:tcPr>
            <w:tcW w:w="432" w:type="dxa"/>
            <w:shd w:val="clear" w:color="auto" w:fill="auto"/>
            <w:vAlign w:val="center"/>
          </w:tcPr>
          <w:p w14:paraId="7FA495F2">
            <w:pPr>
              <w:jc w:val="center"/>
              <w:rPr>
                <w:rFonts w:eastAsia="仿宋_GB2312" w:cs="仿宋"/>
                <w:color w:val="auto"/>
                <w:kern w:val="0"/>
                <w:szCs w:val="21"/>
                <w:highlight w:val="none"/>
              </w:rPr>
            </w:pPr>
          </w:p>
        </w:tc>
        <w:tc>
          <w:tcPr>
            <w:tcW w:w="352" w:type="dxa"/>
            <w:shd w:val="clear" w:color="auto" w:fill="auto"/>
            <w:vAlign w:val="center"/>
          </w:tcPr>
          <w:p w14:paraId="5FE8F32C">
            <w:pPr>
              <w:jc w:val="center"/>
              <w:rPr>
                <w:rFonts w:eastAsia="仿宋_GB2312" w:cs="仿宋"/>
                <w:color w:val="auto"/>
                <w:kern w:val="0"/>
                <w:szCs w:val="21"/>
                <w:highlight w:val="none"/>
              </w:rPr>
            </w:pPr>
          </w:p>
        </w:tc>
        <w:tc>
          <w:tcPr>
            <w:tcW w:w="684" w:type="dxa"/>
            <w:shd w:val="clear" w:color="auto" w:fill="auto"/>
            <w:vAlign w:val="center"/>
          </w:tcPr>
          <w:p w14:paraId="0D1519C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F803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AA26015">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71835824">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65C893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vAlign w:val="center"/>
          </w:tcPr>
          <w:p w14:paraId="7215B91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10B110720</w:t>
            </w:r>
          </w:p>
        </w:tc>
        <w:tc>
          <w:tcPr>
            <w:tcW w:w="1738" w:type="dxa"/>
            <w:shd w:val="clear" w:color="auto" w:fill="auto"/>
            <w:vAlign w:val="center"/>
          </w:tcPr>
          <w:p w14:paraId="16ADD07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习近平新时代中国特色社会主义思想概论</w:t>
            </w:r>
          </w:p>
        </w:tc>
        <w:tc>
          <w:tcPr>
            <w:tcW w:w="612" w:type="dxa"/>
            <w:shd w:val="clear" w:color="auto" w:fill="auto"/>
            <w:vAlign w:val="center"/>
          </w:tcPr>
          <w:p w14:paraId="2D2F793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67D2494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48</w:t>
            </w:r>
          </w:p>
        </w:tc>
        <w:tc>
          <w:tcPr>
            <w:tcW w:w="720" w:type="dxa"/>
            <w:shd w:val="clear" w:color="auto" w:fill="auto"/>
            <w:vAlign w:val="center"/>
          </w:tcPr>
          <w:p w14:paraId="4884679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48</w:t>
            </w:r>
          </w:p>
        </w:tc>
        <w:tc>
          <w:tcPr>
            <w:tcW w:w="672" w:type="dxa"/>
            <w:shd w:val="clear" w:color="auto" w:fill="auto"/>
            <w:vAlign w:val="center"/>
          </w:tcPr>
          <w:p w14:paraId="3DFC701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vAlign w:val="center"/>
          </w:tcPr>
          <w:p w14:paraId="4ADBF0B3">
            <w:pPr>
              <w:jc w:val="center"/>
              <w:rPr>
                <w:rFonts w:eastAsia="仿宋_GB2312" w:cs="仿宋"/>
                <w:color w:val="auto"/>
                <w:kern w:val="0"/>
                <w:szCs w:val="21"/>
                <w:highlight w:val="none"/>
              </w:rPr>
            </w:pPr>
          </w:p>
        </w:tc>
        <w:tc>
          <w:tcPr>
            <w:tcW w:w="384" w:type="dxa"/>
            <w:shd w:val="clear" w:color="auto" w:fill="auto"/>
            <w:vAlign w:val="center"/>
          </w:tcPr>
          <w:p w14:paraId="78AED0C0">
            <w:pPr>
              <w:jc w:val="center"/>
              <w:rPr>
                <w:rFonts w:eastAsia="仿宋_GB2312" w:cs="仿宋"/>
                <w:color w:val="auto"/>
                <w:kern w:val="0"/>
                <w:szCs w:val="21"/>
                <w:highlight w:val="none"/>
              </w:rPr>
            </w:pPr>
          </w:p>
        </w:tc>
        <w:tc>
          <w:tcPr>
            <w:tcW w:w="408" w:type="dxa"/>
            <w:shd w:val="clear" w:color="auto" w:fill="auto"/>
            <w:vAlign w:val="center"/>
          </w:tcPr>
          <w:p w14:paraId="2BA47A3F">
            <w:pPr>
              <w:jc w:val="center"/>
              <w:rPr>
                <w:rFonts w:eastAsia="仿宋_GB2312" w:cs="仿宋"/>
                <w:color w:val="auto"/>
                <w:kern w:val="0"/>
                <w:szCs w:val="21"/>
                <w:highlight w:val="none"/>
                <w:lang w:bidi="ar"/>
              </w:rPr>
            </w:pPr>
          </w:p>
        </w:tc>
        <w:tc>
          <w:tcPr>
            <w:tcW w:w="408" w:type="dxa"/>
            <w:shd w:val="clear" w:color="auto" w:fill="auto"/>
            <w:vAlign w:val="center"/>
          </w:tcPr>
          <w:p w14:paraId="20855CF0">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432" w:type="dxa"/>
            <w:shd w:val="clear" w:color="auto" w:fill="auto"/>
            <w:vAlign w:val="center"/>
          </w:tcPr>
          <w:p w14:paraId="0D6DEF8E">
            <w:pPr>
              <w:jc w:val="center"/>
              <w:rPr>
                <w:rFonts w:eastAsia="仿宋_GB2312" w:cs="仿宋"/>
                <w:color w:val="auto"/>
                <w:kern w:val="0"/>
                <w:szCs w:val="21"/>
                <w:highlight w:val="none"/>
              </w:rPr>
            </w:pPr>
          </w:p>
        </w:tc>
        <w:tc>
          <w:tcPr>
            <w:tcW w:w="352" w:type="dxa"/>
            <w:shd w:val="clear" w:color="auto" w:fill="auto"/>
            <w:vAlign w:val="center"/>
          </w:tcPr>
          <w:p w14:paraId="513333BA">
            <w:pPr>
              <w:jc w:val="center"/>
              <w:rPr>
                <w:rFonts w:eastAsia="仿宋_GB2312" w:cs="仿宋"/>
                <w:color w:val="auto"/>
                <w:kern w:val="0"/>
                <w:szCs w:val="21"/>
                <w:highlight w:val="none"/>
              </w:rPr>
            </w:pPr>
          </w:p>
        </w:tc>
        <w:tc>
          <w:tcPr>
            <w:tcW w:w="684" w:type="dxa"/>
            <w:shd w:val="clear" w:color="auto" w:fill="auto"/>
            <w:vAlign w:val="center"/>
          </w:tcPr>
          <w:p w14:paraId="437203E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36C8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D7BC588">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74A0EBED">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74949B5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w:t>
            </w:r>
          </w:p>
        </w:tc>
        <w:tc>
          <w:tcPr>
            <w:tcW w:w="1358" w:type="dxa"/>
            <w:shd w:val="clear" w:color="auto" w:fill="auto"/>
            <w:vAlign w:val="center"/>
          </w:tcPr>
          <w:p w14:paraId="4BEB02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10B111320</w:t>
            </w:r>
          </w:p>
        </w:tc>
        <w:tc>
          <w:tcPr>
            <w:tcW w:w="1738" w:type="dxa"/>
            <w:shd w:val="clear" w:color="auto" w:fill="auto"/>
            <w:vAlign w:val="center"/>
          </w:tcPr>
          <w:p w14:paraId="6C64E3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大学体育</w:t>
            </w:r>
          </w:p>
        </w:tc>
        <w:tc>
          <w:tcPr>
            <w:tcW w:w="612" w:type="dxa"/>
            <w:shd w:val="clear" w:color="auto" w:fill="auto"/>
            <w:vAlign w:val="center"/>
          </w:tcPr>
          <w:p w14:paraId="0A4BADC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624" w:type="dxa"/>
            <w:shd w:val="clear" w:color="auto" w:fill="auto"/>
            <w:vAlign w:val="center"/>
          </w:tcPr>
          <w:p w14:paraId="0F43839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w:t>
            </w:r>
          </w:p>
        </w:tc>
        <w:tc>
          <w:tcPr>
            <w:tcW w:w="720" w:type="dxa"/>
            <w:shd w:val="clear" w:color="auto" w:fill="auto"/>
            <w:vAlign w:val="center"/>
          </w:tcPr>
          <w:p w14:paraId="6016842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672" w:type="dxa"/>
            <w:shd w:val="clear" w:color="auto" w:fill="auto"/>
            <w:vAlign w:val="center"/>
          </w:tcPr>
          <w:p w14:paraId="5E5FCCE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96</w:t>
            </w:r>
          </w:p>
        </w:tc>
        <w:tc>
          <w:tcPr>
            <w:tcW w:w="432" w:type="dxa"/>
            <w:shd w:val="clear" w:color="auto" w:fill="auto"/>
            <w:vAlign w:val="center"/>
          </w:tcPr>
          <w:p w14:paraId="2D79A69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384" w:type="dxa"/>
            <w:shd w:val="clear" w:color="auto" w:fill="auto"/>
            <w:vAlign w:val="center"/>
          </w:tcPr>
          <w:p w14:paraId="09E3A790">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408" w:type="dxa"/>
            <w:shd w:val="clear" w:color="auto" w:fill="auto"/>
            <w:vAlign w:val="center"/>
          </w:tcPr>
          <w:p w14:paraId="7FBBDFB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7CB1316B">
            <w:pPr>
              <w:jc w:val="center"/>
              <w:rPr>
                <w:rFonts w:eastAsia="仿宋_GB2312" w:cs="仿宋"/>
                <w:color w:val="auto"/>
                <w:kern w:val="0"/>
                <w:szCs w:val="21"/>
                <w:highlight w:val="none"/>
              </w:rPr>
            </w:pPr>
          </w:p>
        </w:tc>
        <w:tc>
          <w:tcPr>
            <w:tcW w:w="432" w:type="dxa"/>
            <w:shd w:val="clear" w:color="auto" w:fill="auto"/>
            <w:vAlign w:val="center"/>
          </w:tcPr>
          <w:p w14:paraId="273F8552">
            <w:pPr>
              <w:jc w:val="center"/>
              <w:rPr>
                <w:rFonts w:eastAsia="仿宋_GB2312" w:cs="仿宋"/>
                <w:color w:val="auto"/>
                <w:kern w:val="0"/>
                <w:szCs w:val="21"/>
                <w:highlight w:val="none"/>
              </w:rPr>
            </w:pPr>
          </w:p>
        </w:tc>
        <w:tc>
          <w:tcPr>
            <w:tcW w:w="352" w:type="dxa"/>
            <w:shd w:val="clear" w:color="auto" w:fill="auto"/>
            <w:vAlign w:val="center"/>
          </w:tcPr>
          <w:p w14:paraId="147186A5">
            <w:pPr>
              <w:jc w:val="center"/>
              <w:rPr>
                <w:rFonts w:eastAsia="仿宋_GB2312" w:cs="仿宋"/>
                <w:color w:val="auto"/>
                <w:kern w:val="0"/>
                <w:szCs w:val="21"/>
                <w:highlight w:val="none"/>
              </w:rPr>
            </w:pPr>
          </w:p>
        </w:tc>
        <w:tc>
          <w:tcPr>
            <w:tcW w:w="684" w:type="dxa"/>
            <w:shd w:val="clear" w:color="auto" w:fill="auto"/>
            <w:vAlign w:val="center"/>
          </w:tcPr>
          <w:p w14:paraId="4DDD04C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4FA9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2690D07">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33B318EA">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5ABD4B4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1358" w:type="dxa"/>
            <w:shd w:val="clear" w:color="auto" w:fill="auto"/>
            <w:vAlign w:val="center"/>
          </w:tcPr>
          <w:p w14:paraId="0A2385F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10B111221</w:t>
            </w:r>
          </w:p>
        </w:tc>
        <w:tc>
          <w:tcPr>
            <w:tcW w:w="1738" w:type="dxa"/>
            <w:shd w:val="clear" w:color="auto" w:fill="auto"/>
            <w:vAlign w:val="center"/>
          </w:tcPr>
          <w:p w14:paraId="70BC063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军事理论</w:t>
            </w:r>
          </w:p>
        </w:tc>
        <w:tc>
          <w:tcPr>
            <w:tcW w:w="612" w:type="dxa"/>
            <w:shd w:val="clear" w:color="auto" w:fill="auto"/>
            <w:vAlign w:val="center"/>
          </w:tcPr>
          <w:p w14:paraId="1BE4F74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624" w:type="dxa"/>
            <w:shd w:val="clear" w:color="auto" w:fill="auto"/>
            <w:vAlign w:val="center"/>
          </w:tcPr>
          <w:p w14:paraId="1069D31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720" w:type="dxa"/>
            <w:shd w:val="clear" w:color="auto" w:fill="auto"/>
            <w:vAlign w:val="center"/>
          </w:tcPr>
          <w:p w14:paraId="4771238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204285A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vAlign w:val="center"/>
          </w:tcPr>
          <w:p w14:paraId="3ED0837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384" w:type="dxa"/>
            <w:shd w:val="clear" w:color="auto" w:fill="auto"/>
            <w:vAlign w:val="center"/>
          </w:tcPr>
          <w:p w14:paraId="5BDCF314">
            <w:pPr>
              <w:jc w:val="center"/>
              <w:rPr>
                <w:rFonts w:eastAsia="仿宋_GB2312" w:cs="仿宋"/>
                <w:color w:val="auto"/>
                <w:kern w:val="0"/>
                <w:szCs w:val="21"/>
                <w:highlight w:val="none"/>
              </w:rPr>
            </w:pPr>
          </w:p>
        </w:tc>
        <w:tc>
          <w:tcPr>
            <w:tcW w:w="408" w:type="dxa"/>
            <w:shd w:val="clear" w:color="auto" w:fill="auto"/>
            <w:vAlign w:val="center"/>
          </w:tcPr>
          <w:p w14:paraId="1C9E3B3C">
            <w:pPr>
              <w:jc w:val="center"/>
              <w:rPr>
                <w:rFonts w:eastAsia="仿宋_GB2312" w:cs="仿宋"/>
                <w:color w:val="auto"/>
                <w:kern w:val="0"/>
                <w:szCs w:val="21"/>
                <w:highlight w:val="none"/>
                <w:lang w:bidi="ar"/>
              </w:rPr>
            </w:pPr>
          </w:p>
        </w:tc>
        <w:tc>
          <w:tcPr>
            <w:tcW w:w="408" w:type="dxa"/>
            <w:shd w:val="clear" w:color="auto" w:fill="auto"/>
            <w:vAlign w:val="center"/>
          </w:tcPr>
          <w:p w14:paraId="6AD16234">
            <w:pPr>
              <w:jc w:val="center"/>
              <w:rPr>
                <w:rFonts w:eastAsia="仿宋_GB2312" w:cs="仿宋"/>
                <w:color w:val="auto"/>
                <w:kern w:val="0"/>
                <w:szCs w:val="21"/>
                <w:highlight w:val="none"/>
              </w:rPr>
            </w:pPr>
          </w:p>
        </w:tc>
        <w:tc>
          <w:tcPr>
            <w:tcW w:w="432" w:type="dxa"/>
            <w:shd w:val="clear" w:color="auto" w:fill="auto"/>
            <w:vAlign w:val="center"/>
          </w:tcPr>
          <w:p w14:paraId="7CFCB275">
            <w:pPr>
              <w:jc w:val="center"/>
              <w:rPr>
                <w:rFonts w:eastAsia="仿宋_GB2312" w:cs="仿宋"/>
                <w:color w:val="auto"/>
                <w:kern w:val="0"/>
                <w:szCs w:val="21"/>
                <w:highlight w:val="none"/>
              </w:rPr>
            </w:pPr>
          </w:p>
        </w:tc>
        <w:tc>
          <w:tcPr>
            <w:tcW w:w="352" w:type="dxa"/>
            <w:shd w:val="clear" w:color="auto" w:fill="auto"/>
            <w:vAlign w:val="center"/>
          </w:tcPr>
          <w:p w14:paraId="269DAC0B">
            <w:pPr>
              <w:jc w:val="center"/>
              <w:rPr>
                <w:rFonts w:eastAsia="仿宋_GB2312" w:cs="仿宋"/>
                <w:color w:val="auto"/>
                <w:kern w:val="0"/>
                <w:szCs w:val="21"/>
                <w:highlight w:val="none"/>
              </w:rPr>
            </w:pPr>
          </w:p>
        </w:tc>
        <w:tc>
          <w:tcPr>
            <w:tcW w:w="684" w:type="dxa"/>
            <w:shd w:val="clear" w:color="auto" w:fill="auto"/>
            <w:vAlign w:val="center"/>
          </w:tcPr>
          <w:p w14:paraId="70A61CA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7DD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8810294">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10D522F2">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5C20DBF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7</w:t>
            </w:r>
          </w:p>
        </w:tc>
        <w:tc>
          <w:tcPr>
            <w:tcW w:w="1358" w:type="dxa"/>
            <w:shd w:val="clear" w:color="auto" w:fill="auto"/>
            <w:vAlign w:val="center"/>
          </w:tcPr>
          <w:p w14:paraId="02CBFEB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10B111222</w:t>
            </w:r>
          </w:p>
        </w:tc>
        <w:tc>
          <w:tcPr>
            <w:tcW w:w="1738" w:type="dxa"/>
            <w:shd w:val="clear" w:color="auto" w:fill="auto"/>
            <w:vAlign w:val="center"/>
          </w:tcPr>
          <w:p w14:paraId="7B425F7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军事技能</w:t>
            </w:r>
          </w:p>
        </w:tc>
        <w:tc>
          <w:tcPr>
            <w:tcW w:w="612" w:type="dxa"/>
            <w:shd w:val="clear" w:color="auto" w:fill="auto"/>
            <w:vAlign w:val="center"/>
          </w:tcPr>
          <w:p w14:paraId="07933B76">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624" w:type="dxa"/>
            <w:shd w:val="clear" w:color="auto" w:fill="auto"/>
            <w:vAlign w:val="center"/>
          </w:tcPr>
          <w:p w14:paraId="330820B0">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112</w:t>
            </w:r>
          </w:p>
        </w:tc>
        <w:tc>
          <w:tcPr>
            <w:tcW w:w="720" w:type="dxa"/>
            <w:shd w:val="clear" w:color="auto" w:fill="auto"/>
            <w:vAlign w:val="center"/>
          </w:tcPr>
          <w:p w14:paraId="4AB42112">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0</w:t>
            </w:r>
          </w:p>
        </w:tc>
        <w:tc>
          <w:tcPr>
            <w:tcW w:w="672" w:type="dxa"/>
            <w:shd w:val="clear" w:color="auto" w:fill="auto"/>
            <w:vAlign w:val="center"/>
          </w:tcPr>
          <w:p w14:paraId="0A02FD8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112</w:t>
            </w:r>
          </w:p>
        </w:tc>
        <w:tc>
          <w:tcPr>
            <w:tcW w:w="2416" w:type="dxa"/>
            <w:gridSpan w:val="6"/>
            <w:shd w:val="clear" w:color="auto" w:fill="auto"/>
            <w:vAlign w:val="center"/>
          </w:tcPr>
          <w:p w14:paraId="5CA2FB96">
            <w:pPr>
              <w:jc w:val="center"/>
              <w:rPr>
                <w:rFonts w:eastAsia="仿宋_GB2312" w:cs="仿宋"/>
                <w:color w:val="auto"/>
                <w:kern w:val="0"/>
                <w:szCs w:val="21"/>
                <w:highlight w:val="none"/>
              </w:rPr>
            </w:pPr>
            <w:r>
              <w:rPr>
                <w:rFonts w:hint="eastAsia" w:eastAsia="仿宋_GB2312" w:cs="仿宋"/>
                <w:color w:val="auto"/>
                <w:kern w:val="0"/>
                <w:szCs w:val="21"/>
                <w:highlight w:val="none"/>
                <w:lang w:bidi="ar"/>
              </w:rPr>
              <w:t>第1学期，实际训练时间不少于14天。</w:t>
            </w:r>
          </w:p>
        </w:tc>
        <w:tc>
          <w:tcPr>
            <w:tcW w:w="684" w:type="dxa"/>
            <w:shd w:val="clear" w:color="auto" w:fill="auto"/>
            <w:vAlign w:val="center"/>
          </w:tcPr>
          <w:p w14:paraId="1828404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FFA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66FAB80">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0A7E1D66">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6467B11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8</w:t>
            </w:r>
          </w:p>
        </w:tc>
        <w:tc>
          <w:tcPr>
            <w:tcW w:w="1358" w:type="dxa"/>
            <w:shd w:val="clear" w:color="auto" w:fill="auto"/>
            <w:vAlign w:val="center"/>
          </w:tcPr>
          <w:p w14:paraId="5016E986">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10B119820</w:t>
            </w:r>
          </w:p>
        </w:tc>
        <w:tc>
          <w:tcPr>
            <w:tcW w:w="1738" w:type="dxa"/>
            <w:shd w:val="clear" w:color="auto" w:fill="auto"/>
            <w:vAlign w:val="center"/>
          </w:tcPr>
          <w:p w14:paraId="5A8D4B7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大学生心理健康教育</w:t>
            </w:r>
          </w:p>
        </w:tc>
        <w:tc>
          <w:tcPr>
            <w:tcW w:w="612" w:type="dxa"/>
            <w:shd w:val="clear" w:color="auto" w:fill="auto"/>
            <w:vAlign w:val="center"/>
          </w:tcPr>
          <w:p w14:paraId="7BA72E8B">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624" w:type="dxa"/>
            <w:shd w:val="clear" w:color="auto" w:fill="auto"/>
            <w:vAlign w:val="center"/>
          </w:tcPr>
          <w:p w14:paraId="6DCFF17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32</w:t>
            </w:r>
          </w:p>
        </w:tc>
        <w:tc>
          <w:tcPr>
            <w:tcW w:w="720" w:type="dxa"/>
            <w:shd w:val="clear" w:color="auto" w:fill="auto"/>
            <w:vAlign w:val="center"/>
          </w:tcPr>
          <w:p w14:paraId="11BBF06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w:t>
            </w:r>
          </w:p>
        </w:tc>
        <w:tc>
          <w:tcPr>
            <w:tcW w:w="672" w:type="dxa"/>
            <w:shd w:val="clear" w:color="auto" w:fill="auto"/>
            <w:vAlign w:val="center"/>
          </w:tcPr>
          <w:p w14:paraId="641FF32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12</w:t>
            </w:r>
          </w:p>
        </w:tc>
        <w:tc>
          <w:tcPr>
            <w:tcW w:w="432" w:type="dxa"/>
            <w:shd w:val="clear" w:color="auto" w:fill="auto"/>
            <w:vAlign w:val="center"/>
          </w:tcPr>
          <w:p w14:paraId="7AC61967">
            <w:pPr>
              <w:jc w:val="center"/>
              <w:rPr>
                <w:rFonts w:eastAsia="仿宋_GB2312" w:cs="仿宋"/>
                <w:color w:val="auto"/>
                <w:kern w:val="0"/>
                <w:szCs w:val="21"/>
                <w:highlight w:val="none"/>
              </w:rPr>
            </w:pPr>
          </w:p>
        </w:tc>
        <w:tc>
          <w:tcPr>
            <w:tcW w:w="384" w:type="dxa"/>
            <w:shd w:val="clear" w:color="auto" w:fill="auto"/>
            <w:vAlign w:val="center"/>
          </w:tcPr>
          <w:p w14:paraId="60F3376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408" w:type="dxa"/>
            <w:shd w:val="clear" w:color="auto" w:fill="auto"/>
            <w:vAlign w:val="center"/>
          </w:tcPr>
          <w:p w14:paraId="0328C0F5">
            <w:pPr>
              <w:jc w:val="center"/>
              <w:rPr>
                <w:rFonts w:eastAsia="仿宋_GB2312" w:cs="仿宋"/>
                <w:color w:val="auto"/>
                <w:kern w:val="0"/>
                <w:szCs w:val="21"/>
                <w:highlight w:val="none"/>
              </w:rPr>
            </w:pPr>
          </w:p>
        </w:tc>
        <w:tc>
          <w:tcPr>
            <w:tcW w:w="408" w:type="dxa"/>
            <w:shd w:val="clear" w:color="auto" w:fill="auto"/>
            <w:vAlign w:val="center"/>
          </w:tcPr>
          <w:p w14:paraId="4C4FBEEA">
            <w:pPr>
              <w:jc w:val="center"/>
              <w:rPr>
                <w:rFonts w:eastAsia="仿宋_GB2312" w:cs="仿宋"/>
                <w:color w:val="auto"/>
                <w:kern w:val="0"/>
                <w:szCs w:val="21"/>
                <w:highlight w:val="none"/>
              </w:rPr>
            </w:pPr>
          </w:p>
        </w:tc>
        <w:tc>
          <w:tcPr>
            <w:tcW w:w="432" w:type="dxa"/>
            <w:shd w:val="clear" w:color="auto" w:fill="auto"/>
            <w:vAlign w:val="center"/>
          </w:tcPr>
          <w:p w14:paraId="4641C460">
            <w:pPr>
              <w:jc w:val="center"/>
              <w:rPr>
                <w:rFonts w:eastAsia="仿宋_GB2312" w:cs="仿宋"/>
                <w:color w:val="auto"/>
                <w:kern w:val="0"/>
                <w:szCs w:val="21"/>
                <w:highlight w:val="none"/>
              </w:rPr>
            </w:pPr>
          </w:p>
        </w:tc>
        <w:tc>
          <w:tcPr>
            <w:tcW w:w="352" w:type="dxa"/>
            <w:shd w:val="clear" w:color="auto" w:fill="auto"/>
            <w:vAlign w:val="center"/>
          </w:tcPr>
          <w:p w14:paraId="15F4B26D">
            <w:pPr>
              <w:jc w:val="center"/>
              <w:rPr>
                <w:rFonts w:eastAsia="仿宋_GB2312" w:cs="仿宋"/>
                <w:color w:val="auto"/>
                <w:kern w:val="0"/>
                <w:szCs w:val="21"/>
                <w:highlight w:val="none"/>
              </w:rPr>
            </w:pPr>
          </w:p>
        </w:tc>
        <w:tc>
          <w:tcPr>
            <w:tcW w:w="684" w:type="dxa"/>
            <w:shd w:val="clear" w:color="auto" w:fill="auto"/>
            <w:vAlign w:val="center"/>
          </w:tcPr>
          <w:p w14:paraId="5EE37F89">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考查</w:t>
            </w:r>
          </w:p>
        </w:tc>
      </w:tr>
      <w:tr w14:paraId="66E9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2913C4F">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7AA3DC6B">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7F43F9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w:t>
            </w:r>
          </w:p>
        </w:tc>
        <w:tc>
          <w:tcPr>
            <w:tcW w:w="1358" w:type="dxa"/>
            <w:shd w:val="clear" w:color="auto" w:fill="auto"/>
            <w:vAlign w:val="center"/>
          </w:tcPr>
          <w:p w14:paraId="6C157A1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10B110120</w:t>
            </w:r>
          </w:p>
        </w:tc>
        <w:tc>
          <w:tcPr>
            <w:tcW w:w="1738" w:type="dxa"/>
            <w:shd w:val="clear" w:color="auto" w:fill="auto"/>
            <w:vAlign w:val="center"/>
          </w:tcPr>
          <w:p w14:paraId="56DAF44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大学英语</w:t>
            </w:r>
          </w:p>
        </w:tc>
        <w:tc>
          <w:tcPr>
            <w:tcW w:w="612" w:type="dxa"/>
            <w:shd w:val="clear" w:color="auto" w:fill="auto"/>
            <w:vAlign w:val="center"/>
          </w:tcPr>
          <w:p w14:paraId="3073A4D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8</w:t>
            </w:r>
          </w:p>
        </w:tc>
        <w:tc>
          <w:tcPr>
            <w:tcW w:w="624" w:type="dxa"/>
            <w:shd w:val="clear" w:color="auto" w:fill="auto"/>
            <w:vAlign w:val="center"/>
          </w:tcPr>
          <w:p w14:paraId="4C15662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128</w:t>
            </w:r>
          </w:p>
        </w:tc>
        <w:tc>
          <w:tcPr>
            <w:tcW w:w="720" w:type="dxa"/>
            <w:shd w:val="clear" w:color="auto" w:fill="auto"/>
            <w:vAlign w:val="center"/>
          </w:tcPr>
          <w:p w14:paraId="292B2C2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104</w:t>
            </w:r>
          </w:p>
        </w:tc>
        <w:tc>
          <w:tcPr>
            <w:tcW w:w="672" w:type="dxa"/>
            <w:shd w:val="clear" w:color="auto" w:fill="auto"/>
            <w:vAlign w:val="center"/>
          </w:tcPr>
          <w:p w14:paraId="3AB198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24</w:t>
            </w:r>
          </w:p>
        </w:tc>
        <w:tc>
          <w:tcPr>
            <w:tcW w:w="432" w:type="dxa"/>
            <w:shd w:val="clear" w:color="auto" w:fill="auto"/>
            <w:vAlign w:val="center"/>
          </w:tcPr>
          <w:p w14:paraId="65FA1FF9">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384" w:type="dxa"/>
            <w:shd w:val="clear" w:color="auto" w:fill="auto"/>
            <w:vAlign w:val="center"/>
          </w:tcPr>
          <w:p w14:paraId="6ADEEED7">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408" w:type="dxa"/>
            <w:shd w:val="clear" w:color="auto" w:fill="auto"/>
            <w:vAlign w:val="center"/>
          </w:tcPr>
          <w:p w14:paraId="5A7A827D">
            <w:pPr>
              <w:jc w:val="center"/>
              <w:rPr>
                <w:rFonts w:eastAsia="仿宋_GB2312" w:cs="仿宋"/>
                <w:color w:val="auto"/>
                <w:kern w:val="0"/>
                <w:szCs w:val="21"/>
                <w:highlight w:val="none"/>
                <w:lang w:bidi="ar"/>
              </w:rPr>
            </w:pPr>
          </w:p>
        </w:tc>
        <w:tc>
          <w:tcPr>
            <w:tcW w:w="408" w:type="dxa"/>
            <w:shd w:val="clear" w:color="auto" w:fill="auto"/>
            <w:vAlign w:val="center"/>
          </w:tcPr>
          <w:p w14:paraId="68318477">
            <w:pPr>
              <w:jc w:val="center"/>
              <w:rPr>
                <w:rFonts w:eastAsia="仿宋_GB2312" w:cs="仿宋"/>
                <w:color w:val="auto"/>
                <w:kern w:val="0"/>
                <w:szCs w:val="21"/>
                <w:highlight w:val="none"/>
              </w:rPr>
            </w:pPr>
          </w:p>
        </w:tc>
        <w:tc>
          <w:tcPr>
            <w:tcW w:w="432" w:type="dxa"/>
            <w:shd w:val="clear" w:color="auto" w:fill="auto"/>
            <w:vAlign w:val="center"/>
          </w:tcPr>
          <w:p w14:paraId="347AFD78">
            <w:pPr>
              <w:jc w:val="center"/>
              <w:rPr>
                <w:rFonts w:eastAsia="仿宋_GB2312" w:cs="仿宋"/>
                <w:color w:val="auto"/>
                <w:kern w:val="0"/>
                <w:szCs w:val="21"/>
                <w:highlight w:val="none"/>
              </w:rPr>
            </w:pPr>
          </w:p>
        </w:tc>
        <w:tc>
          <w:tcPr>
            <w:tcW w:w="352" w:type="dxa"/>
            <w:shd w:val="clear" w:color="auto" w:fill="auto"/>
            <w:vAlign w:val="center"/>
          </w:tcPr>
          <w:p w14:paraId="247957A5">
            <w:pPr>
              <w:jc w:val="center"/>
              <w:rPr>
                <w:rFonts w:eastAsia="仿宋_GB2312" w:cs="仿宋"/>
                <w:color w:val="auto"/>
                <w:kern w:val="0"/>
                <w:szCs w:val="21"/>
                <w:highlight w:val="none"/>
              </w:rPr>
            </w:pPr>
          </w:p>
        </w:tc>
        <w:tc>
          <w:tcPr>
            <w:tcW w:w="684" w:type="dxa"/>
            <w:shd w:val="clear" w:color="auto" w:fill="auto"/>
            <w:vAlign w:val="center"/>
          </w:tcPr>
          <w:p w14:paraId="6D10D23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FAA7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9E7A689">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10DC5F1C">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6326F25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w:t>
            </w:r>
          </w:p>
        </w:tc>
        <w:tc>
          <w:tcPr>
            <w:tcW w:w="1358" w:type="dxa"/>
            <w:shd w:val="clear" w:color="auto" w:fill="auto"/>
            <w:vAlign w:val="center"/>
          </w:tcPr>
          <w:p w14:paraId="4C85C3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10B111720</w:t>
            </w:r>
          </w:p>
        </w:tc>
        <w:tc>
          <w:tcPr>
            <w:tcW w:w="1738" w:type="dxa"/>
            <w:shd w:val="clear" w:color="auto" w:fill="auto"/>
            <w:vAlign w:val="center"/>
          </w:tcPr>
          <w:p w14:paraId="68BB476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计算机基础</w:t>
            </w:r>
          </w:p>
        </w:tc>
        <w:tc>
          <w:tcPr>
            <w:tcW w:w="612" w:type="dxa"/>
            <w:shd w:val="clear" w:color="auto" w:fill="auto"/>
            <w:vAlign w:val="center"/>
          </w:tcPr>
          <w:p w14:paraId="525B46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vAlign w:val="center"/>
          </w:tcPr>
          <w:p w14:paraId="4CD4018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720" w:type="dxa"/>
            <w:shd w:val="clear" w:color="auto" w:fill="auto"/>
            <w:vAlign w:val="center"/>
          </w:tcPr>
          <w:p w14:paraId="50AA07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672" w:type="dxa"/>
            <w:shd w:val="clear" w:color="auto" w:fill="auto"/>
            <w:vAlign w:val="center"/>
          </w:tcPr>
          <w:p w14:paraId="1B3EB0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432" w:type="dxa"/>
            <w:shd w:val="clear" w:color="auto" w:fill="auto"/>
            <w:vAlign w:val="center"/>
          </w:tcPr>
          <w:p w14:paraId="3DC492A9">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384" w:type="dxa"/>
            <w:shd w:val="clear" w:color="auto" w:fill="auto"/>
            <w:vAlign w:val="center"/>
          </w:tcPr>
          <w:p w14:paraId="3507F1D8">
            <w:pPr>
              <w:jc w:val="center"/>
              <w:rPr>
                <w:rFonts w:eastAsia="仿宋_GB2312" w:cs="仿宋"/>
                <w:color w:val="auto"/>
                <w:kern w:val="0"/>
                <w:szCs w:val="21"/>
                <w:highlight w:val="none"/>
              </w:rPr>
            </w:pPr>
          </w:p>
        </w:tc>
        <w:tc>
          <w:tcPr>
            <w:tcW w:w="408" w:type="dxa"/>
            <w:shd w:val="clear" w:color="auto" w:fill="auto"/>
            <w:vAlign w:val="center"/>
          </w:tcPr>
          <w:p w14:paraId="60FEFAC0">
            <w:pPr>
              <w:jc w:val="center"/>
              <w:rPr>
                <w:rFonts w:eastAsia="仿宋_GB2312" w:cs="仿宋"/>
                <w:color w:val="auto"/>
                <w:kern w:val="0"/>
                <w:szCs w:val="21"/>
                <w:highlight w:val="none"/>
                <w:lang w:bidi="ar"/>
              </w:rPr>
            </w:pPr>
          </w:p>
        </w:tc>
        <w:tc>
          <w:tcPr>
            <w:tcW w:w="408" w:type="dxa"/>
            <w:shd w:val="clear" w:color="auto" w:fill="auto"/>
            <w:vAlign w:val="center"/>
          </w:tcPr>
          <w:p w14:paraId="375AD440">
            <w:pPr>
              <w:jc w:val="center"/>
              <w:rPr>
                <w:rFonts w:eastAsia="仿宋_GB2312" w:cs="仿宋"/>
                <w:color w:val="auto"/>
                <w:kern w:val="0"/>
                <w:szCs w:val="21"/>
                <w:highlight w:val="none"/>
              </w:rPr>
            </w:pPr>
          </w:p>
        </w:tc>
        <w:tc>
          <w:tcPr>
            <w:tcW w:w="432" w:type="dxa"/>
            <w:shd w:val="clear" w:color="auto" w:fill="auto"/>
            <w:vAlign w:val="center"/>
          </w:tcPr>
          <w:p w14:paraId="5F0A9056">
            <w:pPr>
              <w:jc w:val="center"/>
              <w:rPr>
                <w:rFonts w:eastAsia="仿宋_GB2312" w:cs="仿宋"/>
                <w:color w:val="auto"/>
                <w:kern w:val="0"/>
                <w:szCs w:val="21"/>
                <w:highlight w:val="none"/>
              </w:rPr>
            </w:pPr>
          </w:p>
        </w:tc>
        <w:tc>
          <w:tcPr>
            <w:tcW w:w="352" w:type="dxa"/>
            <w:shd w:val="clear" w:color="auto" w:fill="auto"/>
            <w:vAlign w:val="center"/>
          </w:tcPr>
          <w:p w14:paraId="6847329B">
            <w:pPr>
              <w:jc w:val="center"/>
              <w:rPr>
                <w:rFonts w:eastAsia="仿宋_GB2312" w:cs="仿宋"/>
                <w:color w:val="auto"/>
                <w:kern w:val="0"/>
                <w:szCs w:val="21"/>
                <w:highlight w:val="none"/>
              </w:rPr>
            </w:pPr>
          </w:p>
        </w:tc>
        <w:tc>
          <w:tcPr>
            <w:tcW w:w="684" w:type="dxa"/>
            <w:shd w:val="clear" w:color="auto" w:fill="auto"/>
            <w:vAlign w:val="center"/>
          </w:tcPr>
          <w:p w14:paraId="4A30E4B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1115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65963BDF">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0E5538FC">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6638CA0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11</w:t>
            </w:r>
          </w:p>
        </w:tc>
        <w:tc>
          <w:tcPr>
            <w:tcW w:w="1358" w:type="dxa"/>
            <w:shd w:val="clear" w:color="auto" w:fill="auto"/>
            <w:vAlign w:val="center"/>
          </w:tcPr>
          <w:p w14:paraId="313B288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10B111220</w:t>
            </w:r>
          </w:p>
        </w:tc>
        <w:tc>
          <w:tcPr>
            <w:tcW w:w="1738" w:type="dxa"/>
            <w:shd w:val="clear" w:color="auto" w:fill="auto"/>
            <w:vAlign w:val="center"/>
          </w:tcPr>
          <w:p w14:paraId="726D1AE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大学生职业发展与就业指导</w:t>
            </w:r>
          </w:p>
        </w:tc>
        <w:tc>
          <w:tcPr>
            <w:tcW w:w="612" w:type="dxa"/>
            <w:shd w:val="clear" w:color="auto" w:fill="auto"/>
            <w:vAlign w:val="center"/>
          </w:tcPr>
          <w:p w14:paraId="7C26076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624" w:type="dxa"/>
            <w:shd w:val="clear" w:color="auto" w:fill="auto"/>
            <w:vAlign w:val="center"/>
          </w:tcPr>
          <w:p w14:paraId="0CEE20D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38</w:t>
            </w:r>
          </w:p>
        </w:tc>
        <w:tc>
          <w:tcPr>
            <w:tcW w:w="720" w:type="dxa"/>
            <w:shd w:val="clear" w:color="auto" w:fill="auto"/>
            <w:vAlign w:val="center"/>
          </w:tcPr>
          <w:p w14:paraId="7046759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26</w:t>
            </w:r>
          </w:p>
        </w:tc>
        <w:tc>
          <w:tcPr>
            <w:tcW w:w="672" w:type="dxa"/>
            <w:shd w:val="clear" w:color="auto" w:fill="auto"/>
            <w:vAlign w:val="center"/>
          </w:tcPr>
          <w:p w14:paraId="76E1B2E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432" w:type="dxa"/>
            <w:shd w:val="clear" w:color="auto" w:fill="auto"/>
            <w:vAlign w:val="center"/>
          </w:tcPr>
          <w:p w14:paraId="705E6EB7">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384" w:type="dxa"/>
            <w:shd w:val="clear" w:color="auto" w:fill="auto"/>
            <w:vAlign w:val="center"/>
          </w:tcPr>
          <w:p w14:paraId="6D80A52B">
            <w:pPr>
              <w:rPr>
                <w:rFonts w:eastAsia="仿宋_GB2312" w:cs="仿宋"/>
                <w:color w:val="auto"/>
                <w:kern w:val="0"/>
                <w:szCs w:val="21"/>
                <w:highlight w:val="none"/>
              </w:rPr>
            </w:pPr>
          </w:p>
        </w:tc>
        <w:tc>
          <w:tcPr>
            <w:tcW w:w="408" w:type="dxa"/>
            <w:shd w:val="clear" w:color="auto" w:fill="auto"/>
            <w:vAlign w:val="center"/>
          </w:tcPr>
          <w:p w14:paraId="2F370DC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57F8D16F">
            <w:pPr>
              <w:jc w:val="center"/>
              <w:rPr>
                <w:rFonts w:eastAsia="仿宋_GB2312" w:cs="仿宋"/>
                <w:color w:val="auto"/>
                <w:kern w:val="0"/>
                <w:szCs w:val="21"/>
                <w:highlight w:val="none"/>
              </w:rPr>
            </w:pPr>
          </w:p>
        </w:tc>
        <w:tc>
          <w:tcPr>
            <w:tcW w:w="432" w:type="dxa"/>
            <w:shd w:val="clear" w:color="auto" w:fill="auto"/>
            <w:vAlign w:val="center"/>
          </w:tcPr>
          <w:p w14:paraId="2FFA6ECD">
            <w:pPr>
              <w:jc w:val="center"/>
              <w:rPr>
                <w:rFonts w:eastAsia="仿宋_GB2312" w:cs="仿宋"/>
                <w:color w:val="auto"/>
                <w:kern w:val="0"/>
                <w:szCs w:val="21"/>
                <w:highlight w:val="none"/>
              </w:rPr>
            </w:pPr>
          </w:p>
        </w:tc>
        <w:tc>
          <w:tcPr>
            <w:tcW w:w="352" w:type="dxa"/>
            <w:shd w:val="clear" w:color="auto" w:fill="auto"/>
            <w:vAlign w:val="center"/>
          </w:tcPr>
          <w:p w14:paraId="4FD528CB">
            <w:pPr>
              <w:jc w:val="center"/>
              <w:rPr>
                <w:rFonts w:eastAsia="仿宋_GB2312" w:cs="仿宋"/>
                <w:color w:val="auto"/>
                <w:kern w:val="0"/>
                <w:szCs w:val="21"/>
                <w:highlight w:val="none"/>
              </w:rPr>
            </w:pPr>
          </w:p>
        </w:tc>
        <w:tc>
          <w:tcPr>
            <w:tcW w:w="684" w:type="dxa"/>
            <w:shd w:val="clear" w:color="auto" w:fill="auto"/>
            <w:vAlign w:val="center"/>
          </w:tcPr>
          <w:p w14:paraId="7D7ABB9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05B3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7F30C97D">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78B67FB8">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0916705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1358" w:type="dxa"/>
            <w:shd w:val="clear" w:color="auto" w:fill="auto"/>
            <w:vAlign w:val="center"/>
          </w:tcPr>
          <w:p w14:paraId="51F962F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10C119700</w:t>
            </w:r>
          </w:p>
        </w:tc>
        <w:tc>
          <w:tcPr>
            <w:tcW w:w="1738" w:type="dxa"/>
            <w:shd w:val="clear" w:color="auto" w:fill="auto"/>
            <w:vAlign w:val="center"/>
          </w:tcPr>
          <w:p w14:paraId="18E30D0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劳动教育</w:t>
            </w:r>
          </w:p>
        </w:tc>
        <w:tc>
          <w:tcPr>
            <w:tcW w:w="612" w:type="dxa"/>
            <w:shd w:val="clear" w:color="auto" w:fill="auto"/>
            <w:vAlign w:val="center"/>
          </w:tcPr>
          <w:p w14:paraId="17541B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624" w:type="dxa"/>
            <w:shd w:val="clear" w:color="auto" w:fill="auto"/>
            <w:vAlign w:val="center"/>
          </w:tcPr>
          <w:p w14:paraId="5865B36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16</w:t>
            </w:r>
          </w:p>
        </w:tc>
        <w:tc>
          <w:tcPr>
            <w:tcW w:w="720" w:type="dxa"/>
            <w:shd w:val="clear" w:color="auto" w:fill="auto"/>
            <w:vAlign w:val="center"/>
          </w:tcPr>
          <w:p w14:paraId="7931305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72" w:type="dxa"/>
            <w:shd w:val="clear" w:color="auto" w:fill="auto"/>
            <w:vAlign w:val="center"/>
          </w:tcPr>
          <w:p w14:paraId="6F9E9B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432" w:type="dxa"/>
            <w:shd w:val="clear" w:color="auto" w:fill="auto"/>
            <w:vAlign w:val="center"/>
          </w:tcPr>
          <w:p w14:paraId="701C783E">
            <w:pPr>
              <w:jc w:val="center"/>
              <w:rPr>
                <w:rFonts w:eastAsia="仿宋_GB2312" w:cs="仿宋"/>
                <w:color w:val="auto"/>
                <w:kern w:val="0"/>
                <w:szCs w:val="21"/>
                <w:highlight w:val="none"/>
              </w:rPr>
            </w:pPr>
          </w:p>
        </w:tc>
        <w:tc>
          <w:tcPr>
            <w:tcW w:w="384" w:type="dxa"/>
            <w:shd w:val="clear" w:color="auto" w:fill="auto"/>
            <w:vAlign w:val="center"/>
          </w:tcPr>
          <w:p w14:paraId="67D1C6C2">
            <w:pPr>
              <w:jc w:val="center"/>
              <w:rPr>
                <w:rFonts w:eastAsia="仿宋_GB2312" w:cs="仿宋"/>
                <w:color w:val="auto"/>
                <w:kern w:val="0"/>
                <w:szCs w:val="21"/>
                <w:highlight w:val="none"/>
              </w:rPr>
            </w:pPr>
          </w:p>
        </w:tc>
        <w:tc>
          <w:tcPr>
            <w:tcW w:w="408" w:type="dxa"/>
            <w:shd w:val="clear" w:color="auto" w:fill="auto"/>
            <w:vAlign w:val="center"/>
          </w:tcPr>
          <w:p w14:paraId="3C63B6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2F3DEB0D">
            <w:pPr>
              <w:jc w:val="center"/>
              <w:rPr>
                <w:rFonts w:eastAsia="仿宋_GB2312" w:cs="仿宋"/>
                <w:color w:val="auto"/>
                <w:kern w:val="0"/>
                <w:szCs w:val="21"/>
                <w:highlight w:val="none"/>
              </w:rPr>
            </w:pPr>
          </w:p>
        </w:tc>
        <w:tc>
          <w:tcPr>
            <w:tcW w:w="432" w:type="dxa"/>
            <w:shd w:val="clear" w:color="auto" w:fill="auto"/>
            <w:vAlign w:val="center"/>
          </w:tcPr>
          <w:p w14:paraId="6E94E46F">
            <w:pPr>
              <w:jc w:val="center"/>
              <w:rPr>
                <w:rFonts w:eastAsia="仿宋_GB2312" w:cs="仿宋"/>
                <w:color w:val="auto"/>
                <w:kern w:val="0"/>
                <w:szCs w:val="21"/>
                <w:highlight w:val="none"/>
              </w:rPr>
            </w:pPr>
          </w:p>
        </w:tc>
        <w:tc>
          <w:tcPr>
            <w:tcW w:w="352" w:type="dxa"/>
            <w:shd w:val="clear" w:color="auto" w:fill="auto"/>
            <w:vAlign w:val="center"/>
          </w:tcPr>
          <w:p w14:paraId="14F4AFA1">
            <w:pPr>
              <w:jc w:val="center"/>
              <w:rPr>
                <w:rFonts w:eastAsia="仿宋_GB2312" w:cs="仿宋"/>
                <w:color w:val="auto"/>
                <w:kern w:val="0"/>
                <w:szCs w:val="21"/>
                <w:highlight w:val="none"/>
              </w:rPr>
            </w:pPr>
          </w:p>
        </w:tc>
        <w:tc>
          <w:tcPr>
            <w:tcW w:w="684" w:type="dxa"/>
            <w:shd w:val="clear" w:color="auto" w:fill="auto"/>
            <w:vAlign w:val="center"/>
          </w:tcPr>
          <w:p w14:paraId="3CCD2F9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6E13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9ED344F">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74C3A897">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24AD719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13</w:t>
            </w:r>
          </w:p>
        </w:tc>
        <w:tc>
          <w:tcPr>
            <w:tcW w:w="1358" w:type="dxa"/>
            <w:shd w:val="clear" w:color="auto" w:fill="auto"/>
            <w:vAlign w:val="center"/>
          </w:tcPr>
          <w:p w14:paraId="6186218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10A111820</w:t>
            </w:r>
          </w:p>
        </w:tc>
        <w:tc>
          <w:tcPr>
            <w:tcW w:w="1738" w:type="dxa"/>
            <w:shd w:val="clear" w:color="auto" w:fill="auto"/>
            <w:vAlign w:val="center"/>
          </w:tcPr>
          <w:p w14:paraId="5DBBC6E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高等数学</w:t>
            </w:r>
          </w:p>
        </w:tc>
        <w:tc>
          <w:tcPr>
            <w:tcW w:w="612" w:type="dxa"/>
            <w:shd w:val="clear" w:color="auto" w:fill="auto"/>
            <w:vAlign w:val="center"/>
          </w:tcPr>
          <w:p w14:paraId="786BC60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vAlign w:val="center"/>
          </w:tcPr>
          <w:p w14:paraId="4DD7182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720" w:type="dxa"/>
            <w:shd w:val="clear" w:color="auto" w:fill="auto"/>
            <w:vAlign w:val="center"/>
          </w:tcPr>
          <w:p w14:paraId="738C026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672" w:type="dxa"/>
            <w:shd w:val="clear" w:color="auto" w:fill="auto"/>
            <w:vAlign w:val="center"/>
          </w:tcPr>
          <w:p w14:paraId="66DBA3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vAlign w:val="center"/>
          </w:tcPr>
          <w:p w14:paraId="1BF1C7AF">
            <w:pPr>
              <w:rPr>
                <w:rFonts w:eastAsia="仿宋_GB2312" w:cs="仿宋"/>
                <w:color w:val="auto"/>
                <w:kern w:val="0"/>
                <w:szCs w:val="21"/>
                <w:highlight w:val="none"/>
              </w:rPr>
            </w:pPr>
            <w:r>
              <w:rPr>
                <w:rFonts w:hint="eastAsia" w:eastAsia="仿宋_GB2312" w:cs="仿宋"/>
                <w:color w:val="auto"/>
                <w:kern w:val="0"/>
                <w:szCs w:val="21"/>
                <w:highlight w:val="none"/>
              </w:rPr>
              <w:t>2</w:t>
            </w:r>
          </w:p>
        </w:tc>
        <w:tc>
          <w:tcPr>
            <w:tcW w:w="384" w:type="dxa"/>
            <w:shd w:val="clear" w:color="auto" w:fill="auto"/>
            <w:vAlign w:val="center"/>
          </w:tcPr>
          <w:p w14:paraId="05EF5A75">
            <w:pPr>
              <w:rPr>
                <w:rFonts w:eastAsia="仿宋_GB2312" w:cs="仿宋"/>
                <w:color w:val="auto"/>
                <w:kern w:val="0"/>
                <w:szCs w:val="21"/>
                <w:highlight w:val="none"/>
              </w:rPr>
            </w:pPr>
            <w:r>
              <w:rPr>
                <w:rFonts w:hint="eastAsia" w:eastAsia="仿宋_GB2312" w:cs="仿宋"/>
                <w:color w:val="auto"/>
                <w:kern w:val="0"/>
                <w:szCs w:val="21"/>
                <w:highlight w:val="none"/>
              </w:rPr>
              <w:t>2</w:t>
            </w:r>
          </w:p>
        </w:tc>
        <w:tc>
          <w:tcPr>
            <w:tcW w:w="408" w:type="dxa"/>
            <w:shd w:val="clear" w:color="auto" w:fill="auto"/>
            <w:vAlign w:val="center"/>
          </w:tcPr>
          <w:p w14:paraId="217731E2">
            <w:pPr>
              <w:rPr>
                <w:rFonts w:eastAsia="仿宋_GB2312" w:cs="仿宋"/>
                <w:color w:val="auto"/>
                <w:kern w:val="0"/>
                <w:szCs w:val="21"/>
                <w:highlight w:val="none"/>
                <w:lang w:bidi="ar"/>
              </w:rPr>
            </w:pPr>
          </w:p>
        </w:tc>
        <w:tc>
          <w:tcPr>
            <w:tcW w:w="408" w:type="dxa"/>
            <w:shd w:val="clear" w:color="auto" w:fill="auto"/>
            <w:vAlign w:val="center"/>
          </w:tcPr>
          <w:p w14:paraId="48480852">
            <w:pPr>
              <w:rPr>
                <w:rFonts w:eastAsia="仿宋_GB2312" w:cs="仿宋"/>
                <w:color w:val="auto"/>
                <w:kern w:val="0"/>
                <w:szCs w:val="21"/>
                <w:highlight w:val="none"/>
              </w:rPr>
            </w:pPr>
          </w:p>
        </w:tc>
        <w:tc>
          <w:tcPr>
            <w:tcW w:w="432" w:type="dxa"/>
            <w:shd w:val="clear" w:color="auto" w:fill="auto"/>
            <w:vAlign w:val="center"/>
          </w:tcPr>
          <w:p w14:paraId="12639E96">
            <w:pPr>
              <w:rPr>
                <w:rFonts w:eastAsia="仿宋_GB2312" w:cs="仿宋"/>
                <w:color w:val="auto"/>
                <w:kern w:val="0"/>
                <w:szCs w:val="21"/>
                <w:highlight w:val="none"/>
              </w:rPr>
            </w:pPr>
          </w:p>
        </w:tc>
        <w:tc>
          <w:tcPr>
            <w:tcW w:w="352" w:type="dxa"/>
            <w:shd w:val="clear" w:color="auto" w:fill="auto"/>
            <w:vAlign w:val="center"/>
          </w:tcPr>
          <w:p w14:paraId="4567BE90">
            <w:pPr>
              <w:rPr>
                <w:rFonts w:eastAsia="仿宋_GB2312" w:cs="仿宋"/>
                <w:color w:val="auto"/>
                <w:kern w:val="0"/>
                <w:szCs w:val="21"/>
                <w:highlight w:val="none"/>
              </w:rPr>
            </w:pPr>
          </w:p>
        </w:tc>
        <w:tc>
          <w:tcPr>
            <w:tcW w:w="684" w:type="dxa"/>
            <w:shd w:val="clear" w:color="auto" w:fill="auto"/>
            <w:vAlign w:val="center"/>
          </w:tcPr>
          <w:p w14:paraId="63DD8A6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3BC8A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31BC706">
            <w:pPr>
              <w:widowControl/>
              <w:spacing w:line="300" w:lineRule="auto"/>
              <w:jc w:val="center"/>
              <w:textAlignment w:val="center"/>
              <w:rPr>
                <w:rFonts w:eastAsia="仿宋_GB2312" w:cs="仿宋"/>
                <w:color w:val="auto"/>
                <w:kern w:val="0"/>
                <w:szCs w:val="21"/>
                <w:highlight w:val="none"/>
              </w:rPr>
            </w:pPr>
          </w:p>
        </w:tc>
        <w:tc>
          <w:tcPr>
            <w:tcW w:w="649" w:type="dxa"/>
            <w:gridSpan w:val="2"/>
            <w:vMerge w:val="restart"/>
            <w:shd w:val="clear" w:color="auto" w:fill="auto"/>
            <w:vAlign w:val="center"/>
          </w:tcPr>
          <w:p w14:paraId="472A9F86">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选修</w:t>
            </w:r>
          </w:p>
        </w:tc>
        <w:tc>
          <w:tcPr>
            <w:tcW w:w="572" w:type="dxa"/>
            <w:gridSpan w:val="2"/>
            <w:shd w:val="clear" w:color="auto" w:fill="auto"/>
            <w:vAlign w:val="center"/>
          </w:tcPr>
          <w:p w14:paraId="6D285FB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w:t>
            </w:r>
          </w:p>
        </w:tc>
        <w:tc>
          <w:tcPr>
            <w:tcW w:w="1358" w:type="dxa"/>
            <w:shd w:val="clear" w:color="auto" w:fill="auto"/>
            <w:vAlign w:val="center"/>
          </w:tcPr>
          <w:p w14:paraId="02F63776">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20D0005</w:t>
            </w:r>
          </w:p>
        </w:tc>
        <w:tc>
          <w:tcPr>
            <w:tcW w:w="1738" w:type="dxa"/>
            <w:shd w:val="clear" w:color="auto" w:fill="auto"/>
            <w:vAlign w:val="center"/>
          </w:tcPr>
          <w:p w14:paraId="511A85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大学生礼仪修养</w:t>
            </w:r>
          </w:p>
        </w:tc>
        <w:tc>
          <w:tcPr>
            <w:tcW w:w="612" w:type="dxa"/>
            <w:shd w:val="clear" w:color="auto" w:fill="auto"/>
            <w:vAlign w:val="center"/>
          </w:tcPr>
          <w:p w14:paraId="797D382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7323110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1879206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3C39EF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restart"/>
            <w:shd w:val="clear" w:color="auto" w:fill="auto"/>
            <w:vAlign w:val="center"/>
          </w:tcPr>
          <w:p w14:paraId="72E62C66">
            <w:pPr>
              <w:jc w:val="center"/>
              <w:rPr>
                <w:rFonts w:eastAsia="仿宋_GB2312" w:cs="仿宋"/>
                <w:color w:val="auto"/>
                <w:kern w:val="0"/>
                <w:szCs w:val="21"/>
                <w:highlight w:val="none"/>
              </w:rPr>
            </w:pPr>
            <w:r>
              <w:rPr>
                <w:rFonts w:hint="eastAsia" w:eastAsia="仿宋_GB2312" w:cs="仿宋"/>
                <w:color w:val="auto"/>
                <w:kern w:val="0"/>
                <w:szCs w:val="21"/>
                <w:highlight w:val="none"/>
              </w:rPr>
              <w:t>公共选修课最低学分要求为12学分，其中要求3个学分为思政选修课学分,3个学分为国家安全教育课学分。</w:t>
            </w:r>
          </w:p>
        </w:tc>
        <w:tc>
          <w:tcPr>
            <w:tcW w:w="684" w:type="dxa"/>
            <w:shd w:val="clear" w:color="auto" w:fill="auto"/>
            <w:vAlign w:val="center"/>
          </w:tcPr>
          <w:p w14:paraId="0AB9813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083F8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0C62C10">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2FCF4133">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176C452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1358" w:type="dxa"/>
            <w:shd w:val="clear" w:color="auto" w:fill="auto"/>
            <w:vAlign w:val="center"/>
          </w:tcPr>
          <w:p w14:paraId="6DC2159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20D0006</w:t>
            </w:r>
          </w:p>
        </w:tc>
        <w:tc>
          <w:tcPr>
            <w:tcW w:w="1738" w:type="dxa"/>
            <w:shd w:val="clear" w:color="auto" w:fill="auto"/>
            <w:vAlign w:val="center"/>
          </w:tcPr>
          <w:p w14:paraId="6230A42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中国民俗剪纸技法</w:t>
            </w:r>
          </w:p>
        </w:tc>
        <w:tc>
          <w:tcPr>
            <w:tcW w:w="612" w:type="dxa"/>
            <w:shd w:val="clear" w:color="auto" w:fill="auto"/>
            <w:vAlign w:val="center"/>
          </w:tcPr>
          <w:p w14:paraId="72668FB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6F7FC05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7651DE7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417626D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5C0F9E48">
            <w:pPr>
              <w:jc w:val="center"/>
              <w:rPr>
                <w:rFonts w:eastAsia="仿宋_GB2312" w:cs="仿宋"/>
                <w:color w:val="auto"/>
                <w:kern w:val="0"/>
                <w:szCs w:val="21"/>
                <w:highlight w:val="none"/>
              </w:rPr>
            </w:pPr>
          </w:p>
        </w:tc>
        <w:tc>
          <w:tcPr>
            <w:tcW w:w="684" w:type="dxa"/>
            <w:shd w:val="clear" w:color="auto" w:fill="auto"/>
            <w:vAlign w:val="center"/>
          </w:tcPr>
          <w:p w14:paraId="3E34C88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1256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CCDB13F">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16CEE833">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3589058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w:t>
            </w:r>
          </w:p>
        </w:tc>
        <w:tc>
          <w:tcPr>
            <w:tcW w:w="1358" w:type="dxa"/>
            <w:shd w:val="clear" w:color="auto" w:fill="auto"/>
            <w:vAlign w:val="center"/>
          </w:tcPr>
          <w:p w14:paraId="0375843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20D0007</w:t>
            </w:r>
          </w:p>
        </w:tc>
        <w:tc>
          <w:tcPr>
            <w:tcW w:w="1738" w:type="dxa"/>
            <w:shd w:val="clear" w:color="auto" w:fill="auto"/>
            <w:vAlign w:val="center"/>
          </w:tcPr>
          <w:p w14:paraId="76A6B97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影视与鉴赏</w:t>
            </w:r>
          </w:p>
        </w:tc>
        <w:tc>
          <w:tcPr>
            <w:tcW w:w="612" w:type="dxa"/>
            <w:shd w:val="clear" w:color="auto" w:fill="auto"/>
            <w:vAlign w:val="center"/>
          </w:tcPr>
          <w:p w14:paraId="034245D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766F22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51C2DD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65DB033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0DBBB440">
            <w:pPr>
              <w:jc w:val="center"/>
              <w:rPr>
                <w:rFonts w:eastAsia="仿宋_GB2312" w:cs="仿宋"/>
                <w:color w:val="auto"/>
                <w:kern w:val="0"/>
                <w:szCs w:val="21"/>
                <w:highlight w:val="none"/>
              </w:rPr>
            </w:pPr>
          </w:p>
        </w:tc>
        <w:tc>
          <w:tcPr>
            <w:tcW w:w="684" w:type="dxa"/>
            <w:shd w:val="clear" w:color="auto" w:fill="auto"/>
            <w:vAlign w:val="center"/>
          </w:tcPr>
          <w:p w14:paraId="3ACD95F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07F6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E08328B">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5B138FA4">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437C76B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1358" w:type="dxa"/>
            <w:shd w:val="clear" w:color="auto" w:fill="auto"/>
            <w:vAlign w:val="center"/>
          </w:tcPr>
          <w:p w14:paraId="3AF8349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20D0003</w:t>
            </w:r>
          </w:p>
        </w:tc>
        <w:tc>
          <w:tcPr>
            <w:tcW w:w="1738" w:type="dxa"/>
            <w:shd w:val="clear" w:color="auto" w:fill="auto"/>
            <w:vAlign w:val="center"/>
          </w:tcPr>
          <w:p w14:paraId="460B501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人际交流与沟通</w:t>
            </w:r>
          </w:p>
        </w:tc>
        <w:tc>
          <w:tcPr>
            <w:tcW w:w="612" w:type="dxa"/>
            <w:shd w:val="clear" w:color="auto" w:fill="auto"/>
            <w:vAlign w:val="center"/>
          </w:tcPr>
          <w:p w14:paraId="3C683F5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34B83C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1F7D0CE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D6A62D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1E3C122E">
            <w:pPr>
              <w:jc w:val="center"/>
              <w:rPr>
                <w:rFonts w:eastAsia="仿宋_GB2312" w:cs="仿宋"/>
                <w:color w:val="auto"/>
                <w:kern w:val="0"/>
                <w:szCs w:val="21"/>
                <w:highlight w:val="none"/>
              </w:rPr>
            </w:pPr>
          </w:p>
        </w:tc>
        <w:tc>
          <w:tcPr>
            <w:tcW w:w="684" w:type="dxa"/>
            <w:shd w:val="clear" w:color="auto" w:fill="auto"/>
            <w:vAlign w:val="center"/>
          </w:tcPr>
          <w:p w14:paraId="51D51F9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4BF4A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9D644CB">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460F94FF">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1FFB28E7">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5</w:t>
            </w:r>
          </w:p>
        </w:tc>
        <w:tc>
          <w:tcPr>
            <w:tcW w:w="1358" w:type="dxa"/>
            <w:shd w:val="clear" w:color="auto" w:fill="auto"/>
            <w:vAlign w:val="center"/>
          </w:tcPr>
          <w:p w14:paraId="270702A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20D0002</w:t>
            </w:r>
          </w:p>
        </w:tc>
        <w:tc>
          <w:tcPr>
            <w:tcW w:w="1738" w:type="dxa"/>
            <w:shd w:val="clear" w:color="auto" w:fill="auto"/>
            <w:vAlign w:val="center"/>
          </w:tcPr>
          <w:p w14:paraId="6984E9C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演讲与口才</w:t>
            </w:r>
          </w:p>
        </w:tc>
        <w:tc>
          <w:tcPr>
            <w:tcW w:w="612" w:type="dxa"/>
            <w:shd w:val="clear" w:color="auto" w:fill="auto"/>
            <w:vAlign w:val="center"/>
          </w:tcPr>
          <w:p w14:paraId="1FB1456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2235F1B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0479937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46FAB66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1035D823">
            <w:pPr>
              <w:jc w:val="center"/>
              <w:rPr>
                <w:rFonts w:eastAsia="仿宋_GB2312" w:cs="仿宋"/>
                <w:color w:val="auto"/>
                <w:kern w:val="0"/>
                <w:szCs w:val="21"/>
                <w:highlight w:val="none"/>
              </w:rPr>
            </w:pPr>
          </w:p>
        </w:tc>
        <w:tc>
          <w:tcPr>
            <w:tcW w:w="684" w:type="dxa"/>
            <w:shd w:val="clear" w:color="auto" w:fill="auto"/>
            <w:vAlign w:val="center"/>
          </w:tcPr>
          <w:p w14:paraId="64123E8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7A5D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D85F36E">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49FA02D5">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777DF66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6</w:t>
            </w:r>
          </w:p>
        </w:tc>
        <w:tc>
          <w:tcPr>
            <w:tcW w:w="1358" w:type="dxa"/>
            <w:shd w:val="clear" w:color="auto" w:fill="auto"/>
            <w:vAlign w:val="center"/>
          </w:tcPr>
          <w:p w14:paraId="04658A0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20D0008</w:t>
            </w:r>
          </w:p>
        </w:tc>
        <w:tc>
          <w:tcPr>
            <w:tcW w:w="1738" w:type="dxa"/>
            <w:shd w:val="clear" w:color="auto" w:fill="auto"/>
            <w:vAlign w:val="center"/>
          </w:tcPr>
          <w:p w14:paraId="3A01F90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创新创业教育</w:t>
            </w:r>
          </w:p>
        </w:tc>
        <w:tc>
          <w:tcPr>
            <w:tcW w:w="612" w:type="dxa"/>
            <w:shd w:val="clear" w:color="auto" w:fill="auto"/>
            <w:vAlign w:val="center"/>
          </w:tcPr>
          <w:p w14:paraId="370A403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6A2F54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69B2B99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28AA25C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7AEB1A2B">
            <w:pPr>
              <w:jc w:val="center"/>
              <w:rPr>
                <w:rFonts w:eastAsia="仿宋_GB2312" w:cs="仿宋"/>
                <w:color w:val="auto"/>
                <w:kern w:val="0"/>
                <w:szCs w:val="21"/>
                <w:highlight w:val="none"/>
              </w:rPr>
            </w:pPr>
          </w:p>
        </w:tc>
        <w:tc>
          <w:tcPr>
            <w:tcW w:w="684" w:type="dxa"/>
            <w:shd w:val="clear" w:color="auto" w:fill="auto"/>
            <w:vAlign w:val="center"/>
          </w:tcPr>
          <w:p w14:paraId="074617E3">
            <w:pPr>
              <w:jc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0ECF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4544E12">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78551D60">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410891E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7</w:t>
            </w:r>
          </w:p>
        </w:tc>
        <w:tc>
          <w:tcPr>
            <w:tcW w:w="1358" w:type="dxa"/>
            <w:shd w:val="clear" w:color="auto" w:fill="auto"/>
            <w:vAlign w:val="center"/>
          </w:tcPr>
          <w:p w14:paraId="43C19103">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10B119920</w:t>
            </w:r>
          </w:p>
        </w:tc>
        <w:tc>
          <w:tcPr>
            <w:tcW w:w="1738" w:type="dxa"/>
            <w:shd w:val="clear" w:color="auto" w:fill="auto"/>
            <w:vAlign w:val="center"/>
          </w:tcPr>
          <w:p w14:paraId="5BFEC7E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中国共产党简史（限选）</w:t>
            </w:r>
          </w:p>
        </w:tc>
        <w:tc>
          <w:tcPr>
            <w:tcW w:w="612" w:type="dxa"/>
            <w:shd w:val="clear" w:color="auto" w:fill="auto"/>
            <w:vAlign w:val="center"/>
          </w:tcPr>
          <w:p w14:paraId="1F32B3C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5567E1A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4E3D1A8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570FD5D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0CCD5FB8">
            <w:pPr>
              <w:jc w:val="center"/>
              <w:rPr>
                <w:rFonts w:eastAsia="仿宋_GB2312" w:cs="仿宋"/>
                <w:color w:val="auto"/>
                <w:kern w:val="0"/>
                <w:szCs w:val="21"/>
                <w:highlight w:val="none"/>
              </w:rPr>
            </w:pPr>
          </w:p>
        </w:tc>
        <w:tc>
          <w:tcPr>
            <w:tcW w:w="684" w:type="dxa"/>
            <w:shd w:val="clear" w:color="auto" w:fill="auto"/>
            <w:vAlign w:val="center"/>
          </w:tcPr>
          <w:p w14:paraId="414EBDE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0FF2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8A04109">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08A5031D">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144F51F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8</w:t>
            </w:r>
          </w:p>
        </w:tc>
        <w:tc>
          <w:tcPr>
            <w:tcW w:w="1358" w:type="dxa"/>
            <w:shd w:val="clear" w:color="auto" w:fill="auto"/>
            <w:vAlign w:val="center"/>
          </w:tcPr>
          <w:p w14:paraId="05778EF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20D9901</w:t>
            </w:r>
          </w:p>
        </w:tc>
        <w:tc>
          <w:tcPr>
            <w:tcW w:w="1738" w:type="dxa"/>
            <w:shd w:val="clear" w:color="auto" w:fill="auto"/>
            <w:vAlign w:val="center"/>
          </w:tcPr>
          <w:p w14:paraId="72DF57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改革开放简史（限选）</w:t>
            </w:r>
          </w:p>
        </w:tc>
        <w:tc>
          <w:tcPr>
            <w:tcW w:w="612" w:type="dxa"/>
            <w:shd w:val="clear" w:color="auto" w:fill="auto"/>
            <w:vAlign w:val="center"/>
          </w:tcPr>
          <w:p w14:paraId="1513F7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6F937B6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4398A1D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4C1279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45428ACB">
            <w:pPr>
              <w:jc w:val="center"/>
              <w:rPr>
                <w:rFonts w:eastAsia="仿宋_GB2312" w:cs="仿宋"/>
                <w:color w:val="auto"/>
                <w:kern w:val="0"/>
                <w:szCs w:val="21"/>
                <w:highlight w:val="none"/>
              </w:rPr>
            </w:pPr>
          </w:p>
        </w:tc>
        <w:tc>
          <w:tcPr>
            <w:tcW w:w="684" w:type="dxa"/>
            <w:shd w:val="clear" w:color="auto" w:fill="auto"/>
            <w:vAlign w:val="center"/>
          </w:tcPr>
          <w:p w14:paraId="602A34C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1370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7E20E87B">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63747B2C">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2180964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9</w:t>
            </w:r>
          </w:p>
        </w:tc>
        <w:tc>
          <w:tcPr>
            <w:tcW w:w="1358" w:type="dxa"/>
            <w:shd w:val="clear" w:color="auto" w:fill="auto"/>
            <w:vAlign w:val="center"/>
          </w:tcPr>
          <w:p w14:paraId="557D0E2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20D9902</w:t>
            </w:r>
          </w:p>
        </w:tc>
        <w:tc>
          <w:tcPr>
            <w:tcW w:w="1738" w:type="dxa"/>
            <w:shd w:val="clear" w:color="auto" w:fill="auto"/>
            <w:vAlign w:val="center"/>
          </w:tcPr>
          <w:p w14:paraId="5C1670B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中华人民共和国简史（限选）</w:t>
            </w:r>
          </w:p>
        </w:tc>
        <w:tc>
          <w:tcPr>
            <w:tcW w:w="612" w:type="dxa"/>
            <w:shd w:val="clear" w:color="auto" w:fill="auto"/>
            <w:vAlign w:val="center"/>
          </w:tcPr>
          <w:p w14:paraId="0B269F4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7A960B2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6E853DC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5642337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5125E5F6">
            <w:pPr>
              <w:jc w:val="center"/>
              <w:rPr>
                <w:rFonts w:eastAsia="仿宋_GB2312" w:cs="仿宋"/>
                <w:color w:val="auto"/>
                <w:kern w:val="0"/>
                <w:szCs w:val="21"/>
                <w:highlight w:val="none"/>
              </w:rPr>
            </w:pPr>
          </w:p>
        </w:tc>
        <w:tc>
          <w:tcPr>
            <w:tcW w:w="684" w:type="dxa"/>
            <w:shd w:val="clear" w:color="auto" w:fill="auto"/>
            <w:vAlign w:val="center"/>
          </w:tcPr>
          <w:p w14:paraId="5EA4533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E370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3ADD0B8">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29C8E9AB">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7F37038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w:t>
            </w:r>
          </w:p>
        </w:tc>
        <w:tc>
          <w:tcPr>
            <w:tcW w:w="1358" w:type="dxa"/>
            <w:shd w:val="clear" w:color="auto" w:fill="auto"/>
            <w:vAlign w:val="center"/>
          </w:tcPr>
          <w:p w14:paraId="1C76A0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20D9903</w:t>
            </w:r>
          </w:p>
        </w:tc>
        <w:tc>
          <w:tcPr>
            <w:tcW w:w="1738" w:type="dxa"/>
            <w:shd w:val="clear" w:color="auto" w:fill="auto"/>
            <w:vAlign w:val="center"/>
          </w:tcPr>
          <w:p w14:paraId="0362DF4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社会主义发展简史（限选）</w:t>
            </w:r>
          </w:p>
        </w:tc>
        <w:tc>
          <w:tcPr>
            <w:tcW w:w="612" w:type="dxa"/>
            <w:shd w:val="clear" w:color="auto" w:fill="auto"/>
            <w:vAlign w:val="center"/>
          </w:tcPr>
          <w:p w14:paraId="325AD96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0766EB2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658947A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B810A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1490EA05">
            <w:pPr>
              <w:jc w:val="center"/>
              <w:rPr>
                <w:rFonts w:eastAsia="仿宋_GB2312" w:cs="仿宋"/>
                <w:color w:val="auto"/>
                <w:kern w:val="0"/>
                <w:szCs w:val="21"/>
                <w:highlight w:val="none"/>
              </w:rPr>
            </w:pPr>
          </w:p>
        </w:tc>
        <w:tc>
          <w:tcPr>
            <w:tcW w:w="684" w:type="dxa"/>
            <w:shd w:val="clear" w:color="auto" w:fill="auto"/>
            <w:vAlign w:val="center"/>
          </w:tcPr>
          <w:p w14:paraId="5FB8964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DEC7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A856542">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5CD7B7F7">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07A0609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11</w:t>
            </w:r>
          </w:p>
        </w:tc>
        <w:tc>
          <w:tcPr>
            <w:tcW w:w="1358" w:type="dxa"/>
            <w:shd w:val="clear" w:color="auto" w:fill="auto"/>
            <w:vAlign w:val="center"/>
          </w:tcPr>
          <w:p w14:paraId="18B527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20D9904</w:t>
            </w:r>
          </w:p>
        </w:tc>
        <w:tc>
          <w:tcPr>
            <w:tcW w:w="1738" w:type="dxa"/>
            <w:shd w:val="clear" w:color="auto" w:fill="auto"/>
            <w:vAlign w:val="center"/>
          </w:tcPr>
          <w:p w14:paraId="16F3C19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国家安全教育（限选）</w:t>
            </w:r>
          </w:p>
        </w:tc>
        <w:tc>
          <w:tcPr>
            <w:tcW w:w="612" w:type="dxa"/>
            <w:shd w:val="clear" w:color="auto" w:fill="auto"/>
            <w:vAlign w:val="center"/>
          </w:tcPr>
          <w:p w14:paraId="66A0E55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0C9D72F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67481A3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2BB9F38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69942F33">
            <w:pPr>
              <w:jc w:val="center"/>
              <w:rPr>
                <w:rFonts w:eastAsia="仿宋_GB2312" w:cs="仿宋"/>
                <w:color w:val="auto"/>
                <w:kern w:val="0"/>
                <w:szCs w:val="21"/>
                <w:highlight w:val="none"/>
              </w:rPr>
            </w:pPr>
          </w:p>
        </w:tc>
        <w:tc>
          <w:tcPr>
            <w:tcW w:w="684" w:type="dxa"/>
            <w:shd w:val="clear" w:color="auto" w:fill="auto"/>
            <w:vAlign w:val="center"/>
          </w:tcPr>
          <w:p w14:paraId="6FA697C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054C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E8BDB6B">
            <w:pPr>
              <w:widowControl/>
              <w:spacing w:line="300" w:lineRule="auto"/>
              <w:jc w:val="center"/>
              <w:textAlignment w:val="center"/>
              <w:rPr>
                <w:rFonts w:eastAsia="仿宋_GB2312" w:cs="仿宋"/>
                <w:color w:val="auto"/>
                <w:kern w:val="0"/>
                <w:szCs w:val="21"/>
                <w:highlight w:val="none"/>
              </w:rPr>
            </w:pPr>
          </w:p>
        </w:tc>
        <w:tc>
          <w:tcPr>
            <w:tcW w:w="649" w:type="dxa"/>
            <w:gridSpan w:val="2"/>
            <w:vMerge w:val="continue"/>
            <w:shd w:val="clear" w:color="auto" w:fill="auto"/>
            <w:vAlign w:val="center"/>
          </w:tcPr>
          <w:p w14:paraId="543D7C46">
            <w:pPr>
              <w:widowControl/>
              <w:spacing w:line="300" w:lineRule="auto"/>
              <w:jc w:val="center"/>
              <w:textAlignment w:val="center"/>
              <w:rPr>
                <w:rFonts w:eastAsia="仿宋_GB2312" w:cs="仿宋"/>
                <w:color w:val="auto"/>
                <w:kern w:val="0"/>
                <w:szCs w:val="21"/>
                <w:highlight w:val="none"/>
              </w:rPr>
            </w:pPr>
          </w:p>
        </w:tc>
        <w:tc>
          <w:tcPr>
            <w:tcW w:w="572" w:type="dxa"/>
            <w:gridSpan w:val="2"/>
            <w:shd w:val="clear" w:color="auto" w:fill="auto"/>
            <w:vAlign w:val="center"/>
          </w:tcPr>
          <w:p w14:paraId="1211E26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1358" w:type="dxa"/>
            <w:shd w:val="clear" w:color="auto" w:fill="auto"/>
            <w:vAlign w:val="center"/>
          </w:tcPr>
          <w:p w14:paraId="4998B7F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20D0009</w:t>
            </w:r>
          </w:p>
        </w:tc>
        <w:tc>
          <w:tcPr>
            <w:tcW w:w="1738" w:type="dxa"/>
            <w:shd w:val="clear" w:color="auto" w:fill="auto"/>
            <w:vAlign w:val="center"/>
          </w:tcPr>
          <w:p w14:paraId="566E0A8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语文</w:t>
            </w:r>
          </w:p>
        </w:tc>
        <w:tc>
          <w:tcPr>
            <w:tcW w:w="612" w:type="dxa"/>
            <w:shd w:val="clear" w:color="auto" w:fill="auto"/>
            <w:vAlign w:val="center"/>
          </w:tcPr>
          <w:p w14:paraId="63AE57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vAlign w:val="center"/>
          </w:tcPr>
          <w:p w14:paraId="17C3E4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vAlign w:val="center"/>
          </w:tcPr>
          <w:p w14:paraId="13913B2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7B5A19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17D106F3">
            <w:pPr>
              <w:jc w:val="center"/>
              <w:rPr>
                <w:rFonts w:eastAsia="仿宋_GB2312" w:cs="仿宋"/>
                <w:color w:val="auto"/>
                <w:kern w:val="0"/>
                <w:szCs w:val="21"/>
                <w:highlight w:val="none"/>
              </w:rPr>
            </w:pPr>
          </w:p>
        </w:tc>
        <w:tc>
          <w:tcPr>
            <w:tcW w:w="684" w:type="dxa"/>
            <w:shd w:val="clear" w:color="auto" w:fill="auto"/>
            <w:vAlign w:val="center"/>
          </w:tcPr>
          <w:p w14:paraId="7C58B6B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BDE6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74D7530">
            <w:pPr>
              <w:widowControl/>
              <w:spacing w:line="300" w:lineRule="auto"/>
              <w:jc w:val="center"/>
              <w:textAlignment w:val="center"/>
              <w:rPr>
                <w:rFonts w:eastAsia="仿宋_GB2312" w:cs="仿宋"/>
                <w:b/>
                <w:bCs/>
                <w:color w:val="auto"/>
                <w:kern w:val="0"/>
                <w:szCs w:val="21"/>
                <w:highlight w:val="none"/>
              </w:rPr>
            </w:pPr>
          </w:p>
        </w:tc>
        <w:tc>
          <w:tcPr>
            <w:tcW w:w="4317" w:type="dxa"/>
            <w:gridSpan w:val="6"/>
            <w:shd w:val="clear" w:color="auto" w:fill="auto"/>
            <w:vAlign w:val="center"/>
          </w:tcPr>
          <w:p w14:paraId="6E3BD482">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公共必修课程学分、学时小计</w:t>
            </w:r>
          </w:p>
        </w:tc>
        <w:tc>
          <w:tcPr>
            <w:tcW w:w="612" w:type="dxa"/>
            <w:shd w:val="clear" w:color="auto" w:fill="auto"/>
            <w:vAlign w:val="center"/>
          </w:tcPr>
          <w:p w14:paraId="2ECF83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40</w:t>
            </w:r>
          </w:p>
        </w:tc>
        <w:tc>
          <w:tcPr>
            <w:tcW w:w="624" w:type="dxa"/>
            <w:shd w:val="clear" w:color="auto" w:fill="auto"/>
            <w:vAlign w:val="center"/>
          </w:tcPr>
          <w:p w14:paraId="2F94CD7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758</w:t>
            </w:r>
          </w:p>
        </w:tc>
        <w:tc>
          <w:tcPr>
            <w:tcW w:w="720" w:type="dxa"/>
            <w:shd w:val="clear" w:color="auto" w:fill="auto"/>
            <w:vAlign w:val="center"/>
          </w:tcPr>
          <w:p w14:paraId="57A66C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442</w:t>
            </w:r>
          </w:p>
        </w:tc>
        <w:tc>
          <w:tcPr>
            <w:tcW w:w="672" w:type="dxa"/>
            <w:shd w:val="clear" w:color="auto" w:fill="auto"/>
            <w:vAlign w:val="center"/>
          </w:tcPr>
          <w:p w14:paraId="163D3C7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316</w:t>
            </w:r>
          </w:p>
        </w:tc>
        <w:tc>
          <w:tcPr>
            <w:tcW w:w="432" w:type="dxa"/>
            <w:shd w:val="clear" w:color="auto" w:fill="auto"/>
            <w:vAlign w:val="center"/>
          </w:tcPr>
          <w:p w14:paraId="4EE4EBC6">
            <w:pPr>
              <w:widowControl/>
              <w:jc w:val="center"/>
              <w:textAlignment w:val="center"/>
              <w:rPr>
                <w:rFonts w:eastAsia="仿宋_GB2312" w:cs="仿宋"/>
                <w:color w:val="auto"/>
                <w:kern w:val="0"/>
                <w:szCs w:val="21"/>
                <w:highlight w:val="none"/>
                <w:lang w:bidi="ar"/>
              </w:rPr>
            </w:pPr>
          </w:p>
        </w:tc>
        <w:tc>
          <w:tcPr>
            <w:tcW w:w="384" w:type="dxa"/>
            <w:shd w:val="clear" w:color="auto" w:fill="auto"/>
            <w:vAlign w:val="center"/>
          </w:tcPr>
          <w:p w14:paraId="4B2955D2">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18377686">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5CB3B4EA">
            <w:pPr>
              <w:widowControl/>
              <w:jc w:val="center"/>
              <w:textAlignment w:val="center"/>
              <w:rPr>
                <w:rFonts w:eastAsia="仿宋_GB2312" w:cs="仿宋"/>
                <w:color w:val="auto"/>
                <w:kern w:val="0"/>
                <w:szCs w:val="21"/>
                <w:highlight w:val="none"/>
                <w:lang w:bidi="ar"/>
              </w:rPr>
            </w:pPr>
          </w:p>
        </w:tc>
        <w:tc>
          <w:tcPr>
            <w:tcW w:w="432" w:type="dxa"/>
            <w:shd w:val="clear" w:color="auto" w:fill="auto"/>
            <w:vAlign w:val="center"/>
          </w:tcPr>
          <w:p w14:paraId="1877B75F">
            <w:pPr>
              <w:widowControl/>
              <w:jc w:val="center"/>
              <w:textAlignment w:val="center"/>
              <w:rPr>
                <w:rFonts w:eastAsia="仿宋_GB2312" w:cs="仿宋"/>
                <w:color w:val="auto"/>
                <w:kern w:val="0"/>
                <w:szCs w:val="21"/>
                <w:highlight w:val="none"/>
                <w:lang w:bidi="ar"/>
              </w:rPr>
            </w:pPr>
          </w:p>
        </w:tc>
        <w:tc>
          <w:tcPr>
            <w:tcW w:w="352" w:type="dxa"/>
            <w:shd w:val="clear" w:color="auto" w:fill="auto"/>
            <w:vAlign w:val="center"/>
          </w:tcPr>
          <w:p w14:paraId="6782E6D0">
            <w:pPr>
              <w:widowControl/>
              <w:jc w:val="center"/>
              <w:textAlignment w:val="center"/>
              <w:rPr>
                <w:rFonts w:eastAsia="仿宋_GB2312" w:cs="仿宋"/>
                <w:color w:val="auto"/>
                <w:kern w:val="0"/>
                <w:szCs w:val="21"/>
                <w:highlight w:val="none"/>
                <w:lang w:bidi="ar"/>
              </w:rPr>
            </w:pPr>
          </w:p>
        </w:tc>
        <w:tc>
          <w:tcPr>
            <w:tcW w:w="684" w:type="dxa"/>
            <w:shd w:val="clear" w:color="auto" w:fill="auto"/>
            <w:vAlign w:val="center"/>
          </w:tcPr>
          <w:p w14:paraId="3F25958E">
            <w:pPr>
              <w:jc w:val="center"/>
              <w:rPr>
                <w:rFonts w:eastAsia="仿宋_GB2312" w:cs="仿宋"/>
                <w:color w:val="auto"/>
                <w:kern w:val="0"/>
                <w:szCs w:val="21"/>
                <w:highlight w:val="none"/>
                <w:lang w:bidi="ar"/>
              </w:rPr>
            </w:pPr>
          </w:p>
        </w:tc>
      </w:tr>
      <w:tr w14:paraId="7DCA2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64BD5544">
            <w:pPr>
              <w:widowControl/>
              <w:spacing w:line="300" w:lineRule="auto"/>
              <w:jc w:val="center"/>
              <w:textAlignment w:val="center"/>
              <w:rPr>
                <w:rFonts w:eastAsia="仿宋_GB2312" w:cs="仿宋"/>
                <w:b/>
                <w:bCs/>
                <w:color w:val="auto"/>
                <w:kern w:val="0"/>
                <w:szCs w:val="21"/>
                <w:highlight w:val="none"/>
              </w:rPr>
            </w:pPr>
          </w:p>
        </w:tc>
        <w:tc>
          <w:tcPr>
            <w:tcW w:w="4317" w:type="dxa"/>
            <w:gridSpan w:val="6"/>
            <w:shd w:val="clear" w:color="auto" w:fill="auto"/>
            <w:vAlign w:val="center"/>
          </w:tcPr>
          <w:p w14:paraId="77B7439B">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公共必修课程学分、学时占比</w:t>
            </w:r>
          </w:p>
        </w:tc>
        <w:tc>
          <w:tcPr>
            <w:tcW w:w="612" w:type="dxa"/>
            <w:shd w:val="clear" w:color="auto" w:fill="auto"/>
            <w:vAlign w:val="center"/>
          </w:tcPr>
          <w:p w14:paraId="69B4092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25.81%</w:t>
            </w:r>
          </w:p>
        </w:tc>
        <w:tc>
          <w:tcPr>
            <w:tcW w:w="624" w:type="dxa"/>
            <w:shd w:val="clear" w:color="auto" w:fill="auto"/>
            <w:vAlign w:val="center"/>
          </w:tcPr>
          <w:p w14:paraId="32A1876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25.35%</w:t>
            </w:r>
          </w:p>
        </w:tc>
        <w:tc>
          <w:tcPr>
            <w:tcW w:w="720" w:type="dxa"/>
            <w:shd w:val="clear" w:color="auto" w:fill="auto"/>
            <w:vAlign w:val="center"/>
          </w:tcPr>
          <w:p w14:paraId="59D28AF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31.21%</w:t>
            </w:r>
          </w:p>
        </w:tc>
        <w:tc>
          <w:tcPr>
            <w:tcW w:w="672" w:type="dxa"/>
            <w:shd w:val="clear" w:color="auto" w:fill="auto"/>
            <w:vAlign w:val="center"/>
          </w:tcPr>
          <w:p w14:paraId="7467E22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20.08%</w:t>
            </w:r>
          </w:p>
        </w:tc>
        <w:tc>
          <w:tcPr>
            <w:tcW w:w="432" w:type="dxa"/>
            <w:shd w:val="clear" w:color="auto" w:fill="auto"/>
            <w:vAlign w:val="center"/>
          </w:tcPr>
          <w:p w14:paraId="2D4A9BB4">
            <w:pPr>
              <w:widowControl/>
              <w:jc w:val="center"/>
              <w:textAlignment w:val="center"/>
              <w:rPr>
                <w:rFonts w:eastAsia="仿宋_GB2312" w:cs="仿宋"/>
                <w:color w:val="auto"/>
                <w:kern w:val="0"/>
                <w:szCs w:val="21"/>
                <w:highlight w:val="none"/>
                <w:lang w:bidi="ar"/>
              </w:rPr>
            </w:pPr>
          </w:p>
        </w:tc>
        <w:tc>
          <w:tcPr>
            <w:tcW w:w="384" w:type="dxa"/>
            <w:shd w:val="clear" w:color="auto" w:fill="auto"/>
            <w:vAlign w:val="center"/>
          </w:tcPr>
          <w:p w14:paraId="31E91C9C">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11E4742C">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4F98FC41">
            <w:pPr>
              <w:widowControl/>
              <w:jc w:val="center"/>
              <w:textAlignment w:val="center"/>
              <w:rPr>
                <w:rFonts w:eastAsia="仿宋_GB2312" w:cs="仿宋"/>
                <w:color w:val="auto"/>
                <w:kern w:val="0"/>
                <w:szCs w:val="21"/>
                <w:highlight w:val="none"/>
                <w:lang w:bidi="ar"/>
              </w:rPr>
            </w:pPr>
          </w:p>
        </w:tc>
        <w:tc>
          <w:tcPr>
            <w:tcW w:w="432" w:type="dxa"/>
            <w:shd w:val="clear" w:color="auto" w:fill="auto"/>
            <w:vAlign w:val="center"/>
          </w:tcPr>
          <w:p w14:paraId="7FB07956">
            <w:pPr>
              <w:widowControl/>
              <w:jc w:val="center"/>
              <w:textAlignment w:val="center"/>
              <w:rPr>
                <w:rFonts w:eastAsia="仿宋_GB2312" w:cs="仿宋"/>
                <w:color w:val="auto"/>
                <w:kern w:val="0"/>
                <w:szCs w:val="21"/>
                <w:highlight w:val="none"/>
                <w:lang w:bidi="ar"/>
              </w:rPr>
            </w:pPr>
          </w:p>
        </w:tc>
        <w:tc>
          <w:tcPr>
            <w:tcW w:w="352" w:type="dxa"/>
            <w:shd w:val="clear" w:color="auto" w:fill="auto"/>
            <w:vAlign w:val="center"/>
          </w:tcPr>
          <w:p w14:paraId="04418C26">
            <w:pPr>
              <w:widowControl/>
              <w:jc w:val="center"/>
              <w:textAlignment w:val="center"/>
              <w:rPr>
                <w:rFonts w:eastAsia="仿宋_GB2312" w:cs="仿宋"/>
                <w:color w:val="auto"/>
                <w:kern w:val="0"/>
                <w:szCs w:val="21"/>
                <w:highlight w:val="none"/>
                <w:lang w:bidi="ar"/>
              </w:rPr>
            </w:pPr>
          </w:p>
        </w:tc>
        <w:tc>
          <w:tcPr>
            <w:tcW w:w="684" w:type="dxa"/>
            <w:shd w:val="clear" w:color="auto" w:fill="auto"/>
            <w:vAlign w:val="center"/>
          </w:tcPr>
          <w:p w14:paraId="259661FF">
            <w:pPr>
              <w:jc w:val="center"/>
              <w:rPr>
                <w:rFonts w:eastAsia="仿宋_GB2312" w:cs="仿宋"/>
                <w:color w:val="auto"/>
                <w:kern w:val="0"/>
                <w:szCs w:val="21"/>
                <w:highlight w:val="none"/>
                <w:lang w:bidi="ar"/>
              </w:rPr>
            </w:pPr>
          </w:p>
        </w:tc>
      </w:tr>
      <w:tr w14:paraId="76AE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A3A5FFB">
            <w:pPr>
              <w:widowControl/>
              <w:spacing w:line="300" w:lineRule="auto"/>
              <w:jc w:val="center"/>
              <w:textAlignment w:val="center"/>
              <w:rPr>
                <w:rFonts w:eastAsia="仿宋_GB2312" w:cs="仿宋"/>
                <w:b/>
                <w:bCs/>
                <w:color w:val="auto"/>
                <w:kern w:val="0"/>
                <w:szCs w:val="21"/>
                <w:highlight w:val="none"/>
              </w:rPr>
            </w:pPr>
          </w:p>
        </w:tc>
        <w:tc>
          <w:tcPr>
            <w:tcW w:w="4317" w:type="dxa"/>
            <w:gridSpan w:val="6"/>
            <w:shd w:val="clear" w:color="auto" w:fill="auto"/>
            <w:vAlign w:val="center"/>
          </w:tcPr>
          <w:p w14:paraId="676E5C9B">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公共选修课程学分、学时小计</w:t>
            </w:r>
          </w:p>
        </w:tc>
        <w:tc>
          <w:tcPr>
            <w:tcW w:w="612" w:type="dxa"/>
            <w:shd w:val="clear" w:color="auto" w:fill="auto"/>
            <w:vAlign w:val="center"/>
          </w:tcPr>
          <w:p w14:paraId="6FCC25E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624" w:type="dxa"/>
            <w:shd w:val="clear" w:color="auto" w:fill="auto"/>
            <w:vAlign w:val="center"/>
          </w:tcPr>
          <w:p w14:paraId="7C5F7D7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216</w:t>
            </w:r>
          </w:p>
        </w:tc>
        <w:tc>
          <w:tcPr>
            <w:tcW w:w="720" w:type="dxa"/>
            <w:shd w:val="clear" w:color="auto" w:fill="auto"/>
            <w:vAlign w:val="center"/>
          </w:tcPr>
          <w:p w14:paraId="527B74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144</w:t>
            </w:r>
          </w:p>
        </w:tc>
        <w:tc>
          <w:tcPr>
            <w:tcW w:w="672" w:type="dxa"/>
            <w:shd w:val="clear" w:color="auto" w:fill="auto"/>
            <w:vAlign w:val="center"/>
          </w:tcPr>
          <w:p w14:paraId="5B230B8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432" w:type="dxa"/>
            <w:shd w:val="clear" w:color="auto" w:fill="auto"/>
            <w:vAlign w:val="center"/>
          </w:tcPr>
          <w:p w14:paraId="191E5D21">
            <w:pPr>
              <w:widowControl/>
              <w:jc w:val="center"/>
              <w:textAlignment w:val="center"/>
              <w:rPr>
                <w:rFonts w:eastAsia="仿宋_GB2312" w:cs="仿宋"/>
                <w:color w:val="auto"/>
                <w:kern w:val="0"/>
                <w:szCs w:val="21"/>
                <w:highlight w:val="none"/>
                <w:lang w:bidi="ar"/>
              </w:rPr>
            </w:pPr>
          </w:p>
        </w:tc>
        <w:tc>
          <w:tcPr>
            <w:tcW w:w="384" w:type="dxa"/>
            <w:shd w:val="clear" w:color="auto" w:fill="auto"/>
            <w:vAlign w:val="center"/>
          </w:tcPr>
          <w:p w14:paraId="6FE08470">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53AF7AEC">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7340BD6D">
            <w:pPr>
              <w:widowControl/>
              <w:jc w:val="center"/>
              <w:textAlignment w:val="center"/>
              <w:rPr>
                <w:rFonts w:eastAsia="仿宋_GB2312" w:cs="仿宋"/>
                <w:color w:val="auto"/>
                <w:kern w:val="0"/>
                <w:szCs w:val="21"/>
                <w:highlight w:val="none"/>
                <w:lang w:bidi="ar"/>
              </w:rPr>
            </w:pPr>
          </w:p>
        </w:tc>
        <w:tc>
          <w:tcPr>
            <w:tcW w:w="432" w:type="dxa"/>
            <w:shd w:val="clear" w:color="auto" w:fill="auto"/>
            <w:vAlign w:val="center"/>
          </w:tcPr>
          <w:p w14:paraId="022944AD">
            <w:pPr>
              <w:widowControl/>
              <w:jc w:val="center"/>
              <w:textAlignment w:val="center"/>
              <w:rPr>
                <w:rFonts w:eastAsia="仿宋_GB2312" w:cs="仿宋"/>
                <w:color w:val="auto"/>
                <w:kern w:val="0"/>
                <w:szCs w:val="21"/>
                <w:highlight w:val="none"/>
                <w:lang w:bidi="ar"/>
              </w:rPr>
            </w:pPr>
          </w:p>
        </w:tc>
        <w:tc>
          <w:tcPr>
            <w:tcW w:w="352" w:type="dxa"/>
            <w:shd w:val="clear" w:color="auto" w:fill="auto"/>
            <w:vAlign w:val="center"/>
          </w:tcPr>
          <w:p w14:paraId="1D489DE3">
            <w:pPr>
              <w:widowControl/>
              <w:jc w:val="center"/>
              <w:textAlignment w:val="center"/>
              <w:rPr>
                <w:rFonts w:eastAsia="仿宋_GB2312" w:cs="仿宋"/>
                <w:color w:val="auto"/>
                <w:kern w:val="0"/>
                <w:szCs w:val="21"/>
                <w:highlight w:val="none"/>
                <w:lang w:bidi="ar"/>
              </w:rPr>
            </w:pPr>
          </w:p>
        </w:tc>
        <w:tc>
          <w:tcPr>
            <w:tcW w:w="684" w:type="dxa"/>
            <w:shd w:val="clear" w:color="auto" w:fill="auto"/>
            <w:vAlign w:val="center"/>
          </w:tcPr>
          <w:p w14:paraId="3F30FFF7">
            <w:pPr>
              <w:jc w:val="center"/>
              <w:rPr>
                <w:rFonts w:eastAsia="仿宋_GB2312" w:cs="仿宋"/>
                <w:color w:val="auto"/>
                <w:kern w:val="0"/>
                <w:szCs w:val="21"/>
                <w:highlight w:val="none"/>
                <w:lang w:bidi="ar"/>
              </w:rPr>
            </w:pPr>
          </w:p>
        </w:tc>
      </w:tr>
      <w:tr w14:paraId="3C235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6A1D1BC9">
            <w:pPr>
              <w:widowControl/>
              <w:spacing w:line="300" w:lineRule="auto"/>
              <w:jc w:val="center"/>
              <w:textAlignment w:val="center"/>
              <w:rPr>
                <w:rFonts w:eastAsia="仿宋_GB2312" w:cs="仿宋"/>
                <w:b/>
                <w:bCs/>
                <w:color w:val="auto"/>
                <w:kern w:val="0"/>
                <w:szCs w:val="21"/>
                <w:highlight w:val="none"/>
              </w:rPr>
            </w:pPr>
          </w:p>
        </w:tc>
        <w:tc>
          <w:tcPr>
            <w:tcW w:w="4317" w:type="dxa"/>
            <w:gridSpan w:val="6"/>
            <w:shd w:val="clear" w:color="auto" w:fill="auto"/>
            <w:vAlign w:val="center"/>
          </w:tcPr>
          <w:p w14:paraId="476C2C5E">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公共选修课程学分、学时占比</w:t>
            </w:r>
          </w:p>
        </w:tc>
        <w:tc>
          <w:tcPr>
            <w:tcW w:w="612" w:type="dxa"/>
            <w:shd w:val="clear" w:color="auto" w:fill="auto"/>
            <w:vAlign w:val="center"/>
          </w:tcPr>
          <w:p w14:paraId="186F9F3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7.74%</w:t>
            </w:r>
          </w:p>
        </w:tc>
        <w:tc>
          <w:tcPr>
            <w:tcW w:w="624" w:type="dxa"/>
            <w:shd w:val="clear" w:color="auto" w:fill="auto"/>
            <w:vAlign w:val="center"/>
          </w:tcPr>
          <w:p w14:paraId="0377C24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7.22%</w:t>
            </w:r>
          </w:p>
        </w:tc>
        <w:tc>
          <w:tcPr>
            <w:tcW w:w="720" w:type="dxa"/>
            <w:shd w:val="clear" w:color="auto" w:fill="auto"/>
            <w:vAlign w:val="center"/>
          </w:tcPr>
          <w:p w14:paraId="78E4336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10.17%</w:t>
            </w:r>
          </w:p>
        </w:tc>
        <w:tc>
          <w:tcPr>
            <w:tcW w:w="672" w:type="dxa"/>
            <w:shd w:val="clear" w:color="auto" w:fill="auto"/>
            <w:vAlign w:val="center"/>
          </w:tcPr>
          <w:p w14:paraId="6E079B0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4.57%</w:t>
            </w:r>
          </w:p>
        </w:tc>
        <w:tc>
          <w:tcPr>
            <w:tcW w:w="432" w:type="dxa"/>
            <w:shd w:val="clear" w:color="auto" w:fill="auto"/>
            <w:vAlign w:val="center"/>
          </w:tcPr>
          <w:p w14:paraId="24E82CDF">
            <w:pPr>
              <w:widowControl/>
              <w:jc w:val="center"/>
              <w:textAlignment w:val="center"/>
              <w:rPr>
                <w:rFonts w:eastAsia="仿宋_GB2312" w:cs="仿宋"/>
                <w:color w:val="auto"/>
                <w:kern w:val="0"/>
                <w:szCs w:val="21"/>
                <w:highlight w:val="none"/>
                <w:lang w:bidi="ar"/>
              </w:rPr>
            </w:pPr>
          </w:p>
        </w:tc>
        <w:tc>
          <w:tcPr>
            <w:tcW w:w="384" w:type="dxa"/>
            <w:shd w:val="clear" w:color="auto" w:fill="auto"/>
            <w:vAlign w:val="center"/>
          </w:tcPr>
          <w:p w14:paraId="563EB036">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0BE4FCF4">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197FF2A3">
            <w:pPr>
              <w:widowControl/>
              <w:jc w:val="center"/>
              <w:textAlignment w:val="center"/>
              <w:rPr>
                <w:rFonts w:eastAsia="仿宋_GB2312" w:cs="仿宋"/>
                <w:color w:val="auto"/>
                <w:kern w:val="0"/>
                <w:szCs w:val="21"/>
                <w:highlight w:val="none"/>
                <w:lang w:bidi="ar"/>
              </w:rPr>
            </w:pPr>
          </w:p>
        </w:tc>
        <w:tc>
          <w:tcPr>
            <w:tcW w:w="432" w:type="dxa"/>
            <w:shd w:val="clear" w:color="auto" w:fill="auto"/>
            <w:vAlign w:val="center"/>
          </w:tcPr>
          <w:p w14:paraId="5C8D583B">
            <w:pPr>
              <w:widowControl/>
              <w:jc w:val="center"/>
              <w:textAlignment w:val="center"/>
              <w:rPr>
                <w:rFonts w:eastAsia="仿宋_GB2312" w:cs="仿宋"/>
                <w:color w:val="auto"/>
                <w:kern w:val="0"/>
                <w:szCs w:val="21"/>
                <w:highlight w:val="none"/>
                <w:lang w:bidi="ar"/>
              </w:rPr>
            </w:pPr>
          </w:p>
        </w:tc>
        <w:tc>
          <w:tcPr>
            <w:tcW w:w="352" w:type="dxa"/>
            <w:shd w:val="clear" w:color="auto" w:fill="auto"/>
            <w:vAlign w:val="center"/>
          </w:tcPr>
          <w:p w14:paraId="10C32AB8">
            <w:pPr>
              <w:widowControl/>
              <w:jc w:val="center"/>
              <w:textAlignment w:val="center"/>
              <w:rPr>
                <w:rFonts w:eastAsia="仿宋_GB2312" w:cs="仿宋"/>
                <w:color w:val="auto"/>
                <w:kern w:val="0"/>
                <w:szCs w:val="21"/>
                <w:highlight w:val="none"/>
                <w:lang w:bidi="ar"/>
              </w:rPr>
            </w:pPr>
          </w:p>
        </w:tc>
        <w:tc>
          <w:tcPr>
            <w:tcW w:w="684" w:type="dxa"/>
            <w:shd w:val="clear" w:color="auto" w:fill="auto"/>
            <w:vAlign w:val="center"/>
          </w:tcPr>
          <w:p w14:paraId="25B152C9">
            <w:pPr>
              <w:widowControl/>
              <w:jc w:val="center"/>
              <w:textAlignment w:val="center"/>
              <w:rPr>
                <w:rFonts w:eastAsia="仿宋_GB2312" w:cs="仿宋"/>
                <w:color w:val="auto"/>
                <w:kern w:val="0"/>
                <w:szCs w:val="21"/>
                <w:highlight w:val="none"/>
                <w:lang w:bidi="ar"/>
              </w:rPr>
            </w:pPr>
          </w:p>
        </w:tc>
      </w:tr>
      <w:tr w14:paraId="3129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705" w:type="dxa"/>
            <w:vMerge w:val="restart"/>
            <w:shd w:val="clear" w:color="auto" w:fill="auto"/>
            <w:vAlign w:val="center"/>
          </w:tcPr>
          <w:p w14:paraId="2B8D0666">
            <w:pPr>
              <w:widowControl/>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专业（技能）课</w:t>
            </w:r>
          </w:p>
        </w:tc>
        <w:tc>
          <w:tcPr>
            <w:tcW w:w="649" w:type="dxa"/>
            <w:vMerge w:val="restart"/>
            <w:shd w:val="clear" w:color="auto" w:fill="auto"/>
            <w:vAlign w:val="center"/>
          </w:tcPr>
          <w:p w14:paraId="30288C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专业基础课</w:t>
            </w:r>
          </w:p>
        </w:tc>
        <w:tc>
          <w:tcPr>
            <w:tcW w:w="649" w:type="dxa"/>
            <w:gridSpan w:val="2"/>
            <w:vMerge w:val="restart"/>
            <w:shd w:val="clear" w:color="auto" w:fill="auto"/>
            <w:vAlign w:val="center"/>
          </w:tcPr>
          <w:p w14:paraId="3C27BFE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572" w:type="dxa"/>
            <w:gridSpan w:val="2"/>
            <w:shd w:val="clear" w:color="auto" w:fill="auto"/>
            <w:noWrap/>
            <w:vAlign w:val="center"/>
          </w:tcPr>
          <w:p w14:paraId="6D0B966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6E1AFAA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02004B2223</w:t>
            </w:r>
          </w:p>
        </w:tc>
        <w:tc>
          <w:tcPr>
            <w:tcW w:w="1738" w:type="dxa"/>
            <w:shd w:val="clear" w:color="auto" w:fill="auto"/>
            <w:noWrap/>
            <w:vAlign w:val="center"/>
          </w:tcPr>
          <w:p w14:paraId="27217AF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环境工程概论</w:t>
            </w:r>
          </w:p>
        </w:tc>
        <w:tc>
          <w:tcPr>
            <w:tcW w:w="612" w:type="dxa"/>
            <w:shd w:val="clear" w:color="auto" w:fill="auto"/>
            <w:noWrap/>
            <w:vAlign w:val="center"/>
          </w:tcPr>
          <w:p w14:paraId="30A5BB2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65DE1B1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1497F3A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5731CFF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2BC7BE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84" w:type="dxa"/>
            <w:shd w:val="clear" w:color="auto" w:fill="auto"/>
            <w:noWrap/>
            <w:vAlign w:val="center"/>
          </w:tcPr>
          <w:p w14:paraId="29B9B26A">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73C3485B">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C9495BF">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06E5BE4C">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5A0F0467">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E118C7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4C54E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4E5F532">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6F0EE75">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588CD01C">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7413FD6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5C51AAD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10A223020</w:t>
            </w:r>
          </w:p>
        </w:tc>
        <w:tc>
          <w:tcPr>
            <w:tcW w:w="1738" w:type="dxa"/>
            <w:shd w:val="clear" w:color="auto" w:fill="auto"/>
            <w:noWrap/>
            <w:vAlign w:val="center"/>
          </w:tcPr>
          <w:p w14:paraId="6C1E431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土木工程概论</w:t>
            </w:r>
          </w:p>
        </w:tc>
        <w:tc>
          <w:tcPr>
            <w:tcW w:w="612" w:type="dxa"/>
            <w:shd w:val="clear" w:color="auto" w:fill="auto"/>
            <w:noWrap/>
            <w:vAlign w:val="center"/>
          </w:tcPr>
          <w:p w14:paraId="407B4E1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624" w:type="dxa"/>
            <w:shd w:val="clear" w:color="auto" w:fill="auto"/>
            <w:noWrap/>
            <w:vAlign w:val="center"/>
          </w:tcPr>
          <w:p w14:paraId="624C1BC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720" w:type="dxa"/>
            <w:shd w:val="clear" w:color="auto" w:fill="auto"/>
            <w:noWrap/>
            <w:vAlign w:val="center"/>
          </w:tcPr>
          <w:p w14:paraId="62D2EB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71AFE4D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noWrap/>
            <w:vAlign w:val="center"/>
          </w:tcPr>
          <w:p w14:paraId="1407ED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384" w:type="dxa"/>
            <w:shd w:val="clear" w:color="auto" w:fill="auto"/>
            <w:noWrap/>
            <w:vAlign w:val="center"/>
          </w:tcPr>
          <w:p w14:paraId="5DEBC1DB">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0D83D512">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0736FEEE">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11FAA92F">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927C723">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061850B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D140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D03A0E0">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C818532">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31662BAA">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70D3246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674C4B1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10000B2270</w:t>
            </w:r>
          </w:p>
        </w:tc>
        <w:tc>
          <w:tcPr>
            <w:tcW w:w="1738" w:type="dxa"/>
            <w:shd w:val="clear" w:color="auto" w:fill="auto"/>
            <w:noWrap/>
            <w:vAlign w:val="center"/>
          </w:tcPr>
          <w:p w14:paraId="2128B01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工程制图</w:t>
            </w:r>
          </w:p>
        </w:tc>
        <w:tc>
          <w:tcPr>
            <w:tcW w:w="612" w:type="dxa"/>
            <w:shd w:val="clear" w:color="auto" w:fill="auto"/>
            <w:noWrap/>
            <w:vAlign w:val="center"/>
          </w:tcPr>
          <w:p w14:paraId="2EBFFB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22B8811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2BADC61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7E44FDE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35EB9EA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84" w:type="dxa"/>
            <w:shd w:val="clear" w:color="auto" w:fill="auto"/>
            <w:noWrap/>
            <w:vAlign w:val="center"/>
          </w:tcPr>
          <w:p w14:paraId="78E73E17">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350A9814">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0796379D">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16F85AC6">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21A92083">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4739E57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33E2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D1AF142">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E1462D7">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281FBE39">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21F5A97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noWrap/>
            <w:vAlign w:val="center"/>
          </w:tcPr>
          <w:p w14:paraId="5A88FFD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02000B2255</w:t>
            </w:r>
          </w:p>
        </w:tc>
        <w:tc>
          <w:tcPr>
            <w:tcW w:w="1738" w:type="dxa"/>
            <w:shd w:val="clear" w:color="auto" w:fill="auto"/>
            <w:noWrap/>
            <w:vAlign w:val="center"/>
          </w:tcPr>
          <w:p w14:paraId="753BE95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普通化学</w:t>
            </w:r>
          </w:p>
        </w:tc>
        <w:tc>
          <w:tcPr>
            <w:tcW w:w="612" w:type="dxa"/>
            <w:shd w:val="clear" w:color="auto" w:fill="auto"/>
            <w:noWrap/>
            <w:vAlign w:val="center"/>
          </w:tcPr>
          <w:p w14:paraId="3C8DF93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22091A5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7D24C84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588D1E0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0EF818A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84" w:type="dxa"/>
            <w:shd w:val="clear" w:color="auto" w:fill="auto"/>
            <w:noWrap/>
            <w:vAlign w:val="center"/>
          </w:tcPr>
          <w:p w14:paraId="5488069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1C490EB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BBCAE22">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20572333">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6EBABAB5">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0E6A389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311F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8CC10CE">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8D1645B">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633B7FDA">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58AABCF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w:t>
            </w:r>
          </w:p>
        </w:tc>
        <w:tc>
          <w:tcPr>
            <w:tcW w:w="1358" w:type="dxa"/>
            <w:shd w:val="clear" w:color="auto" w:fill="auto"/>
            <w:noWrap/>
            <w:vAlign w:val="center"/>
          </w:tcPr>
          <w:p w14:paraId="063AB9E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10000C2271</w:t>
            </w:r>
          </w:p>
        </w:tc>
        <w:tc>
          <w:tcPr>
            <w:tcW w:w="1738" w:type="dxa"/>
            <w:shd w:val="clear" w:color="auto" w:fill="auto"/>
            <w:noWrap/>
            <w:vAlign w:val="center"/>
          </w:tcPr>
          <w:p w14:paraId="2CC19B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计算机辅助设计（CAD）</w:t>
            </w:r>
          </w:p>
        </w:tc>
        <w:tc>
          <w:tcPr>
            <w:tcW w:w="612" w:type="dxa"/>
            <w:shd w:val="clear" w:color="auto" w:fill="auto"/>
            <w:noWrap/>
            <w:vAlign w:val="center"/>
          </w:tcPr>
          <w:p w14:paraId="1432D1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4A0D177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69B99A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49BB232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432" w:type="dxa"/>
            <w:shd w:val="clear" w:color="auto" w:fill="auto"/>
            <w:noWrap/>
            <w:vAlign w:val="center"/>
          </w:tcPr>
          <w:p w14:paraId="34992565">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1D40593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23DA5478">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1C69FC7A">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4319CB67">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48775862">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59C6D5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2F8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B346826">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402C25FE">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57EA934D">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5C8EA53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1358" w:type="dxa"/>
            <w:shd w:val="clear" w:color="auto" w:fill="auto"/>
            <w:noWrap/>
            <w:vAlign w:val="center"/>
          </w:tcPr>
          <w:p w14:paraId="2D91A33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10B223620</w:t>
            </w:r>
          </w:p>
        </w:tc>
        <w:tc>
          <w:tcPr>
            <w:tcW w:w="1738" w:type="dxa"/>
            <w:shd w:val="clear" w:color="auto" w:fill="auto"/>
            <w:noWrap/>
            <w:vAlign w:val="center"/>
          </w:tcPr>
          <w:p w14:paraId="74A7F0E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工程地质与水文</w:t>
            </w:r>
          </w:p>
        </w:tc>
        <w:tc>
          <w:tcPr>
            <w:tcW w:w="612" w:type="dxa"/>
            <w:shd w:val="clear" w:color="auto" w:fill="auto"/>
            <w:noWrap/>
            <w:vAlign w:val="center"/>
          </w:tcPr>
          <w:p w14:paraId="7CA7717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6233D65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54BE142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167DEF1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2A1387BA">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1AE1B87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612504C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0F785F91">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0E0715FD">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1C85F46">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495351F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C59E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FDBF967">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D8656BA">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5DC00524">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4F79C52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w:t>
            </w:r>
          </w:p>
        </w:tc>
        <w:tc>
          <w:tcPr>
            <w:tcW w:w="1358" w:type="dxa"/>
            <w:shd w:val="clear" w:color="auto" w:fill="auto"/>
            <w:noWrap/>
            <w:vAlign w:val="center"/>
          </w:tcPr>
          <w:p w14:paraId="7462A57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10B222520</w:t>
            </w:r>
          </w:p>
        </w:tc>
        <w:tc>
          <w:tcPr>
            <w:tcW w:w="1738" w:type="dxa"/>
            <w:shd w:val="clear" w:color="auto" w:fill="auto"/>
            <w:noWrap/>
            <w:vAlign w:val="center"/>
          </w:tcPr>
          <w:p w14:paraId="31BC204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建筑力学与结构</w:t>
            </w:r>
          </w:p>
        </w:tc>
        <w:tc>
          <w:tcPr>
            <w:tcW w:w="612" w:type="dxa"/>
            <w:shd w:val="clear" w:color="auto" w:fill="auto"/>
            <w:noWrap/>
            <w:vAlign w:val="center"/>
          </w:tcPr>
          <w:p w14:paraId="1CD25BB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65201A6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3864273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7F8C9E0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3120765E">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786E664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4FC92711">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2A63A6A3">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58AC8D05">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4B82C4F8">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8D2C35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1792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03F5736">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A9E4D81">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39056B47">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1E60CF7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8</w:t>
            </w:r>
          </w:p>
        </w:tc>
        <w:tc>
          <w:tcPr>
            <w:tcW w:w="1358" w:type="dxa"/>
            <w:shd w:val="clear" w:color="auto" w:fill="auto"/>
            <w:noWrap/>
            <w:vAlign w:val="center"/>
          </w:tcPr>
          <w:p w14:paraId="6AD9C06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02000B2272</w:t>
            </w:r>
          </w:p>
        </w:tc>
        <w:tc>
          <w:tcPr>
            <w:tcW w:w="1738" w:type="dxa"/>
            <w:shd w:val="clear" w:color="auto" w:fill="auto"/>
            <w:noWrap/>
            <w:vAlign w:val="center"/>
          </w:tcPr>
          <w:p w14:paraId="7C7B16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测量学</w:t>
            </w:r>
          </w:p>
        </w:tc>
        <w:tc>
          <w:tcPr>
            <w:tcW w:w="612" w:type="dxa"/>
            <w:shd w:val="clear" w:color="auto" w:fill="auto"/>
            <w:noWrap/>
            <w:vAlign w:val="center"/>
          </w:tcPr>
          <w:p w14:paraId="1E3173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3475AE1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2209A3A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3C8E6D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7943FDFB">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1A3FCE1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3202B1A6">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3CD2F9F5">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2ECBAB96">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49673620">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1D9325F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3845F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3B1A4A8">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EA0C1DF">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12CFD90E">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5A531E8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w:t>
            </w:r>
          </w:p>
        </w:tc>
        <w:tc>
          <w:tcPr>
            <w:tcW w:w="1358" w:type="dxa"/>
            <w:shd w:val="clear" w:color="auto" w:fill="auto"/>
            <w:noWrap/>
            <w:vAlign w:val="center"/>
          </w:tcPr>
          <w:p w14:paraId="5F5EC57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02000A2274</w:t>
            </w:r>
          </w:p>
        </w:tc>
        <w:tc>
          <w:tcPr>
            <w:tcW w:w="1738" w:type="dxa"/>
            <w:shd w:val="clear" w:color="auto" w:fill="auto"/>
            <w:noWrap/>
            <w:vAlign w:val="center"/>
          </w:tcPr>
          <w:p w14:paraId="357BA01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安全生产管理</w:t>
            </w:r>
          </w:p>
        </w:tc>
        <w:tc>
          <w:tcPr>
            <w:tcW w:w="612" w:type="dxa"/>
            <w:shd w:val="clear" w:color="auto" w:fill="auto"/>
            <w:noWrap/>
            <w:vAlign w:val="center"/>
          </w:tcPr>
          <w:p w14:paraId="7544AC1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624" w:type="dxa"/>
            <w:shd w:val="clear" w:color="auto" w:fill="auto"/>
            <w:noWrap/>
            <w:vAlign w:val="center"/>
          </w:tcPr>
          <w:p w14:paraId="7D4CFD6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720" w:type="dxa"/>
            <w:shd w:val="clear" w:color="auto" w:fill="auto"/>
            <w:noWrap/>
            <w:vAlign w:val="center"/>
          </w:tcPr>
          <w:p w14:paraId="4E7BB49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6F3F5A4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noWrap/>
            <w:vAlign w:val="center"/>
          </w:tcPr>
          <w:p w14:paraId="77AD5154">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279666BE">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2339AE66">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2F96B55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32" w:type="dxa"/>
            <w:shd w:val="clear" w:color="auto" w:fill="auto"/>
            <w:noWrap/>
            <w:vAlign w:val="center"/>
          </w:tcPr>
          <w:p w14:paraId="563F1ED8">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5027F03C">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CBF5F9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2FEB6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29F1B75">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64E5284">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11DA25F2">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7C57063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w:t>
            </w:r>
          </w:p>
        </w:tc>
        <w:tc>
          <w:tcPr>
            <w:tcW w:w="1358" w:type="dxa"/>
            <w:shd w:val="clear" w:color="auto" w:fill="auto"/>
            <w:noWrap/>
            <w:vAlign w:val="center"/>
          </w:tcPr>
          <w:p w14:paraId="529050D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10B232820</w:t>
            </w:r>
          </w:p>
        </w:tc>
        <w:tc>
          <w:tcPr>
            <w:tcW w:w="1738" w:type="dxa"/>
            <w:shd w:val="clear" w:color="auto" w:fill="auto"/>
            <w:noWrap/>
            <w:vAlign w:val="center"/>
          </w:tcPr>
          <w:p w14:paraId="4165D8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土力学与地基基础</w:t>
            </w:r>
          </w:p>
        </w:tc>
        <w:tc>
          <w:tcPr>
            <w:tcW w:w="612" w:type="dxa"/>
            <w:shd w:val="clear" w:color="auto" w:fill="auto"/>
            <w:noWrap/>
            <w:vAlign w:val="center"/>
          </w:tcPr>
          <w:p w14:paraId="59A579F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17F41CE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35DE337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1FF68C5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1A93B563">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4D286181">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B44FDE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1D9060DB">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305E3819">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3969BABA">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41B4328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1135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7B82CC2">
            <w:pPr>
              <w:widowControl/>
              <w:textAlignment w:val="center"/>
              <w:rPr>
                <w:rFonts w:eastAsia="仿宋_GB2312" w:cs="仿宋"/>
                <w:color w:val="auto"/>
                <w:kern w:val="0"/>
                <w:szCs w:val="21"/>
                <w:highlight w:val="none"/>
                <w:lang w:bidi="ar"/>
              </w:rPr>
            </w:pPr>
          </w:p>
        </w:tc>
        <w:tc>
          <w:tcPr>
            <w:tcW w:w="649" w:type="dxa"/>
            <w:vMerge w:val="restart"/>
            <w:shd w:val="clear" w:color="auto" w:fill="auto"/>
            <w:vAlign w:val="center"/>
          </w:tcPr>
          <w:p w14:paraId="25CCB25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专业核心课</w:t>
            </w:r>
          </w:p>
        </w:tc>
        <w:tc>
          <w:tcPr>
            <w:tcW w:w="649" w:type="dxa"/>
            <w:gridSpan w:val="2"/>
            <w:vMerge w:val="restart"/>
            <w:shd w:val="clear" w:color="auto" w:fill="auto"/>
            <w:vAlign w:val="center"/>
          </w:tcPr>
          <w:p w14:paraId="6955C53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572" w:type="dxa"/>
            <w:gridSpan w:val="2"/>
            <w:shd w:val="clear" w:color="auto" w:fill="auto"/>
            <w:noWrap/>
            <w:vAlign w:val="center"/>
          </w:tcPr>
          <w:p w14:paraId="79D22C27">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398B41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02004B2329</w:t>
            </w:r>
          </w:p>
        </w:tc>
        <w:tc>
          <w:tcPr>
            <w:tcW w:w="1738" w:type="dxa"/>
            <w:shd w:val="clear" w:color="auto" w:fill="auto"/>
            <w:noWrap/>
            <w:vAlign w:val="center"/>
          </w:tcPr>
          <w:p w14:paraId="4EB9A81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环境监测技术</w:t>
            </w:r>
          </w:p>
        </w:tc>
        <w:tc>
          <w:tcPr>
            <w:tcW w:w="612" w:type="dxa"/>
            <w:shd w:val="clear" w:color="auto" w:fill="auto"/>
            <w:noWrap/>
            <w:vAlign w:val="center"/>
          </w:tcPr>
          <w:p w14:paraId="23234CC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56729B8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2490AB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15AF36D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619A1ADC">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7A8230CD">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EB4CFF9">
            <w:pPr>
              <w:widowControl/>
              <w:jc w:val="center"/>
              <w:textAlignment w:val="center"/>
              <w:rPr>
                <w:rFonts w:eastAsia="仿宋_GB2312" w:cs="仿宋"/>
                <w:color w:val="auto"/>
                <w:kern w:val="0"/>
                <w:szCs w:val="21"/>
                <w:highlight w:val="none"/>
                <w:lang w:bidi="ar"/>
              </w:rPr>
            </w:pPr>
            <w:r>
              <w:rPr>
                <w:rFonts w:eastAsia="仿宋_GB2312" w:cs="仿宋"/>
                <w:color w:val="auto"/>
                <w:kern w:val="0"/>
                <w:szCs w:val="21"/>
                <w:highlight w:val="none"/>
                <w:lang w:bidi="ar"/>
              </w:rPr>
              <w:t>4</w:t>
            </w:r>
          </w:p>
        </w:tc>
        <w:tc>
          <w:tcPr>
            <w:tcW w:w="408" w:type="dxa"/>
            <w:shd w:val="clear" w:color="auto" w:fill="auto"/>
            <w:noWrap/>
            <w:vAlign w:val="center"/>
          </w:tcPr>
          <w:p w14:paraId="0AE3B699">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2E1750F5">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2B828BD0">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14EA0A9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5EDD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5" w:type="dxa"/>
            <w:vMerge w:val="continue"/>
            <w:shd w:val="clear" w:color="auto" w:fill="auto"/>
            <w:vAlign w:val="center"/>
          </w:tcPr>
          <w:p w14:paraId="4FC78BFD">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EB36232">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08F4AAF4">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13595004">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0F508C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02004B2325</w:t>
            </w:r>
          </w:p>
        </w:tc>
        <w:tc>
          <w:tcPr>
            <w:tcW w:w="1738" w:type="dxa"/>
            <w:shd w:val="clear" w:color="auto" w:fill="auto"/>
            <w:noWrap/>
            <w:vAlign w:val="center"/>
          </w:tcPr>
          <w:p w14:paraId="4F7F337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水污染控制工程</w:t>
            </w:r>
          </w:p>
        </w:tc>
        <w:tc>
          <w:tcPr>
            <w:tcW w:w="612" w:type="dxa"/>
            <w:shd w:val="clear" w:color="auto" w:fill="auto"/>
            <w:noWrap/>
            <w:vAlign w:val="center"/>
          </w:tcPr>
          <w:p w14:paraId="2F569E9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1212DD9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32C140D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607FD7E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71EB59BE">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11C661F6">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7C9303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094A7B86">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5457C768">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070987FE">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06B96D9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57E7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5" w:type="dxa"/>
            <w:vMerge w:val="continue"/>
            <w:shd w:val="clear" w:color="auto" w:fill="auto"/>
            <w:vAlign w:val="center"/>
          </w:tcPr>
          <w:p w14:paraId="670E3FEB">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50A0490">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7F108241">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1E99B94A">
            <w:pPr>
              <w:jc w:val="center"/>
              <w:textAlignment w:val="center"/>
              <w:rPr>
                <w:rFonts w:hint="eastAsia"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56A9921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02004B2222</w:t>
            </w:r>
          </w:p>
        </w:tc>
        <w:tc>
          <w:tcPr>
            <w:tcW w:w="1738" w:type="dxa"/>
            <w:shd w:val="clear" w:color="auto" w:fill="auto"/>
            <w:noWrap/>
            <w:vAlign w:val="center"/>
          </w:tcPr>
          <w:p w14:paraId="7FE0CB3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环境微生物</w:t>
            </w:r>
          </w:p>
        </w:tc>
        <w:tc>
          <w:tcPr>
            <w:tcW w:w="612" w:type="dxa"/>
            <w:shd w:val="clear" w:color="auto" w:fill="auto"/>
            <w:noWrap/>
            <w:vAlign w:val="center"/>
          </w:tcPr>
          <w:p w14:paraId="17C3578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79E556C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2EE5E23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0080E4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3118E741">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313EECA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1B1EE5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327EB515">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4D91C520">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3E3B6AF1">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2BEB817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2860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05" w:type="dxa"/>
            <w:vMerge w:val="continue"/>
            <w:shd w:val="clear" w:color="auto" w:fill="auto"/>
            <w:vAlign w:val="center"/>
          </w:tcPr>
          <w:p w14:paraId="70CD4559">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7FCF299C">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30BF09A1">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3ECAB2B5">
            <w:pPr>
              <w:jc w:val="center"/>
              <w:textAlignment w:val="center"/>
              <w:rPr>
                <w:rFonts w:hint="eastAsia"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noWrap/>
            <w:vAlign w:val="center"/>
          </w:tcPr>
          <w:p w14:paraId="4B64AE4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02000B2269</w:t>
            </w:r>
          </w:p>
        </w:tc>
        <w:tc>
          <w:tcPr>
            <w:tcW w:w="1738" w:type="dxa"/>
            <w:shd w:val="clear" w:color="auto" w:fill="auto"/>
            <w:noWrap/>
            <w:vAlign w:val="center"/>
          </w:tcPr>
          <w:p w14:paraId="7071A3B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水力学</w:t>
            </w:r>
          </w:p>
        </w:tc>
        <w:tc>
          <w:tcPr>
            <w:tcW w:w="612" w:type="dxa"/>
            <w:shd w:val="clear" w:color="auto" w:fill="auto"/>
            <w:noWrap/>
            <w:vAlign w:val="center"/>
          </w:tcPr>
          <w:p w14:paraId="77F796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7C64915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318AA62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7604B2F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7276A287">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36C9CA8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22B31C42">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37BC0DD">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4CA564D7">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3B791AF">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7B70E0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4E1D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04AF7B1">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40B60B9">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78C73C35">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5694F276">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5</w:t>
            </w:r>
          </w:p>
        </w:tc>
        <w:tc>
          <w:tcPr>
            <w:tcW w:w="1358" w:type="dxa"/>
            <w:shd w:val="clear" w:color="auto" w:fill="auto"/>
            <w:noWrap/>
            <w:vAlign w:val="center"/>
          </w:tcPr>
          <w:p w14:paraId="5BE2F12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02004B2324</w:t>
            </w:r>
          </w:p>
        </w:tc>
        <w:tc>
          <w:tcPr>
            <w:tcW w:w="1738" w:type="dxa"/>
            <w:shd w:val="clear" w:color="auto" w:fill="auto"/>
            <w:noWrap/>
            <w:vAlign w:val="center"/>
          </w:tcPr>
          <w:p w14:paraId="55B9EED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环境工程施工技术</w:t>
            </w:r>
          </w:p>
        </w:tc>
        <w:tc>
          <w:tcPr>
            <w:tcW w:w="612" w:type="dxa"/>
            <w:shd w:val="clear" w:color="auto" w:fill="auto"/>
            <w:noWrap/>
            <w:vAlign w:val="center"/>
          </w:tcPr>
          <w:p w14:paraId="4062617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29D4B0E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277C62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1849B0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7ED0740A">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794A3155">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5ADD1B16">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2B92C2A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6BB8F55B">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6A172630">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39C9C28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518E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03A9C02">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DCBC85C">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421419AD">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4AA9D798">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6</w:t>
            </w:r>
          </w:p>
        </w:tc>
        <w:tc>
          <w:tcPr>
            <w:tcW w:w="1358" w:type="dxa"/>
            <w:shd w:val="clear" w:color="auto" w:fill="auto"/>
            <w:noWrap/>
            <w:vAlign w:val="center"/>
          </w:tcPr>
          <w:p w14:paraId="0DEFE48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02004B2326</w:t>
            </w:r>
          </w:p>
        </w:tc>
        <w:tc>
          <w:tcPr>
            <w:tcW w:w="1738" w:type="dxa"/>
            <w:shd w:val="clear" w:color="auto" w:fill="auto"/>
            <w:noWrap/>
            <w:vAlign w:val="center"/>
          </w:tcPr>
          <w:p w14:paraId="09A78BC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大气污染控制工程</w:t>
            </w:r>
          </w:p>
        </w:tc>
        <w:tc>
          <w:tcPr>
            <w:tcW w:w="612" w:type="dxa"/>
            <w:shd w:val="clear" w:color="auto" w:fill="auto"/>
            <w:noWrap/>
            <w:vAlign w:val="center"/>
          </w:tcPr>
          <w:p w14:paraId="3386EA0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64105F2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79C0B73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5A066E2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2E598DF5">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64EAB0A5">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9941158">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0D42975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0C78C33C">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1576DEEA">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4014E9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1D6AC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39874C4">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86178E3">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0E0AFFDE">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0CF65DEB">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7</w:t>
            </w:r>
          </w:p>
        </w:tc>
        <w:tc>
          <w:tcPr>
            <w:tcW w:w="1358" w:type="dxa"/>
            <w:shd w:val="clear" w:color="auto" w:fill="auto"/>
            <w:noWrap/>
            <w:vAlign w:val="center"/>
          </w:tcPr>
          <w:p w14:paraId="40D7B6D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02004B2327</w:t>
            </w:r>
          </w:p>
        </w:tc>
        <w:tc>
          <w:tcPr>
            <w:tcW w:w="1738" w:type="dxa"/>
            <w:shd w:val="clear" w:color="auto" w:fill="auto"/>
            <w:noWrap/>
            <w:vAlign w:val="center"/>
          </w:tcPr>
          <w:p w14:paraId="78F35FF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固体废物污染控制工程</w:t>
            </w:r>
          </w:p>
        </w:tc>
        <w:tc>
          <w:tcPr>
            <w:tcW w:w="612" w:type="dxa"/>
            <w:shd w:val="clear" w:color="auto" w:fill="auto"/>
            <w:noWrap/>
            <w:vAlign w:val="center"/>
          </w:tcPr>
          <w:p w14:paraId="41719E8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527DBD6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076F173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7E49434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3B1F5C65">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4E30DEEC">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6DAB970">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116143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1EC03272">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B960D7D">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4453070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2A07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4C327DB">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7A29C62F">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0CEC82D6">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603DF504">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8</w:t>
            </w:r>
          </w:p>
        </w:tc>
        <w:tc>
          <w:tcPr>
            <w:tcW w:w="1358" w:type="dxa"/>
            <w:shd w:val="clear" w:color="auto" w:fill="auto"/>
            <w:noWrap/>
            <w:vAlign w:val="center"/>
          </w:tcPr>
          <w:p w14:paraId="69E5D32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02004B2328</w:t>
            </w:r>
          </w:p>
        </w:tc>
        <w:tc>
          <w:tcPr>
            <w:tcW w:w="1738" w:type="dxa"/>
            <w:shd w:val="clear" w:color="auto" w:fill="auto"/>
            <w:noWrap/>
            <w:vAlign w:val="center"/>
          </w:tcPr>
          <w:p w14:paraId="2618187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环境噪声控制工程</w:t>
            </w:r>
          </w:p>
        </w:tc>
        <w:tc>
          <w:tcPr>
            <w:tcW w:w="612" w:type="dxa"/>
            <w:shd w:val="clear" w:color="auto" w:fill="auto"/>
            <w:noWrap/>
            <w:vAlign w:val="center"/>
          </w:tcPr>
          <w:p w14:paraId="293A2D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5F33A4B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720" w:type="dxa"/>
            <w:shd w:val="clear" w:color="auto" w:fill="auto"/>
            <w:noWrap/>
            <w:vAlign w:val="center"/>
          </w:tcPr>
          <w:p w14:paraId="1A8595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76106CF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313B3D42">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0E53AA72">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0145F792">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178905F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1B70F382">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0E011B5A">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DB349C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D9EE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05" w:type="dxa"/>
            <w:vMerge w:val="continue"/>
            <w:shd w:val="clear" w:color="auto" w:fill="auto"/>
            <w:vAlign w:val="center"/>
          </w:tcPr>
          <w:p w14:paraId="7BC4D4B5">
            <w:pPr>
              <w:widowControl/>
              <w:textAlignment w:val="center"/>
              <w:rPr>
                <w:rFonts w:eastAsia="仿宋_GB2312" w:cs="仿宋"/>
                <w:color w:val="auto"/>
                <w:kern w:val="0"/>
                <w:szCs w:val="21"/>
                <w:highlight w:val="none"/>
                <w:lang w:bidi="ar"/>
              </w:rPr>
            </w:pPr>
          </w:p>
        </w:tc>
        <w:tc>
          <w:tcPr>
            <w:tcW w:w="649" w:type="dxa"/>
            <w:vMerge w:val="restart"/>
            <w:shd w:val="clear" w:color="auto" w:fill="auto"/>
            <w:vAlign w:val="center"/>
          </w:tcPr>
          <w:p w14:paraId="388FD38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专业实践教学环节</w:t>
            </w:r>
          </w:p>
        </w:tc>
        <w:tc>
          <w:tcPr>
            <w:tcW w:w="649" w:type="dxa"/>
            <w:gridSpan w:val="2"/>
            <w:vMerge w:val="restart"/>
            <w:shd w:val="clear" w:color="auto" w:fill="auto"/>
            <w:vAlign w:val="center"/>
          </w:tcPr>
          <w:p w14:paraId="18F51A5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572" w:type="dxa"/>
            <w:gridSpan w:val="2"/>
            <w:shd w:val="clear" w:color="auto" w:fill="auto"/>
            <w:noWrap/>
            <w:vAlign w:val="center"/>
          </w:tcPr>
          <w:p w14:paraId="62BAF4C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542A60C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10B110020</w:t>
            </w:r>
          </w:p>
        </w:tc>
        <w:tc>
          <w:tcPr>
            <w:tcW w:w="1738" w:type="dxa"/>
            <w:shd w:val="clear" w:color="auto" w:fill="auto"/>
            <w:noWrap/>
            <w:vAlign w:val="center"/>
          </w:tcPr>
          <w:p w14:paraId="3D8D926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毕业设计</w:t>
            </w:r>
          </w:p>
        </w:tc>
        <w:tc>
          <w:tcPr>
            <w:tcW w:w="612" w:type="dxa"/>
            <w:shd w:val="clear" w:color="auto" w:fill="auto"/>
            <w:noWrap/>
            <w:vAlign w:val="center"/>
          </w:tcPr>
          <w:p w14:paraId="7F87D8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w:t>
            </w:r>
          </w:p>
        </w:tc>
        <w:tc>
          <w:tcPr>
            <w:tcW w:w="624" w:type="dxa"/>
            <w:shd w:val="clear" w:color="auto" w:fill="auto"/>
            <w:noWrap/>
            <w:vAlign w:val="center"/>
          </w:tcPr>
          <w:p w14:paraId="21670E4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80</w:t>
            </w:r>
          </w:p>
        </w:tc>
        <w:tc>
          <w:tcPr>
            <w:tcW w:w="720" w:type="dxa"/>
            <w:shd w:val="clear" w:color="auto" w:fill="auto"/>
            <w:noWrap/>
            <w:vAlign w:val="center"/>
          </w:tcPr>
          <w:p w14:paraId="4078FF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w:t>
            </w:r>
          </w:p>
        </w:tc>
        <w:tc>
          <w:tcPr>
            <w:tcW w:w="672" w:type="dxa"/>
            <w:shd w:val="clear" w:color="auto" w:fill="auto"/>
            <w:noWrap/>
            <w:vAlign w:val="center"/>
          </w:tcPr>
          <w:p w14:paraId="0AF3787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60</w:t>
            </w:r>
          </w:p>
        </w:tc>
        <w:tc>
          <w:tcPr>
            <w:tcW w:w="432" w:type="dxa"/>
            <w:shd w:val="clear" w:color="auto" w:fill="auto"/>
            <w:noWrap/>
            <w:vAlign w:val="center"/>
          </w:tcPr>
          <w:p w14:paraId="093E2149">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0B54120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21DF5BC">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7E62297">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7D77E63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w:t>
            </w:r>
          </w:p>
        </w:tc>
        <w:tc>
          <w:tcPr>
            <w:tcW w:w="352" w:type="dxa"/>
            <w:shd w:val="clear" w:color="auto" w:fill="auto"/>
            <w:noWrap/>
            <w:vAlign w:val="center"/>
          </w:tcPr>
          <w:p w14:paraId="61B5245B">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0B24E82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40B19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DC37F67">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47458A34">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4938756F">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397AA81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199183B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10C112120</w:t>
            </w:r>
          </w:p>
        </w:tc>
        <w:tc>
          <w:tcPr>
            <w:tcW w:w="1738" w:type="dxa"/>
            <w:shd w:val="clear" w:color="auto" w:fill="auto"/>
            <w:noWrap/>
            <w:vAlign w:val="center"/>
          </w:tcPr>
          <w:p w14:paraId="03C40E9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岗位实习</w:t>
            </w:r>
          </w:p>
        </w:tc>
        <w:tc>
          <w:tcPr>
            <w:tcW w:w="612" w:type="dxa"/>
            <w:shd w:val="clear" w:color="auto" w:fill="auto"/>
            <w:noWrap/>
            <w:vAlign w:val="center"/>
          </w:tcPr>
          <w:p w14:paraId="715BFCC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w:t>
            </w:r>
          </w:p>
        </w:tc>
        <w:tc>
          <w:tcPr>
            <w:tcW w:w="624" w:type="dxa"/>
            <w:shd w:val="clear" w:color="auto" w:fill="auto"/>
            <w:noWrap/>
            <w:vAlign w:val="center"/>
          </w:tcPr>
          <w:p w14:paraId="435DD9D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540</w:t>
            </w:r>
          </w:p>
        </w:tc>
        <w:tc>
          <w:tcPr>
            <w:tcW w:w="720" w:type="dxa"/>
            <w:shd w:val="clear" w:color="auto" w:fill="auto"/>
            <w:noWrap/>
            <w:vAlign w:val="center"/>
          </w:tcPr>
          <w:p w14:paraId="02C4BA1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25525F9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540</w:t>
            </w:r>
          </w:p>
        </w:tc>
        <w:tc>
          <w:tcPr>
            <w:tcW w:w="432" w:type="dxa"/>
            <w:shd w:val="clear" w:color="auto" w:fill="auto"/>
            <w:noWrap/>
            <w:vAlign w:val="center"/>
          </w:tcPr>
          <w:p w14:paraId="32C0781F">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45E9647B">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566656A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826E308">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24D99D75">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5C577A59">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7CEC60F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4F840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0C1DB2F">
            <w:pPr>
              <w:widowControl/>
              <w:textAlignment w:val="center"/>
              <w:rPr>
                <w:rFonts w:eastAsia="仿宋_GB2312" w:cs="仿宋"/>
                <w:color w:val="auto"/>
                <w:kern w:val="0"/>
                <w:szCs w:val="21"/>
                <w:highlight w:val="none"/>
                <w:lang w:bidi="ar"/>
              </w:rPr>
            </w:pPr>
          </w:p>
        </w:tc>
        <w:tc>
          <w:tcPr>
            <w:tcW w:w="649" w:type="dxa"/>
            <w:vMerge w:val="restart"/>
            <w:shd w:val="clear" w:color="auto" w:fill="auto"/>
            <w:vAlign w:val="center"/>
          </w:tcPr>
          <w:p w14:paraId="1D059A5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专业拓展课</w:t>
            </w:r>
          </w:p>
        </w:tc>
        <w:tc>
          <w:tcPr>
            <w:tcW w:w="649" w:type="dxa"/>
            <w:gridSpan w:val="2"/>
            <w:vMerge w:val="restart"/>
            <w:shd w:val="clear" w:color="auto" w:fill="auto"/>
            <w:vAlign w:val="center"/>
          </w:tcPr>
          <w:p w14:paraId="6D467A3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选修</w:t>
            </w:r>
          </w:p>
        </w:tc>
        <w:tc>
          <w:tcPr>
            <w:tcW w:w="572" w:type="dxa"/>
            <w:gridSpan w:val="2"/>
            <w:shd w:val="clear" w:color="auto" w:fill="auto"/>
            <w:noWrap/>
            <w:vAlign w:val="center"/>
          </w:tcPr>
          <w:p w14:paraId="192D471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21E6F18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20D0501</w:t>
            </w:r>
          </w:p>
        </w:tc>
        <w:tc>
          <w:tcPr>
            <w:tcW w:w="1738" w:type="dxa"/>
            <w:shd w:val="clear" w:color="auto" w:fill="auto"/>
            <w:noWrap/>
            <w:vAlign w:val="center"/>
          </w:tcPr>
          <w:p w14:paraId="63A9E8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水利资源与保护</w:t>
            </w:r>
          </w:p>
        </w:tc>
        <w:tc>
          <w:tcPr>
            <w:tcW w:w="612" w:type="dxa"/>
            <w:shd w:val="clear" w:color="auto" w:fill="auto"/>
            <w:noWrap/>
            <w:vAlign w:val="center"/>
          </w:tcPr>
          <w:p w14:paraId="1B0760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noWrap/>
            <w:vAlign w:val="center"/>
          </w:tcPr>
          <w:p w14:paraId="37DE363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noWrap/>
            <w:vAlign w:val="center"/>
          </w:tcPr>
          <w:p w14:paraId="502980B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6946CBA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restart"/>
            <w:shd w:val="clear" w:color="auto" w:fill="auto"/>
            <w:noWrap/>
            <w:vAlign w:val="center"/>
          </w:tcPr>
          <w:p w14:paraId="7A165690">
            <w:pPr>
              <w:jc w:val="center"/>
              <w:rPr>
                <w:rFonts w:eastAsia="仿宋_GB2312" w:cs="仿宋"/>
                <w:color w:val="auto"/>
                <w:szCs w:val="21"/>
                <w:highlight w:val="none"/>
              </w:rPr>
            </w:pPr>
            <w:r>
              <w:rPr>
                <w:rFonts w:hint="eastAsia" w:eastAsia="仿宋_GB2312" w:cs="仿宋"/>
                <w:color w:val="auto"/>
                <w:szCs w:val="21"/>
                <w:highlight w:val="none"/>
              </w:rPr>
              <w:t>专业拓展课最低学分为6学分</w:t>
            </w:r>
          </w:p>
        </w:tc>
        <w:tc>
          <w:tcPr>
            <w:tcW w:w="684" w:type="dxa"/>
            <w:shd w:val="clear" w:color="auto" w:fill="auto"/>
            <w:noWrap/>
            <w:vAlign w:val="center"/>
          </w:tcPr>
          <w:p w14:paraId="7E1BF09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5220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77DF2E7">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C96644D">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56288A74">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0AF8AA0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281CC07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20D0502</w:t>
            </w:r>
          </w:p>
        </w:tc>
        <w:tc>
          <w:tcPr>
            <w:tcW w:w="1738" w:type="dxa"/>
            <w:shd w:val="clear" w:color="auto" w:fill="auto"/>
            <w:noWrap/>
            <w:vAlign w:val="center"/>
          </w:tcPr>
          <w:p w14:paraId="0915658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环境资源与保护法</w:t>
            </w:r>
          </w:p>
        </w:tc>
        <w:tc>
          <w:tcPr>
            <w:tcW w:w="612" w:type="dxa"/>
            <w:shd w:val="clear" w:color="auto" w:fill="auto"/>
            <w:noWrap/>
            <w:vAlign w:val="center"/>
          </w:tcPr>
          <w:p w14:paraId="254523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noWrap/>
            <w:vAlign w:val="center"/>
          </w:tcPr>
          <w:p w14:paraId="2B88554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noWrap/>
            <w:vAlign w:val="center"/>
          </w:tcPr>
          <w:p w14:paraId="5EA9726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61A3843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continue"/>
            <w:shd w:val="clear" w:color="auto" w:fill="auto"/>
            <w:noWrap/>
            <w:vAlign w:val="center"/>
          </w:tcPr>
          <w:p w14:paraId="7CE5C1B8">
            <w:pPr>
              <w:jc w:val="center"/>
              <w:rPr>
                <w:rFonts w:eastAsia="仿宋_GB2312" w:cs="仿宋"/>
                <w:color w:val="auto"/>
                <w:szCs w:val="21"/>
                <w:highlight w:val="none"/>
              </w:rPr>
            </w:pPr>
          </w:p>
        </w:tc>
        <w:tc>
          <w:tcPr>
            <w:tcW w:w="684" w:type="dxa"/>
            <w:shd w:val="clear" w:color="auto" w:fill="auto"/>
            <w:noWrap/>
            <w:vAlign w:val="center"/>
          </w:tcPr>
          <w:p w14:paraId="100A6BC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1942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FB3AE1E">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8308A37">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12B13F99">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6DDCCB3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75BB92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20D0503</w:t>
            </w:r>
          </w:p>
        </w:tc>
        <w:tc>
          <w:tcPr>
            <w:tcW w:w="1738" w:type="dxa"/>
            <w:shd w:val="clear" w:color="auto" w:fill="auto"/>
            <w:noWrap/>
            <w:vAlign w:val="center"/>
          </w:tcPr>
          <w:p w14:paraId="38CEE5D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建筑节能</w:t>
            </w:r>
          </w:p>
        </w:tc>
        <w:tc>
          <w:tcPr>
            <w:tcW w:w="612" w:type="dxa"/>
            <w:shd w:val="clear" w:color="auto" w:fill="auto"/>
            <w:noWrap/>
            <w:vAlign w:val="center"/>
          </w:tcPr>
          <w:p w14:paraId="3E11AD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noWrap/>
            <w:vAlign w:val="center"/>
          </w:tcPr>
          <w:p w14:paraId="64679EE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noWrap/>
            <w:vAlign w:val="center"/>
          </w:tcPr>
          <w:p w14:paraId="29C8E8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169E7CB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continue"/>
            <w:shd w:val="clear" w:color="auto" w:fill="auto"/>
            <w:noWrap/>
            <w:vAlign w:val="center"/>
          </w:tcPr>
          <w:p w14:paraId="1F93ACDB">
            <w:pPr>
              <w:jc w:val="center"/>
              <w:rPr>
                <w:rFonts w:eastAsia="仿宋_GB2312" w:cs="仿宋"/>
                <w:color w:val="auto"/>
                <w:szCs w:val="21"/>
                <w:highlight w:val="none"/>
              </w:rPr>
            </w:pPr>
          </w:p>
        </w:tc>
        <w:tc>
          <w:tcPr>
            <w:tcW w:w="684" w:type="dxa"/>
            <w:shd w:val="clear" w:color="auto" w:fill="auto"/>
            <w:noWrap/>
            <w:vAlign w:val="center"/>
          </w:tcPr>
          <w:p w14:paraId="253C20E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180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C8073CD">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7A6FDF93">
            <w:pPr>
              <w:widowControl/>
              <w:jc w:val="center"/>
              <w:textAlignment w:val="center"/>
              <w:rPr>
                <w:rFonts w:eastAsia="仿宋_GB2312" w:cs="仿宋"/>
                <w:color w:val="auto"/>
                <w:kern w:val="0"/>
                <w:szCs w:val="21"/>
                <w:highlight w:val="none"/>
                <w:lang w:bidi="ar"/>
              </w:rPr>
            </w:pPr>
          </w:p>
        </w:tc>
        <w:tc>
          <w:tcPr>
            <w:tcW w:w="649" w:type="dxa"/>
            <w:gridSpan w:val="2"/>
            <w:vMerge w:val="continue"/>
            <w:shd w:val="clear" w:color="auto" w:fill="auto"/>
            <w:vAlign w:val="center"/>
          </w:tcPr>
          <w:p w14:paraId="7FDCA734">
            <w:pPr>
              <w:widowControl/>
              <w:jc w:val="center"/>
              <w:textAlignment w:val="center"/>
              <w:rPr>
                <w:rFonts w:eastAsia="仿宋_GB2312" w:cs="仿宋"/>
                <w:color w:val="auto"/>
                <w:kern w:val="0"/>
                <w:szCs w:val="21"/>
                <w:highlight w:val="none"/>
                <w:lang w:bidi="ar"/>
              </w:rPr>
            </w:pPr>
          </w:p>
        </w:tc>
        <w:tc>
          <w:tcPr>
            <w:tcW w:w="572" w:type="dxa"/>
            <w:gridSpan w:val="2"/>
            <w:shd w:val="clear" w:color="auto" w:fill="auto"/>
            <w:noWrap/>
            <w:vAlign w:val="center"/>
          </w:tcPr>
          <w:p w14:paraId="06E3D76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noWrap/>
            <w:vAlign w:val="center"/>
          </w:tcPr>
          <w:p w14:paraId="35B2706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20D0504</w:t>
            </w:r>
          </w:p>
        </w:tc>
        <w:tc>
          <w:tcPr>
            <w:tcW w:w="1738" w:type="dxa"/>
            <w:shd w:val="clear" w:color="auto" w:fill="auto"/>
            <w:noWrap/>
            <w:vAlign w:val="center"/>
          </w:tcPr>
          <w:p w14:paraId="3B7EADE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环境健康科学</w:t>
            </w:r>
          </w:p>
        </w:tc>
        <w:tc>
          <w:tcPr>
            <w:tcW w:w="612" w:type="dxa"/>
            <w:shd w:val="clear" w:color="auto" w:fill="auto"/>
            <w:noWrap/>
            <w:vAlign w:val="center"/>
          </w:tcPr>
          <w:p w14:paraId="1D856BE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624" w:type="dxa"/>
            <w:shd w:val="clear" w:color="auto" w:fill="auto"/>
            <w:noWrap/>
            <w:vAlign w:val="center"/>
          </w:tcPr>
          <w:p w14:paraId="386E4D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720" w:type="dxa"/>
            <w:shd w:val="clear" w:color="auto" w:fill="auto"/>
            <w:noWrap/>
            <w:vAlign w:val="center"/>
          </w:tcPr>
          <w:p w14:paraId="3B35D81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1FD36BE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continue"/>
            <w:shd w:val="clear" w:color="auto" w:fill="auto"/>
            <w:noWrap/>
            <w:vAlign w:val="center"/>
          </w:tcPr>
          <w:p w14:paraId="39699B7C">
            <w:pPr>
              <w:jc w:val="center"/>
              <w:rPr>
                <w:rFonts w:eastAsia="仿宋_GB2312" w:cs="仿宋"/>
                <w:color w:val="auto"/>
                <w:szCs w:val="21"/>
                <w:highlight w:val="none"/>
              </w:rPr>
            </w:pPr>
          </w:p>
        </w:tc>
        <w:tc>
          <w:tcPr>
            <w:tcW w:w="684" w:type="dxa"/>
            <w:shd w:val="clear" w:color="auto" w:fill="auto"/>
            <w:noWrap/>
            <w:vAlign w:val="center"/>
          </w:tcPr>
          <w:p w14:paraId="3C8A21B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3D5C4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46C7714">
            <w:pPr>
              <w:widowControl/>
              <w:textAlignment w:val="center"/>
              <w:rPr>
                <w:rFonts w:eastAsia="仿宋_GB2312" w:cs="仿宋"/>
                <w:color w:val="auto"/>
                <w:kern w:val="0"/>
                <w:szCs w:val="21"/>
                <w:highlight w:val="none"/>
                <w:lang w:bidi="ar"/>
              </w:rPr>
            </w:pPr>
          </w:p>
        </w:tc>
        <w:tc>
          <w:tcPr>
            <w:tcW w:w="4966" w:type="dxa"/>
            <w:gridSpan w:val="7"/>
            <w:shd w:val="clear" w:color="auto" w:fill="auto"/>
            <w:vAlign w:val="center"/>
          </w:tcPr>
          <w:p w14:paraId="463A6D15">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专业必修课程学分、学时小计</w:t>
            </w:r>
          </w:p>
        </w:tc>
        <w:tc>
          <w:tcPr>
            <w:tcW w:w="612" w:type="dxa"/>
            <w:shd w:val="clear" w:color="auto" w:fill="auto"/>
            <w:noWrap/>
            <w:vAlign w:val="center"/>
          </w:tcPr>
          <w:p w14:paraId="203B312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93</w:t>
            </w:r>
          </w:p>
        </w:tc>
        <w:tc>
          <w:tcPr>
            <w:tcW w:w="624" w:type="dxa"/>
            <w:shd w:val="clear" w:color="auto" w:fill="auto"/>
            <w:noWrap/>
            <w:vAlign w:val="center"/>
          </w:tcPr>
          <w:p w14:paraId="4E2FAF8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1844</w:t>
            </w:r>
          </w:p>
        </w:tc>
        <w:tc>
          <w:tcPr>
            <w:tcW w:w="720" w:type="dxa"/>
            <w:shd w:val="clear" w:color="auto" w:fill="auto"/>
            <w:noWrap/>
            <w:vAlign w:val="center"/>
          </w:tcPr>
          <w:p w14:paraId="6C0935E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722</w:t>
            </w:r>
          </w:p>
        </w:tc>
        <w:tc>
          <w:tcPr>
            <w:tcW w:w="672" w:type="dxa"/>
            <w:shd w:val="clear" w:color="auto" w:fill="auto"/>
            <w:noWrap/>
            <w:vAlign w:val="center"/>
          </w:tcPr>
          <w:p w14:paraId="5712D55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1122</w:t>
            </w:r>
          </w:p>
        </w:tc>
        <w:tc>
          <w:tcPr>
            <w:tcW w:w="432" w:type="dxa"/>
            <w:shd w:val="clear" w:color="auto" w:fill="auto"/>
            <w:noWrap/>
            <w:vAlign w:val="center"/>
          </w:tcPr>
          <w:p w14:paraId="6D75A56D">
            <w:pPr>
              <w:jc w:val="center"/>
              <w:rPr>
                <w:rFonts w:eastAsia="仿宋_GB2312" w:cs="仿宋"/>
                <w:color w:val="auto"/>
                <w:kern w:val="0"/>
                <w:szCs w:val="21"/>
                <w:highlight w:val="none"/>
                <w:lang w:bidi="ar"/>
              </w:rPr>
            </w:pPr>
          </w:p>
        </w:tc>
        <w:tc>
          <w:tcPr>
            <w:tcW w:w="384" w:type="dxa"/>
            <w:shd w:val="clear" w:color="auto" w:fill="auto"/>
            <w:noWrap/>
            <w:vAlign w:val="center"/>
          </w:tcPr>
          <w:p w14:paraId="1877BC79">
            <w:pPr>
              <w:jc w:val="center"/>
              <w:rPr>
                <w:rFonts w:eastAsia="仿宋_GB2312" w:cs="仿宋"/>
                <w:color w:val="auto"/>
                <w:szCs w:val="21"/>
                <w:highlight w:val="none"/>
              </w:rPr>
            </w:pPr>
          </w:p>
        </w:tc>
        <w:tc>
          <w:tcPr>
            <w:tcW w:w="408" w:type="dxa"/>
            <w:shd w:val="clear" w:color="auto" w:fill="auto"/>
            <w:noWrap/>
            <w:vAlign w:val="center"/>
          </w:tcPr>
          <w:p w14:paraId="45B21967">
            <w:pPr>
              <w:jc w:val="center"/>
              <w:rPr>
                <w:rFonts w:eastAsia="仿宋_GB2312" w:cs="仿宋"/>
                <w:color w:val="auto"/>
                <w:kern w:val="0"/>
                <w:szCs w:val="21"/>
                <w:highlight w:val="none"/>
              </w:rPr>
            </w:pPr>
          </w:p>
        </w:tc>
        <w:tc>
          <w:tcPr>
            <w:tcW w:w="408" w:type="dxa"/>
            <w:shd w:val="clear" w:color="auto" w:fill="auto"/>
            <w:noWrap/>
            <w:vAlign w:val="center"/>
          </w:tcPr>
          <w:p w14:paraId="15E3C25E">
            <w:pPr>
              <w:jc w:val="center"/>
              <w:rPr>
                <w:rFonts w:eastAsia="仿宋_GB2312" w:cs="仿宋"/>
                <w:color w:val="auto"/>
                <w:kern w:val="0"/>
                <w:szCs w:val="21"/>
                <w:highlight w:val="none"/>
              </w:rPr>
            </w:pPr>
          </w:p>
        </w:tc>
        <w:tc>
          <w:tcPr>
            <w:tcW w:w="432" w:type="dxa"/>
            <w:shd w:val="clear" w:color="auto" w:fill="auto"/>
            <w:noWrap/>
            <w:vAlign w:val="center"/>
          </w:tcPr>
          <w:p w14:paraId="6B97FB0F">
            <w:pPr>
              <w:jc w:val="center"/>
              <w:rPr>
                <w:rFonts w:eastAsia="仿宋_GB2312" w:cs="仿宋"/>
                <w:color w:val="auto"/>
                <w:kern w:val="0"/>
                <w:szCs w:val="21"/>
                <w:highlight w:val="none"/>
              </w:rPr>
            </w:pPr>
          </w:p>
        </w:tc>
        <w:tc>
          <w:tcPr>
            <w:tcW w:w="352" w:type="dxa"/>
            <w:shd w:val="clear" w:color="auto" w:fill="auto"/>
            <w:noWrap/>
            <w:vAlign w:val="center"/>
          </w:tcPr>
          <w:p w14:paraId="1B7B9135">
            <w:pPr>
              <w:jc w:val="center"/>
              <w:rPr>
                <w:rFonts w:eastAsia="仿宋_GB2312" w:cs="仿宋"/>
                <w:color w:val="auto"/>
                <w:szCs w:val="21"/>
                <w:highlight w:val="none"/>
              </w:rPr>
            </w:pPr>
          </w:p>
        </w:tc>
        <w:tc>
          <w:tcPr>
            <w:tcW w:w="684" w:type="dxa"/>
            <w:shd w:val="clear" w:color="auto" w:fill="auto"/>
            <w:noWrap/>
            <w:vAlign w:val="center"/>
          </w:tcPr>
          <w:p w14:paraId="14FFA158">
            <w:pPr>
              <w:widowControl/>
              <w:jc w:val="center"/>
              <w:textAlignment w:val="center"/>
              <w:rPr>
                <w:rFonts w:eastAsia="仿宋_GB2312" w:cs="仿宋"/>
                <w:color w:val="auto"/>
                <w:kern w:val="0"/>
                <w:szCs w:val="21"/>
                <w:highlight w:val="none"/>
                <w:lang w:bidi="ar"/>
              </w:rPr>
            </w:pPr>
          </w:p>
        </w:tc>
      </w:tr>
      <w:tr w14:paraId="4A526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C59CDCE">
            <w:pPr>
              <w:widowControl/>
              <w:textAlignment w:val="center"/>
              <w:rPr>
                <w:rFonts w:eastAsia="仿宋_GB2312" w:cs="仿宋"/>
                <w:color w:val="auto"/>
                <w:kern w:val="0"/>
                <w:szCs w:val="21"/>
                <w:highlight w:val="none"/>
                <w:lang w:bidi="ar"/>
              </w:rPr>
            </w:pPr>
          </w:p>
        </w:tc>
        <w:tc>
          <w:tcPr>
            <w:tcW w:w="4966" w:type="dxa"/>
            <w:gridSpan w:val="7"/>
            <w:shd w:val="clear" w:color="auto" w:fill="auto"/>
            <w:vAlign w:val="center"/>
          </w:tcPr>
          <w:p w14:paraId="023850AD">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专业必修课程学分、学时占比</w:t>
            </w:r>
          </w:p>
        </w:tc>
        <w:tc>
          <w:tcPr>
            <w:tcW w:w="612" w:type="dxa"/>
            <w:shd w:val="clear" w:color="auto" w:fill="auto"/>
            <w:noWrap/>
            <w:vAlign w:val="center"/>
          </w:tcPr>
          <w:p w14:paraId="08CB29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60.00%</w:t>
            </w:r>
          </w:p>
        </w:tc>
        <w:tc>
          <w:tcPr>
            <w:tcW w:w="624" w:type="dxa"/>
            <w:shd w:val="clear" w:color="auto" w:fill="auto"/>
            <w:noWrap/>
            <w:vAlign w:val="center"/>
          </w:tcPr>
          <w:p w14:paraId="2F8C4F0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61.67%</w:t>
            </w:r>
          </w:p>
        </w:tc>
        <w:tc>
          <w:tcPr>
            <w:tcW w:w="720" w:type="dxa"/>
            <w:shd w:val="clear" w:color="auto" w:fill="auto"/>
            <w:noWrap/>
            <w:vAlign w:val="center"/>
          </w:tcPr>
          <w:p w14:paraId="356FC76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50.99%</w:t>
            </w:r>
          </w:p>
        </w:tc>
        <w:tc>
          <w:tcPr>
            <w:tcW w:w="672" w:type="dxa"/>
            <w:shd w:val="clear" w:color="auto" w:fill="auto"/>
            <w:noWrap/>
            <w:vAlign w:val="center"/>
          </w:tcPr>
          <w:p w14:paraId="555BF4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71.28%</w:t>
            </w:r>
          </w:p>
        </w:tc>
        <w:tc>
          <w:tcPr>
            <w:tcW w:w="432" w:type="dxa"/>
            <w:shd w:val="clear" w:color="auto" w:fill="auto"/>
            <w:noWrap/>
            <w:vAlign w:val="center"/>
          </w:tcPr>
          <w:p w14:paraId="5EAC21E9">
            <w:pPr>
              <w:rPr>
                <w:rFonts w:eastAsia="仿宋_GB2312" w:cs="仿宋"/>
                <w:color w:val="auto"/>
                <w:kern w:val="0"/>
                <w:szCs w:val="21"/>
                <w:highlight w:val="none"/>
                <w:lang w:bidi="ar"/>
              </w:rPr>
            </w:pPr>
          </w:p>
        </w:tc>
        <w:tc>
          <w:tcPr>
            <w:tcW w:w="384" w:type="dxa"/>
            <w:shd w:val="clear" w:color="auto" w:fill="auto"/>
            <w:noWrap/>
            <w:vAlign w:val="center"/>
          </w:tcPr>
          <w:p w14:paraId="4703288C">
            <w:pPr>
              <w:rPr>
                <w:rFonts w:eastAsia="仿宋_GB2312" w:cs="仿宋"/>
                <w:color w:val="auto"/>
                <w:szCs w:val="21"/>
                <w:highlight w:val="none"/>
              </w:rPr>
            </w:pPr>
          </w:p>
        </w:tc>
        <w:tc>
          <w:tcPr>
            <w:tcW w:w="408" w:type="dxa"/>
            <w:shd w:val="clear" w:color="auto" w:fill="auto"/>
            <w:noWrap/>
            <w:vAlign w:val="center"/>
          </w:tcPr>
          <w:p w14:paraId="5EE0DBF0">
            <w:pPr>
              <w:jc w:val="center"/>
              <w:rPr>
                <w:rFonts w:eastAsia="仿宋_GB2312" w:cs="仿宋"/>
                <w:color w:val="auto"/>
                <w:kern w:val="0"/>
                <w:szCs w:val="21"/>
                <w:highlight w:val="none"/>
              </w:rPr>
            </w:pPr>
          </w:p>
        </w:tc>
        <w:tc>
          <w:tcPr>
            <w:tcW w:w="408" w:type="dxa"/>
            <w:shd w:val="clear" w:color="auto" w:fill="auto"/>
            <w:noWrap/>
            <w:vAlign w:val="center"/>
          </w:tcPr>
          <w:p w14:paraId="6E38C6A5">
            <w:pPr>
              <w:jc w:val="center"/>
              <w:rPr>
                <w:rFonts w:eastAsia="仿宋_GB2312" w:cs="仿宋"/>
                <w:color w:val="auto"/>
                <w:kern w:val="0"/>
                <w:szCs w:val="21"/>
                <w:highlight w:val="none"/>
              </w:rPr>
            </w:pPr>
          </w:p>
        </w:tc>
        <w:tc>
          <w:tcPr>
            <w:tcW w:w="432" w:type="dxa"/>
            <w:shd w:val="clear" w:color="auto" w:fill="auto"/>
            <w:noWrap/>
            <w:vAlign w:val="center"/>
          </w:tcPr>
          <w:p w14:paraId="2D537ABE">
            <w:pPr>
              <w:jc w:val="center"/>
              <w:rPr>
                <w:rFonts w:eastAsia="仿宋_GB2312" w:cs="仿宋"/>
                <w:color w:val="auto"/>
                <w:kern w:val="0"/>
                <w:szCs w:val="21"/>
                <w:highlight w:val="none"/>
              </w:rPr>
            </w:pPr>
          </w:p>
        </w:tc>
        <w:tc>
          <w:tcPr>
            <w:tcW w:w="352" w:type="dxa"/>
            <w:shd w:val="clear" w:color="auto" w:fill="auto"/>
            <w:noWrap/>
            <w:vAlign w:val="center"/>
          </w:tcPr>
          <w:p w14:paraId="053E15B0">
            <w:pPr>
              <w:jc w:val="center"/>
              <w:rPr>
                <w:rFonts w:eastAsia="仿宋_GB2312" w:cs="仿宋"/>
                <w:color w:val="auto"/>
                <w:szCs w:val="21"/>
                <w:highlight w:val="none"/>
              </w:rPr>
            </w:pPr>
          </w:p>
        </w:tc>
        <w:tc>
          <w:tcPr>
            <w:tcW w:w="684" w:type="dxa"/>
            <w:shd w:val="clear" w:color="auto" w:fill="auto"/>
            <w:noWrap/>
            <w:vAlign w:val="center"/>
          </w:tcPr>
          <w:p w14:paraId="4372DCB4">
            <w:pPr>
              <w:widowControl/>
              <w:jc w:val="center"/>
              <w:textAlignment w:val="center"/>
              <w:rPr>
                <w:rFonts w:eastAsia="仿宋_GB2312" w:cs="仿宋"/>
                <w:color w:val="auto"/>
                <w:kern w:val="0"/>
                <w:szCs w:val="21"/>
                <w:highlight w:val="none"/>
                <w:lang w:bidi="ar"/>
              </w:rPr>
            </w:pPr>
          </w:p>
        </w:tc>
      </w:tr>
      <w:tr w14:paraId="5A0F9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93F891A">
            <w:pPr>
              <w:widowControl/>
              <w:textAlignment w:val="center"/>
              <w:rPr>
                <w:rFonts w:eastAsia="仿宋_GB2312" w:cs="仿宋"/>
                <w:color w:val="auto"/>
                <w:kern w:val="0"/>
                <w:szCs w:val="21"/>
                <w:highlight w:val="none"/>
                <w:lang w:bidi="ar"/>
              </w:rPr>
            </w:pPr>
          </w:p>
        </w:tc>
        <w:tc>
          <w:tcPr>
            <w:tcW w:w="4966" w:type="dxa"/>
            <w:gridSpan w:val="7"/>
            <w:shd w:val="clear" w:color="auto" w:fill="auto"/>
            <w:vAlign w:val="center"/>
          </w:tcPr>
          <w:p w14:paraId="1F7BD5C1">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专业拓展课程学分、学时小计</w:t>
            </w:r>
          </w:p>
        </w:tc>
        <w:tc>
          <w:tcPr>
            <w:tcW w:w="612" w:type="dxa"/>
            <w:shd w:val="clear" w:color="auto" w:fill="auto"/>
            <w:noWrap/>
            <w:vAlign w:val="center"/>
          </w:tcPr>
          <w:p w14:paraId="2DDFC9E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624" w:type="dxa"/>
            <w:shd w:val="clear" w:color="auto" w:fill="auto"/>
            <w:noWrap/>
            <w:vAlign w:val="center"/>
          </w:tcPr>
          <w:p w14:paraId="75B194B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w:t>
            </w:r>
          </w:p>
        </w:tc>
        <w:tc>
          <w:tcPr>
            <w:tcW w:w="720" w:type="dxa"/>
            <w:shd w:val="clear" w:color="auto" w:fill="auto"/>
            <w:noWrap/>
            <w:vAlign w:val="center"/>
          </w:tcPr>
          <w:p w14:paraId="122EA3F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w:t>
            </w:r>
          </w:p>
        </w:tc>
        <w:tc>
          <w:tcPr>
            <w:tcW w:w="672" w:type="dxa"/>
            <w:shd w:val="clear" w:color="auto" w:fill="auto"/>
            <w:noWrap/>
            <w:vAlign w:val="center"/>
          </w:tcPr>
          <w:p w14:paraId="2B6BD89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noWrap/>
            <w:vAlign w:val="center"/>
          </w:tcPr>
          <w:p w14:paraId="5213D6F1">
            <w:pPr>
              <w:jc w:val="center"/>
              <w:rPr>
                <w:rFonts w:eastAsia="仿宋_GB2312" w:cs="仿宋"/>
                <w:color w:val="auto"/>
                <w:kern w:val="0"/>
                <w:szCs w:val="21"/>
                <w:highlight w:val="none"/>
                <w:lang w:bidi="ar"/>
              </w:rPr>
            </w:pPr>
          </w:p>
        </w:tc>
        <w:tc>
          <w:tcPr>
            <w:tcW w:w="384" w:type="dxa"/>
            <w:shd w:val="clear" w:color="auto" w:fill="auto"/>
            <w:noWrap/>
            <w:vAlign w:val="center"/>
          </w:tcPr>
          <w:p w14:paraId="35658A30">
            <w:pPr>
              <w:jc w:val="center"/>
              <w:rPr>
                <w:rFonts w:eastAsia="仿宋_GB2312" w:cs="仿宋"/>
                <w:color w:val="auto"/>
                <w:szCs w:val="21"/>
                <w:highlight w:val="none"/>
              </w:rPr>
            </w:pPr>
          </w:p>
        </w:tc>
        <w:tc>
          <w:tcPr>
            <w:tcW w:w="408" w:type="dxa"/>
            <w:shd w:val="clear" w:color="auto" w:fill="auto"/>
            <w:noWrap/>
            <w:vAlign w:val="center"/>
          </w:tcPr>
          <w:p w14:paraId="44FC5A65">
            <w:pPr>
              <w:jc w:val="center"/>
              <w:rPr>
                <w:rFonts w:eastAsia="仿宋_GB2312" w:cs="仿宋"/>
                <w:color w:val="auto"/>
                <w:kern w:val="0"/>
                <w:szCs w:val="21"/>
                <w:highlight w:val="none"/>
              </w:rPr>
            </w:pPr>
          </w:p>
        </w:tc>
        <w:tc>
          <w:tcPr>
            <w:tcW w:w="408" w:type="dxa"/>
            <w:shd w:val="clear" w:color="auto" w:fill="auto"/>
            <w:noWrap/>
            <w:vAlign w:val="center"/>
          </w:tcPr>
          <w:p w14:paraId="75694673">
            <w:pPr>
              <w:jc w:val="center"/>
              <w:rPr>
                <w:rFonts w:eastAsia="仿宋_GB2312" w:cs="仿宋"/>
                <w:color w:val="auto"/>
                <w:kern w:val="0"/>
                <w:szCs w:val="21"/>
                <w:highlight w:val="none"/>
              </w:rPr>
            </w:pPr>
          </w:p>
        </w:tc>
        <w:tc>
          <w:tcPr>
            <w:tcW w:w="432" w:type="dxa"/>
            <w:shd w:val="clear" w:color="auto" w:fill="auto"/>
            <w:noWrap/>
            <w:vAlign w:val="center"/>
          </w:tcPr>
          <w:p w14:paraId="57B10838">
            <w:pPr>
              <w:jc w:val="center"/>
              <w:rPr>
                <w:rFonts w:eastAsia="仿宋_GB2312" w:cs="仿宋"/>
                <w:color w:val="auto"/>
                <w:kern w:val="0"/>
                <w:szCs w:val="21"/>
                <w:highlight w:val="none"/>
              </w:rPr>
            </w:pPr>
          </w:p>
        </w:tc>
        <w:tc>
          <w:tcPr>
            <w:tcW w:w="352" w:type="dxa"/>
            <w:shd w:val="clear" w:color="auto" w:fill="auto"/>
            <w:noWrap/>
            <w:vAlign w:val="center"/>
          </w:tcPr>
          <w:p w14:paraId="212A6201">
            <w:pPr>
              <w:jc w:val="center"/>
              <w:rPr>
                <w:rFonts w:eastAsia="仿宋_GB2312" w:cs="仿宋"/>
                <w:color w:val="auto"/>
                <w:szCs w:val="21"/>
                <w:highlight w:val="none"/>
              </w:rPr>
            </w:pPr>
          </w:p>
        </w:tc>
        <w:tc>
          <w:tcPr>
            <w:tcW w:w="684" w:type="dxa"/>
            <w:shd w:val="clear" w:color="auto" w:fill="auto"/>
            <w:noWrap/>
            <w:vAlign w:val="center"/>
          </w:tcPr>
          <w:p w14:paraId="02B3FE9F">
            <w:pPr>
              <w:widowControl/>
              <w:jc w:val="center"/>
              <w:textAlignment w:val="center"/>
              <w:rPr>
                <w:rFonts w:eastAsia="仿宋_GB2312" w:cs="仿宋"/>
                <w:color w:val="auto"/>
                <w:kern w:val="0"/>
                <w:szCs w:val="21"/>
                <w:highlight w:val="none"/>
                <w:lang w:bidi="ar"/>
              </w:rPr>
            </w:pPr>
          </w:p>
        </w:tc>
      </w:tr>
      <w:tr w14:paraId="1DA2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B3EAAC2">
            <w:pPr>
              <w:widowControl/>
              <w:textAlignment w:val="center"/>
              <w:rPr>
                <w:rFonts w:eastAsia="仿宋_GB2312" w:cs="仿宋"/>
                <w:color w:val="auto"/>
                <w:kern w:val="0"/>
                <w:szCs w:val="21"/>
                <w:highlight w:val="none"/>
                <w:lang w:bidi="ar"/>
              </w:rPr>
            </w:pPr>
          </w:p>
        </w:tc>
        <w:tc>
          <w:tcPr>
            <w:tcW w:w="4966" w:type="dxa"/>
            <w:gridSpan w:val="7"/>
            <w:shd w:val="clear" w:color="auto" w:fill="auto"/>
            <w:vAlign w:val="center"/>
          </w:tcPr>
          <w:p w14:paraId="44AC6407">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专业拓展课程学分、学时占比</w:t>
            </w:r>
          </w:p>
        </w:tc>
        <w:tc>
          <w:tcPr>
            <w:tcW w:w="612" w:type="dxa"/>
            <w:shd w:val="clear" w:color="auto" w:fill="auto"/>
            <w:noWrap/>
            <w:vAlign w:val="center"/>
          </w:tcPr>
          <w:p w14:paraId="0EBB133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3.87%</w:t>
            </w:r>
          </w:p>
        </w:tc>
        <w:tc>
          <w:tcPr>
            <w:tcW w:w="624" w:type="dxa"/>
            <w:shd w:val="clear" w:color="auto" w:fill="auto"/>
            <w:noWrap/>
            <w:vAlign w:val="center"/>
          </w:tcPr>
          <w:p w14:paraId="71CAC08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3.61%</w:t>
            </w:r>
          </w:p>
        </w:tc>
        <w:tc>
          <w:tcPr>
            <w:tcW w:w="720" w:type="dxa"/>
            <w:shd w:val="clear" w:color="auto" w:fill="auto"/>
            <w:noWrap/>
            <w:vAlign w:val="center"/>
          </w:tcPr>
          <w:p w14:paraId="7A27CCD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7.63%</w:t>
            </w:r>
          </w:p>
        </w:tc>
        <w:tc>
          <w:tcPr>
            <w:tcW w:w="672" w:type="dxa"/>
            <w:shd w:val="clear" w:color="auto" w:fill="auto"/>
            <w:noWrap/>
            <w:vAlign w:val="center"/>
          </w:tcPr>
          <w:p w14:paraId="17D8DBE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0.00%</w:t>
            </w:r>
          </w:p>
        </w:tc>
        <w:tc>
          <w:tcPr>
            <w:tcW w:w="432" w:type="dxa"/>
            <w:shd w:val="clear" w:color="auto" w:fill="auto"/>
            <w:noWrap/>
            <w:vAlign w:val="center"/>
          </w:tcPr>
          <w:p w14:paraId="118FDBF1">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34F9A0BC">
            <w:pPr>
              <w:spacing w:line="300" w:lineRule="auto"/>
              <w:jc w:val="center"/>
              <w:rPr>
                <w:rFonts w:eastAsia="仿宋_GB2312" w:cs="仿宋"/>
                <w:color w:val="auto"/>
                <w:szCs w:val="21"/>
                <w:highlight w:val="none"/>
              </w:rPr>
            </w:pPr>
          </w:p>
        </w:tc>
        <w:tc>
          <w:tcPr>
            <w:tcW w:w="408" w:type="dxa"/>
            <w:shd w:val="clear" w:color="auto" w:fill="auto"/>
            <w:noWrap/>
            <w:vAlign w:val="center"/>
          </w:tcPr>
          <w:p w14:paraId="17A53EB7">
            <w:pPr>
              <w:jc w:val="center"/>
              <w:rPr>
                <w:rFonts w:eastAsia="仿宋_GB2312" w:cs="仿宋"/>
                <w:color w:val="auto"/>
                <w:kern w:val="0"/>
                <w:szCs w:val="21"/>
                <w:highlight w:val="none"/>
              </w:rPr>
            </w:pPr>
          </w:p>
        </w:tc>
        <w:tc>
          <w:tcPr>
            <w:tcW w:w="408" w:type="dxa"/>
            <w:shd w:val="clear" w:color="auto" w:fill="auto"/>
            <w:noWrap/>
            <w:vAlign w:val="center"/>
          </w:tcPr>
          <w:p w14:paraId="1F6259F1">
            <w:pPr>
              <w:jc w:val="center"/>
              <w:rPr>
                <w:rFonts w:eastAsia="仿宋_GB2312" w:cs="仿宋"/>
                <w:color w:val="auto"/>
                <w:kern w:val="0"/>
                <w:szCs w:val="21"/>
                <w:highlight w:val="none"/>
              </w:rPr>
            </w:pPr>
          </w:p>
        </w:tc>
        <w:tc>
          <w:tcPr>
            <w:tcW w:w="432" w:type="dxa"/>
            <w:shd w:val="clear" w:color="auto" w:fill="auto"/>
            <w:noWrap/>
            <w:vAlign w:val="center"/>
          </w:tcPr>
          <w:p w14:paraId="34F001AE">
            <w:pPr>
              <w:jc w:val="center"/>
              <w:rPr>
                <w:rFonts w:eastAsia="仿宋_GB2312" w:cs="仿宋"/>
                <w:color w:val="auto"/>
                <w:kern w:val="0"/>
                <w:szCs w:val="21"/>
                <w:highlight w:val="none"/>
              </w:rPr>
            </w:pPr>
          </w:p>
        </w:tc>
        <w:tc>
          <w:tcPr>
            <w:tcW w:w="352" w:type="dxa"/>
            <w:shd w:val="clear" w:color="auto" w:fill="auto"/>
            <w:noWrap/>
            <w:vAlign w:val="center"/>
          </w:tcPr>
          <w:p w14:paraId="298FE9D2">
            <w:pPr>
              <w:jc w:val="center"/>
              <w:rPr>
                <w:rFonts w:eastAsia="仿宋_GB2312" w:cs="仿宋"/>
                <w:color w:val="auto"/>
                <w:szCs w:val="21"/>
                <w:highlight w:val="none"/>
              </w:rPr>
            </w:pPr>
          </w:p>
        </w:tc>
        <w:tc>
          <w:tcPr>
            <w:tcW w:w="684" w:type="dxa"/>
            <w:shd w:val="clear" w:color="auto" w:fill="auto"/>
            <w:noWrap/>
            <w:vAlign w:val="center"/>
          </w:tcPr>
          <w:p w14:paraId="6DF7CEB3">
            <w:pPr>
              <w:widowControl/>
              <w:jc w:val="center"/>
              <w:textAlignment w:val="center"/>
              <w:rPr>
                <w:rFonts w:eastAsia="仿宋_GB2312" w:cs="仿宋"/>
                <w:color w:val="auto"/>
                <w:kern w:val="0"/>
                <w:szCs w:val="21"/>
                <w:highlight w:val="none"/>
                <w:lang w:bidi="ar"/>
              </w:rPr>
            </w:pPr>
          </w:p>
        </w:tc>
      </w:tr>
      <w:tr w14:paraId="2AB6C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539" w:type="dxa"/>
            <w:gridSpan w:val="3"/>
            <w:shd w:val="clear" w:color="auto" w:fill="auto"/>
            <w:vAlign w:val="center"/>
          </w:tcPr>
          <w:p w14:paraId="115B74B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其他教育活动</w:t>
            </w:r>
          </w:p>
        </w:tc>
        <w:tc>
          <w:tcPr>
            <w:tcW w:w="683" w:type="dxa"/>
            <w:gridSpan w:val="2"/>
            <w:shd w:val="clear" w:color="auto" w:fill="auto"/>
            <w:vAlign w:val="center"/>
          </w:tcPr>
          <w:p w14:paraId="08051A9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3449" w:type="dxa"/>
            <w:gridSpan w:val="3"/>
            <w:shd w:val="clear" w:color="auto" w:fill="auto"/>
            <w:noWrap/>
            <w:vAlign w:val="center"/>
          </w:tcPr>
          <w:p w14:paraId="5E80C8B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第二课堂</w:t>
            </w:r>
          </w:p>
        </w:tc>
        <w:tc>
          <w:tcPr>
            <w:tcW w:w="612" w:type="dxa"/>
            <w:shd w:val="clear" w:color="auto" w:fill="auto"/>
            <w:noWrap/>
            <w:vAlign w:val="center"/>
          </w:tcPr>
          <w:p w14:paraId="09C9204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24" w:type="dxa"/>
            <w:shd w:val="clear" w:color="auto" w:fill="auto"/>
            <w:noWrap/>
            <w:vAlign w:val="center"/>
          </w:tcPr>
          <w:p w14:paraId="3605455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720" w:type="dxa"/>
            <w:shd w:val="clear" w:color="auto" w:fill="auto"/>
            <w:noWrap/>
            <w:vAlign w:val="center"/>
          </w:tcPr>
          <w:p w14:paraId="548423F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592CA31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2416" w:type="dxa"/>
            <w:gridSpan w:val="6"/>
            <w:shd w:val="clear" w:color="auto" w:fill="auto"/>
            <w:noWrap/>
            <w:vAlign w:val="center"/>
          </w:tcPr>
          <w:p w14:paraId="56DAF663">
            <w:pPr>
              <w:jc w:val="center"/>
              <w:rPr>
                <w:rFonts w:eastAsia="仿宋_GB2312" w:cs="仿宋"/>
                <w:color w:val="auto"/>
                <w:szCs w:val="21"/>
                <w:highlight w:val="none"/>
              </w:rPr>
            </w:pPr>
          </w:p>
        </w:tc>
        <w:tc>
          <w:tcPr>
            <w:tcW w:w="684" w:type="dxa"/>
            <w:shd w:val="clear" w:color="auto" w:fill="auto"/>
            <w:noWrap/>
            <w:vAlign w:val="center"/>
          </w:tcPr>
          <w:p w14:paraId="4B6833D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07B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671" w:type="dxa"/>
            <w:gridSpan w:val="8"/>
            <w:shd w:val="clear" w:color="auto" w:fill="auto"/>
            <w:vAlign w:val="center"/>
          </w:tcPr>
          <w:p w14:paraId="6FDCB66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总学分、总学时合计</w:t>
            </w:r>
          </w:p>
        </w:tc>
        <w:tc>
          <w:tcPr>
            <w:tcW w:w="612" w:type="dxa"/>
            <w:shd w:val="clear" w:color="auto" w:fill="auto"/>
            <w:noWrap/>
            <w:vAlign w:val="center"/>
          </w:tcPr>
          <w:p w14:paraId="4E2FF5B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155</w:t>
            </w:r>
          </w:p>
        </w:tc>
        <w:tc>
          <w:tcPr>
            <w:tcW w:w="624" w:type="dxa"/>
            <w:shd w:val="clear" w:color="auto" w:fill="auto"/>
            <w:noWrap/>
            <w:vAlign w:val="center"/>
          </w:tcPr>
          <w:p w14:paraId="64EC41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2990</w:t>
            </w:r>
          </w:p>
        </w:tc>
        <w:tc>
          <w:tcPr>
            <w:tcW w:w="720" w:type="dxa"/>
            <w:shd w:val="clear" w:color="auto" w:fill="auto"/>
            <w:noWrap/>
            <w:vAlign w:val="center"/>
          </w:tcPr>
          <w:p w14:paraId="66B7D5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1416</w:t>
            </w:r>
          </w:p>
        </w:tc>
        <w:tc>
          <w:tcPr>
            <w:tcW w:w="672" w:type="dxa"/>
            <w:shd w:val="clear" w:color="auto" w:fill="auto"/>
            <w:noWrap/>
            <w:vAlign w:val="center"/>
          </w:tcPr>
          <w:p w14:paraId="581E9A1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1574</w:t>
            </w:r>
          </w:p>
        </w:tc>
        <w:tc>
          <w:tcPr>
            <w:tcW w:w="432" w:type="dxa"/>
            <w:shd w:val="clear" w:color="auto" w:fill="auto"/>
            <w:noWrap/>
            <w:vAlign w:val="center"/>
          </w:tcPr>
          <w:p w14:paraId="5C75861F">
            <w:pPr>
              <w:jc w:val="center"/>
              <w:rPr>
                <w:rFonts w:eastAsia="仿宋_GB2312" w:cs="仿宋"/>
                <w:color w:val="auto"/>
                <w:kern w:val="0"/>
                <w:szCs w:val="21"/>
                <w:highlight w:val="none"/>
                <w:lang w:bidi="ar"/>
              </w:rPr>
            </w:pPr>
          </w:p>
        </w:tc>
        <w:tc>
          <w:tcPr>
            <w:tcW w:w="384" w:type="dxa"/>
            <w:shd w:val="clear" w:color="auto" w:fill="auto"/>
            <w:noWrap/>
            <w:vAlign w:val="center"/>
          </w:tcPr>
          <w:p w14:paraId="45E5F161">
            <w:pPr>
              <w:jc w:val="center"/>
              <w:rPr>
                <w:rFonts w:eastAsia="仿宋_GB2312" w:cs="仿宋"/>
                <w:color w:val="auto"/>
                <w:kern w:val="0"/>
                <w:szCs w:val="21"/>
                <w:highlight w:val="none"/>
              </w:rPr>
            </w:pPr>
          </w:p>
        </w:tc>
        <w:tc>
          <w:tcPr>
            <w:tcW w:w="408" w:type="dxa"/>
            <w:shd w:val="clear" w:color="auto" w:fill="auto"/>
            <w:noWrap/>
            <w:vAlign w:val="center"/>
          </w:tcPr>
          <w:p w14:paraId="4608D596">
            <w:pPr>
              <w:jc w:val="center"/>
              <w:rPr>
                <w:rFonts w:eastAsia="仿宋_GB2312" w:cs="仿宋"/>
                <w:color w:val="auto"/>
                <w:kern w:val="0"/>
                <w:szCs w:val="21"/>
                <w:highlight w:val="none"/>
              </w:rPr>
            </w:pPr>
          </w:p>
        </w:tc>
        <w:tc>
          <w:tcPr>
            <w:tcW w:w="408" w:type="dxa"/>
            <w:shd w:val="clear" w:color="auto" w:fill="auto"/>
            <w:noWrap/>
            <w:vAlign w:val="center"/>
          </w:tcPr>
          <w:p w14:paraId="4EF9CC33">
            <w:pPr>
              <w:jc w:val="center"/>
              <w:rPr>
                <w:rFonts w:eastAsia="仿宋_GB2312" w:cs="仿宋"/>
                <w:color w:val="auto"/>
                <w:kern w:val="0"/>
                <w:szCs w:val="21"/>
                <w:highlight w:val="none"/>
              </w:rPr>
            </w:pPr>
          </w:p>
        </w:tc>
        <w:tc>
          <w:tcPr>
            <w:tcW w:w="432" w:type="dxa"/>
            <w:shd w:val="clear" w:color="auto" w:fill="auto"/>
            <w:noWrap/>
            <w:vAlign w:val="center"/>
          </w:tcPr>
          <w:p w14:paraId="27AFC7EB">
            <w:pPr>
              <w:jc w:val="center"/>
              <w:rPr>
                <w:rFonts w:eastAsia="仿宋_GB2312" w:cs="仿宋"/>
                <w:color w:val="auto"/>
                <w:kern w:val="0"/>
                <w:szCs w:val="21"/>
                <w:highlight w:val="none"/>
              </w:rPr>
            </w:pPr>
          </w:p>
        </w:tc>
        <w:tc>
          <w:tcPr>
            <w:tcW w:w="352" w:type="dxa"/>
            <w:shd w:val="clear" w:color="auto" w:fill="auto"/>
            <w:noWrap/>
            <w:vAlign w:val="center"/>
          </w:tcPr>
          <w:p w14:paraId="107D5D77">
            <w:pPr>
              <w:jc w:val="center"/>
              <w:rPr>
                <w:rFonts w:eastAsia="仿宋_GB2312" w:cs="仿宋"/>
                <w:color w:val="auto"/>
                <w:szCs w:val="21"/>
                <w:highlight w:val="none"/>
              </w:rPr>
            </w:pPr>
          </w:p>
        </w:tc>
        <w:tc>
          <w:tcPr>
            <w:tcW w:w="684" w:type="dxa"/>
            <w:shd w:val="clear" w:color="auto" w:fill="auto"/>
            <w:noWrap/>
            <w:vAlign w:val="center"/>
          </w:tcPr>
          <w:p w14:paraId="0E5CBC58">
            <w:pPr>
              <w:widowControl/>
              <w:jc w:val="center"/>
              <w:textAlignment w:val="center"/>
              <w:rPr>
                <w:rFonts w:eastAsia="仿宋_GB2312" w:cs="仿宋"/>
                <w:color w:val="auto"/>
                <w:kern w:val="0"/>
                <w:szCs w:val="21"/>
                <w:highlight w:val="none"/>
                <w:lang w:bidi="ar"/>
              </w:rPr>
            </w:pPr>
          </w:p>
        </w:tc>
      </w:tr>
    </w:tbl>
    <w:p w14:paraId="5EADF791">
      <w:pPr>
        <w:overflowPunct w:val="0"/>
        <w:adjustRightInd w:val="0"/>
        <w:spacing w:line="520" w:lineRule="exact"/>
        <w:ind w:firstLine="640" w:firstLineChars="200"/>
        <w:outlineLvl w:val="0"/>
        <w:rPr>
          <w:rFonts w:eastAsia="黑体" w:cs="黑体"/>
          <w:color w:val="auto"/>
          <w:sz w:val="32"/>
          <w:szCs w:val="32"/>
          <w:highlight w:val="none"/>
        </w:rPr>
      </w:pPr>
      <w:r>
        <w:rPr>
          <w:rFonts w:hint="eastAsia" w:eastAsia="黑体" w:cs="黑体"/>
          <w:color w:val="auto"/>
          <w:sz w:val="32"/>
          <w:szCs w:val="32"/>
          <w:highlight w:val="none"/>
        </w:rPr>
        <w:t>八、实施保障</w:t>
      </w:r>
    </w:p>
    <w:p w14:paraId="482E39E6">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（一）师资队伍</w:t>
      </w:r>
    </w:p>
    <w:p w14:paraId="7152372F">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1.队伍结构</w:t>
      </w:r>
    </w:p>
    <w:p w14:paraId="35A41949">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5B58D090">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专业教师团队现有专任教师6人，获取职称人数为5人。其中副高及以上职称1人，中级职称3人，初级职称1人。双师型专任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0F810F53">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2.专任教师</w:t>
      </w:r>
    </w:p>
    <w:p w14:paraId="47702DD9">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专任教师应具有高校教师资格；有理想信念、有道德情操、有扎实学识、有仁爱之心；具有环境工程、土木工程等相关专业本科及以上学历；具有扎实的本专业相关理论功底和实践能力；具有较强信息化教学能力，能够开展课程教学改革和科学研究；有每5年累计不少于6个月的企业实践经历。</w:t>
      </w:r>
    </w:p>
    <w:p w14:paraId="0409D592">
      <w:pPr>
        <w:overflowPunct w:val="0"/>
        <w:adjustRightInd w:val="0"/>
        <w:spacing w:line="520" w:lineRule="exact"/>
        <w:ind w:firstLine="640" w:firstLineChars="200"/>
        <w:rPr>
          <w:rFonts w:eastAsia="仿宋_GB2312" w:cs="楷体"/>
          <w:color w:val="auto"/>
          <w:sz w:val="32"/>
          <w:szCs w:val="32"/>
          <w:highlight w:val="none"/>
        </w:rPr>
      </w:pPr>
      <w:r>
        <w:rPr>
          <w:rFonts w:eastAsia="仿宋_GB2312" w:cs="楷体"/>
          <w:color w:val="auto"/>
          <w:sz w:val="32"/>
          <w:szCs w:val="32"/>
          <w:highlight w:val="none"/>
        </w:rPr>
        <w:t>3.</w:t>
      </w:r>
      <w:r>
        <w:rPr>
          <w:rFonts w:hint="eastAsia" w:eastAsia="仿宋_GB2312" w:cs="楷体"/>
          <w:color w:val="auto"/>
          <w:sz w:val="32"/>
          <w:szCs w:val="32"/>
          <w:highlight w:val="none"/>
        </w:rPr>
        <w:t>专业带头人</w:t>
      </w:r>
    </w:p>
    <w:p w14:paraId="33B19948">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专业带头人原则上应具有副高及以上职称，能够较好地把握国内外环境工程、土木工程行业、专业发展，能广泛联系行业企业，了解行业企业对本专业人才的需求实际，教学设计、专业研究能力强，组织开展教科研工作能力强，在本区域或本领域具有一定的专业影响力。本专业带头人为方乃钦，副高职称，负责本专业的规划与建设、主持专业人才培养方案、课程标准的制定与修订、教材、专业教学标准、专业认证体系的建设工作、负责本专业教学改革和实践技能培养方案的制定等工作。</w:t>
      </w:r>
    </w:p>
    <w:p w14:paraId="0D7833B0">
      <w:pPr>
        <w:overflowPunct w:val="0"/>
        <w:adjustRightInd w:val="0"/>
        <w:spacing w:line="520" w:lineRule="exact"/>
        <w:ind w:firstLine="640" w:firstLineChars="200"/>
        <w:rPr>
          <w:rFonts w:eastAsia="仿宋_GB2312" w:cs="楷体"/>
          <w:color w:val="auto"/>
          <w:sz w:val="32"/>
          <w:szCs w:val="32"/>
          <w:highlight w:val="none"/>
        </w:rPr>
      </w:pPr>
      <w:r>
        <w:rPr>
          <w:rFonts w:eastAsia="仿宋_GB2312" w:cs="楷体"/>
          <w:color w:val="auto"/>
          <w:sz w:val="32"/>
          <w:szCs w:val="32"/>
          <w:highlight w:val="none"/>
        </w:rPr>
        <w:t>4.</w:t>
      </w:r>
      <w:r>
        <w:rPr>
          <w:rFonts w:hint="eastAsia" w:eastAsia="仿宋_GB2312" w:cs="楷体"/>
          <w:color w:val="auto"/>
          <w:sz w:val="32"/>
          <w:szCs w:val="32"/>
          <w:highlight w:val="none"/>
        </w:rPr>
        <w:t>兼职教师</w:t>
      </w:r>
    </w:p>
    <w:p w14:paraId="67CCC88D">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2人，中级职称，承担环境微生物、工程地质与水文等课程教学任务。</w:t>
      </w:r>
    </w:p>
    <w:p w14:paraId="25B8AF3C">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（二）教学设施</w:t>
      </w:r>
    </w:p>
    <w:p w14:paraId="29A13D0F">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教学设施主要包括能够满足正常的课程教学、实习实训所需的专业教室、校内实训室和校外实训基地等。</w:t>
      </w:r>
    </w:p>
    <w:p w14:paraId="4687701E">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1.专业教室要求</w:t>
      </w:r>
    </w:p>
    <w:p w14:paraId="0E30B965">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学校为该专业配备公共教室（配备有多媒体设施）、多媒体教室等，满足理论教学要求。</w:t>
      </w:r>
    </w:p>
    <w:p w14:paraId="71880E92">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配有黑（白）板、多媒体计算机、投影设备、音响设备，安装应急照明装置并保持良好状态，符合紧急疏散要求，标志明显，逃生通道畅通无阻。</w:t>
      </w:r>
    </w:p>
    <w:p w14:paraId="37E22ABA">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2.校内实训资源</w:t>
      </w:r>
    </w:p>
    <w:p w14:paraId="23A560DD">
      <w:pPr>
        <w:overflowPunct w:val="0"/>
        <w:adjustRightInd w:val="0"/>
        <w:spacing w:line="520" w:lineRule="exact"/>
        <w:jc w:val="center"/>
        <w:rPr>
          <w:rFonts w:eastAsia="仿宋_GB2312" w:cs="仿宋"/>
          <w:color w:val="auto"/>
          <w:kern w:val="0"/>
          <w:sz w:val="32"/>
          <w:szCs w:val="32"/>
          <w:highlight w:val="none"/>
        </w:rPr>
      </w:pPr>
      <w:r>
        <w:rPr>
          <w:rFonts w:hint="eastAsia" w:eastAsia="仿宋_GB2312" w:cs="仿宋"/>
          <w:color w:val="auto"/>
          <w:sz w:val="32"/>
          <w:szCs w:val="32"/>
          <w:highlight w:val="none"/>
        </w:rPr>
        <w:t>环境工程技术</w:t>
      </w:r>
      <w:r>
        <w:rPr>
          <w:rFonts w:hint="eastAsia" w:eastAsia="仿宋_GB2312" w:cs="仿宋"/>
          <w:color w:val="auto"/>
          <w:kern w:val="0"/>
          <w:sz w:val="32"/>
          <w:szCs w:val="32"/>
          <w:highlight w:val="none"/>
        </w:rPr>
        <w:t>专业校内实训资源列表</w:t>
      </w:r>
    </w:p>
    <w:tbl>
      <w:tblPr>
        <w:tblStyle w:val="8"/>
        <w:tblW w:w="9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1221"/>
        <w:gridCol w:w="1417"/>
        <w:gridCol w:w="2116"/>
        <w:gridCol w:w="2650"/>
        <w:gridCol w:w="934"/>
      </w:tblGrid>
      <w:tr w14:paraId="5670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dxa"/>
            <w:vAlign w:val="center"/>
          </w:tcPr>
          <w:p w14:paraId="2911915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221" w:type="dxa"/>
            <w:vAlign w:val="center"/>
          </w:tcPr>
          <w:p w14:paraId="3AB8B38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实验实训室名称</w:t>
            </w:r>
          </w:p>
        </w:tc>
        <w:tc>
          <w:tcPr>
            <w:tcW w:w="1417" w:type="dxa"/>
            <w:vAlign w:val="center"/>
          </w:tcPr>
          <w:p w14:paraId="3DD974B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实训适用课程</w:t>
            </w:r>
          </w:p>
        </w:tc>
        <w:tc>
          <w:tcPr>
            <w:tcW w:w="2116" w:type="dxa"/>
            <w:vAlign w:val="center"/>
          </w:tcPr>
          <w:p w14:paraId="65F28AE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实训项目</w:t>
            </w:r>
          </w:p>
        </w:tc>
        <w:tc>
          <w:tcPr>
            <w:tcW w:w="2650" w:type="dxa"/>
            <w:vAlign w:val="center"/>
          </w:tcPr>
          <w:p w14:paraId="321AB93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主要设备名称及配置数量</w:t>
            </w:r>
          </w:p>
        </w:tc>
        <w:tc>
          <w:tcPr>
            <w:tcW w:w="934" w:type="dxa"/>
            <w:vAlign w:val="center"/>
          </w:tcPr>
          <w:p w14:paraId="4F0BE2A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工位数</w:t>
            </w:r>
          </w:p>
        </w:tc>
      </w:tr>
      <w:tr w14:paraId="7033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trPr>
        <w:tc>
          <w:tcPr>
            <w:tcW w:w="912" w:type="dxa"/>
            <w:vAlign w:val="center"/>
          </w:tcPr>
          <w:p w14:paraId="1E76FB6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221" w:type="dxa"/>
            <w:vAlign w:val="center"/>
          </w:tcPr>
          <w:p w14:paraId="148773C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建筑材料检测实训中心</w:t>
            </w:r>
          </w:p>
        </w:tc>
        <w:tc>
          <w:tcPr>
            <w:tcW w:w="1417" w:type="dxa"/>
            <w:vAlign w:val="center"/>
          </w:tcPr>
          <w:p w14:paraId="5C80FE3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w:t>
            </w:r>
          </w:p>
        </w:tc>
        <w:tc>
          <w:tcPr>
            <w:tcW w:w="2116" w:type="dxa"/>
            <w:vAlign w:val="center"/>
          </w:tcPr>
          <w:p w14:paraId="2923151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水泥凝结时间、安定性、标准稠度用水量、水泥细度、胶砂强度、沙子筛分实验</w:t>
            </w:r>
          </w:p>
        </w:tc>
        <w:tc>
          <w:tcPr>
            <w:tcW w:w="2650" w:type="dxa"/>
          </w:tcPr>
          <w:p w14:paraId="3AC1D81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eastAsia="仿宋_GB2312" w:cs="仿宋"/>
                <w:color w:val="auto"/>
                <w:sz w:val="24"/>
                <w:highlight w:val="none"/>
              </w:rPr>
              <w:t>2台</w:t>
            </w:r>
            <w:r>
              <w:rPr>
                <w:rFonts w:hint="eastAsia" w:eastAsia="仿宋_GB2312" w:cs="仿宋"/>
                <w:color w:val="auto"/>
                <w:sz w:val="24"/>
                <w:highlight w:val="none"/>
              </w:rPr>
              <w:t>、自动水泥胶砂流动度测定仪1台、ISO水泥胶砂振实台1台、自动数显搁板式磨耗试验机1台、震击式两用振摆筛选机1台、电热蒸馏水器1台、数控水泥砼标准养护箱1台、连续式标点机1台、洛氏硬度计1台、水泥抗压夹具×2、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934" w:type="dxa"/>
            <w:vAlign w:val="center"/>
          </w:tcPr>
          <w:p w14:paraId="4518E76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30</w:t>
            </w:r>
          </w:p>
        </w:tc>
      </w:tr>
      <w:tr w14:paraId="7627A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dxa"/>
            <w:vAlign w:val="center"/>
          </w:tcPr>
          <w:p w14:paraId="2E8EB3F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221" w:type="dxa"/>
            <w:vAlign w:val="center"/>
          </w:tcPr>
          <w:p w14:paraId="0613576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土工实训室</w:t>
            </w:r>
          </w:p>
        </w:tc>
        <w:tc>
          <w:tcPr>
            <w:tcW w:w="1417" w:type="dxa"/>
          </w:tcPr>
          <w:p w14:paraId="3160A6EB">
            <w:pPr>
              <w:overflowPunct w:val="0"/>
              <w:adjustRightInd w:val="0"/>
              <w:spacing w:line="360" w:lineRule="exact"/>
              <w:jc w:val="center"/>
              <w:rPr>
                <w:rFonts w:eastAsia="仿宋_GB2312" w:cs="仿宋"/>
                <w:color w:val="auto"/>
                <w:sz w:val="24"/>
                <w:highlight w:val="none"/>
              </w:rPr>
            </w:pPr>
          </w:p>
          <w:p w14:paraId="71067D3F">
            <w:pPr>
              <w:overflowPunct w:val="0"/>
              <w:adjustRightInd w:val="0"/>
              <w:spacing w:line="360" w:lineRule="exact"/>
              <w:jc w:val="center"/>
              <w:rPr>
                <w:rFonts w:eastAsia="仿宋_GB2312" w:cs="仿宋"/>
                <w:color w:val="auto"/>
                <w:sz w:val="24"/>
                <w:highlight w:val="none"/>
              </w:rPr>
            </w:pPr>
          </w:p>
          <w:p w14:paraId="511CAA2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环境工程施工技术</w:t>
            </w:r>
          </w:p>
        </w:tc>
        <w:tc>
          <w:tcPr>
            <w:tcW w:w="2116" w:type="dxa"/>
            <w:vAlign w:val="center"/>
          </w:tcPr>
          <w:p w14:paraId="0A9FD49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土性质的检测、道路路面检测实训</w:t>
            </w:r>
          </w:p>
        </w:tc>
        <w:tc>
          <w:tcPr>
            <w:tcW w:w="2650" w:type="dxa"/>
            <w:vAlign w:val="center"/>
          </w:tcPr>
          <w:p w14:paraId="2E864AA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液塑限联合测定仪1台、标准击实仪1台、路面材料强度仪1台、应变控制式直剪仪1台、饰面砖粘结强度检测仪5台、公路路面回弹弯沉仪2台</w:t>
            </w:r>
          </w:p>
        </w:tc>
        <w:tc>
          <w:tcPr>
            <w:tcW w:w="934" w:type="dxa"/>
            <w:vAlign w:val="center"/>
          </w:tcPr>
          <w:p w14:paraId="7105B69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0C384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dxa"/>
            <w:vAlign w:val="center"/>
          </w:tcPr>
          <w:p w14:paraId="271B581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221" w:type="dxa"/>
            <w:vAlign w:val="center"/>
          </w:tcPr>
          <w:p w14:paraId="50CADF0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给水排水实验实训中心</w:t>
            </w:r>
          </w:p>
        </w:tc>
        <w:tc>
          <w:tcPr>
            <w:tcW w:w="1417" w:type="dxa"/>
          </w:tcPr>
          <w:p w14:paraId="724FF92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水污染控制工程</w:t>
            </w:r>
          </w:p>
        </w:tc>
        <w:tc>
          <w:tcPr>
            <w:tcW w:w="2116" w:type="dxa"/>
          </w:tcPr>
          <w:p w14:paraId="6F9E40F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了解城市污水典型的水处理过程</w:t>
            </w:r>
          </w:p>
        </w:tc>
        <w:tc>
          <w:tcPr>
            <w:tcW w:w="2650" w:type="dxa"/>
            <w:vAlign w:val="center"/>
          </w:tcPr>
          <w:p w14:paraId="0AFCCBF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城市污水处理典型流程1台、离心泵装置（电动）、分段多级式离心泵（电动）1台、污水处理试验台1台、给排水设备安装与控制实训装置1套</w:t>
            </w:r>
          </w:p>
        </w:tc>
        <w:tc>
          <w:tcPr>
            <w:tcW w:w="934" w:type="dxa"/>
            <w:vAlign w:val="center"/>
          </w:tcPr>
          <w:p w14:paraId="34D3007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20</w:t>
            </w:r>
          </w:p>
        </w:tc>
      </w:tr>
    </w:tbl>
    <w:p w14:paraId="70E1C97F">
      <w:pPr>
        <w:overflowPunct w:val="0"/>
        <w:adjustRightInd w:val="0"/>
        <w:spacing w:line="360" w:lineRule="exact"/>
        <w:jc w:val="center"/>
        <w:rPr>
          <w:rFonts w:eastAsia="仿宋_GB2312" w:cs="仿宋"/>
          <w:color w:val="auto"/>
          <w:sz w:val="24"/>
          <w:highlight w:val="none"/>
        </w:rPr>
      </w:pPr>
    </w:p>
    <w:p w14:paraId="38760109">
      <w:pPr>
        <w:overflowPunct w:val="0"/>
        <w:adjustRightInd w:val="0"/>
        <w:spacing w:line="360" w:lineRule="exact"/>
        <w:jc w:val="center"/>
        <w:rPr>
          <w:rFonts w:eastAsia="仿宋_GB2312" w:cs="仿宋"/>
          <w:color w:val="auto"/>
          <w:sz w:val="24"/>
          <w:highlight w:val="none"/>
        </w:rPr>
      </w:pPr>
    </w:p>
    <w:p w14:paraId="3D69B4C3">
      <w:pPr>
        <w:overflowPunct w:val="0"/>
        <w:adjustRightInd w:val="0"/>
        <w:spacing w:line="520" w:lineRule="exact"/>
        <w:rPr>
          <w:rFonts w:eastAsia="仿宋_GB2312" w:cs="楷体"/>
          <w:color w:val="auto"/>
          <w:sz w:val="32"/>
          <w:szCs w:val="32"/>
          <w:highlight w:val="none"/>
        </w:rPr>
      </w:pPr>
      <w:r>
        <w:rPr>
          <w:rFonts w:hint="eastAsia" w:eastAsia="仿宋_GB2312" w:cs="楷体"/>
          <w:color w:val="auto"/>
          <w:sz w:val="32"/>
          <w:szCs w:val="32"/>
          <w:highlight w:val="none"/>
        </w:rPr>
        <w:t>3.校外实训资源</w:t>
      </w:r>
    </w:p>
    <w:p w14:paraId="23B3B381">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w:t>
      </w:r>
      <w:r>
        <w:rPr>
          <w:rFonts w:eastAsia="仿宋_GB2312" w:cs="楷体"/>
          <w:color w:val="auto"/>
          <w:sz w:val="32"/>
          <w:szCs w:val="32"/>
          <w:highlight w:val="none"/>
        </w:rPr>
        <w:t>1</w:t>
      </w:r>
      <w:r>
        <w:rPr>
          <w:rFonts w:hint="eastAsia" w:eastAsia="仿宋_GB2312" w:cs="楷体"/>
          <w:color w:val="auto"/>
          <w:sz w:val="32"/>
          <w:szCs w:val="32"/>
          <w:highlight w:val="none"/>
        </w:rPr>
        <w:t>）校外实训基地基本要求</w:t>
      </w:r>
    </w:p>
    <w:p w14:paraId="3EAFF24C">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具有稳定的校外实训基地2个以上；能够开展污水处理等实训活动；实训设施齐备，实训岗位、实训指导教师确定，实训管理及实施规章制度齐全。</w:t>
      </w:r>
    </w:p>
    <w:p w14:paraId="15DFC3B5">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w:t>
      </w:r>
      <w:r>
        <w:rPr>
          <w:rFonts w:eastAsia="仿宋_GB2312" w:cs="楷体"/>
          <w:color w:val="auto"/>
          <w:sz w:val="32"/>
          <w:szCs w:val="32"/>
          <w:highlight w:val="none"/>
        </w:rPr>
        <w:t>2</w:t>
      </w:r>
      <w:r>
        <w:rPr>
          <w:rFonts w:hint="eastAsia" w:eastAsia="仿宋_GB2312" w:cs="楷体"/>
          <w:color w:val="auto"/>
          <w:sz w:val="32"/>
          <w:szCs w:val="32"/>
          <w:highlight w:val="none"/>
        </w:rPr>
        <w:t>）学生实习基地基本要求</w:t>
      </w:r>
    </w:p>
    <w:p w14:paraId="61C9723E">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具有稳定的校外实习基地2个以上；能提供环境工程监理、环境监测等相关实习岗位，能涵盖当前相关产业的主流技术，可接纳一定规模的学生实习；能够配备相应数量的指导教师对学生实习进行指导和管理；有保证实习生日常工作、学习、生活的规章制度，有安全、保险保障。</w:t>
      </w:r>
    </w:p>
    <w:p w14:paraId="517AE443">
      <w:pPr>
        <w:overflowPunct w:val="0"/>
        <w:adjustRightInd w:val="0"/>
        <w:spacing w:line="520" w:lineRule="exact"/>
        <w:ind w:firstLine="1280" w:firstLineChars="400"/>
        <w:rPr>
          <w:rFonts w:eastAsia="仿宋_GB2312" w:cs="仿宋"/>
          <w:color w:val="auto"/>
          <w:sz w:val="32"/>
          <w:szCs w:val="32"/>
          <w:highlight w:val="none"/>
        </w:rPr>
      </w:pPr>
      <w:r>
        <w:rPr>
          <w:rFonts w:hint="eastAsia" w:eastAsia="仿宋_GB2312" w:cs="仿宋"/>
          <w:color w:val="auto"/>
          <w:sz w:val="32"/>
          <w:szCs w:val="32"/>
          <w:highlight w:val="none"/>
        </w:rPr>
        <w:t>环境工程技术专业校外实习基地一览表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2221"/>
        <w:gridCol w:w="1693"/>
        <w:gridCol w:w="1282"/>
        <w:gridCol w:w="1276"/>
        <w:gridCol w:w="1417"/>
      </w:tblGrid>
      <w:tr w14:paraId="3BD8C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14:paraId="78DC2849">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2221" w:type="dxa"/>
            <w:vAlign w:val="center"/>
          </w:tcPr>
          <w:p w14:paraId="2A05207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校外实习基地名称</w:t>
            </w:r>
          </w:p>
        </w:tc>
        <w:tc>
          <w:tcPr>
            <w:tcW w:w="1693" w:type="dxa"/>
            <w:vAlign w:val="center"/>
          </w:tcPr>
          <w:p w14:paraId="15FDEF05">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合作企业名称</w:t>
            </w:r>
          </w:p>
        </w:tc>
        <w:tc>
          <w:tcPr>
            <w:tcW w:w="1282" w:type="dxa"/>
            <w:vAlign w:val="center"/>
          </w:tcPr>
          <w:p w14:paraId="3FF727F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用途</w:t>
            </w:r>
          </w:p>
        </w:tc>
        <w:tc>
          <w:tcPr>
            <w:tcW w:w="1276" w:type="dxa"/>
            <w:vAlign w:val="center"/>
          </w:tcPr>
          <w:p w14:paraId="779ED3AA">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合作深度要求</w:t>
            </w:r>
          </w:p>
        </w:tc>
        <w:tc>
          <w:tcPr>
            <w:tcW w:w="1417" w:type="dxa"/>
            <w:vAlign w:val="center"/>
          </w:tcPr>
          <w:p w14:paraId="16E231EA">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接纳学生实习人次</w:t>
            </w:r>
          </w:p>
        </w:tc>
      </w:tr>
      <w:tr w14:paraId="1DA49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633" w:type="dxa"/>
            <w:vAlign w:val="center"/>
          </w:tcPr>
          <w:p w14:paraId="7D38C3FE">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2221" w:type="dxa"/>
            <w:vAlign w:val="center"/>
          </w:tcPr>
          <w:p w14:paraId="0404375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广西工程职业学院环境工程技术专业校外实习基地</w:t>
            </w:r>
          </w:p>
        </w:tc>
        <w:tc>
          <w:tcPr>
            <w:tcW w:w="1693" w:type="dxa"/>
            <w:vAlign w:val="center"/>
          </w:tcPr>
          <w:p w14:paraId="0AAEDB64">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广西西湾环境监测有限责任公司</w:t>
            </w:r>
          </w:p>
        </w:tc>
        <w:tc>
          <w:tcPr>
            <w:tcW w:w="1282" w:type="dxa"/>
            <w:vAlign w:val="center"/>
          </w:tcPr>
          <w:p w14:paraId="39DC84C0">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276" w:type="dxa"/>
            <w:vAlign w:val="center"/>
          </w:tcPr>
          <w:p w14:paraId="674C06AE">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417" w:type="dxa"/>
            <w:vAlign w:val="center"/>
          </w:tcPr>
          <w:p w14:paraId="093134A3">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75FD5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633" w:type="dxa"/>
            <w:vAlign w:val="center"/>
          </w:tcPr>
          <w:p w14:paraId="186C28DA">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2221" w:type="dxa"/>
            <w:vAlign w:val="center"/>
          </w:tcPr>
          <w:p w14:paraId="5B89808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广西工程职业学院环境工程技术专业校外实习基地</w:t>
            </w:r>
          </w:p>
        </w:tc>
        <w:tc>
          <w:tcPr>
            <w:tcW w:w="1693" w:type="dxa"/>
            <w:vAlign w:val="center"/>
          </w:tcPr>
          <w:p w14:paraId="69FB8C7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广西循复再生资源有限公司</w:t>
            </w:r>
          </w:p>
        </w:tc>
        <w:tc>
          <w:tcPr>
            <w:tcW w:w="1282" w:type="dxa"/>
            <w:vAlign w:val="center"/>
          </w:tcPr>
          <w:p w14:paraId="61908E79">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276" w:type="dxa"/>
            <w:vAlign w:val="center"/>
          </w:tcPr>
          <w:p w14:paraId="62D3345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417" w:type="dxa"/>
            <w:vAlign w:val="center"/>
          </w:tcPr>
          <w:p w14:paraId="7FE10F7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3182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633" w:type="dxa"/>
            <w:vAlign w:val="center"/>
          </w:tcPr>
          <w:p w14:paraId="1A11AF4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2221" w:type="dxa"/>
            <w:vAlign w:val="center"/>
          </w:tcPr>
          <w:p w14:paraId="6899316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广西工程职业学院环境工程技术专业校外实习基地</w:t>
            </w:r>
          </w:p>
        </w:tc>
        <w:tc>
          <w:tcPr>
            <w:tcW w:w="1693" w:type="dxa"/>
            <w:vAlign w:val="center"/>
          </w:tcPr>
          <w:p w14:paraId="5BEC68B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平果海创环保科技有限责任公司</w:t>
            </w:r>
          </w:p>
        </w:tc>
        <w:tc>
          <w:tcPr>
            <w:tcW w:w="1282" w:type="dxa"/>
            <w:vAlign w:val="center"/>
          </w:tcPr>
          <w:p w14:paraId="32A2BC18">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276" w:type="dxa"/>
            <w:vAlign w:val="center"/>
          </w:tcPr>
          <w:p w14:paraId="1050B538">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417" w:type="dxa"/>
            <w:vAlign w:val="center"/>
          </w:tcPr>
          <w:p w14:paraId="5E6BB7F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6773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633" w:type="dxa"/>
            <w:vAlign w:val="center"/>
          </w:tcPr>
          <w:p w14:paraId="65C7DF7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2221" w:type="dxa"/>
            <w:vAlign w:val="center"/>
          </w:tcPr>
          <w:p w14:paraId="579FA50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广西工程职业学院环境工程技术专业校外实习基地</w:t>
            </w:r>
          </w:p>
        </w:tc>
        <w:tc>
          <w:tcPr>
            <w:tcW w:w="1693" w:type="dxa"/>
            <w:vAlign w:val="center"/>
          </w:tcPr>
          <w:p w14:paraId="111E58B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南宁漓源粮油饲料有限公司</w:t>
            </w:r>
          </w:p>
        </w:tc>
        <w:tc>
          <w:tcPr>
            <w:tcW w:w="1282" w:type="dxa"/>
            <w:vAlign w:val="center"/>
          </w:tcPr>
          <w:p w14:paraId="0841202E">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276" w:type="dxa"/>
            <w:vAlign w:val="center"/>
          </w:tcPr>
          <w:p w14:paraId="4A48CFF9">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417" w:type="dxa"/>
            <w:vAlign w:val="center"/>
          </w:tcPr>
          <w:p w14:paraId="0786761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50</w:t>
            </w:r>
          </w:p>
        </w:tc>
      </w:tr>
      <w:tr w14:paraId="07C03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633" w:type="dxa"/>
            <w:vAlign w:val="center"/>
          </w:tcPr>
          <w:p w14:paraId="6067C3F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2221" w:type="dxa"/>
            <w:vAlign w:val="center"/>
          </w:tcPr>
          <w:p w14:paraId="5F45894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广西工程职业学院环境工程技术专业校外实习基地</w:t>
            </w:r>
          </w:p>
        </w:tc>
        <w:tc>
          <w:tcPr>
            <w:tcW w:w="1693" w:type="dxa"/>
            <w:vAlign w:val="center"/>
          </w:tcPr>
          <w:p w14:paraId="29B5E7D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广西绿友农生物科技股份有限公司</w:t>
            </w:r>
          </w:p>
        </w:tc>
        <w:tc>
          <w:tcPr>
            <w:tcW w:w="1282" w:type="dxa"/>
            <w:vAlign w:val="center"/>
          </w:tcPr>
          <w:p w14:paraId="40F52EE1">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276" w:type="dxa"/>
            <w:vAlign w:val="center"/>
          </w:tcPr>
          <w:p w14:paraId="2AE0D84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417" w:type="dxa"/>
            <w:vAlign w:val="center"/>
          </w:tcPr>
          <w:p w14:paraId="4505105D">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50</w:t>
            </w:r>
          </w:p>
        </w:tc>
      </w:tr>
    </w:tbl>
    <w:p w14:paraId="7393CA5E">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（三）教学资源</w:t>
      </w:r>
    </w:p>
    <w:p w14:paraId="7C2CC27D">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教学资源主要包括能满足学生专业学习、教师专业教学研究和教学实施所需的教材、图书文献及数字教学资源等。</w:t>
      </w:r>
    </w:p>
    <w:p w14:paraId="30396ED5">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1.教材选用基本要求</w:t>
      </w:r>
    </w:p>
    <w:p w14:paraId="77C08A9F">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选用近五年内出版的高职高专国家级规划教材、自治区级规划教材、高职高专类出版教材。</w:t>
      </w:r>
    </w:p>
    <w:p w14:paraId="61D8BED9">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2.图书文献配备基本要求</w:t>
      </w:r>
    </w:p>
    <w:p w14:paraId="14A0F825">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图书文献配备能满足人才培养、专业建设、教科研等工作的需要，方便师生查询、借阅。专业类文献主要包括：环境保护相关行业政策法规、行业标准、技术规范以及环境管理与规划、环境监测与分析、环境影响评价、清洁生产与循环经济等与服务相关专业类图书和实务案例类图书。专业图书资料（含电子图书）不低于500册，5种以上环境工程技术类专业学术期刊，并能保持每年更新。</w:t>
      </w:r>
    </w:p>
    <w:p w14:paraId="74183872">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3.数字教学资源配置基本要求</w:t>
      </w:r>
    </w:p>
    <w:p w14:paraId="5A727CC1">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74FA050C">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（四）教学方法</w:t>
      </w:r>
    </w:p>
    <w:p w14:paraId="4F45CF7B">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3037A36">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（五）学习评价</w:t>
      </w:r>
    </w:p>
    <w:p w14:paraId="468EF1DE">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1.课程考核方法</w:t>
      </w:r>
    </w:p>
    <w:p w14:paraId="32CFE6E7">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64D25284">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课程成绩评定根据学生参与度、作业质量、实训效果与期末考核等项目确定不同比例进行综合评定，评定标准如下：</w:t>
      </w:r>
    </w:p>
    <w:p w14:paraId="43B71738">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（一）A类课程成绩构成（纯理论）</w:t>
      </w:r>
    </w:p>
    <w:p w14:paraId="0E8BB8D1">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课程总成绩=期末卷面考试成绩（50%）+平时过程性考核成绩（50%)</w:t>
      </w:r>
    </w:p>
    <w:p w14:paraId="08CB7BD8">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（二）B类课程成绩构成（理论+实践）</w:t>
      </w:r>
    </w:p>
    <w:p w14:paraId="76C2DBE5">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课程总成绩=理论部分期末卷面考试成绩（40%)+技能成绩（30%）+平时过程性考核成绩（30%)。</w:t>
      </w:r>
    </w:p>
    <w:p w14:paraId="0DBAB056">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（三）C类课程成绩构成(纯实践）</w:t>
      </w:r>
    </w:p>
    <w:p w14:paraId="41A3E3F4">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课程总成绩=技能成绩（50%）+平时过程性考核成绩（50%)</w:t>
      </w:r>
    </w:p>
    <w:p w14:paraId="7644E034">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2.教学评价方式</w:t>
      </w:r>
    </w:p>
    <w:p w14:paraId="0E16487D">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4F09394C">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（六）质量管理</w:t>
      </w:r>
    </w:p>
    <w:p w14:paraId="68C29AE5">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6A8ECEA">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361A771">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3.建立毕业生跟踪反馈机制及社会评价机制，并对生源情况、在校生学业水平、毕业生就业情况等进行分析，定期评价人才培养质量和培养目标达成情况。</w:t>
      </w:r>
    </w:p>
    <w:p w14:paraId="3BB4BF8E">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4.充分利用评价分析结果有效改进专业教学，持续提高人才培养质量。</w:t>
      </w:r>
    </w:p>
    <w:p w14:paraId="413A3A03">
      <w:pPr>
        <w:overflowPunct w:val="0"/>
        <w:adjustRightInd w:val="0"/>
        <w:spacing w:line="520" w:lineRule="exact"/>
        <w:ind w:firstLine="640" w:firstLineChars="200"/>
        <w:outlineLvl w:val="0"/>
        <w:rPr>
          <w:rFonts w:eastAsia="黑体" w:cs="黑体"/>
          <w:color w:val="auto"/>
          <w:sz w:val="32"/>
          <w:szCs w:val="32"/>
          <w:highlight w:val="none"/>
        </w:rPr>
      </w:pPr>
      <w:r>
        <w:rPr>
          <w:rFonts w:hint="eastAsia" w:eastAsia="黑体" w:cs="黑体"/>
          <w:color w:val="auto"/>
          <w:sz w:val="32"/>
          <w:szCs w:val="32"/>
          <w:highlight w:val="none"/>
        </w:rPr>
        <w:t>九、毕业要求</w:t>
      </w:r>
    </w:p>
    <w:p w14:paraId="76F10BA4">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学生必须具备以下条件，方可毕业：</w:t>
      </w:r>
    </w:p>
    <w:p w14:paraId="6B2F33BC">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（一）满足修业年限的要求：标准修业年限为3年，弹性学分有效修业年限为2-5年。</w:t>
      </w:r>
    </w:p>
    <w:p w14:paraId="6D5AC5F3">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（二）满足学分要求：至少取得155学分，其中，必修课学分137学分，公共选修课不低于12学分，专业选修课不少于6学分，达到专业培养目标和培养规格要求。</w:t>
      </w:r>
    </w:p>
    <w:p w14:paraId="4804745F">
      <w:pPr>
        <w:overflowPunct w:val="0"/>
        <w:adjustRightInd w:val="0"/>
        <w:spacing w:line="520" w:lineRule="exact"/>
        <w:ind w:firstLine="640" w:firstLineChars="200"/>
        <w:rPr>
          <w:rFonts w:eastAsia="仿宋_GB2312" w:cs="楷体"/>
          <w:color w:val="auto"/>
          <w:sz w:val="32"/>
          <w:szCs w:val="32"/>
          <w:highlight w:val="none"/>
        </w:rPr>
      </w:pPr>
      <w:r>
        <w:rPr>
          <w:rFonts w:hint="eastAsia" w:eastAsia="仿宋_GB2312" w:cs="楷体"/>
          <w:color w:val="auto"/>
          <w:sz w:val="32"/>
          <w:szCs w:val="32"/>
          <w:highlight w:val="none"/>
        </w:rPr>
        <w:t>（三）符合学生学籍管理的其它规定。</w:t>
      </w:r>
    </w:p>
    <w:p w14:paraId="7404DF3F">
      <w:pPr>
        <w:overflowPunct w:val="0"/>
        <w:adjustRightInd w:val="0"/>
        <w:spacing w:line="520" w:lineRule="exact"/>
        <w:ind w:firstLine="640" w:firstLineChars="200"/>
        <w:rPr>
          <w:rFonts w:eastAsia="仿宋_GB2312" w:cs="楷体"/>
          <w:color w:val="auto"/>
          <w:sz w:val="32"/>
          <w:szCs w:val="32"/>
          <w:highlight w:val="none"/>
        </w:rPr>
      </w:pPr>
    </w:p>
    <w:p w14:paraId="255017AA">
      <w:pPr>
        <w:overflowPunct w:val="0"/>
        <w:adjustRightInd w:val="0"/>
        <w:spacing w:line="520" w:lineRule="exact"/>
        <w:ind w:firstLine="640" w:firstLineChars="200"/>
        <w:rPr>
          <w:rFonts w:eastAsia="仿宋_GB2312" w:cs="楷体"/>
          <w:color w:val="auto"/>
          <w:sz w:val="32"/>
          <w:szCs w:val="32"/>
          <w:highlight w:val="none"/>
        </w:rPr>
      </w:pPr>
    </w:p>
    <w:p w14:paraId="02E8CB71">
      <w:pPr>
        <w:overflowPunct w:val="0"/>
        <w:adjustRightInd w:val="0"/>
        <w:spacing w:line="520" w:lineRule="exact"/>
        <w:rPr>
          <w:rFonts w:eastAsia="仿宋_GB2312" w:cs="楷体"/>
          <w:color w:val="auto"/>
          <w:sz w:val="32"/>
          <w:szCs w:val="32"/>
          <w:highlight w:val="none"/>
        </w:rPr>
      </w:pP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MmY0ZmQxNGVjYWUyZDM5OTIyOWRmN2ZiNGZmNzcifQ=="/>
  </w:docVars>
  <w:rsids>
    <w:rsidRoot w:val="00681F54"/>
    <w:rsid w:val="00051A19"/>
    <w:rsid w:val="00060488"/>
    <w:rsid w:val="0008424B"/>
    <w:rsid w:val="000972E9"/>
    <w:rsid w:val="000A222C"/>
    <w:rsid w:val="000A3428"/>
    <w:rsid w:val="000C7D65"/>
    <w:rsid w:val="00152526"/>
    <w:rsid w:val="0015647C"/>
    <w:rsid w:val="00165F64"/>
    <w:rsid w:val="00180897"/>
    <w:rsid w:val="001C0569"/>
    <w:rsid w:val="001E4A1A"/>
    <w:rsid w:val="00226DE4"/>
    <w:rsid w:val="00240F95"/>
    <w:rsid w:val="00271A99"/>
    <w:rsid w:val="002D3612"/>
    <w:rsid w:val="002E7B40"/>
    <w:rsid w:val="00381E59"/>
    <w:rsid w:val="003B69A8"/>
    <w:rsid w:val="003C3F2F"/>
    <w:rsid w:val="00424D8F"/>
    <w:rsid w:val="00436CFB"/>
    <w:rsid w:val="004B57CA"/>
    <w:rsid w:val="004C37A2"/>
    <w:rsid w:val="004D7F9B"/>
    <w:rsid w:val="005155C0"/>
    <w:rsid w:val="00535138"/>
    <w:rsid w:val="005369EB"/>
    <w:rsid w:val="00560808"/>
    <w:rsid w:val="005B6937"/>
    <w:rsid w:val="005F35B7"/>
    <w:rsid w:val="006135FB"/>
    <w:rsid w:val="00622BE1"/>
    <w:rsid w:val="00681F54"/>
    <w:rsid w:val="00697230"/>
    <w:rsid w:val="006A20B3"/>
    <w:rsid w:val="006C4116"/>
    <w:rsid w:val="006D451A"/>
    <w:rsid w:val="00711521"/>
    <w:rsid w:val="007235E9"/>
    <w:rsid w:val="007C70D1"/>
    <w:rsid w:val="007D3D27"/>
    <w:rsid w:val="00855189"/>
    <w:rsid w:val="008646FB"/>
    <w:rsid w:val="00867FFD"/>
    <w:rsid w:val="00877651"/>
    <w:rsid w:val="00883CEC"/>
    <w:rsid w:val="008B122D"/>
    <w:rsid w:val="008B49CC"/>
    <w:rsid w:val="008C78CD"/>
    <w:rsid w:val="008D63D5"/>
    <w:rsid w:val="008F31E0"/>
    <w:rsid w:val="009B4497"/>
    <w:rsid w:val="009D04F9"/>
    <w:rsid w:val="00AB334E"/>
    <w:rsid w:val="00B05956"/>
    <w:rsid w:val="00B121A2"/>
    <w:rsid w:val="00B54BC0"/>
    <w:rsid w:val="00D02AED"/>
    <w:rsid w:val="00DA5EED"/>
    <w:rsid w:val="00E10992"/>
    <w:rsid w:val="00E12E84"/>
    <w:rsid w:val="00EA0D00"/>
    <w:rsid w:val="00FA7730"/>
    <w:rsid w:val="00FB5751"/>
    <w:rsid w:val="074C0438"/>
    <w:rsid w:val="0BF46B46"/>
    <w:rsid w:val="0C191D25"/>
    <w:rsid w:val="11545C75"/>
    <w:rsid w:val="24103688"/>
    <w:rsid w:val="2A5577B7"/>
    <w:rsid w:val="2D883A7F"/>
    <w:rsid w:val="2DC4687C"/>
    <w:rsid w:val="331D1EA5"/>
    <w:rsid w:val="34824687"/>
    <w:rsid w:val="405C5CA7"/>
    <w:rsid w:val="453819B0"/>
    <w:rsid w:val="47C3128D"/>
    <w:rsid w:val="4A3861EB"/>
    <w:rsid w:val="4D07338B"/>
    <w:rsid w:val="515000B2"/>
    <w:rsid w:val="5161605C"/>
    <w:rsid w:val="57AA5F23"/>
    <w:rsid w:val="57AD3D05"/>
    <w:rsid w:val="5D6C742F"/>
    <w:rsid w:val="66B7161D"/>
    <w:rsid w:val="67B90B06"/>
    <w:rsid w:val="6B85739A"/>
    <w:rsid w:val="6C4117C9"/>
    <w:rsid w:val="70685364"/>
    <w:rsid w:val="71722B59"/>
    <w:rsid w:val="78F67244"/>
    <w:rsid w:val="7FB20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customStyle="1" w:styleId="11">
    <w:name w:val="批注框文本 Char"/>
    <w:basedOn w:val="9"/>
    <w:link w:val="3"/>
    <w:qFormat/>
    <w:uiPriority w:val="0"/>
    <w:rPr>
      <w:kern w:val="2"/>
      <w:sz w:val="18"/>
      <w:szCs w:val="18"/>
    </w:rPr>
  </w:style>
  <w:style w:type="character" w:customStyle="1" w:styleId="12">
    <w:name w:val="font11"/>
    <w:basedOn w:val="9"/>
    <w:qFormat/>
    <w:uiPriority w:val="0"/>
    <w:rPr>
      <w:rFonts w:hint="default" w:ascii="Times New Roman" w:hAnsi="Times New Roman" w:cs="Times New Roman"/>
      <w:color w:val="000000"/>
      <w:sz w:val="18"/>
      <w:szCs w:val="18"/>
      <w:u w:val="none"/>
    </w:rPr>
  </w:style>
  <w:style w:type="character" w:customStyle="1" w:styleId="13">
    <w:name w:val="页眉 Char"/>
    <w:basedOn w:val="9"/>
    <w:link w:val="5"/>
    <w:qFormat/>
    <w:uiPriority w:val="0"/>
    <w:rPr>
      <w:kern w:val="2"/>
      <w:sz w:val="18"/>
      <w:szCs w:val="18"/>
    </w:rPr>
  </w:style>
  <w:style w:type="character" w:customStyle="1" w:styleId="14">
    <w:name w:val="页脚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8415</Words>
  <Characters>8480</Characters>
  <Lines>182</Lines>
  <Paragraphs>51</Paragraphs>
  <TotalTime>2020</TotalTime>
  <ScaleCrop>false</ScaleCrop>
  <LinksUpToDate>false</LinksUpToDate>
  <CharactersWithSpaces>8480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cp:lastPrinted>2024-10-17T04:06:00Z</cp:lastPrinted>
  <dcterms:modified xsi:type="dcterms:W3CDTF">2025-03-07T09:33:50Z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CE71B234AC5348679043747A9AF78AD7_13</vt:lpwstr>
  </property>
  <property fmtid="{D5CDD505-2E9C-101B-9397-08002B2CF9AE}" pid="4" name="KSOTemplateDocerSaveRecord">
    <vt:lpwstr>eyJoZGlkIjoiOTU4NzdhMmIxMGNjZDBkMTE4M2I2M2Y5OTU5MzMxYmQiLCJ1c2VySWQiOiI0MTE4NzUxODAifQ==</vt:lpwstr>
  </property>
</Properties>
</file>