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val="0"/>
        <w:topLinePunct w:val="0"/>
        <w:autoSpaceDE/>
        <w:autoSpaceDN/>
        <w:bidi w:val="0"/>
        <w:adjustRightInd w:val="0"/>
        <w:snapToGrid w:val="0"/>
        <w:spacing w:after="0"/>
        <w:ind w:left="0" w:leftChars="0"/>
        <w:rPr>
          <w:rFonts w:hint="eastAsia" w:ascii="仿宋" w:hAnsi="仿宋" w:eastAsia="仿宋"/>
          <w:szCs w:val="32"/>
        </w:rPr>
      </w:pPr>
      <w:r>
        <w:rPr>
          <w:rFonts w:ascii="宋体" w:hAnsi="宋体" w:cs="宋体"/>
          <w:sz w:val="24"/>
        </w:rPr>
        <w:drawing>
          <wp:anchor distT="0" distB="0" distL="114300" distR="114300" simplePos="0" relativeHeight="251659264" behindDoc="1" locked="0" layoutInCell="1" allowOverlap="1">
            <wp:simplePos x="0" y="0"/>
            <wp:positionH relativeFrom="column">
              <wp:posOffset>-116205</wp:posOffset>
            </wp:positionH>
            <wp:positionV relativeFrom="paragraph">
              <wp:posOffset>771525</wp:posOffset>
            </wp:positionV>
            <wp:extent cx="5114925" cy="1130935"/>
            <wp:effectExtent l="0" t="0" r="5715" b="12065"/>
            <wp:wrapNone/>
            <wp:docPr id="2" name="图片 2" descr="774cab3c599d63778141cb733ecde9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74cab3c599d63778141cb733ecde9bc"/>
                    <pic:cNvPicPr>
                      <a:picLocks noChangeAspect="1"/>
                    </pic:cNvPicPr>
                  </pic:nvPicPr>
                  <pic:blipFill>
                    <a:blip r:embed="rId6"/>
                    <a:stretch>
                      <a:fillRect/>
                    </a:stretch>
                  </pic:blipFill>
                  <pic:spPr>
                    <a:xfrm>
                      <a:off x="0" y="0"/>
                      <a:ext cx="5114925" cy="1130935"/>
                    </a:xfrm>
                    <a:prstGeom prst="rect">
                      <a:avLst/>
                    </a:prstGeom>
                    <a:noFill/>
                    <a:ln>
                      <a:noFill/>
                    </a:ln>
                  </pic:spPr>
                </pic:pic>
              </a:graphicData>
            </a:graphic>
          </wp:anchor>
        </w:drawing>
      </w:r>
    </w:p>
    <w:p>
      <w:pPr>
        <w:pageBreakBefore w:val="0"/>
        <w:kinsoku/>
        <w:wordWrap/>
        <w:overflowPunct w:val="0"/>
        <w:topLinePunct w:val="0"/>
        <w:autoSpaceDE/>
        <w:autoSpaceDN/>
        <w:bidi w:val="0"/>
        <w:adjustRightInd w:val="0"/>
        <w:snapToGrid w:val="0"/>
        <w:spacing w:after="0"/>
        <w:ind w:left="0" w:leftChars="0"/>
        <w:jc w:val="center"/>
        <w:rPr>
          <w:rFonts w:hint="eastAsia" w:ascii="仿宋" w:hAnsi="仿宋" w:eastAsia="仿宋"/>
          <w:szCs w:val="32"/>
        </w:rPr>
      </w:pPr>
    </w:p>
    <w:p>
      <w:pPr>
        <w:pageBreakBefore w:val="0"/>
        <w:kinsoku/>
        <w:wordWrap/>
        <w:overflowPunct w:val="0"/>
        <w:topLinePunct w:val="0"/>
        <w:autoSpaceDE/>
        <w:autoSpaceDN/>
        <w:bidi w:val="0"/>
        <w:adjustRightInd w:val="0"/>
        <w:snapToGrid w:val="0"/>
        <w:spacing w:after="0"/>
        <w:ind w:left="0" w:leftChars="0"/>
        <w:jc w:val="center"/>
        <w:rPr>
          <w:rFonts w:hint="eastAsia" w:ascii="仿宋" w:hAnsi="仿宋" w:eastAsia="仿宋"/>
          <w:szCs w:val="32"/>
        </w:rPr>
      </w:pPr>
    </w:p>
    <w:p>
      <w:pPr>
        <w:pageBreakBefore w:val="0"/>
        <w:kinsoku/>
        <w:wordWrap/>
        <w:overflowPunct w:val="0"/>
        <w:topLinePunct w:val="0"/>
        <w:autoSpaceDE/>
        <w:autoSpaceDN/>
        <w:bidi w:val="0"/>
        <w:adjustRightInd w:val="0"/>
        <w:snapToGrid w:val="0"/>
        <w:spacing w:after="0"/>
        <w:ind w:left="0" w:leftChars="0"/>
        <w:jc w:val="center"/>
        <w:rPr>
          <w:rFonts w:hint="eastAsia" w:ascii="仿宋" w:hAnsi="仿宋" w:eastAsia="仿宋"/>
          <w:szCs w:val="32"/>
        </w:rPr>
      </w:pPr>
    </w:p>
    <w:p>
      <w:pPr>
        <w:pageBreakBefore w:val="0"/>
        <w:kinsoku/>
        <w:wordWrap/>
        <w:overflowPunct w:val="0"/>
        <w:topLinePunct w:val="0"/>
        <w:autoSpaceDE/>
        <w:autoSpaceDN/>
        <w:bidi w:val="0"/>
        <w:adjustRightInd w:val="0"/>
        <w:snapToGrid w:val="0"/>
        <w:spacing w:after="0"/>
        <w:ind w:left="0" w:leftChars="0"/>
        <w:jc w:val="center"/>
        <w:rPr>
          <w:rFonts w:hint="eastAsia" w:ascii="仿宋" w:hAnsi="仿宋" w:eastAsia="仿宋"/>
          <w:szCs w:val="32"/>
        </w:rPr>
      </w:pPr>
    </w:p>
    <w:p>
      <w:pPr>
        <w:pageBreakBefore w:val="0"/>
        <w:kinsoku/>
        <w:wordWrap/>
        <w:overflowPunct w:val="0"/>
        <w:topLinePunct w:val="0"/>
        <w:autoSpaceDE/>
        <w:autoSpaceDN/>
        <w:bidi w:val="0"/>
        <w:adjustRightInd w:val="0"/>
        <w:snapToGrid w:val="0"/>
        <w:spacing w:after="0"/>
        <w:ind w:left="0" w:leftChars="0"/>
        <w:jc w:val="center"/>
        <w:rPr>
          <w:rFonts w:hint="eastAsia" w:ascii="仿宋" w:hAnsi="仿宋" w:eastAsia="仿宋"/>
          <w:szCs w:val="32"/>
        </w:rPr>
      </w:pPr>
    </w:p>
    <w:p>
      <w:pPr>
        <w:pageBreakBefore w:val="0"/>
        <w:kinsoku/>
        <w:wordWrap/>
        <w:overflowPunct w:val="0"/>
        <w:topLinePunct w:val="0"/>
        <w:autoSpaceDE/>
        <w:autoSpaceDN/>
        <w:bidi w:val="0"/>
        <w:adjustRightInd w:val="0"/>
        <w:snapToGrid w:val="0"/>
        <w:spacing w:after="0"/>
        <w:ind w:left="0" w:leftChars="0"/>
        <w:jc w:val="center"/>
        <w:rPr>
          <w:rFonts w:hint="eastAsia" w:ascii="仿宋" w:hAnsi="仿宋" w:eastAsia="仿宋"/>
          <w:szCs w:val="32"/>
        </w:rPr>
      </w:pPr>
    </w:p>
    <w:p>
      <w:pPr>
        <w:pageBreakBefore w:val="0"/>
        <w:kinsoku/>
        <w:wordWrap/>
        <w:overflowPunct w:val="0"/>
        <w:topLinePunct w:val="0"/>
        <w:autoSpaceDE/>
        <w:autoSpaceDN/>
        <w:bidi w:val="0"/>
        <w:adjustRightInd w:val="0"/>
        <w:snapToGrid w:val="0"/>
        <w:spacing w:after="0"/>
        <w:ind w:left="0" w:leftChars="0"/>
        <w:rPr>
          <w:rFonts w:hint="eastAsia" w:ascii="华文新魏" w:hAnsi="仿宋" w:eastAsia="华文新魏"/>
          <w:b/>
          <w:sz w:val="100"/>
          <w:szCs w:val="100"/>
        </w:rPr>
      </w:pPr>
    </w:p>
    <w:p>
      <w:pPr>
        <w:pageBreakBefore w:val="0"/>
        <w:kinsoku/>
        <w:wordWrap/>
        <w:overflowPunct w:val="0"/>
        <w:topLinePunct w:val="0"/>
        <w:autoSpaceDE/>
        <w:autoSpaceDN/>
        <w:bidi w:val="0"/>
        <w:adjustRightInd w:val="0"/>
        <w:snapToGrid w:val="0"/>
        <w:spacing w:after="0" w:line="900" w:lineRule="exact"/>
        <w:ind w:left="0" w:leftChars="0"/>
        <w:jc w:val="center"/>
        <w:rPr>
          <w:rFonts w:hint="eastAsia" w:ascii="黑体" w:hAnsi="黑体" w:eastAsia="黑体" w:cs="黑体"/>
          <w:bCs/>
          <w:sz w:val="72"/>
          <w:szCs w:val="72"/>
        </w:rPr>
      </w:pPr>
      <w:r>
        <w:rPr>
          <w:rFonts w:hint="eastAsia" w:ascii="黑体" w:hAnsi="黑体" w:eastAsia="黑体" w:cs="黑体"/>
          <w:bCs/>
          <w:sz w:val="72"/>
          <w:szCs w:val="72"/>
        </w:rPr>
        <w:t>202</w:t>
      </w:r>
      <w:r>
        <w:rPr>
          <w:rFonts w:hint="eastAsia" w:ascii="黑体" w:hAnsi="黑体" w:eastAsia="黑体" w:cs="黑体"/>
          <w:bCs/>
          <w:sz w:val="72"/>
          <w:szCs w:val="72"/>
          <w:lang w:val="en-US" w:eastAsia="zh-CN"/>
        </w:rPr>
        <w:t>5</w:t>
      </w:r>
      <w:r>
        <w:rPr>
          <w:rFonts w:hint="eastAsia" w:ascii="黑体" w:hAnsi="黑体" w:eastAsia="黑体" w:cs="黑体"/>
          <w:bCs/>
          <w:sz w:val="72"/>
          <w:szCs w:val="72"/>
        </w:rPr>
        <w:t>级</w:t>
      </w:r>
      <w:r>
        <w:rPr>
          <w:rFonts w:hint="eastAsia" w:ascii="黑体" w:hAnsi="黑体" w:eastAsia="黑体" w:cs="黑体"/>
          <w:bCs/>
          <w:sz w:val="72"/>
          <w:szCs w:val="72"/>
          <w:lang w:val="en-US" w:eastAsia="zh-CN"/>
        </w:rPr>
        <w:t>产品艺术设计</w:t>
      </w:r>
      <w:r>
        <w:rPr>
          <w:rFonts w:hint="eastAsia" w:ascii="黑体" w:hAnsi="黑体" w:eastAsia="黑体" w:cs="黑体"/>
          <w:bCs/>
          <w:sz w:val="72"/>
          <w:szCs w:val="72"/>
        </w:rPr>
        <w:t>专业</w:t>
      </w:r>
    </w:p>
    <w:p>
      <w:pPr>
        <w:pageBreakBefore w:val="0"/>
        <w:kinsoku/>
        <w:wordWrap/>
        <w:overflowPunct w:val="0"/>
        <w:topLinePunct w:val="0"/>
        <w:autoSpaceDE/>
        <w:autoSpaceDN/>
        <w:bidi w:val="0"/>
        <w:adjustRightInd w:val="0"/>
        <w:snapToGrid w:val="0"/>
        <w:spacing w:after="0" w:line="900" w:lineRule="exact"/>
        <w:ind w:left="0" w:leftChars="0"/>
        <w:jc w:val="center"/>
        <w:rPr>
          <w:rFonts w:hint="eastAsia" w:ascii="黑体" w:hAnsi="黑体" w:eastAsia="黑体" w:cs="黑体"/>
          <w:bCs/>
          <w:sz w:val="72"/>
          <w:szCs w:val="72"/>
        </w:rPr>
      </w:pPr>
      <w:r>
        <w:rPr>
          <w:rFonts w:hint="eastAsia" w:ascii="黑体" w:hAnsi="黑体" w:eastAsia="黑体" w:cs="黑体"/>
          <w:bCs/>
          <w:sz w:val="72"/>
          <w:szCs w:val="72"/>
        </w:rPr>
        <w:t>人才培养方案</w:t>
      </w:r>
    </w:p>
    <w:p>
      <w:pPr>
        <w:pageBreakBefore w:val="0"/>
        <w:widowControl/>
        <w:kinsoku/>
        <w:wordWrap/>
        <w:overflowPunct w:val="0"/>
        <w:topLinePunct w:val="0"/>
        <w:autoSpaceDE/>
        <w:autoSpaceDN/>
        <w:bidi w:val="0"/>
        <w:adjustRightInd w:val="0"/>
        <w:snapToGrid w:val="0"/>
        <w:spacing w:after="0"/>
        <w:ind w:left="0" w:leftChars="0"/>
        <w:jc w:val="center"/>
        <w:rPr>
          <w:rFonts w:hint="eastAsia" w:ascii="黑体" w:hAnsi="黑体" w:eastAsia="黑体" w:cs="黑体"/>
          <w:b/>
          <w:bCs/>
          <w:kern w:val="0"/>
          <w:sz w:val="52"/>
          <w:szCs w:val="52"/>
        </w:rPr>
      </w:pPr>
    </w:p>
    <w:p>
      <w:pPr>
        <w:pageBreakBefore w:val="0"/>
        <w:widowControl/>
        <w:kinsoku/>
        <w:wordWrap/>
        <w:overflowPunct w:val="0"/>
        <w:topLinePunct w:val="0"/>
        <w:autoSpaceDE/>
        <w:autoSpaceDN/>
        <w:bidi w:val="0"/>
        <w:adjustRightInd w:val="0"/>
        <w:snapToGrid w:val="0"/>
        <w:spacing w:after="0"/>
        <w:ind w:left="0" w:leftChars="0"/>
        <w:jc w:val="center"/>
        <w:rPr>
          <w:rFonts w:hint="eastAsia" w:ascii="黑体" w:hAnsi="黑体" w:eastAsia="黑体" w:cs="黑体"/>
          <w:b/>
          <w:bCs/>
          <w:kern w:val="0"/>
          <w:sz w:val="52"/>
          <w:szCs w:val="52"/>
        </w:rPr>
      </w:pPr>
      <w:r>
        <w:rPr>
          <w:rFonts w:hint="eastAsia" w:ascii="黑体" w:hAnsi="黑体" w:eastAsia="黑体" w:cs="黑体"/>
          <w:b/>
          <w:bCs/>
          <w:kern w:val="0"/>
          <w:sz w:val="52"/>
          <w:szCs w:val="52"/>
          <w:lang w:val="en-US" w:eastAsia="zh-CN"/>
        </w:rPr>
        <w:t>艺术设计</w:t>
      </w:r>
      <w:r>
        <w:rPr>
          <w:rFonts w:hint="eastAsia" w:ascii="黑体" w:hAnsi="黑体" w:eastAsia="黑体" w:cs="黑体"/>
          <w:b/>
          <w:bCs/>
          <w:kern w:val="0"/>
          <w:sz w:val="52"/>
          <w:szCs w:val="52"/>
        </w:rPr>
        <w:t>学院</w:t>
      </w:r>
    </w:p>
    <w:p>
      <w:pPr>
        <w:pageBreakBefore w:val="0"/>
        <w:widowControl/>
        <w:kinsoku/>
        <w:wordWrap/>
        <w:overflowPunct w:val="0"/>
        <w:topLinePunct w:val="0"/>
        <w:autoSpaceDE/>
        <w:autoSpaceDN/>
        <w:bidi w:val="0"/>
        <w:adjustRightInd w:val="0"/>
        <w:snapToGrid w:val="0"/>
        <w:spacing w:after="0"/>
        <w:ind w:left="0" w:leftChars="0"/>
        <w:jc w:val="center"/>
        <w:rPr>
          <w:rFonts w:hint="eastAsia" w:ascii="黑体" w:hAnsi="黑体" w:eastAsia="黑体" w:cs="黑体"/>
          <w:b/>
          <w:bCs/>
          <w:kern w:val="0"/>
          <w:sz w:val="52"/>
          <w:szCs w:val="52"/>
        </w:rPr>
      </w:pPr>
    </w:p>
    <w:p>
      <w:pPr>
        <w:pageBreakBefore w:val="0"/>
        <w:widowControl/>
        <w:kinsoku/>
        <w:wordWrap/>
        <w:overflowPunct w:val="0"/>
        <w:topLinePunct w:val="0"/>
        <w:autoSpaceDE/>
        <w:autoSpaceDN/>
        <w:bidi w:val="0"/>
        <w:adjustRightInd w:val="0"/>
        <w:snapToGrid w:val="0"/>
        <w:spacing w:after="0"/>
        <w:ind w:left="0" w:leftChars="0"/>
        <w:rPr>
          <w:rFonts w:hint="eastAsia" w:ascii="黑体" w:hAnsi="黑体" w:eastAsia="黑体" w:cs="黑体"/>
          <w:b/>
          <w:bCs/>
          <w:kern w:val="0"/>
          <w:sz w:val="52"/>
          <w:szCs w:val="52"/>
        </w:rPr>
      </w:pPr>
    </w:p>
    <w:p>
      <w:pPr>
        <w:pageBreakBefore w:val="0"/>
        <w:widowControl/>
        <w:kinsoku/>
        <w:wordWrap/>
        <w:overflowPunct w:val="0"/>
        <w:topLinePunct w:val="0"/>
        <w:autoSpaceDE/>
        <w:autoSpaceDN/>
        <w:bidi w:val="0"/>
        <w:adjustRightInd w:val="0"/>
        <w:snapToGrid w:val="0"/>
        <w:spacing w:after="0"/>
        <w:ind w:left="0" w:leftChars="0"/>
        <w:jc w:val="center"/>
        <w:rPr>
          <w:rFonts w:hint="eastAsia" w:ascii="黑体" w:hAnsi="黑体" w:eastAsia="黑体" w:cs="黑体"/>
          <w:b/>
          <w:bCs/>
          <w:kern w:val="0"/>
          <w:sz w:val="52"/>
          <w:szCs w:val="52"/>
        </w:rPr>
      </w:pPr>
      <w:r>
        <w:rPr>
          <w:rFonts w:hint="eastAsia" w:ascii="黑体" w:hAnsi="黑体" w:eastAsia="黑体" w:cs="黑体"/>
          <w:b/>
          <w:bCs/>
          <w:kern w:val="0"/>
          <w:sz w:val="52"/>
          <w:szCs w:val="52"/>
        </w:rPr>
        <w:t>20</w:t>
      </w:r>
      <w:r>
        <w:rPr>
          <w:rFonts w:hint="eastAsia" w:ascii="黑体" w:hAnsi="黑体" w:eastAsia="黑体" w:cs="黑体"/>
          <w:b/>
          <w:bCs/>
          <w:kern w:val="0"/>
          <w:sz w:val="52"/>
          <w:szCs w:val="52"/>
          <w:lang w:val="en-US" w:eastAsia="zh-CN"/>
        </w:rPr>
        <w:t>25</w:t>
      </w:r>
      <w:r>
        <w:rPr>
          <w:rFonts w:hint="eastAsia" w:ascii="黑体" w:hAnsi="黑体" w:eastAsia="黑体" w:cs="黑体"/>
          <w:b/>
          <w:bCs/>
          <w:kern w:val="0"/>
          <w:sz w:val="52"/>
          <w:szCs w:val="52"/>
        </w:rPr>
        <w:t>年</w:t>
      </w:r>
      <w:r>
        <w:rPr>
          <w:rFonts w:hint="eastAsia" w:ascii="黑体" w:hAnsi="黑体" w:eastAsia="黑体" w:cs="黑体"/>
          <w:b/>
          <w:bCs/>
          <w:kern w:val="0"/>
          <w:sz w:val="52"/>
          <w:szCs w:val="52"/>
          <w:lang w:val="en-US" w:eastAsia="zh-CN"/>
        </w:rPr>
        <w:t>4</w:t>
      </w:r>
      <w:r>
        <w:rPr>
          <w:rFonts w:hint="eastAsia" w:ascii="黑体" w:hAnsi="黑体" w:eastAsia="黑体" w:cs="黑体"/>
          <w:b/>
          <w:bCs/>
          <w:kern w:val="0"/>
          <w:sz w:val="52"/>
          <w:szCs w:val="52"/>
        </w:rPr>
        <w:t>月</w:t>
      </w:r>
    </w:p>
    <w:p>
      <w:pPr>
        <w:pageBreakBefore w:val="0"/>
        <w:widowControl/>
        <w:kinsoku/>
        <w:wordWrap/>
        <w:overflowPunct w:val="0"/>
        <w:topLinePunct w:val="0"/>
        <w:autoSpaceDE/>
        <w:autoSpaceDN/>
        <w:bidi w:val="0"/>
        <w:adjustRightInd w:val="0"/>
        <w:snapToGrid w:val="0"/>
        <w:spacing w:after="0"/>
        <w:ind w:left="0" w:leftChars="0"/>
        <w:jc w:val="center"/>
        <w:rPr>
          <w:rFonts w:hint="eastAsia" w:ascii="黑体" w:hAnsi="黑体" w:eastAsia="黑体" w:cs="黑体"/>
          <w:b/>
          <w:bCs/>
          <w:kern w:val="0"/>
          <w:sz w:val="52"/>
          <w:szCs w:val="52"/>
        </w:rPr>
        <w:sectPr>
          <w:headerReference r:id="rId3" w:type="default"/>
          <w:pgSz w:w="11906" w:h="16838"/>
          <w:pgMar w:top="1417" w:right="1417" w:bottom="1417" w:left="1984" w:header="851" w:footer="992" w:gutter="0"/>
          <w:pgNumType w:start="1"/>
          <w:cols w:space="425" w:num="1"/>
          <w:docGrid w:type="lines" w:linePitch="312" w:charSpace="0"/>
        </w:sectPr>
      </w:pPr>
    </w:p>
    <w:p>
      <w:pPr>
        <w:pageBreakBefore w:val="0"/>
        <w:widowControl/>
        <w:kinsoku/>
        <w:wordWrap/>
        <w:overflowPunct w:val="0"/>
        <w:topLinePunct w:val="0"/>
        <w:autoSpaceDE/>
        <w:autoSpaceDN/>
        <w:bidi w:val="0"/>
        <w:adjustRightInd w:val="0"/>
        <w:snapToGrid w:val="0"/>
        <w:spacing w:after="0"/>
        <w:ind w:left="0" w:leftChars="0"/>
        <w:jc w:val="center"/>
        <w:rPr>
          <w:rFonts w:hint="eastAsia" w:ascii="黑体" w:hAnsi="黑体" w:eastAsia="黑体" w:cs="黑体"/>
          <w:b/>
          <w:bCs/>
          <w:kern w:val="0"/>
          <w:sz w:val="52"/>
          <w:szCs w:val="52"/>
        </w:rPr>
      </w:pPr>
    </w:p>
    <w:p>
      <w:pPr>
        <w:pageBreakBefore w:val="0"/>
        <w:widowControl/>
        <w:kinsoku/>
        <w:wordWrap/>
        <w:overflowPunct w:val="0"/>
        <w:topLinePunct w:val="0"/>
        <w:autoSpaceDE/>
        <w:autoSpaceDN/>
        <w:bidi w:val="0"/>
        <w:adjustRightInd w:val="0"/>
        <w:snapToGrid w:val="0"/>
        <w:spacing w:after="0"/>
        <w:ind w:left="0" w:leftChars="0"/>
        <w:jc w:val="center"/>
        <w:rPr>
          <w:rFonts w:hint="eastAsia" w:ascii="黑体" w:hAnsi="黑体" w:eastAsia="黑体" w:cs="黑体"/>
          <w:b/>
          <w:bCs/>
          <w:kern w:val="0"/>
          <w:sz w:val="52"/>
          <w:szCs w:val="52"/>
        </w:rPr>
        <w:sectPr>
          <w:pgSz w:w="11906" w:h="16838"/>
          <w:pgMar w:top="1417" w:right="1417" w:bottom="1417" w:left="1984" w:header="851" w:footer="992" w:gutter="0"/>
          <w:pgNumType w:start="1"/>
          <w:cols w:space="425" w:num="1"/>
          <w:docGrid w:type="lines" w:linePitch="312" w:charSpace="0"/>
        </w:sectPr>
      </w:pPr>
    </w:p>
    <w:p>
      <w:pPr>
        <w:pageBreakBefore w:val="0"/>
        <w:kinsoku/>
        <w:wordWrap/>
        <w:overflowPunct w:val="0"/>
        <w:topLinePunct w:val="0"/>
        <w:autoSpaceDE/>
        <w:autoSpaceDN/>
        <w:bidi w:val="0"/>
        <w:adjustRightInd w:val="0"/>
        <w:snapToGrid w:val="0"/>
        <w:spacing w:after="0" w:line="520" w:lineRule="exact"/>
        <w:ind w:left="0" w:leftChars="0"/>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产品艺术设计专业人才培养方案</w:t>
      </w:r>
    </w:p>
    <w:p>
      <w:pPr>
        <w:pageBreakBefore w:val="0"/>
        <w:kinsoku/>
        <w:wordWrap/>
        <w:overflowPunct w:val="0"/>
        <w:topLinePunct w:val="0"/>
        <w:autoSpaceDE/>
        <w:autoSpaceDN/>
        <w:bidi w:val="0"/>
        <w:adjustRightInd w:val="0"/>
        <w:snapToGrid w:val="0"/>
        <w:spacing w:after="0" w:line="520" w:lineRule="exact"/>
        <w:ind w:left="0" w:leftChars="0"/>
        <w:jc w:val="center"/>
        <w:rPr>
          <w:rFonts w:hint="eastAsia" w:ascii="方正小标宋简体" w:hAnsi="方正小标宋简体" w:eastAsia="方正小标宋简体" w:cs="方正小标宋简体"/>
          <w:bCs/>
          <w:sz w:val="44"/>
          <w:szCs w:val="44"/>
        </w:rPr>
      </w:pPr>
    </w:p>
    <w:p>
      <w:pPr>
        <w:pageBreakBefore w:val="0"/>
        <w:kinsoku/>
        <w:wordWrap/>
        <w:overflowPunct w:val="0"/>
        <w:topLinePunct w:val="0"/>
        <w:autoSpaceDE/>
        <w:autoSpaceDN/>
        <w:bidi w:val="0"/>
        <w:adjustRightInd w:val="0"/>
        <w:snapToGrid w:val="0"/>
        <w:spacing w:after="0" w:line="520" w:lineRule="exact"/>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一、专业名称及代码</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专业名称：产品艺术设计</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专业代码：550104 </w:t>
      </w:r>
    </w:p>
    <w:p>
      <w:pPr>
        <w:pageBreakBefore w:val="0"/>
        <w:kinsoku/>
        <w:wordWrap/>
        <w:overflowPunct w:val="0"/>
        <w:topLinePunct w:val="0"/>
        <w:autoSpaceDE/>
        <w:autoSpaceDN/>
        <w:bidi w:val="0"/>
        <w:adjustRightInd w:val="0"/>
        <w:snapToGrid w:val="0"/>
        <w:spacing w:after="0" w:line="520" w:lineRule="exact"/>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二、入学要求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中等职业学校毕业、普通高级中学毕业或具备同等学力。</w:t>
      </w:r>
    </w:p>
    <w:p>
      <w:pPr>
        <w:pageBreakBefore w:val="0"/>
        <w:kinsoku/>
        <w:wordWrap/>
        <w:overflowPunct w:val="0"/>
        <w:topLinePunct w:val="0"/>
        <w:autoSpaceDE/>
        <w:autoSpaceDN/>
        <w:bidi w:val="0"/>
        <w:adjustRightInd w:val="0"/>
        <w:snapToGrid w:val="0"/>
        <w:spacing w:after="0" w:line="520" w:lineRule="exact"/>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三、基本修业年限</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标准修业年限为3年，弹性学分有效修业年限为2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5年。</w:t>
      </w:r>
    </w:p>
    <w:p>
      <w:pPr>
        <w:pageBreakBefore w:val="0"/>
        <w:kinsoku/>
        <w:wordWrap/>
        <w:overflowPunct w:val="0"/>
        <w:topLinePunct w:val="0"/>
        <w:autoSpaceDE/>
        <w:autoSpaceDN/>
        <w:bidi w:val="0"/>
        <w:adjustRightInd w:val="0"/>
        <w:snapToGrid w:val="0"/>
        <w:spacing w:after="0" w:line="520" w:lineRule="exact"/>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四、职业面向</w:t>
      </w:r>
    </w:p>
    <w:p>
      <w:pPr>
        <w:pageBreakBefore w:val="0"/>
        <w:kinsoku/>
        <w:wordWrap/>
        <w:overflowPunct w:val="0"/>
        <w:topLinePunct w:val="0"/>
        <w:autoSpaceDE/>
        <w:autoSpaceDN/>
        <w:bidi w:val="0"/>
        <w:adjustRightInd w:val="0"/>
        <w:spacing w:after="0" w:line="520" w:lineRule="exact"/>
        <w:ind w:left="0" w:leftChars="0"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表1职业岗位分析表</w:t>
      </w:r>
    </w:p>
    <w:tbl>
      <w:tblPr>
        <w:tblStyle w:val="7"/>
        <w:tblW w:w="9795"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1328"/>
        <w:gridCol w:w="1219"/>
        <w:gridCol w:w="1501"/>
        <w:gridCol w:w="1922"/>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605"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32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所属专业大类（代码）</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32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所属专业类（代码）</w:t>
            </w:r>
          </w:p>
        </w:tc>
        <w:tc>
          <w:tcPr>
            <w:tcW w:w="1219"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对应行业</w:t>
            </w:r>
          </w:p>
          <w:p>
            <w:pPr>
              <w:keepNext w:val="0"/>
              <w:keepLines w:val="0"/>
              <w:pageBreakBefore w:val="0"/>
              <w:widowControl w:val="0"/>
              <w:kinsoku/>
              <w:wordWrap/>
              <w:overflowPunct w:val="0"/>
              <w:topLinePunct w:val="0"/>
              <w:autoSpaceDE/>
              <w:autoSpaceDN/>
              <w:bidi w:val="0"/>
              <w:adjustRightInd w:val="0"/>
              <w:snapToGrid/>
              <w:spacing w:after="0" w:line="32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（代码）</w:t>
            </w:r>
          </w:p>
        </w:tc>
        <w:tc>
          <w:tcPr>
            <w:tcW w:w="1501"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32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主要职业类别（代码）</w:t>
            </w:r>
          </w:p>
        </w:tc>
        <w:tc>
          <w:tcPr>
            <w:tcW w:w="1922"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32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主要岗位（群）或技术领域</w:t>
            </w:r>
          </w:p>
        </w:tc>
        <w:tc>
          <w:tcPr>
            <w:tcW w:w="222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32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605"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文化艺术大类</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55</w:t>
            </w:r>
            <w:r>
              <w:rPr>
                <w:rFonts w:hint="eastAsia" w:ascii="仿宋_GB2312" w:hAnsi="仿宋_GB2312" w:eastAsia="仿宋_GB2312" w:cs="仿宋_GB2312"/>
                <w:color w:val="auto"/>
                <w:sz w:val="24"/>
                <w:szCs w:val="24"/>
                <w:lang w:eastAsia="zh-CN"/>
              </w:rPr>
              <w:t>）</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艺术设计类</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5501</w:t>
            </w:r>
            <w:r>
              <w:rPr>
                <w:rFonts w:hint="eastAsia" w:ascii="仿宋_GB2312" w:hAnsi="仿宋_GB2312" w:eastAsia="仿宋_GB2312" w:cs="仿宋_GB2312"/>
                <w:color w:val="auto"/>
                <w:sz w:val="24"/>
                <w:szCs w:val="24"/>
                <w:lang w:eastAsia="zh-CN"/>
              </w:rPr>
              <w:t>）</w:t>
            </w:r>
          </w:p>
        </w:tc>
        <w:tc>
          <w:tcPr>
            <w:tcW w:w="1219"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ind w:left="0" w:leftChars="0"/>
              <w:jc w:val="left"/>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工业设计服务</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7491</w:t>
            </w:r>
            <w:r>
              <w:rPr>
                <w:rFonts w:hint="eastAsia" w:ascii="仿宋_GB2312" w:hAnsi="仿宋_GB2312" w:eastAsia="仿宋_GB2312" w:cs="仿宋_GB2312"/>
                <w:color w:val="auto"/>
                <w:sz w:val="24"/>
                <w:szCs w:val="24"/>
                <w:lang w:eastAsia="zh-CN"/>
              </w:rPr>
              <w:t>）</w:t>
            </w:r>
          </w:p>
        </w:tc>
        <w:tc>
          <w:tcPr>
            <w:tcW w:w="1501"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工业（产品）设计工程技术人员（2-02-34）、</w:t>
            </w:r>
          </w:p>
          <w:p>
            <w:pPr>
              <w:pageBreakBefore w:val="0"/>
              <w:kinsoku/>
              <w:wordWrap/>
              <w:overflowPunct w:val="0"/>
              <w:topLinePunct w:val="0"/>
              <w:autoSpaceDE/>
              <w:autoSpaceDN/>
              <w:bidi w:val="0"/>
              <w:adjustRightInd w:val="0"/>
              <w:spacing w:after="0"/>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专业化设计服务人员（4-08-08）</w:t>
            </w:r>
          </w:p>
        </w:tc>
        <w:tc>
          <w:tcPr>
            <w:tcW w:w="1922"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ind w:left="0" w:leftChars="0"/>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产品设计师、工业设计师、文创产品设计师、家具设计师、玩具设计师、交互设计师、产品动画制作师</w:t>
            </w:r>
            <w:r>
              <w:rPr>
                <w:rFonts w:hint="eastAsia" w:ascii="仿宋_GB2312" w:hAnsi="仿宋_GB2312" w:eastAsia="仿宋_GB2312" w:cs="仿宋_GB2312"/>
                <w:color w:val="auto"/>
                <w:sz w:val="24"/>
                <w:szCs w:val="24"/>
                <w:lang w:val="en-US" w:eastAsia="zh-CN"/>
              </w:rPr>
              <w:t>等</w:t>
            </w:r>
          </w:p>
        </w:tc>
        <w:tc>
          <w:tcPr>
            <w:tcW w:w="222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工艺美术设计师、工艺美术设计师</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中级</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、家具设计师、产品设计师</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中级</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、装饰美工</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高级</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、装饰美工</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中级</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、数字创意建模、界面设计、产品创意设计</w:t>
            </w:r>
          </w:p>
        </w:tc>
      </w:tr>
    </w:tbl>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五、培养目标</w:t>
      </w:r>
    </w:p>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工业设计服务等行业的工业（产品）设计工程技术人员、专业化设计服务人员等岗位（群），能够从事产品设计师、工业设计师、文创产品设计师、家具设计师、玩具设计师、交互设计师、产品动画制作师等工作的高技能人才</w:t>
      </w:r>
      <w:r>
        <w:rPr>
          <w:rFonts w:hint="eastAsia" w:ascii="仿宋_GB2312" w:hAnsi="仿宋_GB2312" w:eastAsia="仿宋_GB2312" w:cs="仿宋_GB2312"/>
          <w:sz w:val="32"/>
          <w:szCs w:val="32"/>
          <w:lang w:eastAsia="zh-CN"/>
        </w:rPr>
        <w:t>。</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六、培养规格</w:t>
      </w:r>
    </w:p>
    <w:p>
      <w:pPr>
        <w:pStyle w:val="3"/>
        <w:keepNext w:val="0"/>
        <w:keepLines w:val="0"/>
        <w:pageBreakBefore w:val="0"/>
        <w:widowControl w:val="0"/>
        <w:kinsoku/>
        <w:wordWrap/>
        <w:topLinePunct w:val="0"/>
        <w:autoSpaceDE/>
        <w:autoSpaceDN/>
        <w:bidi w:val="0"/>
        <w:snapToGrid/>
        <w:spacing w:after="0" w:line="52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本专业学生应在系统学习本专业知识并完成有关实习实训基础上，全面提升知识、能力、素质，掌握并实际运用岗位（群）需要的专业核心技术技能，实现德智体美劳全面发展，总体上须达到以下要求：</w:t>
      </w:r>
    </w:p>
    <w:p>
      <w:pPr>
        <w:keepNext w:val="0"/>
        <w:keepLines w:val="0"/>
        <w:pageBreakBefore w:val="0"/>
        <w:widowControl w:val="0"/>
        <w:numPr>
          <w:ilvl w:val="0"/>
          <w:numId w:val="1"/>
        </w:numPr>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知识目标</w:t>
      </w:r>
    </w:p>
    <w:p>
      <w:pPr>
        <w:pStyle w:val="3"/>
        <w:keepNext w:val="0"/>
        <w:keepLines w:val="0"/>
        <w:pageBreakBefore w:val="0"/>
        <w:widowControl w:val="0"/>
        <w:kinsoku/>
        <w:wordWrap/>
        <w:topLinePunct w:val="0"/>
        <w:autoSpaceDE/>
        <w:autoSpaceDN/>
        <w:bidi w:val="0"/>
        <w:snapToGrid/>
        <w:spacing w:after="0" w:line="52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掌握必备的思想政治理论、科学文化基础知识和中华优秀传统文化知识</w:t>
      </w:r>
      <w:r>
        <w:rPr>
          <w:rFonts w:hint="eastAsia" w:ascii="仿宋_GB2312" w:hAnsi="仿宋_GB2312" w:eastAsia="仿宋_GB2312" w:cs="仿宋_GB2312"/>
          <w:color w:val="auto"/>
          <w:sz w:val="32"/>
          <w:szCs w:val="32"/>
        </w:rPr>
        <w:t>；</w:t>
      </w:r>
    </w:p>
    <w:p>
      <w:pPr>
        <w:pStyle w:val="3"/>
        <w:keepNext w:val="0"/>
        <w:keepLines w:val="0"/>
        <w:pageBreakBefore w:val="0"/>
        <w:widowControl w:val="0"/>
        <w:kinsoku/>
        <w:wordWrap/>
        <w:topLinePunct w:val="0"/>
        <w:autoSpaceDE/>
        <w:autoSpaceDN/>
        <w:bidi w:val="0"/>
        <w:snapToGrid/>
        <w:spacing w:after="0" w:line="52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熟悉与本专业相关的法律法规以及环境保护、安全消防等知识</w:t>
      </w:r>
      <w:r>
        <w:rPr>
          <w:rFonts w:hint="eastAsia" w:ascii="仿宋_GB2312" w:hAnsi="仿宋_GB2312" w:eastAsia="仿宋_GB2312" w:cs="仿宋_GB2312"/>
          <w:color w:val="auto"/>
          <w:sz w:val="32"/>
          <w:szCs w:val="32"/>
        </w:rPr>
        <w:t>；</w:t>
      </w:r>
    </w:p>
    <w:p>
      <w:pPr>
        <w:pStyle w:val="3"/>
        <w:keepNext w:val="0"/>
        <w:keepLines w:val="0"/>
        <w:pageBreakBefore w:val="0"/>
        <w:widowControl w:val="0"/>
        <w:kinsoku/>
        <w:wordWrap/>
        <w:topLinePunct w:val="0"/>
        <w:autoSpaceDE/>
        <w:autoSpaceDN/>
        <w:bidi w:val="0"/>
        <w:snapToGrid/>
        <w:spacing w:after="0" w:line="520" w:lineRule="exact"/>
        <w:ind w:left="0" w:leftChars="0" w:firstLine="596" w:firstLineChars="200"/>
        <w:textAlignment w:val="auto"/>
        <w:rPr>
          <w:rFonts w:hint="eastAsia" w:ascii="仿宋_GB2312" w:hAnsi="仿宋_GB2312" w:eastAsia="仿宋_GB2312" w:cs="仿宋_GB2312"/>
          <w:spacing w:val="-11"/>
          <w:sz w:val="32"/>
          <w:szCs w:val="32"/>
          <w:lang w:eastAsia="zh-CN"/>
        </w:rPr>
      </w:pPr>
      <w:r>
        <w:rPr>
          <w:rFonts w:hint="eastAsia" w:ascii="仿宋_GB2312" w:hAnsi="仿宋_GB2312" w:eastAsia="仿宋_GB2312" w:cs="仿宋_GB2312"/>
          <w:spacing w:val="-11"/>
          <w:sz w:val="32"/>
          <w:szCs w:val="32"/>
          <w:lang w:val="en-US" w:eastAsia="zh-CN"/>
        </w:rPr>
        <w:t>3.</w:t>
      </w:r>
      <w:r>
        <w:rPr>
          <w:rFonts w:hint="eastAsia" w:ascii="仿宋_GB2312" w:hAnsi="仿宋_GB2312" w:eastAsia="仿宋_GB2312" w:cs="仿宋_GB2312"/>
          <w:spacing w:val="-11"/>
          <w:sz w:val="32"/>
          <w:szCs w:val="32"/>
          <w:lang w:eastAsia="zh-CN"/>
        </w:rPr>
        <w:t>掌握与本专业相关的实践知识和产品设计与制作模型的知识</w:t>
      </w:r>
      <w:r>
        <w:rPr>
          <w:rFonts w:hint="eastAsia" w:ascii="仿宋_GB2312" w:hAnsi="仿宋_GB2312" w:eastAsia="仿宋_GB2312" w:cs="仿宋_GB2312"/>
          <w:color w:val="auto"/>
          <w:sz w:val="32"/>
          <w:szCs w:val="32"/>
        </w:rPr>
        <w:t>；</w:t>
      </w:r>
    </w:p>
    <w:p>
      <w:pPr>
        <w:pStyle w:val="3"/>
        <w:keepNext w:val="0"/>
        <w:keepLines w:val="0"/>
        <w:pageBreakBefore w:val="0"/>
        <w:widowControl w:val="0"/>
        <w:kinsoku/>
        <w:wordWrap/>
        <w:topLinePunct w:val="0"/>
        <w:autoSpaceDE/>
        <w:autoSpaceDN/>
        <w:bidi w:val="0"/>
        <w:snapToGrid/>
        <w:spacing w:after="0" w:line="52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掌握工业（产品）设计程序与方法、人机工程及材料工艺等知识</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掌握创意手绘表达、产品造型设计等知识；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掌握产品方案展示、产品模型制作等知识</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left="638" w:leftChars="304" w:firstLine="0" w:firstLineChars="0"/>
        <w:textAlignment w:val="auto"/>
        <w:outlineLvl w:val="0"/>
        <w:rPr>
          <w:rFonts w:hint="eastAsia" w:ascii="仿宋_GB2312" w:hAnsi="仿宋_GB2312" w:eastAsia="仿宋_GB2312" w:cs="仿宋_GB2312"/>
          <w:color w:val="auto"/>
          <w:sz w:val="32"/>
          <w:szCs w:val="32"/>
        </w:rPr>
      </w:pPr>
      <w:r>
        <w:rPr>
          <w:rFonts w:hint="eastAsia" w:ascii="楷体" w:hAnsi="楷体" w:eastAsia="楷体" w:cs="楷体"/>
          <w:sz w:val="32"/>
          <w:szCs w:val="32"/>
        </w:rPr>
        <w:t>（二）能力目标</w:t>
      </w:r>
      <w:r>
        <w:rPr>
          <w:rFonts w:hint="eastAsia" w:ascii="楷体" w:hAnsi="楷体" w:eastAsia="楷体" w:cs="楷体"/>
          <w:sz w:val="32"/>
          <w:szCs w:val="32"/>
        </w:rPr>
        <w:br w:type="textWrapping"/>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具有探究学习、终身学习、分析问题和解决问题的能力；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具有良好的语言、文字表达能力和沟通能力；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 xml:space="preserve">具有一定的市场调研与用户调研能力； </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具有应用专业知识根据项目设计工作任务要求制定方案和组织实施，并能对实施方案进行检查、校正、总结、评价的能力；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具有结合行业制图规范和标准，能运用Coreldraw、3Dmax、Photoshop、Auto CAD、3D打印技术、激光雕刻技术、产品扫描成像等辅助设计软件完成产品造型方案设计与产品模型设计与制作的能力；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具有运用手绘方式，快速表现设计构想的能力；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具有完成产品材料的选样，进行制作工艺指导，并对产品质量进行</w:t>
      </w:r>
      <w:r>
        <w:rPr>
          <w:rFonts w:hint="eastAsia" w:ascii="仿宋_GB2312" w:hAnsi="仿宋_GB2312" w:eastAsia="仿宋_GB2312" w:cs="仿宋_GB2312"/>
          <w:color w:val="auto"/>
          <w:sz w:val="32"/>
          <w:szCs w:val="32"/>
          <w:lang w:eastAsia="zh-CN"/>
        </w:rPr>
        <w:t>有效</w:t>
      </w:r>
      <w:r>
        <w:rPr>
          <w:rFonts w:hint="eastAsia" w:ascii="仿宋_GB2312" w:hAnsi="仿宋_GB2312" w:eastAsia="仿宋_GB2312" w:cs="仿宋_GB2312"/>
          <w:color w:val="auto"/>
          <w:sz w:val="32"/>
          <w:szCs w:val="32"/>
        </w:rPr>
        <w:t>检查；</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具有完成设计材料预算的能力。</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sz w:val="32"/>
          <w:szCs w:val="32"/>
        </w:rPr>
      </w:pPr>
      <w:r>
        <w:rPr>
          <w:rFonts w:hint="eastAsia" w:ascii="楷体" w:hAnsi="楷体" w:eastAsia="楷体" w:cs="楷体"/>
          <w:sz w:val="32"/>
          <w:szCs w:val="32"/>
        </w:rPr>
        <w:t>（三）素质目标</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坚定拥护中国共产党领导和我国社会主义制度，在习近平新时代中国特色社会主义思想指引下，践行社会主义核心价值观，具有深厚的爱国情感和中华民族自豪感；</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崇尚宪法、遵法守纪、崇德向善、诚实守信、尊重生命、热爱劳动，履行道德准则和行为规范，具有社会责任感和社会参与意识；</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具有质量意识、环保意识、安全意识、信息素养、工匠精神、创新思维；</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勇于奋斗、乐观向上，具有自我管理能力、职业生涯规划的意识，有较强的集体意识和团队合作精神；</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具有健康的体魄、心理和健全的人格，掌握基本运动知识和1—2项运动技能，养成良好的健身与卫生习惯，以及良好的行为习惯；</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具有一定的审美和人文素养，能够形成1—2项艺术特长或爱好。</w:t>
      </w:r>
    </w:p>
    <w:p>
      <w:pPr>
        <w:pageBreakBefore w:val="0"/>
        <w:kinsoku/>
        <w:wordWrap/>
        <w:topLinePunct w:val="0"/>
        <w:autoSpaceDE/>
        <w:autoSpaceDN/>
        <w:bidi w:val="0"/>
        <w:adjustRightInd w:val="0"/>
        <w:snapToGrid w:val="0"/>
        <w:spacing w:after="0" w:line="520" w:lineRule="exact"/>
        <w:ind w:left="0" w:leftChars="0"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七、课程设置</w:t>
      </w:r>
    </w:p>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主要包括公共基础课程和专业课程。</w:t>
      </w:r>
    </w:p>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（一）公共基础课程</w:t>
      </w:r>
    </w:p>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仿宋_GB2312" w:hAnsi="仿宋_GB2312" w:eastAsia="仿宋_GB2312" w:cs="仿宋_GB2312"/>
          <w:color w:val="auto"/>
          <w:sz w:val="32"/>
          <w:szCs w:val="32"/>
        </w:rPr>
      </w:pPr>
      <w:bookmarkStart w:id="0" w:name="_Toc90734974"/>
      <w:r>
        <w:rPr>
          <w:rFonts w:hint="eastAsia" w:ascii="仿宋_GB2312" w:hAnsi="仿宋_GB2312" w:eastAsia="仿宋_GB2312" w:cs="仿宋_GB2312"/>
          <w:color w:val="auto"/>
          <w:sz w:val="32"/>
          <w:szCs w:val="32"/>
        </w:rPr>
        <w:t>分为公共必修课和公共选修课。</w:t>
      </w:r>
    </w:p>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必修课程包括</w:t>
      </w:r>
      <w:bookmarkEnd w:id="0"/>
      <w:r>
        <w:rPr>
          <w:rFonts w:hint="eastAsia" w:ascii="仿宋_GB2312" w:hAnsi="仿宋_GB2312" w:eastAsia="仿宋_GB2312" w:cs="仿宋_GB2312"/>
          <w:color w:val="auto"/>
          <w:sz w:val="32"/>
          <w:szCs w:val="32"/>
        </w:rPr>
        <w:t>：思想道德与法治、形势与政策、国家安全教育、军事理论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军训、计算机基础、大学英语、大学体育、大学生职业发展与就业指导、大学生心理健康教育、劳动教育、毛泽东思想和中国特色社会主义理论体系概论、创新创业教育、习近平新时代中国特色社会主义思想概论。</w:t>
      </w:r>
    </w:p>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选修课程包括：中国民俗剪纸技法、影视与鉴赏、中国共产党简史、中华人民共和国简史、改革开放简史、</w:t>
      </w:r>
      <w:r>
        <w:rPr>
          <w:rFonts w:hint="eastAsia" w:ascii="仿宋_GB2312" w:hAnsi="仿宋_GB2312" w:eastAsia="仿宋_GB2312" w:cs="仿宋_GB2312"/>
          <w:color w:val="auto"/>
          <w:sz w:val="32"/>
          <w:szCs w:val="32"/>
          <w:highlight w:val="none"/>
        </w:rPr>
        <w:t>社会主义发展简史</w:t>
      </w:r>
      <w:r>
        <w:rPr>
          <w:rFonts w:hint="eastAsia" w:ascii="仿宋_GB2312" w:hAnsi="仿宋_GB2312" w:eastAsia="仿宋_GB2312" w:cs="仿宋_GB2312"/>
          <w:color w:val="auto"/>
          <w:sz w:val="32"/>
          <w:szCs w:val="32"/>
        </w:rPr>
        <w:t>、中华优秀传统文化、中华民族共同体概论、高等数学、语文。</w:t>
      </w:r>
    </w:p>
    <w:p>
      <w:pPr>
        <w:pageBreakBefore w:val="0"/>
        <w:kinsoku/>
        <w:wordWrap/>
        <w:overflowPunct w:val="0"/>
        <w:topLinePunct w:val="0"/>
        <w:autoSpaceDE/>
        <w:autoSpaceDN/>
        <w:bidi w:val="0"/>
        <w:adjustRightInd w:val="0"/>
        <w:spacing w:after="0" w:line="520" w:lineRule="exact"/>
        <w:ind w:left="0" w:leftChars="0" w:firstLine="640" w:firstLineChars="200"/>
        <w:jc w:val="center"/>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表2公共基础课课程目标、主要教学内容与要求</w:t>
      </w:r>
    </w:p>
    <w:tbl>
      <w:tblPr>
        <w:tblStyle w:val="7"/>
        <w:tblW w:w="10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752"/>
        <w:gridCol w:w="4352"/>
        <w:gridCol w:w="3244"/>
        <w:gridCol w:w="1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rPr>
            </w:pPr>
            <w:bookmarkStart w:id="1" w:name="_Toc2022"/>
            <w:bookmarkStart w:id="2" w:name="_Toc90734979"/>
            <w:r>
              <w:rPr>
                <w:rFonts w:hint="eastAsia" w:ascii="仿宋_GB2312" w:hAnsi="仿宋_GB2312" w:eastAsia="仿宋_GB2312" w:cs="仿宋_GB2312"/>
                <w:color w:val="auto"/>
                <w:sz w:val="24"/>
                <w:szCs w:val="24"/>
                <w:highlight w:val="none"/>
              </w:rPr>
              <w:t>序号</w:t>
            </w:r>
            <w:bookmarkEnd w:id="1"/>
            <w:bookmarkEnd w:id="2"/>
          </w:p>
        </w:tc>
        <w:tc>
          <w:tcPr>
            <w:tcW w:w="752" w:type="dxa"/>
            <w:vAlign w:val="center"/>
          </w:tcPr>
          <w:p>
            <w:pPr>
              <w:keepNext w:val="0"/>
              <w:keepLines w:val="0"/>
              <w:pageBreakBefore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rPr>
            </w:pPr>
            <w:bookmarkStart w:id="3" w:name="_Toc2635"/>
            <w:bookmarkStart w:id="4" w:name="_Toc90734980"/>
            <w:r>
              <w:rPr>
                <w:rFonts w:hint="eastAsia" w:ascii="仿宋_GB2312" w:hAnsi="仿宋_GB2312" w:eastAsia="仿宋_GB2312" w:cs="仿宋_GB2312"/>
                <w:color w:val="auto"/>
                <w:sz w:val="24"/>
                <w:szCs w:val="24"/>
                <w:highlight w:val="none"/>
              </w:rPr>
              <w:t>课程名称</w:t>
            </w:r>
            <w:bookmarkEnd w:id="3"/>
            <w:bookmarkEnd w:id="4"/>
          </w:p>
        </w:tc>
        <w:tc>
          <w:tcPr>
            <w:tcW w:w="4352" w:type="dxa"/>
            <w:vAlign w:val="center"/>
          </w:tcPr>
          <w:p>
            <w:pPr>
              <w:keepNext w:val="0"/>
              <w:keepLines w:val="0"/>
              <w:pageBreakBefore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rPr>
            </w:pPr>
            <w:bookmarkStart w:id="5" w:name="_Toc24608"/>
            <w:bookmarkStart w:id="6" w:name="_Toc90734981"/>
            <w:r>
              <w:rPr>
                <w:rFonts w:hint="eastAsia" w:ascii="仿宋_GB2312" w:hAnsi="仿宋_GB2312" w:eastAsia="仿宋_GB2312" w:cs="仿宋_GB2312"/>
                <w:color w:val="auto"/>
                <w:sz w:val="24"/>
                <w:szCs w:val="24"/>
                <w:highlight w:val="none"/>
                <w:lang w:val="en-US" w:eastAsia="zh-CN"/>
              </w:rPr>
              <w:t>课程</w:t>
            </w:r>
            <w:r>
              <w:rPr>
                <w:rFonts w:hint="eastAsia" w:ascii="仿宋_GB2312" w:hAnsi="仿宋_GB2312" w:eastAsia="仿宋_GB2312" w:cs="仿宋_GB2312"/>
                <w:color w:val="auto"/>
                <w:sz w:val="24"/>
                <w:szCs w:val="24"/>
                <w:highlight w:val="none"/>
              </w:rPr>
              <w:t>目标</w:t>
            </w:r>
            <w:bookmarkEnd w:id="5"/>
            <w:bookmarkEnd w:id="6"/>
          </w:p>
        </w:tc>
        <w:tc>
          <w:tcPr>
            <w:tcW w:w="3244" w:type="dxa"/>
            <w:vAlign w:val="center"/>
          </w:tcPr>
          <w:p>
            <w:pPr>
              <w:keepNext w:val="0"/>
              <w:keepLines w:val="0"/>
              <w:pageBreakBefore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rPr>
            </w:pPr>
            <w:bookmarkStart w:id="7" w:name="_Toc23051"/>
            <w:bookmarkStart w:id="8" w:name="_Toc90734982"/>
            <w:r>
              <w:rPr>
                <w:rFonts w:hint="eastAsia" w:ascii="仿宋_GB2312" w:hAnsi="仿宋_GB2312" w:eastAsia="仿宋_GB2312" w:cs="仿宋_GB2312"/>
                <w:color w:val="auto"/>
                <w:sz w:val="24"/>
                <w:szCs w:val="24"/>
                <w:highlight w:val="none"/>
                <w:lang w:val="en-US" w:eastAsia="zh-CN"/>
              </w:rPr>
              <w:t>主要</w:t>
            </w:r>
            <w:r>
              <w:rPr>
                <w:rFonts w:hint="eastAsia" w:ascii="仿宋_GB2312" w:hAnsi="仿宋_GB2312" w:eastAsia="仿宋_GB2312" w:cs="仿宋_GB2312"/>
                <w:color w:val="auto"/>
                <w:sz w:val="24"/>
                <w:szCs w:val="24"/>
                <w:highlight w:val="none"/>
              </w:rPr>
              <w:t>教学内容</w:t>
            </w:r>
            <w:bookmarkEnd w:id="7"/>
            <w:bookmarkEnd w:id="8"/>
          </w:p>
        </w:tc>
        <w:tc>
          <w:tcPr>
            <w:tcW w:w="1918" w:type="dxa"/>
            <w:vAlign w:val="center"/>
          </w:tcPr>
          <w:p>
            <w:pPr>
              <w:keepNext w:val="0"/>
              <w:keepLines w:val="0"/>
              <w:pageBreakBefore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思想道德与法治</w:t>
            </w:r>
          </w:p>
        </w:tc>
        <w:tc>
          <w:tcPr>
            <w:tcW w:w="4352"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b w:val="0"/>
                <w:bCs w:val="0"/>
                <w:color w:val="auto"/>
                <w:sz w:val="24"/>
                <w:szCs w:val="24"/>
                <w:highlight w:val="none"/>
              </w:rPr>
              <w:t>系统掌握本课程的基本原理和理论，了解新时代、人生观、远大理想、中国精神、社会</w:t>
            </w:r>
            <w:r>
              <w:rPr>
                <w:rFonts w:hint="eastAsia" w:ascii="仿宋_GB2312" w:hAnsi="仿宋_GB2312" w:eastAsia="仿宋_GB2312" w:cs="仿宋_GB2312"/>
                <w:b w:val="0"/>
                <w:bCs w:val="0"/>
                <w:color w:val="auto"/>
                <w:sz w:val="24"/>
                <w:szCs w:val="24"/>
                <w:highlight w:val="none"/>
                <w:lang w:eastAsia="zh-CN"/>
              </w:rPr>
              <w:t>主义</w:t>
            </w:r>
            <w:r>
              <w:rPr>
                <w:rFonts w:hint="eastAsia" w:ascii="仿宋_GB2312" w:hAnsi="仿宋_GB2312" w:eastAsia="仿宋_GB2312" w:cs="仿宋_GB2312"/>
                <w:b w:val="0"/>
                <w:bCs w:val="0"/>
                <w:color w:val="auto"/>
                <w:sz w:val="24"/>
                <w:szCs w:val="24"/>
                <w:highlight w:val="none"/>
              </w:rPr>
              <w:t>核心价值观、道德规范、法治等相关内容，构建起个人与国家、社会，个人与职业、婚姻家庭之间命运共同体内在关联的 科学认知体系。</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b w:val="0"/>
                <w:bCs w:val="0"/>
                <w:color w:val="auto"/>
                <w:sz w:val="24"/>
                <w:szCs w:val="24"/>
                <w:highlight w:val="none"/>
              </w:rPr>
              <w:t>能够运用基本原理和理论分析判断是非、明辨善恶；认真审视和正视自身言行举止，弃“恶”扬善，从“我”做起、从日常小事做起、从现在做起，逐渐养成自觉践行社会主义核心价值观的习惯。</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以习近平新时代中国特色社会主义思想为指导，以引导大学生成长为担当民族复兴大任的时代新人为着眼点，以新时代对青年大学生的新要求为切入点，以人生选择、理想信念、价值观念、道德觉悟、法治素养等为主体内容，以提升大学生思想道德素养和法治素养为目标，教育和激励大学生立大志、明大德、成大才、担大任，在实现中国梦的生动实践中放飞青春梦想，成为自觉担当民族复兴大任的时代新人。</w:t>
            </w:r>
          </w:p>
        </w:tc>
        <w:tc>
          <w:tcPr>
            <w:tcW w:w="324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rPr>
              <w:t>本课程包括三大知识模块：一是思想政治教育，包括绪论、第一至四章，旨在引导帮助大学生树立正确的人生观，确立科学的理想信念，弘扬以爱国主义为核心的民族精神和以改革创新为核心的时代精神，积极培育</w:t>
            </w:r>
            <w:r>
              <w:rPr>
                <w:rFonts w:hint="eastAsia" w:ascii="仿宋_GB2312" w:hAnsi="仿宋_GB2312" w:eastAsia="仿宋_GB2312" w:cs="仿宋_GB2312"/>
                <w:b w:val="0"/>
                <w:bCs w:val="0"/>
                <w:color w:val="auto"/>
                <w:sz w:val="24"/>
                <w:szCs w:val="24"/>
                <w:highlight w:val="none"/>
                <w:lang w:val="en-US" w:eastAsia="zh-CN"/>
              </w:rPr>
              <w:t>和</w:t>
            </w:r>
            <w:r>
              <w:rPr>
                <w:rFonts w:hint="eastAsia" w:ascii="仿宋_GB2312" w:hAnsi="仿宋_GB2312" w:eastAsia="仿宋_GB2312" w:cs="仿宋_GB2312"/>
                <w:b w:val="0"/>
                <w:bCs w:val="0"/>
                <w:color w:val="auto"/>
                <w:sz w:val="24"/>
                <w:szCs w:val="24"/>
                <w:highlight w:val="none"/>
              </w:rPr>
              <w:t>践行社会主义核心价值观。二是道德教育，包括第五章，旨在帮助大学生理解道德的本质和作用，继承中华民族优秀美德和中国革命道德，遵循社会主义道德核心和原则，遵守道德规范，提升个人品德。三是法治教育，包括第六章，主要帮助大学生了解法律特别是社会主义法律的特征和运行，掌握以宪法为核心的中国特色社会主义法律体系的基本内容，领会坚持走中国特色社会主义法治道路的基本原则，引导大学生积极培养法治思维，合理行使法律规定的权利和义务。</w:t>
            </w:r>
          </w:p>
        </w:tc>
        <w:tc>
          <w:tcPr>
            <w:tcW w:w="191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通</w:t>
            </w:r>
            <w:r>
              <w:rPr>
                <w:rFonts w:hint="eastAsia" w:ascii="仿宋_GB2312" w:hAnsi="仿宋_GB2312" w:eastAsia="仿宋_GB2312" w:cs="仿宋_GB2312"/>
                <w:color w:val="auto"/>
                <w:sz w:val="24"/>
                <w:szCs w:val="24"/>
                <w:highlight w:val="none"/>
                <w:shd w:val="clear" w:color="auto" w:fill="FFFFFF"/>
                <w:lang w:val="en-US" w:eastAsia="zh-CN"/>
              </w:rPr>
              <w:t>过</w:t>
            </w:r>
            <w:r>
              <w:rPr>
                <w:rFonts w:hint="eastAsia" w:ascii="仿宋_GB2312" w:hAnsi="仿宋_GB2312" w:eastAsia="仿宋_GB2312" w:cs="仿宋_GB2312"/>
                <w:color w:val="auto"/>
                <w:sz w:val="24"/>
                <w:szCs w:val="24"/>
                <w:highlight w:val="none"/>
                <w:shd w:val="clear" w:color="auto" w:fill="FFFFFF"/>
              </w:rPr>
              <w:t>教师的理论讲授和学生的实践体验，让大学生形成崇高的理想信念，弘扬伟大的爱国主义精神，确立正确的人生观和价值观，牢固树立社会主义核心价值观，培养良好的思想道德素质和法律素质，成长为德、智、体、美、劳全面发展的中国特色社会主义伟大事业的合格建设者和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rPr>
              <w:t>形势与政策</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引导和帮助学生掌握认识形势与政策问题的基本理论和基础知识，包括科学分析形势与政策的方法论、形势发展变化的规律、政策的产生和发展、政策的本质和特征等基础知识；了解国内外重大事件和热点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难点问题，紧跟时代脉搏，融入变革潮流；重点是了解</w:t>
            </w:r>
            <w:r>
              <w:rPr>
                <w:rFonts w:hint="eastAsia" w:ascii="仿宋_GB2312" w:hAnsi="仿宋_GB2312" w:eastAsia="仿宋_GB2312" w:cs="仿宋_GB2312"/>
                <w:b w:val="0"/>
                <w:bCs w:val="0"/>
                <w:color w:val="auto"/>
                <w:sz w:val="24"/>
                <w:szCs w:val="24"/>
                <w:highlight w:val="none"/>
                <w:lang w:val="en-US" w:eastAsia="zh-CN"/>
              </w:rPr>
              <w:t>党的二十</w:t>
            </w:r>
            <w:r>
              <w:rPr>
                <w:rFonts w:hint="eastAsia" w:ascii="仿宋_GB2312" w:hAnsi="仿宋_GB2312" w:eastAsia="仿宋_GB2312" w:cs="仿宋_GB2312"/>
                <w:b w:val="0"/>
                <w:bCs w:val="0"/>
                <w:color w:val="auto"/>
                <w:sz w:val="24"/>
                <w:szCs w:val="24"/>
                <w:highlight w:val="none"/>
              </w:rPr>
              <w:t>大以来形成的一系列政策体系，理解党的路线、方针、政策的正确性。</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培养学生掌握正确分析形势和理解政策的能力，特别是对国内外重大事件、敏感问题、社会热点、难点、疑点问题的思考、分析和判断能力。</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使学生感知国情民意，体会党的路线方针政策的正确，把对形势与政策的认识统一到党和国家的科学判断上和正确决策上，</w:t>
            </w:r>
            <w:r>
              <w:rPr>
                <w:rFonts w:hint="eastAsia" w:ascii="仿宋_GB2312" w:hAnsi="仿宋_GB2312" w:eastAsia="仿宋_GB2312" w:cs="仿宋_GB2312"/>
                <w:b w:val="0"/>
                <w:bCs w:val="0"/>
                <w:color w:val="auto"/>
                <w:sz w:val="24"/>
                <w:szCs w:val="24"/>
                <w:highlight w:val="none"/>
                <w:lang w:val="en-US" w:eastAsia="zh-CN"/>
              </w:rPr>
              <w:t>不断增强</w:t>
            </w:r>
            <w:r>
              <w:rPr>
                <w:rFonts w:hint="eastAsia" w:ascii="仿宋_GB2312" w:hAnsi="仿宋_GB2312" w:eastAsia="仿宋_GB2312" w:cs="仿宋_GB2312"/>
                <w:b w:val="0"/>
                <w:bCs w:val="0"/>
                <w:color w:val="auto"/>
                <w:sz w:val="24"/>
                <w:szCs w:val="24"/>
                <w:highlight w:val="none"/>
              </w:rPr>
              <w:t>“四个意识”</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坚定“四个自信”</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做到“两个维护”，为实现中华民族伟大复兴而发奋学习。</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根据</w:t>
            </w:r>
            <w:r>
              <w:rPr>
                <w:rFonts w:hint="eastAsia" w:ascii="仿宋_GB2312" w:hAnsi="仿宋_GB2312" w:eastAsia="仿宋_GB2312" w:cs="仿宋_GB2312"/>
                <w:color w:val="auto"/>
                <w:sz w:val="24"/>
                <w:szCs w:val="24"/>
                <w:highlight w:val="none"/>
                <w:lang w:eastAsia="zh-CN"/>
              </w:rPr>
              <w:t>新时代面临的新情况新问题，针对学生关注的热点问题和思想特点，</w:t>
            </w:r>
            <w:r>
              <w:rPr>
                <w:rFonts w:hint="eastAsia" w:ascii="仿宋_GB2312" w:hAnsi="仿宋_GB2312" w:eastAsia="仿宋_GB2312" w:cs="仿宋_GB2312"/>
                <w:color w:val="auto"/>
                <w:sz w:val="24"/>
                <w:szCs w:val="24"/>
                <w:highlight w:val="none"/>
              </w:rPr>
              <w:t>涵盖国际形势、国内形势、社会热点、国家政策等</w:t>
            </w:r>
            <w:r>
              <w:rPr>
                <w:rFonts w:hint="eastAsia" w:ascii="仿宋_GB2312" w:hAnsi="仿宋_GB2312" w:eastAsia="仿宋_GB2312" w:cs="仿宋_GB2312"/>
                <w:color w:val="auto"/>
                <w:sz w:val="24"/>
                <w:szCs w:val="24"/>
                <w:highlight w:val="none"/>
                <w:lang w:val="en-US" w:eastAsia="zh-CN"/>
              </w:rPr>
              <w:t>内容</w:t>
            </w:r>
            <w:r>
              <w:rPr>
                <w:rFonts w:hint="eastAsia" w:ascii="仿宋_GB2312" w:hAnsi="仿宋_GB2312" w:eastAsia="仿宋_GB2312" w:cs="仿宋_GB2312"/>
                <w:color w:val="auto"/>
                <w:sz w:val="24"/>
                <w:szCs w:val="24"/>
                <w:highlight w:val="none"/>
              </w:rPr>
              <w:t>。通过学习，学生了解当前国内外政治、经济、文化、社会等领域的最新动态和趋势，掌握党和国家最新的方针政策和决策部署，为未来的学习和工作提供重要的参考和指导。同时，课程还将培养学生的分析判断能力、政策理解能力和社会实践能力，提升学生的综合素质和社会适应能力。</w:t>
            </w:r>
          </w:p>
        </w:tc>
        <w:tc>
          <w:tcPr>
            <w:tcW w:w="1918"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val="en-US" w:eastAsia="zh-CN" w:bidi="ar"/>
              </w:rPr>
              <w:t>按照中宣部、教育部每年每学期颁发的形势与政策课教学要点、要求和内容，对指定的专题进行教学。</w:t>
            </w:r>
            <w:r>
              <w:rPr>
                <w:rFonts w:hint="eastAsia" w:ascii="仿宋_GB2312" w:hAnsi="仿宋_GB2312" w:eastAsia="仿宋_GB2312" w:cs="仿宋_GB2312"/>
                <w:color w:val="auto"/>
                <w:sz w:val="24"/>
                <w:szCs w:val="24"/>
                <w:highlight w:val="none"/>
              </w:rPr>
              <w:t>教师采取混合式教学和学生研讨，聚焦社会热点、回应学生关切问题，提高学生运用马克思主义理论的立场</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观点</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方法解决实际问题的能力，提高政治辨别力，紧密围绕在以习近平同志为核心的党中央周围，奋进新征程。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国家安全教育</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让学生系统掌握总体国家安全观的内涵和精神实质，理解中国特色国家安全体系，新时代我国国家安全面临的复杂形势，掌握筑牢其他各领域国家安全屏障的具体方法和途径。</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能</w:t>
            </w:r>
            <w:r>
              <w:rPr>
                <w:rFonts w:hint="eastAsia" w:ascii="仿宋_GB2312" w:hAnsi="仿宋_GB2312" w:eastAsia="仿宋_GB2312" w:cs="仿宋_GB2312"/>
                <w:b/>
                <w:bCs/>
                <w:color w:val="auto"/>
                <w:sz w:val="24"/>
                <w:szCs w:val="24"/>
                <w:highlight w:val="none"/>
              </w:rPr>
              <w:t>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eastAsia="zh-CN"/>
              </w:rPr>
              <w:t>能够建立总体国家安全观，树立中国特色社会主义理想信念，能够做到国家利益至上，维护国家主权、安全和发展利益，能够维护国家正当权益，绝不牺牲国家核心利益；</w:t>
            </w:r>
            <w:r>
              <w:rPr>
                <w:rFonts w:hint="eastAsia" w:ascii="仿宋_GB2312" w:hAnsi="仿宋_GB2312" w:eastAsia="仿宋_GB2312" w:cs="仿宋_GB2312"/>
                <w:color w:val="auto"/>
                <w:sz w:val="24"/>
                <w:szCs w:val="24"/>
                <w:highlight w:val="none"/>
                <w:lang w:val="en-US" w:eastAsia="zh-CN"/>
              </w:rPr>
              <w:t>能够</w:t>
            </w:r>
            <w:r>
              <w:rPr>
                <w:rFonts w:hint="eastAsia" w:ascii="仿宋_GB2312" w:hAnsi="仿宋_GB2312" w:eastAsia="仿宋_GB2312" w:cs="仿宋_GB2312"/>
                <w:color w:val="auto"/>
                <w:sz w:val="24"/>
                <w:szCs w:val="24"/>
                <w:highlight w:val="none"/>
                <w:lang w:eastAsia="zh-CN"/>
              </w:rPr>
              <w:t>增强政治认同，不信谣、不传谣，能够对危害政治安全的违法行为进行举报；能够以实际行动维护</w:t>
            </w:r>
            <w:r>
              <w:rPr>
                <w:rFonts w:hint="eastAsia" w:ascii="仿宋_GB2312" w:hAnsi="仿宋_GB2312" w:eastAsia="仿宋_GB2312" w:cs="仿宋_GB2312"/>
                <w:color w:val="auto"/>
                <w:sz w:val="24"/>
                <w:szCs w:val="24"/>
                <w:highlight w:val="none"/>
                <w:lang w:val="en-US" w:eastAsia="zh-CN"/>
              </w:rPr>
              <w:t>国家</w:t>
            </w:r>
            <w:r>
              <w:rPr>
                <w:rFonts w:hint="eastAsia" w:ascii="仿宋_GB2312" w:hAnsi="仿宋_GB2312" w:eastAsia="仿宋_GB2312" w:cs="仿宋_GB2312"/>
                <w:color w:val="auto"/>
                <w:sz w:val="24"/>
                <w:szCs w:val="24"/>
                <w:highlight w:val="none"/>
                <w:lang w:eastAsia="zh-CN"/>
              </w:rPr>
              <w:t>安全；</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能够自觉遵守法律，做到诚实守信、廉洁自律；学会合作，为人正派，具有良好的协作、沟通能力和团队精神；严守法纪，坚持原则，自觉践行社会主义核心价值观。树立国家安全意识，培养爱国精神，使其矢志不渝听党话、跟党走，不断成为社会主义合格建设者和可靠接班人。</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提升学生的国家安全意识，培养学生将理论知识与实践相结合的能力，引导学生运用马克思主义的立场、观点、方法以及总体国家安全观分析和解决问题，构建起维护国家安全的实践能力。使学生树立国家安全底线思维，将国家安全意识转化为自觉行动，强化责任担当。</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本课程包含国家安全绪论、政治安全、国土安全、军事安全、经济安全、文化安全、社会安全、科技安全。通过教学，使学生树立国家安全意识，培养学生爱国精神，使其矢志不渝听党话、跟党走，不断成为社会主义合格建设者和可靠接班人。</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本课程以坚持总体国家安全观为科学指导，坚持党对国家安全教育的绝对领导，坚持以构建国家安全教育体系为途径，重点围绕理解中华民族命运与国家关系，践行总体国家安全观。学生系统掌握总体国家安全观的内涵和精神实质，理解中国特色国家安全体系，树立国家安全底线思维，将国家安全意识转化为自觉行动，强化学生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军事理论</w:t>
            </w:r>
          </w:p>
        </w:tc>
        <w:tc>
          <w:tcPr>
            <w:tcW w:w="43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掌握基本的军事理论知识，了解中国国防政策和军事战略，认识信息化战争的特点与规律等。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运用所学军事理论知识分析国内外军事事件的能力，以及独立判断和批判性思考的习惯。提升学生的战略思维能力和实际操作技能，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：激发学生对国家和民族的热爱之情，增强其作为公民的社会责任感和使命感；强化国防观念、国家安全意识与爱国主义精神。‌</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通过系统的知识传授和能力培养，全面提升学生的综合素质，增强学生国家安全意识和国防观念，为未来成为具有家国情怀、战略视野和创新能力的优秀人才奠定坚实基础。</w:t>
            </w:r>
          </w:p>
        </w:tc>
        <w:tc>
          <w:tcPr>
            <w:tcW w:w="324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课程内容包括军事基础知识、军事思想、国家安全形势分析、战略环境、军事高技术、现代战争知识等。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1918" w:type="dxa"/>
            <w:shd w:val="clear" w:color="auto" w:fill="auto"/>
            <w:vAlign w:val="top"/>
          </w:tcPr>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00" w:lineRule="exact"/>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本课程以马列主义、毛泽东思想、邓小平理论及习近平强军思想为指导，‌采用多媒体教学、案例研讨，使学生理解总体国家安全观，激发学生献身国防的热情、增强民族自豪感。</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军训</w:t>
            </w:r>
          </w:p>
        </w:tc>
        <w:tc>
          <w:tcPr>
            <w:tcW w:w="4352" w:type="dxa"/>
            <w:shd w:val="clear" w:color="auto" w:fill="auto"/>
            <w:vAlign w:val="center"/>
          </w:tcPr>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掌握基本的军事技能、完成基础军事训练。</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结合模拟演练和角色扮演等活动，提升学生的战略思维能力和实际操作技能，增强学生的团队意识和沟通协调能力，提高学生的应急反应速度和自我保护能力，为应对突发事件打下坚实基础。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：培养学生的纪律性和服从意识；强化团队协作精神，锻炼学生的意志力和毅力，培养其面对困难和挑战时不屈不挠的精神风貌，鼓励其为实现中华民族伟大复兴的中国梦贡献力量。</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通过能力培养，全面提升学生的综合素质，增强学生国防观念，为成为具有家国情怀、战略视野和创新能力的优秀人才奠定坚实基础。</w:t>
            </w:r>
          </w:p>
        </w:tc>
        <w:tc>
          <w:tcPr>
            <w:tcW w:w="324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课程内容包括队列、战术训练等‌军事技能训练。</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p>
        </w:tc>
        <w:tc>
          <w:tcPr>
            <w:tcW w:w="1918"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循序渐进，由浅入深，逐步提高学生的军训技能；注重示范指导，通过示范动作带动学生的学习兴趣；强化实践训练，让学生通过实际操作掌握军事技能。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6</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计算机基础</w:t>
            </w:r>
          </w:p>
        </w:tc>
        <w:tc>
          <w:tcPr>
            <w:tcW w:w="4352"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计算机硬件组成和操作系统基本原理，理解常用办公软件功能特点，了解常用工具软件的分类及基本使用方法，拓展数字化办公技能，帮助学生系统掌握计算机领域的核心理论与前沿动态，为技能应用和职业发展奠定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培养计算机基本操作能力，熟练使用办公软件处理文档。提升网络应用和信息检索水平，具备解决常见计算机问题的技能。</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培养信息素养和数字思维，提高自主学习新技术能力。树立信息安</w:t>
            </w:r>
            <w:r>
              <w:rPr>
                <w:rStyle w:val="10"/>
                <w:rFonts w:hint="eastAsia" w:ascii="仿宋_GB2312" w:hAnsi="仿宋_GB2312" w:eastAsia="仿宋_GB2312" w:cs="仿宋_GB2312"/>
                <w:b w:val="0"/>
                <w:bCs w:val="0"/>
                <w:i w:val="0"/>
                <w:iCs w:val="0"/>
                <w:caps w:val="0"/>
                <w:color w:val="auto"/>
                <w:spacing w:val="-6"/>
                <w:kern w:val="0"/>
                <w:sz w:val="24"/>
                <w:szCs w:val="24"/>
                <w:highlight w:val="none"/>
                <w:shd w:val="clear" w:fill="FFFFFF"/>
                <w:lang w:val="en-US" w:eastAsia="zh-CN" w:bidi="ar"/>
              </w:rPr>
              <w:t>全意识，养成规范使用计算机的良好习惯。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jc w:val="both"/>
              <w:textAlignment w:val="auto"/>
              <w:rPr>
                <w:rFonts w:hint="eastAsia" w:ascii="仿宋_GB2312" w:hAnsi="仿宋_GB2312" w:eastAsia="仿宋_GB2312" w:cs="仿宋_GB2312"/>
                <w:b w:val="0"/>
                <w:bCs w:val="0"/>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融入科技创新案例，培养科技报国情怀。通过信息伦理教育，强化网络行为规范和责任意识。引导学生树立家国情怀、职业道德和社会责任感，</w:t>
            </w:r>
            <w:r>
              <w:rPr>
                <w:rFonts w:hint="eastAsia" w:ascii="仿宋_GB2312" w:hAnsi="仿宋_GB2312" w:eastAsia="仿宋_GB2312" w:cs="仿宋_GB2312"/>
                <w:b w:val="0"/>
                <w:bCs w:val="0"/>
                <w:color w:val="auto"/>
                <w:kern w:val="2"/>
                <w:sz w:val="24"/>
                <w:szCs w:val="24"/>
                <w:highlight w:val="none"/>
                <w:lang w:val="en-US" w:eastAsia="zh-CN" w:bidi="ar-SA"/>
              </w:rPr>
              <w:t>最终实现“德才兼备、知行合一”的技术人才培养目标，为行业发展与社会进步输送兼具职业道德素养与专业技术能力的复合型人才。</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包含计算机硬件基础、Windows操作系统、Office办公软件、网络基础等模块。重点培养文档处理、数据分析和演示汇报等实用技能，融入专业相关的计算机应用案例。结合新技术发展，介绍云计算、大数据等前沿技术概念。</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教师需采用任务驱动教学法，设计贴近实际的应用场景。合理运用信息化教学手段，强化实操训练。学生需按时完成实践任务，主动探索软件功能。教学中要注重应用能力培养，突出计算机工具的实用价值，提升学生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left"/>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大学英语</w:t>
            </w:r>
          </w:p>
        </w:tc>
        <w:tc>
          <w:tcPr>
            <w:tcW w:w="4352"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掌握基础词汇和核心语法，学习职场英语表达。了解英语国家文化常识，熟悉专业相关术语。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培养学生掌握语言基础知识和语言技能、具备基本的英语听、说、读、写、译能力，增强其跨文化交际意识和沟通能力，为适应未来职业需求。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培养自主学习意识，增强跨文化理解能力。树立终身学习理念，提高团队协作和沟通能力。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融入工匠精神教育，培养职业操守。通过中外文化对比，培养学生树立正确的世界观、人生观、价值观，明辨西方文化与价值观，增强文化自信和爱国情怀。</w:t>
            </w:r>
          </w:p>
        </w:tc>
        <w:tc>
          <w:tcPr>
            <w:tcW w:w="324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三大模块：基础英语模块重点训练日常交际和职场基础英语；专业英语模块针对不同专业需求，学习相关术语和场景对话；实践应用模块通过模拟职场情境，开展项目任务训练。教学内容突出实用性，融入大量真实职场案例，同时结合行业发展，介绍相关职业规范和标准。</w:t>
            </w:r>
          </w:p>
        </w:tc>
        <w:tc>
          <w:tcPr>
            <w:tcW w:w="1918"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color w:val="auto"/>
                <w:sz w:val="24"/>
                <w:szCs w:val="24"/>
                <w:highlight w:val="none"/>
              </w:rPr>
              <w:t>采用情景教学法，设计职场情境任务。结合信息化手段，注重实践能力培养。参与课堂活动，完成实践任务。利用网络资源自主学习，提升应用能力。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大学体育</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掌握体育运动基本理论知识，了解常见运动项目的规则与要领。学习科学锻炼方法和运动损伤预防知识，为终身体育锻炼奠定理论基础。</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发展学生基础运动技能，提升速度、力量、耐力等身体素质。培养1-2项运动特长，</w:t>
            </w:r>
            <w:r>
              <w:rPr>
                <w:rFonts w:hint="eastAsia" w:ascii="仿宋_GB2312" w:hAnsi="仿宋_GB2312" w:eastAsia="仿宋_GB2312" w:cs="仿宋_GB2312"/>
                <w:b w:val="0"/>
                <w:bCs w:val="0"/>
                <w:color w:val="auto"/>
                <w:sz w:val="24"/>
                <w:szCs w:val="24"/>
                <w:highlight w:val="none"/>
              </w:rPr>
              <w:t>提升体育运动能力，提高职业体能水平。</w:t>
            </w:r>
            <w:r>
              <w:rPr>
                <w:rFonts w:hint="eastAsia" w:ascii="仿宋_GB2312" w:hAnsi="仿宋_GB2312" w:eastAsia="仿宋_GB2312" w:cs="仿宋_GB2312"/>
                <w:color w:val="auto"/>
                <w:sz w:val="24"/>
                <w:szCs w:val="24"/>
                <w:highlight w:val="none"/>
              </w:rPr>
              <w:t>增强团队协作能力和体育竞赛组织能力。</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遵守体育道德规范和行为准则，发扬体育精神，塑造良好的体育品格，增强责任意识、规则意识和团队意识</w:t>
            </w:r>
            <w:r>
              <w:rPr>
                <w:rFonts w:hint="eastAsia" w:ascii="仿宋_GB2312" w:hAnsi="仿宋_GB2312" w:eastAsia="仿宋_GB2312" w:cs="仿宋_GB2312"/>
                <w:b w:val="0"/>
                <w:bCs w:val="0"/>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以习近平新时代中国特色社会主义思想为指导，坚持知识传授与价值引领相结合， 树立健康第一的教育理念，帮助学生在体育锻炼中享受乐趣、增强体质、健全人格、锤炼意志。培养学生顽强拼搏、奋斗有我的信念，激发学生提升身体素质的责任感。</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基础体能训练提升身体素质；球类、田径等专项技能教学；特色项目如</w:t>
            </w:r>
            <w:r>
              <w:rPr>
                <w:rFonts w:hint="eastAsia" w:ascii="仿宋_GB2312" w:hAnsi="仿宋_GB2312" w:eastAsia="仿宋_GB2312" w:cs="仿宋_GB2312"/>
                <w:color w:val="auto"/>
                <w:sz w:val="24"/>
                <w:szCs w:val="24"/>
                <w:highlight w:val="none"/>
                <w:lang w:val="en-US" w:eastAsia="zh-CN"/>
              </w:rPr>
              <w:t>武术</w:t>
            </w:r>
            <w:r>
              <w:rPr>
                <w:rFonts w:hint="eastAsia" w:ascii="仿宋_GB2312" w:hAnsi="仿宋_GB2312" w:eastAsia="仿宋_GB2312" w:cs="仿宋_GB2312"/>
                <w:color w:val="auto"/>
                <w:sz w:val="24"/>
                <w:szCs w:val="24"/>
                <w:highlight w:val="none"/>
              </w:rPr>
              <w:t>、健身操等。融入职业体能训练，结合专业特点设计教学内容。</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lang w:val="en-US" w:eastAsia="zh-CN"/>
              </w:rPr>
              <w:t>教师需</w:t>
            </w:r>
            <w:r>
              <w:rPr>
                <w:rFonts w:hint="eastAsia" w:ascii="仿宋_GB2312" w:hAnsi="仿宋_GB2312" w:eastAsia="仿宋_GB2312" w:cs="仿宋_GB2312"/>
                <w:color w:val="auto"/>
                <w:sz w:val="24"/>
                <w:szCs w:val="24"/>
                <w:highlight w:val="none"/>
              </w:rPr>
              <w:t>采用示范教学与分组练习相结合的方式，注重因材施教。合理运用信息化教学手段，创新教学方法。学生需按时出勤，积极参与训练，完成课后锻炼任务。教学过程中要注重安全教育，培养学生终身体育意识，营造积极向上的体育文化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大学生职业发展与就业指导</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color w:val="auto"/>
                <w:sz w:val="24"/>
                <w:szCs w:val="24"/>
                <w:highlight w:val="none"/>
              </w:rPr>
              <w:t>掌握职业生涯规划基本理论，了解就业政策与劳动法规。学习求职材料制作规范，熟悉职场礼仪与职业素养要求。</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培养职业规划与决策能力，提升简历制作与面试技巧</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提高学生求职应职技巧，</w:t>
            </w:r>
            <w:r>
              <w:rPr>
                <w:rFonts w:hint="eastAsia" w:ascii="仿宋_GB2312" w:hAnsi="仿宋_GB2312" w:eastAsia="仿宋_GB2312" w:cs="仿宋_GB2312"/>
                <w:color w:val="auto"/>
                <w:sz w:val="24"/>
                <w:szCs w:val="24"/>
                <w:highlight w:val="none"/>
              </w:rPr>
              <w:t>增强就业信息获取能力，掌握职场适应与职业发展方法。</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分析当前大学生面临的就业形势，帮助学生及时了解就业市场的需求形势和国家、地方有关大学生就业的政策，按照社会需求确立就业心理，树立正确的就业观念和就业取向。</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通过加强就业形势和政策的宣传教育，</w:t>
            </w:r>
            <w:r>
              <w:rPr>
                <w:rFonts w:hint="eastAsia" w:ascii="仿宋_GB2312" w:hAnsi="仿宋_GB2312" w:eastAsia="仿宋_GB2312" w:cs="仿宋_GB2312"/>
                <w:b w:val="0"/>
                <w:bCs w:val="0"/>
                <w:color w:val="auto"/>
                <w:kern w:val="2"/>
                <w:sz w:val="24"/>
                <w:szCs w:val="24"/>
                <w:highlight w:val="none"/>
                <w:lang w:val="en-US" w:eastAsia="zh-CN" w:bidi="ar-SA"/>
              </w:rPr>
              <w:t>引导广大学生深刻认识到党和国家“以人民为中心”的发展理念，切实增强对国家保就业、稳增长工作的信心，充分感知国家在相关领域的坚实能力。</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包含职业认知、职业规划、求职技能、职场适应四大模块。通过职业测评、行业分析、简历制作、模拟面试等实践活动，帮助学生了解职业世界，掌握求职技巧。结合专业特点，开展行业专家讲座、企业参观等特色教学活动，强化职业认知与规划能力。</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教师需结合专业特色，采用案例教学、情景模拟等互动式教学方法，注重实践环节设计。学生需主动参与课堂活动，完成职业探索任务，积极进行自我认知与职业规划。教学过程中要注重个性化指导，针对不同学生特点提供差异化就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大学生心理健康教育</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掌握心理健康基本概念和标准，了解常见心理问题表现及成因。</w:t>
            </w:r>
            <w:r>
              <w:rPr>
                <w:rFonts w:hint="eastAsia" w:ascii="仿宋_GB2312" w:hAnsi="仿宋_GB2312" w:eastAsia="仿宋_GB2312" w:cs="仿宋_GB2312"/>
                <w:color w:val="auto"/>
                <w:sz w:val="24"/>
                <w:szCs w:val="24"/>
                <w:highlight w:val="none"/>
                <w:lang w:val="en-US" w:eastAsia="zh-CN"/>
              </w:rPr>
              <w:t>掌握</w:t>
            </w:r>
            <w:r>
              <w:rPr>
                <w:rFonts w:hint="eastAsia" w:ascii="仿宋_GB2312" w:hAnsi="仿宋_GB2312" w:eastAsia="仿宋_GB2312" w:cs="仿宋_GB2312"/>
                <w:color w:val="auto"/>
                <w:sz w:val="24"/>
                <w:szCs w:val="24"/>
                <w:highlight w:val="none"/>
              </w:rPr>
              <w:t>情绪管理、压力应对等心理调适方法，增强自我认知能力。</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情绪调节与压力管理能力，提升人际沟通与冲突解决水平。使学生掌握心理自助技巧，具备初步心理问题识别与求助能力。</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rPr>
              <w:t>培养</w:t>
            </w:r>
            <w:r>
              <w:rPr>
                <w:rFonts w:hint="eastAsia" w:ascii="仿宋_GB2312" w:hAnsi="仿宋_GB2312" w:eastAsia="仿宋_GB2312" w:cs="仿宋_GB2312"/>
                <w:color w:val="auto"/>
                <w:sz w:val="24"/>
                <w:szCs w:val="24"/>
                <w:highlight w:val="none"/>
                <w:lang w:val="en-US" w:eastAsia="zh-CN"/>
              </w:rPr>
              <w:t>学生</w:t>
            </w:r>
            <w:r>
              <w:rPr>
                <w:rFonts w:hint="eastAsia" w:ascii="仿宋_GB2312" w:hAnsi="仿宋_GB2312" w:eastAsia="仿宋_GB2312" w:cs="仿宋_GB2312"/>
                <w:color w:val="auto"/>
                <w:sz w:val="24"/>
                <w:szCs w:val="24"/>
                <w:highlight w:val="none"/>
              </w:rPr>
              <w:t>积极乐观的人生态度，增强心理韧性和适应能力。树立正确的自我认知，形成健康的生活方式与行为习惯。</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坚持育心与育德相结合，引导学生以自尊自信、理性平和、积极向上的健康心态正 确对待和处理成长中的心理困惑和问题，始终围绕社会主义核心价值观来发展和完善自身人格，将个人自我实现的追求与社会发展结合起来。</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课程包含心理健康基础知识、情绪管理、人际交往、压力应对等模块。通过案例分析、团体辅导等形式，帮助学生掌握心理调适技能。结合学生特点，重点讲解职业心理适应、就业压力疏导等内容，提升学生心理素质。</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rPr>
              <w:t>教师需采用互动体验式教学，创设安全开放的课堂氛围。结合学生实际需求，设计实践性教学活动。学生需积极参与课堂互动，完成心理训练任务。教学中要注重隐私保护，引导学生科学看待心理问题，提升心理健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劳动教育</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培养基本劳动技能，提升实践操作能力。掌握团队协作方法，增强问题解决与创新应用能力，适应未来职业劳动需求。</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：培育吃苦耐劳精神，树立劳动光荣意识。增强责任担当，培养勤俭节约品质，形成尊重劳动、热爱劳动的良好品格。</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val="0"/>
                <w:bCs w:val="0"/>
                <w:color w:val="auto"/>
                <w:sz w:val="24"/>
                <w:szCs w:val="24"/>
                <w:highlight w:val="none"/>
              </w:rPr>
              <w:t>培养学生的劳动观念，树立尊重劳动、热爱劳动、珍惜劳动成果的意识；引导学生形成正确的劳动价值观，理解劳动的社会意义和个人价值；培养新时代坚定的马克思主义者和具有工匠精神的社会主义建设者。</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弘扬劳模精神与工匠精神，强化劳动育人功能。</w:t>
            </w:r>
            <w:r>
              <w:rPr>
                <w:rFonts w:hint="eastAsia" w:ascii="仿宋_GB2312" w:hAnsi="仿宋_GB2312" w:eastAsia="仿宋_GB2312" w:cs="仿宋_GB2312"/>
                <w:b w:val="0"/>
                <w:bCs w:val="0"/>
                <w:color w:val="auto"/>
                <w:sz w:val="24"/>
                <w:szCs w:val="24"/>
                <w:highlight w:val="none"/>
              </w:rPr>
              <w:t>引导学生做社会主义核心价值观的积极践行者，培养新时代坚定的马克思主义者和具有工匠精神的社会主义建设者。</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主要包括工具使用、设备操作等基础训练；实践环节组织校园服务、专业实习等多样化活动。结合专业特色，设计职业劳动项目，融入新技术、新工艺内容，提升学生劳动素养与职业适应能力。</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结合专业特点设计教学内容，注重劳动安全教育，规范操作流程。学生需积极参与劳动实践，认真完成劳动任务。教学过程中要突出劳动育人功能，强化劳动价值观教育，注重培养学生的劳动习惯和职业精神，促进德智体美劳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毛泽东思想和中国特色社会主义理论体系概论</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全面理解马克思主义中国化理论成果的科学内涵、理论体系、思想精髓、精神实质</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 xml:space="preserve">系统把握马克思主义中国化理论成果所蕴含的马克思主义立场、观点和方法。 </w:t>
            </w:r>
            <w:r>
              <w:rPr>
                <w:rFonts w:hint="eastAsia" w:ascii="仿宋_GB2312" w:hAnsi="仿宋_GB2312" w:eastAsia="仿宋_GB2312" w:cs="仿宋_GB2312"/>
                <w:b w:val="0"/>
                <w:bCs w:val="0"/>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学会用马克思主义中国化理论成果分析和解决现实问题，把理论与实践、理想与现实、主观与客观统一起来，自觉投身于中国特色社会主义伟大实践。</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w:t>
            </w:r>
            <w:r>
              <w:rPr>
                <w:rFonts w:hint="eastAsia" w:ascii="仿宋_GB2312" w:hAnsi="仿宋_GB2312" w:eastAsia="仿宋_GB2312" w:cs="仿宋_GB2312"/>
                <w:b/>
                <w:bCs/>
                <w:color w:val="auto"/>
                <w:sz w:val="24"/>
                <w:szCs w:val="24"/>
                <w:highlight w:val="none"/>
              </w:rPr>
              <w:t>目标</w:t>
            </w:r>
            <w:r>
              <w:rPr>
                <w:rFonts w:hint="eastAsia" w:ascii="仿宋_GB2312" w:hAnsi="仿宋_GB2312" w:eastAsia="仿宋_GB2312" w:cs="仿宋_GB2312"/>
                <w:b w:val="0"/>
                <w:bCs w:val="0"/>
                <w:color w:val="auto"/>
                <w:sz w:val="24"/>
                <w:szCs w:val="24"/>
                <w:highlight w:val="none"/>
              </w:rPr>
              <w:t>：引导大学生树立科学的世界观、历史观、大局观，深刻理解“中国共产党为什么能” “马克思主义为什么行”“中国特色社会主义为什么好”，</w:t>
            </w:r>
            <w:r>
              <w:rPr>
                <w:rFonts w:hint="eastAsia" w:ascii="仿宋_GB2312" w:hAnsi="仿宋_GB2312" w:eastAsia="仿宋_GB2312" w:cs="仿宋_GB2312"/>
                <w:b w:val="0"/>
                <w:bCs w:val="0"/>
                <w:color w:val="auto"/>
                <w:sz w:val="24"/>
                <w:szCs w:val="24"/>
                <w:highlight w:val="none"/>
                <w:lang w:val="en-US" w:eastAsia="zh-CN"/>
              </w:rPr>
              <w:t>自觉</w:t>
            </w:r>
            <w:r>
              <w:rPr>
                <w:rFonts w:hint="eastAsia" w:ascii="仿宋_GB2312" w:hAnsi="仿宋_GB2312" w:eastAsia="仿宋_GB2312" w:cs="仿宋_GB2312"/>
                <w:b w:val="0"/>
                <w:bCs w:val="0"/>
                <w:color w:val="auto"/>
                <w:sz w:val="24"/>
                <w:szCs w:val="24"/>
                <w:highlight w:val="none"/>
                <w:lang w:eastAsia="zh-CN"/>
              </w:rPr>
              <w:t>增强“四个意识”、坚定“四个自信”、</w:t>
            </w:r>
            <w:r>
              <w:rPr>
                <w:rFonts w:hint="eastAsia" w:ascii="仿宋_GB2312" w:hAnsi="仿宋_GB2312" w:eastAsia="仿宋_GB2312" w:cs="仿宋_GB2312"/>
                <w:b w:val="0"/>
                <w:bCs w:val="0"/>
                <w:color w:val="auto"/>
                <w:sz w:val="24"/>
                <w:szCs w:val="24"/>
                <w:highlight w:val="none"/>
              </w:rPr>
              <w:t>做到“两个维护”，</w:t>
            </w:r>
            <w:r>
              <w:rPr>
                <w:rFonts w:hint="eastAsia" w:ascii="仿宋_GB2312" w:hAnsi="仿宋_GB2312" w:eastAsia="仿宋_GB2312" w:cs="仿宋_GB2312"/>
                <w:b w:val="0"/>
                <w:bCs w:val="0"/>
                <w:color w:val="auto"/>
                <w:sz w:val="24"/>
                <w:szCs w:val="24"/>
                <w:highlight w:val="none"/>
                <w:lang w:val="en-US" w:eastAsia="zh-CN"/>
              </w:rPr>
              <w:t>努力学习</w:t>
            </w:r>
            <w:r>
              <w:rPr>
                <w:rFonts w:hint="eastAsia" w:ascii="仿宋_GB2312" w:hAnsi="仿宋_GB2312" w:eastAsia="仿宋_GB2312" w:cs="仿宋_GB2312"/>
                <w:i w:val="0"/>
                <w:iCs w:val="0"/>
                <w:caps w:val="0"/>
                <w:color w:val="auto"/>
                <w:spacing w:val="0"/>
                <w:sz w:val="24"/>
                <w:szCs w:val="24"/>
                <w:highlight w:val="none"/>
                <w:shd w:val="clear" w:fill="FFFFFF"/>
              </w:rPr>
              <w:t>文化知识，增强自己的本领</w:t>
            </w:r>
            <w:r>
              <w:rPr>
                <w:rFonts w:hint="eastAsia" w:ascii="仿宋_GB2312" w:hAnsi="仿宋_GB2312" w:eastAsia="仿宋_GB2312" w:cs="仿宋_GB2312"/>
                <w:i w:val="0"/>
                <w:iCs w:val="0"/>
                <w:caps w:val="0"/>
                <w:color w:val="auto"/>
                <w:spacing w:val="0"/>
                <w:sz w:val="24"/>
                <w:szCs w:val="24"/>
                <w:highlight w:val="none"/>
                <w:shd w:val="clear" w:fill="FFFFFF"/>
                <w:lang w:eastAsia="zh-CN"/>
              </w:rPr>
              <w:t>，</w:t>
            </w:r>
            <w:r>
              <w:rPr>
                <w:rFonts w:hint="eastAsia" w:ascii="仿宋_GB2312" w:hAnsi="仿宋_GB2312" w:eastAsia="仿宋_GB2312" w:cs="仿宋_GB2312"/>
                <w:b w:val="0"/>
                <w:bCs w:val="0"/>
                <w:color w:val="auto"/>
                <w:sz w:val="24"/>
                <w:szCs w:val="24"/>
                <w:highlight w:val="none"/>
              </w:rPr>
              <w:t>为实现中华民族伟大复兴中国梦而努力。</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val="0"/>
                <w:bCs w:val="0"/>
                <w:color w:val="auto"/>
                <w:sz w:val="24"/>
                <w:szCs w:val="24"/>
                <w:highlight w:val="none"/>
                <w:lang w:val="en-US" w:eastAsia="zh-CN"/>
              </w:rPr>
              <w:t>课程</w:t>
            </w:r>
            <w:r>
              <w:rPr>
                <w:rFonts w:hint="eastAsia" w:ascii="仿宋_GB2312" w:hAnsi="仿宋_GB2312" w:eastAsia="仿宋_GB2312" w:cs="仿宋_GB2312"/>
                <w:b w:val="0"/>
                <w:bCs w:val="0"/>
                <w:color w:val="auto"/>
                <w:sz w:val="24"/>
                <w:szCs w:val="24"/>
                <w:highlight w:val="none"/>
              </w:rPr>
              <w:t>包括三大知识模块：一是马克思主义中国化的科学内涵和理论成果；二是阐述毛泽东思想的时 代背景、主要内容和历史地位；三是分别阐述邓小平理论、“三个代表”重要思想、科学发展观形成的社会历史条件、形成发展过程、主要内容和历史地位。</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运用信息化技术进行史论结合、案例丰富的讲授，引导学生系统掌握马克思主义基本原理和马克思主义中国化理论成果，了解党史、新中国史、改革开放史、社会主义发展史，认识世情、国情、党情，培养运用马克思主义立场观点方法分析和解决问题的能力； 矢志不渝听党话</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跟党走，争做社会主义合格建设者和 可靠接班人。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创新创业教育</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rPr>
              <w:t>熟悉创新思维的内涵及其基本训练方法；</w:t>
            </w:r>
            <w:r>
              <w:rPr>
                <w:rFonts w:hint="eastAsia" w:ascii="仿宋_GB2312" w:hAnsi="仿宋_GB2312" w:eastAsia="仿宋_GB2312" w:cs="仿宋_GB2312"/>
                <w:color w:val="auto"/>
                <w:sz w:val="24"/>
                <w:szCs w:val="24"/>
                <w:highlight w:val="none"/>
                <w:lang w:val="en-US" w:eastAsia="zh-CN"/>
              </w:rPr>
              <w:t>了解商业模式设计要点，</w:t>
            </w:r>
            <w:r>
              <w:rPr>
                <w:rFonts w:hint="eastAsia" w:ascii="仿宋_GB2312" w:hAnsi="仿宋_GB2312" w:eastAsia="仿宋_GB2312" w:cs="仿宋_GB2312"/>
                <w:b w:val="0"/>
                <w:bCs w:val="0"/>
                <w:color w:val="auto"/>
                <w:sz w:val="24"/>
                <w:szCs w:val="24"/>
                <w:highlight w:val="none"/>
              </w:rPr>
              <w:t>掌握常用的创新方法；掌握保护创新成果的方法</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了解创新创业政策法规。</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val="0"/>
                <w:bCs w:val="0"/>
                <w:color w:val="auto"/>
                <w:sz w:val="24"/>
                <w:szCs w:val="24"/>
                <w:highlight w:val="none"/>
              </w:rPr>
              <w:t xml:space="preserve"> </w:t>
            </w:r>
            <w:r>
              <w:rPr>
                <w:rFonts w:hint="eastAsia" w:ascii="仿宋_GB2312" w:hAnsi="仿宋_GB2312" w:eastAsia="仿宋_GB2312" w:cs="仿宋_GB2312"/>
                <w:color w:val="auto"/>
                <w:sz w:val="24"/>
                <w:szCs w:val="24"/>
                <w:highlight w:val="none"/>
                <w:lang w:val="en-US" w:eastAsia="zh-CN"/>
              </w:rPr>
              <w:t>培养创新思维与机会识别能力，提升商业计划书撰写水平。增强资源整合与项目管理能力，掌握创业风险防范与应对方法。</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培育开拓进取精神，树立正确的创业价值观。增强团队协作意识，培养抗压能力与责任担当，形成积极向上的创业心态。</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rPr>
              <w:t>课程思政育人目标：</w:t>
            </w:r>
            <w:r>
              <w:rPr>
                <w:rFonts w:hint="eastAsia" w:ascii="仿宋_GB2312" w:hAnsi="仿宋_GB2312" w:eastAsia="仿宋_GB2312" w:cs="仿宋_GB2312"/>
                <w:b w:val="0"/>
                <w:bCs w:val="0"/>
                <w:color w:val="auto"/>
                <w:sz w:val="24"/>
                <w:szCs w:val="24"/>
                <w:highlight w:val="none"/>
              </w:rPr>
              <w:t>融入企业家精神教育，强化社会责任意识。通过创新创业案例培育家国情怀，引导学生将个人发展融入国家创新驱动</w:t>
            </w:r>
            <w:r>
              <w:rPr>
                <w:rFonts w:hint="eastAsia" w:ascii="仿宋_GB2312" w:hAnsi="仿宋_GB2312" w:eastAsia="仿宋_GB2312" w:cs="仿宋_GB2312"/>
                <w:b w:val="0"/>
                <w:bCs w:val="0"/>
                <w:color w:val="auto"/>
                <w:sz w:val="24"/>
                <w:szCs w:val="24"/>
                <w:highlight w:val="none"/>
                <w:lang w:val="en-US" w:eastAsia="zh-CN"/>
              </w:rPr>
              <w:t>发展</w:t>
            </w:r>
            <w:r>
              <w:rPr>
                <w:rFonts w:hint="eastAsia" w:ascii="仿宋_GB2312" w:hAnsi="仿宋_GB2312" w:eastAsia="仿宋_GB2312" w:cs="仿宋_GB2312"/>
                <w:b w:val="0"/>
                <w:bCs w:val="0"/>
                <w:color w:val="auto"/>
                <w:sz w:val="24"/>
                <w:szCs w:val="24"/>
                <w:highlight w:val="none"/>
              </w:rPr>
              <w:t>战略。</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创新思维训练、创业基础知识、商业计划设计、创业模拟实践四大模块。通过案例分析、工作坊等形式开展创新方法训练，组织商业模式设计、路演展示等实践活动。结合区域经济发展需求，引入真实创业项目，开展校企合作实践，强化学生创新创业能力培养。</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项目驱动式教学，设计真实创业情境任务。邀请企业家参与教学，保持教学内容的前沿性。学生需主动参与创新实践，完成商业计划设计。教学中要注重理论与实践结合，突出创新思维培养，强化创业伦理教育，提升学生创新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14</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习近平新时代中国特色社会主义思想概论</w:t>
            </w:r>
          </w:p>
        </w:tc>
        <w:tc>
          <w:tcPr>
            <w:tcW w:w="4352"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深刻理解习近平新时代中国特色社会主义思想是马克思主义中国化的最新理论成果；系统把握习近平新时代中国特色社会主义思想的核心观点和基本方略。</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提升大学生运用所学新思想、新理论分析和解决现实问题的能力；增强大学生全面贯彻党的基本理论和基本方略的自觉性和主动性。</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b w:val="0"/>
                <w:bCs w:val="0"/>
                <w:color w:val="auto"/>
                <w:sz w:val="24"/>
                <w:szCs w:val="24"/>
                <w:highlight w:val="none"/>
              </w:rPr>
              <w:t>引导大学生自觉运用习近平新时代中国特色社会主义思想武装头脑，积极投身到建设新时代中国特色社会主义的伟大历史进程中，实现中国梦。 帮助大学生</w:t>
            </w:r>
            <w:r>
              <w:rPr>
                <w:rFonts w:hint="eastAsia" w:ascii="仿宋_GB2312" w:hAnsi="仿宋_GB2312" w:eastAsia="仿宋_GB2312" w:cs="仿宋_GB2312"/>
                <w:b w:val="0"/>
                <w:bCs w:val="0"/>
                <w:color w:val="auto"/>
                <w:sz w:val="24"/>
                <w:szCs w:val="24"/>
                <w:highlight w:val="none"/>
                <w:lang w:eastAsia="zh-CN"/>
              </w:rPr>
              <w:t>增强“四个意识”、坚定“四个自信”、做到“两个维护”</w:t>
            </w:r>
            <w:r>
              <w:rPr>
                <w:rFonts w:hint="eastAsia" w:ascii="仿宋_GB2312" w:hAnsi="仿宋_GB2312" w:eastAsia="仿宋_GB2312" w:cs="仿宋_GB2312"/>
                <w:b w:val="0"/>
                <w:bCs w:val="0"/>
                <w:color w:val="auto"/>
                <w:sz w:val="24"/>
                <w:szCs w:val="24"/>
                <w:highlight w:val="none"/>
              </w:rPr>
              <w:t xml:space="preserve">。 </w:t>
            </w:r>
          </w:p>
        </w:tc>
        <w:tc>
          <w:tcPr>
            <w:tcW w:w="324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课程主要的知识模块</w:t>
            </w:r>
            <w:r>
              <w:rPr>
                <w:rFonts w:hint="eastAsia" w:ascii="仿宋_GB2312" w:hAnsi="仿宋_GB2312" w:eastAsia="仿宋_GB2312" w:cs="仿宋_GB2312"/>
                <w:color w:val="auto"/>
                <w:sz w:val="24"/>
                <w:szCs w:val="24"/>
                <w:highlight w:val="none"/>
                <w:lang w:val="en-US" w:eastAsia="zh-CN"/>
              </w:rPr>
              <w:t>包括</w:t>
            </w:r>
            <w:r>
              <w:rPr>
                <w:rFonts w:hint="eastAsia" w:ascii="仿宋_GB2312" w:hAnsi="仿宋_GB2312" w:eastAsia="仿宋_GB2312" w:cs="仿宋_GB2312"/>
                <w:color w:val="auto"/>
                <w:sz w:val="24"/>
                <w:szCs w:val="24"/>
                <w:highlight w:val="none"/>
              </w:rPr>
              <w:t>：习近平新时代中国特色社会主义思想及其历史地位、坚持和发展中国特色社会主义的总任务、“五位一体”总体布局、“四个全面”战略布局、实现中华民族伟大复兴的重要保障、中国特色大国外交、坚持和加强党的领导</w:t>
            </w:r>
            <w:r>
              <w:rPr>
                <w:rFonts w:hint="eastAsia" w:ascii="仿宋_GB2312" w:hAnsi="仿宋_GB2312" w:eastAsia="仿宋_GB2312" w:cs="仿宋_GB2312"/>
                <w:color w:val="auto"/>
                <w:sz w:val="24"/>
                <w:szCs w:val="24"/>
                <w:highlight w:val="none"/>
                <w:lang w:val="en-US" w:eastAsia="zh-CN"/>
              </w:rPr>
              <w:t>等内容。</w:t>
            </w:r>
          </w:p>
        </w:tc>
        <w:tc>
          <w:tcPr>
            <w:tcW w:w="191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6"/>
                <w:sz w:val="24"/>
                <w:szCs w:val="24"/>
                <w:highlight w:val="none"/>
              </w:rPr>
              <w:t xml:space="preserve">通过教师的混合式教学 </w:t>
            </w:r>
            <w:r>
              <w:rPr>
                <w:rFonts w:hint="eastAsia" w:ascii="仿宋_GB2312" w:hAnsi="仿宋_GB2312" w:eastAsia="仿宋_GB2312" w:cs="仿宋_GB2312"/>
                <w:color w:val="auto"/>
                <w:spacing w:val="-6"/>
                <w:sz w:val="24"/>
                <w:szCs w:val="24"/>
                <w:highlight w:val="none"/>
                <w:lang w:eastAsia="zh-CN"/>
              </w:rPr>
              <w:t>、</w:t>
            </w:r>
            <w:r>
              <w:rPr>
                <w:rFonts w:hint="eastAsia" w:ascii="仿宋_GB2312" w:hAnsi="仿宋_GB2312" w:eastAsia="仿宋_GB2312" w:cs="仿宋_GB2312"/>
                <w:color w:val="auto"/>
                <w:spacing w:val="-6"/>
                <w:sz w:val="24"/>
                <w:szCs w:val="24"/>
                <w:highlight w:val="none"/>
              </w:rPr>
              <w:t>史论结合 、案例丰富的教学，让学生感悟党的创新理论的思想伟力，坚持用马克思主义理论指导实践，做 “学思想、强党性、重实践、建新功”的新时代青年。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15</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中国民俗剪纸技法</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了解剪纸的历史与文化内涵和掌握剪纸的基本知识。</w:t>
            </w:r>
            <w:r>
              <w:rPr>
                <w:rFonts w:hint="eastAsia" w:ascii="仿宋_GB2312" w:hAnsi="仿宋_GB2312" w:eastAsia="仿宋_GB2312" w:cs="仿宋_GB2312"/>
                <w:color w:val="auto"/>
                <w:sz w:val="24"/>
                <w:szCs w:val="24"/>
                <w:highlight w:val="none"/>
                <w:lang w:val="en-US" w:eastAsia="zh-CN"/>
              </w:rPr>
              <w:t>掌握剪纸艺术的历史渊源与文化内涵，了解不同地域的剪纸风格特点。学习传统剪纸纹样寓意，掌握基础剪纸工具使用方法与安全规范。</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Fonts w:hint="eastAsia" w:ascii="仿宋_GB2312" w:hAnsi="仿宋_GB2312" w:eastAsia="仿宋_GB2312" w:cs="仿宋_GB2312"/>
                <w:b/>
                <w:bCs/>
                <w:color w:val="auto"/>
                <w:sz w:val="24"/>
                <w:szCs w:val="24"/>
                <w:highlight w:val="none"/>
                <w:lang w:val="en-US" w:eastAsia="zh-CN"/>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学生能够熟练掌握剪纸的基本技法、剪纸的构图技巧，</w:t>
            </w:r>
            <w:r>
              <w:rPr>
                <w:rFonts w:hint="eastAsia" w:ascii="仿宋_GB2312" w:hAnsi="仿宋_GB2312" w:eastAsia="仿宋_GB2312" w:cs="仿宋_GB2312"/>
                <w:color w:val="auto"/>
                <w:sz w:val="24"/>
                <w:szCs w:val="24"/>
                <w:highlight w:val="none"/>
                <w:lang w:val="en-US" w:eastAsia="zh-CN"/>
              </w:rPr>
              <w:t>培养图案设计与剪刀运用能力，掌握对称、连续等基础剪纸技法。</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学会运用多种剪纸技法进行创作，鼓励学生在传统剪纸技法的基础上进行创新，结合现代设计理念和元素，创作出具有时代感和个性的剪纸作品。</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培育耐心细致的工作态度，提升审美鉴赏能力。增强文化自信，传</w:t>
            </w:r>
            <w:r>
              <w:rPr>
                <w:rFonts w:hint="eastAsia" w:ascii="仿宋_GB2312" w:hAnsi="仿宋_GB2312" w:eastAsia="仿宋_GB2312" w:cs="仿宋_GB2312"/>
                <w:color w:val="auto"/>
                <w:spacing w:val="-6"/>
                <w:sz w:val="24"/>
                <w:szCs w:val="24"/>
                <w:highlight w:val="none"/>
                <w:lang w:val="en-US" w:eastAsia="zh-CN"/>
              </w:rPr>
              <w:t>承非遗技艺，培养创新思维与艺术表现力。</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通过剪纸艺术，弘扬中华优秀传统文化，增强民族自豪感。在技艺传承中培育工匠精神，树立文化传承的责任意识。</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剪纸文化理论、基础技法训练、创意设计实践三大模块。理论部分讲解剪纸发展历史与地域特色；技法训练包括对称剪、镂空剪等基础技法；实践环节设计传统纹样临摹与创新作品制作。结合现代设计理念，融入专业特色，开展主题性剪纸创作，如节庆装饰、文创产品设计等实践项目。</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示范教学与个别指导相结合的方式，注重传统技艺的规范性。准备充足的教学素材与工具，创设良好的创作环境。学生需认真完成课堂练习，积极参与创作实践。教学中要突出文化传承价值，注重培养学生的审美能力与创新意识，鼓励将传统技艺与现代设计相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16</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影视与鉴赏</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掌握影视基础知识，了解影视艺术的基本概念、发展历程、主要类型和流派。掌握影视制作的基本流程，鉴赏不同类型影视作品的基本方法和技巧，</w:t>
            </w:r>
            <w:r>
              <w:rPr>
                <w:rFonts w:hint="eastAsia" w:ascii="仿宋_GB2312" w:hAnsi="仿宋_GB2312" w:eastAsia="仿宋_GB2312" w:cs="仿宋_GB2312"/>
                <w:color w:val="auto"/>
                <w:sz w:val="24"/>
                <w:szCs w:val="24"/>
                <w:highlight w:val="none"/>
                <w:lang w:val="en-US" w:eastAsia="zh-CN"/>
              </w:rPr>
              <w:t>掌握影视创作基本流程。</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培养影视作品分析鉴赏能力，提升视听语言理解水平。掌握影视评论写作方法，具备基础影视审美判断能力。</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培育艺术审美情趣，提高文化修养水平。增强创新思维能力，树立正确的价值观和艺术观。</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通过优秀影视作品弘扬社会主义核心价值观。在艺术鉴赏中增强文化自信，培养家国情怀和人文精神。</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影视艺术基础理论、经典作品赏析、创作实践三个模块。理论部分讲解影视语言、类型特征等基础知识；赏析环节重点分析中外经典影片；实践模块组织短片创作、影评写作等活动。结合时代特色，选取反映社会发展的优秀作品，开展主题式影视教育活动。</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案例教学与互动讨论相结合的方式，精选具有教育意义的影视作品。学生需积极参与课堂讨论，完成鉴赏作业。教学中要注重价值引导，突出美育功能，培养学生批判性思维能力，提升艺术素养和人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17</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中国共产党简史</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把握中国共产党历史发展脉络，了解中国共产党百年奋</w:t>
            </w:r>
            <w:r>
              <w:rPr>
                <w:rFonts w:hint="eastAsia" w:ascii="仿宋_GB2312" w:hAnsi="仿宋_GB2312" w:eastAsia="仿宋_GB2312" w:cs="仿宋_GB2312"/>
                <w:color w:val="auto"/>
                <w:sz w:val="24"/>
                <w:szCs w:val="24"/>
                <w:highlight w:val="none"/>
                <w:lang w:eastAsia="zh-CN"/>
              </w:rPr>
              <w:t>斗的</w:t>
            </w:r>
            <w:r>
              <w:rPr>
                <w:rFonts w:hint="eastAsia" w:ascii="仿宋_GB2312" w:hAnsi="仿宋_GB2312" w:eastAsia="仿宋_GB2312" w:cs="仿宋_GB2312"/>
                <w:color w:val="auto"/>
                <w:sz w:val="24"/>
                <w:szCs w:val="24"/>
                <w:highlight w:val="none"/>
              </w:rPr>
              <w:t>重大历史成就与历史经验；了解中国共产党是如何团结带领中国人民克服千难万险，创造了一个又一个彪炳史册的人间奇迹；了解一代又一代优秀中国共产党人的为民情怀与高尚情操。</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深刻领会“四大选择”，即历史和人民怎样选择了马克思主义、怎样选择了中国共产党、怎样选择了社会主义道路、选择了改革开放；历史和人民怎样经过艰辛曲折的社会主义建设道路的探索，进一步增强拥护中国共产党的领导和接受马克思主义指导的自觉性。通过课堂教学，运用参与式教学方法，鼓励学生开展自主性学习、合作性学习，帮助学生提高解决问题的能力，要求他们理论联系实际，力争解决现实社会遇到的各种问题。</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 理解中国特色社会主义进入新时代的发展历程和时代特点。了解改革开放以来，我们寻找到了中国特色社会主义道路，形成了中国特色社会主义理论体系，并在中国特色社会主义理论体系指引下振兴中华民族的历程，从而自觉地继承和发扬近代以来中国共产党人的优秀品质，进一步增强民族自尊心、自信心和自豪感， 坚定对马克思主义的信仰、对中国共产党的信任、对社会主义的信心。促进学生政治素质和思想道德素质的提高，充分理解实行改革开放和实现中华民族伟大复兴中国梦的重大历史意义。</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包括中国共产党的创建和投身大革命的洪流、掀起土地革命的风暴、全民族抗日战争的中流砥柱、夺取新民主主义革命的全国性胜利、中华人民共和国的成立和社会主义制度的建立、社会主义建设的探索和曲折发展、伟大历史转折和中国特色社会主义的开创、把中国特色社会主义全面推向21世纪、在新的形势下坚持和发展中国特色社会主义、中国特色社会主义进入新时代等。通过学习，学生将全面了解中国共产党领导中国人民进行革命、建设、改革的光辉历程，深刻认识党在各个历史时期的伟大成就和宝贵经验，为成为一名合格的共产党员、成为一名社会主义建设者奠定坚实的思想基础。</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通过教师的理论讲授和丰富的史料佐证，以及线上线下参观历史纪念馆，引导学生树立正确的历史观，做到“</w:t>
            </w:r>
            <w:r>
              <w:rPr>
                <w:rFonts w:hint="eastAsia" w:ascii="仿宋_GB2312" w:hAnsi="仿宋_GB2312" w:eastAsia="仿宋_GB2312" w:cs="仿宋_GB2312"/>
                <w:color w:val="auto"/>
                <w:sz w:val="24"/>
                <w:szCs w:val="24"/>
                <w:highlight w:val="none"/>
                <w:lang w:eastAsia="zh-CN"/>
              </w:rPr>
              <w:t>学史明理、学史增信、学史崇德、学史力行</w:t>
            </w:r>
            <w:r>
              <w:rPr>
                <w:rFonts w:hint="eastAsia" w:ascii="仿宋_GB2312" w:hAnsi="仿宋_GB2312" w:eastAsia="仿宋_GB2312" w:cs="仿宋_GB2312"/>
                <w:color w:val="auto"/>
                <w:sz w:val="24"/>
                <w:szCs w:val="24"/>
                <w:highlight w:val="none"/>
              </w:rPr>
              <w:t>”，感悟党的伟大，做“青春心向党</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踔厉奋发建新功”的新时代青年。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18</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中华人民共和国简史</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当代中国社会主义革命、建设和改革的具体历史条件和历史方位，其对国际共产主义运动的贡献。全面了解新中国历史的发展进程、历史分期、主要成就、探索进程中的曲折及重要经验教训、历史启示。掌握观察、分析、解决社会问题的基本方法和历史思维及辩证思维的能力。了解新中国成立的历史背景、历史意义，新中国成立初期的内外形势。恢复国民经济、巩固新生政权的主要措施及成效。新中国走社会主义道路的历史必然性。三大改造的主要过程、评价，“一五”计划的编制与实施。社会主义建设艰辛探索的主要过程、成就、失误及经验教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00" w:lineRule="exact"/>
              <w:ind w:left="0" w:leftChars="0" w:right="0"/>
              <w:jc w:val="both"/>
              <w:textAlignment w:val="auto"/>
              <w:rPr>
                <w:rFonts w:hint="eastAsia" w:ascii="仿宋_GB2312" w:hAnsi="仿宋_GB2312" w:eastAsia="仿宋_GB2312" w:cs="仿宋_GB2312"/>
                <w:i w:val="0"/>
                <w:iCs w:val="0"/>
                <w:caps w:val="0"/>
                <w:color w:val="auto"/>
                <w:spacing w:val="0"/>
                <w:sz w:val="24"/>
                <w:szCs w:val="24"/>
                <w:highlight w:val="none"/>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学习新中国史研究的根本意义在于总结历史、立足现实、面向未来，不断深化对共产党执政规律、社会主义建设规律、人类社会发展规律的认识，总结治国理政经验，发挥思政育人功能，为实现中华民族伟大复兴的中国梦提供坚实的理论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i w:val="0"/>
                <w:iCs w:val="0"/>
                <w:caps w:val="0"/>
                <w:color w:val="auto"/>
                <w:spacing w:val="0"/>
                <w:sz w:val="24"/>
                <w:szCs w:val="24"/>
                <w:highlight w:val="none"/>
                <w:lang w:val="en-US" w:eastAsia="zh-CN"/>
              </w:rPr>
              <w:t>素质目标：</w:t>
            </w:r>
            <w:r>
              <w:rPr>
                <w:rFonts w:hint="eastAsia" w:ascii="仿宋_GB2312" w:hAnsi="仿宋_GB2312" w:eastAsia="仿宋_GB2312" w:cs="仿宋_GB2312"/>
                <w:i w:val="0"/>
                <w:iCs w:val="0"/>
                <w:caps w:val="0"/>
                <w:color w:val="auto"/>
                <w:spacing w:val="0"/>
                <w:sz w:val="24"/>
                <w:szCs w:val="24"/>
                <w:highlight w:val="none"/>
                <w:lang w:val="en-US" w:eastAsia="zh-CN"/>
              </w:rPr>
              <w:t>引导学生</w:t>
            </w:r>
            <w:r>
              <w:rPr>
                <w:rFonts w:hint="eastAsia" w:ascii="仿宋_GB2312" w:hAnsi="仿宋_GB2312" w:eastAsia="仿宋_GB2312" w:cs="仿宋_GB2312"/>
                <w:i w:val="0"/>
                <w:iCs w:val="0"/>
                <w:caps w:val="0"/>
                <w:color w:val="auto"/>
                <w:spacing w:val="0"/>
                <w:kern w:val="0"/>
                <w:sz w:val="24"/>
                <w:szCs w:val="24"/>
                <w:highlight w:val="none"/>
                <w:shd w:val="clear" w:color="auto" w:fill="FFFFFF"/>
                <w:lang w:val="en-US" w:eastAsia="zh-CN" w:bidi="ar"/>
              </w:rPr>
              <w:t>了解在中国进行社会主义革命和建设的历史决定性及探索中主要成就、探索过程的艰辛曲折，坚定走中国特色社会主义道路的信念和信心；学会观察、分析和解决问题的科学方法，不断培养和提升辩证思维能力。</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课程主要包括：</w:t>
            </w:r>
            <w:r>
              <w:rPr>
                <w:rFonts w:hint="eastAsia" w:ascii="仿宋_GB2312" w:hAnsi="仿宋_GB2312" w:eastAsia="仿宋_GB2312" w:cs="仿宋_GB2312"/>
                <w:color w:val="auto"/>
                <w:sz w:val="24"/>
                <w:szCs w:val="24"/>
                <w:highlight w:val="none"/>
              </w:rPr>
              <w:t>新中国成立和社会主义基本制度的确立</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社会主义建设的艰辛探索和曲折发展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改革开放与中国特色社会主义的开创</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建立社会主义市场经济体制和把中国特色社会主义全面推向21世纪</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全面建设</w:t>
            </w:r>
            <w:r>
              <w:rPr>
                <w:rFonts w:hint="eastAsia" w:ascii="仿宋_GB2312" w:hAnsi="仿宋_GB2312" w:eastAsia="仿宋_GB2312" w:cs="仿宋_GB2312"/>
                <w:color w:val="auto"/>
                <w:sz w:val="24"/>
                <w:szCs w:val="24"/>
                <w:highlight w:val="none"/>
              </w:rPr>
              <w:t>小康社会与新的形势下坚持和发展中国特色社会主义</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中国特色社会主义进入新时代和实现中华民族伟大复兴的中国梦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决胜全面建成小康社会和开启全面建成社会主义现代化强国新征程</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等方面。通过学习，学生将深入了解中华人民共和国在各个历史阶段的发展变化，认识到中国特色社会主义道路的历史必然性和正确性，增强对国家的热爱和对未来的信心。</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通过课堂讲解、案例分析、小组讨论、模拟实践等方式，促进学生进一步增强民族自尊心、自信心和自豪感</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 xml:space="preserve"> 坚定对马克思主义的信仰、对中国共产党的信任、对社会主义的信心。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19</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改革开放简史</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知识目标</w:t>
            </w:r>
            <w:r>
              <w:rPr>
                <w:rFonts w:hint="eastAsia" w:ascii="仿宋_GB2312" w:hAnsi="仿宋_GB2312" w:eastAsia="仿宋_GB2312" w:cs="仿宋_GB2312"/>
                <w:color w:val="auto"/>
                <w:kern w:val="2"/>
                <w:sz w:val="24"/>
                <w:szCs w:val="24"/>
                <w:highlight w:val="none"/>
                <w:lang w:val="en-US" w:eastAsia="zh-CN" w:bidi="ar-SA"/>
              </w:rPr>
              <w:t>：帮助大学生了解我国改革开放的历史，把握一个国家、一个民族从贫穷落后到繁荣富强的规律，特别是党的十八大以来我国全面深化改革开放的新理念、新思想、新战略以及取得的重大成就和经验。掌握改革开放以来中国特色社会主义建设事业取得的历史性成就、作出的重大历史贡献，懂得进一步深化改革开放必须坚持的重要经验。</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能力目标：</w:t>
            </w:r>
            <w:r>
              <w:rPr>
                <w:rFonts w:hint="eastAsia" w:ascii="仿宋_GB2312" w:hAnsi="仿宋_GB2312" w:eastAsia="仿宋_GB2312" w:cs="仿宋_GB2312"/>
                <w:color w:val="auto"/>
                <w:kern w:val="2"/>
                <w:sz w:val="24"/>
                <w:szCs w:val="24"/>
                <w:highlight w:val="none"/>
                <w:lang w:val="en-US" w:eastAsia="zh-CN" w:bidi="ar-SA"/>
              </w:rPr>
              <w:t>帮助学生更加熟练地运用辩证唯物主义和历史唯物主义的立场、观点、方法，全面正确认识我国改革开放取得的伟大成就，客观应对改革开放中的矛盾和问题，以更加积极主动的心态投身改革开放的伟大事业中。</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kern w:val="2"/>
                <w:sz w:val="24"/>
                <w:szCs w:val="24"/>
                <w:highlight w:val="none"/>
                <w:lang w:val="en-US" w:eastAsia="zh-CN" w:bidi="ar-SA"/>
              </w:rPr>
              <w:t>素质目标：</w:t>
            </w:r>
            <w:r>
              <w:rPr>
                <w:rFonts w:hint="eastAsia" w:ascii="仿宋_GB2312" w:hAnsi="仿宋_GB2312" w:eastAsia="仿宋_GB2312" w:cs="仿宋_GB2312"/>
                <w:color w:val="auto"/>
                <w:kern w:val="2"/>
                <w:sz w:val="24"/>
                <w:szCs w:val="24"/>
                <w:highlight w:val="none"/>
                <w:lang w:val="en-US" w:eastAsia="zh-CN" w:bidi="ar-SA"/>
              </w:rPr>
              <w:t>使学生能够充分理解我国改革开放各个时期的路线、政策和目标，增强自觉执行党的路线、方针、政策的自觉性，增强“四个意识”、坚定“四个自信”、做到“两个维护”，紧密结合全面建设社会主义现代化国家的实际，把理论与实践、知与行统一起来，自觉投身于中国特色社会主义的伟大实践，为实现中华民族伟大复兴作出应有的贡献。</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课程内容涵盖</w:t>
            </w:r>
            <w:r>
              <w:rPr>
                <w:rFonts w:hint="eastAsia" w:ascii="仿宋_GB2312" w:hAnsi="仿宋_GB2312" w:eastAsia="仿宋_GB2312" w:cs="仿宋_GB2312"/>
                <w:color w:val="auto"/>
                <w:sz w:val="24"/>
                <w:szCs w:val="24"/>
                <w:highlight w:val="none"/>
              </w:rPr>
              <w:t>改革开放拉开大幕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改革开放全面展开</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改革开放开创新局面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改革开放在科学发展中深化</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改革开放进入新时代</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坚定不移推进全面深化改革</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坚定不移扩大高水平对外开放</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rPr>
              <w:t>通过学习，学生将了解改革开放是如何推动中国经济、政治、文化和社会等领域的深刻变革，如何使中国逐步走向世界舞台的中央，以及改革开放对中国和世界产生的深远影响。这将有助于学生更好地认识和理解中国特色社会主义的发展道路，坚定对中国特色社会主义的信心和决心。</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通过专题讲授法、情境教学法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案例教学法等</w:t>
            </w:r>
            <w:r>
              <w:rPr>
                <w:rFonts w:hint="eastAsia" w:ascii="仿宋_GB2312" w:hAnsi="仿宋_GB2312" w:eastAsia="仿宋_GB2312" w:cs="仿宋_GB2312"/>
                <w:color w:val="auto"/>
                <w:sz w:val="24"/>
                <w:szCs w:val="24"/>
                <w:highlight w:val="none"/>
              </w:rPr>
              <w:t>，让学生能够系统把握中国改革开放事业的辉煌成就、重大贡献、重要经验和深刻启示。</w:t>
            </w:r>
            <w:r>
              <w:rPr>
                <w:rFonts w:hint="eastAsia" w:ascii="仿宋_GB2312" w:hAnsi="仿宋_GB2312" w:eastAsia="仿宋_GB2312" w:cs="仿宋_GB2312"/>
                <w:color w:val="auto"/>
                <w:sz w:val="24"/>
                <w:szCs w:val="24"/>
                <w:highlight w:val="none"/>
                <w:lang w:val="en-US" w:eastAsia="zh-CN"/>
              </w:rPr>
              <w:t>引导大学生在全面了解中国改革开放的历史进程中，中国共产党为国家和民族作出的伟大贡献，深刻感悟中国共产党始终不渝为人民的初心宗旨，弄清楚中国共产党为什么能、马克思主义为什么行、中国特色社会主义为什么好等基本道理，坚定不移听党话、跟党走，在全面建设社会主义现代化国家、实现中华民族伟大复兴的实践中建功立业。</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20</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社会主义发展简史</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rPr>
              <w:t>帮助大学生重点了解空想社会主义的产生和发展，了解科学社会主义的产生和发展，了解世界和中国对社会主义道路和制度的探索和实践，了解新时代中国特色社会主义的理论创造和伟大实践</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从而增强对社会主义制度的认识与信心。</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有助于大学生开阔眼界，扩大视野，增长知识，学会把中国特色社会主义理论置于社会主义发生、发展和演变的历史长河中加以认识和把握；有助于大学生全面总结社会主义历史经验，正确看待历史遗产，在总结和借鉴正反两方面社会主义历史经验的基础上，加深对中国特色社会主义理论体系的理解；有助于大学生划清科学社会主义与非科学社会主义的界线，提高大学生的鉴别、分析和批判能力。</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帮助大学生正确认识和理解社会主义制度的优越性，进一步增强大学生道路自信、理论自信、制度自信、文化自信，进一步提升大学生坚持和发展中国特色社会主义理论的自觉性和坚定性。</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课程内容涵盖空想社会主义的产生与发展</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科学社会主义的</w:t>
            </w:r>
            <w:r>
              <w:rPr>
                <w:rFonts w:hint="eastAsia" w:ascii="仿宋_GB2312" w:hAnsi="仿宋_GB2312" w:eastAsia="仿宋_GB2312" w:cs="仿宋_GB2312"/>
                <w:color w:val="auto"/>
                <w:sz w:val="24"/>
                <w:szCs w:val="24"/>
                <w:highlight w:val="none"/>
                <w:lang w:val="en-US" w:eastAsia="zh-CN"/>
              </w:rPr>
              <w:t>创立、</w:t>
            </w:r>
            <w:r>
              <w:rPr>
                <w:rFonts w:hint="eastAsia" w:ascii="仿宋_GB2312" w:hAnsi="仿宋_GB2312" w:eastAsia="仿宋_GB2312" w:cs="仿宋_GB2312"/>
                <w:color w:val="auto"/>
                <w:sz w:val="24"/>
                <w:szCs w:val="24"/>
                <w:highlight w:val="none"/>
              </w:rPr>
              <w:t>社会主义</w:t>
            </w:r>
            <w:r>
              <w:rPr>
                <w:rFonts w:hint="eastAsia" w:ascii="仿宋_GB2312" w:hAnsi="仿宋_GB2312" w:eastAsia="仿宋_GB2312" w:cs="仿宋_GB2312"/>
                <w:color w:val="auto"/>
                <w:sz w:val="24"/>
                <w:szCs w:val="24"/>
                <w:highlight w:val="none"/>
                <w:lang w:val="en-US" w:eastAsia="zh-CN"/>
              </w:rPr>
              <w:t>从理论到实践、社会主义在多国发展、中国特色社会主义的开创与发展</w:t>
            </w:r>
            <w:r>
              <w:rPr>
                <w:rFonts w:hint="eastAsia" w:ascii="仿宋_GB2312" w:hAnsi="仿宋_GB2312" w:eastAsia="仿宋_GB2312" w:cs="仿宋_GB2312"/>
                <w:color w:val="auto"/>
                <w:sz w:val="24"/>
                <w:szCs w:val="24"/>
                <w:highlight w:val="none"/>
              </w:rPr>
              <w:t>。通过学习，学生将了解社会主义思想的起源、发展和变革，掌握社会主义制度在不同国家的实践经验和教训，为理解和坚持中国特色社会主义提供历史依据和理论支持。</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课堂教学应采用启发式、研讨式、案例式、参与式、体验式、实践式等方法，充分调动学生的主体作用。在课程组织上应将理论讲授和社会实践融合在一起，贴近生活，贴近实际，使学生在现实生活中感受到历史的气息，既</w:t>
            </w:r>
            <w:r>
              <w:rPr>
                <w:rFonts w:hint="eastAsia" w:ascii="仿宋_GB2312" w:hAnsi="仿宋_GB2312" w:eastAsia="仿宋_GB2312" w:cs="仿宋_GB2312"/>
                <w:color w:val="auto"/>
                <w:sz w:val="24"/>
                <w:szCs w:val="24"/>
                <w:highlight w:val="none"/>
                <w:lang w:val="en-US" w:eastAsia="zh-CN"/>
              </w:rPr>
              <w:t>能激发学生的学习情趣</w:t>
            </w:r>
            <w:r>
              <w:rPr>
                <w:rFonts w:hint="eastAsia" w:ascii="仿宋_GB2312" w:hAnsi="仿宋_GB2312" w:eastAsia="仿宋_GB2312" w:cs="仿宋_GB2312"/>
                <w:color w:val="auto"/>
                <w:sz w:val="24"/>
                <w:szCs w:val="24"/>
                <w:highlight w:val="none"/>
              </w:rPr>
              <w:t>，又有利于提高学生的认知、动手和研究能力，进而</w:t>
            </w:r>
            <w:r>
              <w:rPr>
                <w:rFonts w:hint="eastAsia" w:ascii="仿宋_GB2312" w:hAnsi="仿宋_GB2312" w:eastAsia="仿宋_GB2312" w:cs="仿宋_GB2312"/>
                <w:color w:val="auto"/>
                <w:sz w:val="24"/>
                <w:szCs w:val="24"/>
                <w:highlight w:val="none"/>
                <w:lang w:eastAsia="zh-CN"/>
              </w:rPr>
              <w:t>增强</w:t>
            </w:r>
            <w:r>
              <w:rPr>
                <w:rFonts w:hint="eastAsia" w:ascii="仿宋_GB2312" w:hAnsi="仿宋_GB2312" w:eastAsia="仿宋_GB2312" w:cs="仿宋_GB2312"/>
                <w:color w:val="auto"/>
                <w:sz w:val="24"/>
                <w:szCs w:val="24"/>
                <w:highlight w:val="none"/>
                <w:lang w:val="en-US" w:eastAsia="zh-CN"/>
              </w:rPr>
              <w:t>学生的爱国情怀</w:t>
            </w:r>
            <w:r>
              <w:rPr>
                <w:rFonts w:hint="eastAsia" w:ascii="仿宋_GB2312" w:hAnsi="仿宋_GB2312" w:eastAsia="仿宋_GB2312" w:cs="仿宋_GB2312"/>
                <w:color w:val="auto"/>
                <w:sz w:val="24"/>
                <w:szCs w:val="24"/>
                <w:highlight w:val="none"/>
              </w:rPr>
              <w:t>、自信心和民族自豪感，帮助学生掌握关于当代社会主义的基本知识，以更深刻的视角理解认识当代中国社会，强化共产主义世界观。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21</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中华优秀传统文化</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掌握并传承中</w:t>
            </w:r>
            <w:r>
              <w:rPr>
                <w:rFonts w:hint="eastAsia" w:ascii="仿宋_GB2312" w:hAnsi="仿宋_GB2312" w:eastAsia="仿宋_GB2312" w:cs="仿宋_GB2312"/>
                <w:b w:val="0"/>
                <w:bCs w:val="0"/>
                <w:color w:val="auto"/>
                <w:sz w:val="24"/>
                <w:szCs w:val="24"/>
                <w:highlight w:val="none"/>
                <w:lang w:val="en-US" w:eastAsia="zh-CN"/>
              </w:rPr>
              <w:t>华优秀</w:t>
            </w:r>
            <w:r>
              <w:rPr>
                <w:rFonts w:hint="eastAsia" w:ascii="仿宋_GB2312" w:hAnsi="仿宋_GB2312" w:eastAsia="仿宋_GB2312" w:cs="仿宋_GB2312"/>
                <w:b w:val="0"/>
                <w:bCs w:val="0"/>
                <w:color w:val="auto"/>
                <w:sz w:val="24"/>
                <w:szCs w:val="24"/>
                <w:highlight w:val="none"/>
              </w:rPr>
              <w:t>传统文化的基本内涵</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主要内容</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基本精神，了解了中国传统哲学、文学、</w:t>
            </w:r>
            <w:r>
              <w:rPr>
                <w:rFonts w:hint="eastAsia" w:ascii="仿宋_GB2312" w:hAnsi="仿宋_GB2312" w:eastAsia="仿宋_GB2312" w:cs="仿宋_GB2312"/>
                <w:b w:val="0"/>
                <w:bCs w:val="0"/>
                <w:color w:val="auto"/>
                <w:sz w:val="24"/>
                <w:szCs w:val="24"/>
                <w:highlight w:val="none"/>
                <w:lang w:val="en-US" w:eastAsia="zh-CN"/>
              </w:rPr>
              <w:t>仪式</w:t>
            </w:r>
            <w:r>
              <w:rPr>
                <w:rFonts w:hint="eastAsia" w:ascii="仿宋_GB2312" w:hAnsi="仿宋_GB2312" w:eastAsia="仿宋_GB2312" w:cs="仿宋_GB2312"/>
                <w:b w:val="0"/>
                <w:bCs w:val="0"/>
                <w:color w:val="auto"/>
                <w:sz w:val="24"/>
                <w:szCs w:val="24"/>
                <w:highlight w:val="none"/>
              </w:rPr>
              <w:t>文化精髓，扩大学生视野，读懂更多的经典名著名篇，熟悉中国古代的艺术、科技、文化成果，弘扬中国传统礼仪、风俗及美食文化。</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能力目标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掌握鉴赏中华优秀传统文化及其载体的能力；养成传统美德、树立文化自信、掌握文化精粹；培养发掘中华优秀传统文化的生成规律和闪光点的能力；能坚持创造性转化、创新性发展中华优秀传统文化。</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bCs/>
                <w:color w:val="auto"/>
                <w:sz w:val="24"/>
                <w:szCs w:val="24"/>
                <w:highlight w:val="none"/>
              </w:rPr>
              <w:t>素质目标</w:t>
            </w:r>
            <w:r>
              <w:rPr>
                <w:rFonts w:hint="eastAsia" w:ascii="仿宋_GB2312" w:hAnsi="仿宋_GB2312" w:eastAsia="仿宋_GB2312" w:cs="仿宋_GB2312"/>
                <w:b/>
                <w:bCs/>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lang w:val="en-US" w:eastAsia="zh-CN"/>
              </w:rPr>
              <w:t>培养学生具有对中华优秀传统文化的热爱敬畏之情；具有强烈的民族精神、人文精神和科学精神；</w:t>
            </w:r>
            <w:r>
              <w:rPr>
                <w:rFonts w:hint="eastAsia" w:ascii="仿宋_GB2312" w:hAnsi="仿宋_GB2312" w:eastAsia="仿宋_GB2312" w:cs="仿宋_GB2312"/>
                <w:b w:val="0"/>
                <w:bCs w:val="0"/>
                <w:color w:val="auto"/>
                <w:sz w:val="24"/>
                <w:szCs w:val="24"/>
                <w:highlight w:val="none"/>
              </w:rPr>
              <w:t>弘扬中华优秀传统文化</w:t>
            </w:r>
            <w:r>
              <w:rPr>
                <w:rFonts w:hint="eastAsia" w:ascii="仿宋_GB2312" w:hAnsi="仿宋_GB2312" w:eastAsia="仿宋_GB2312" w:cs="仿宋_GB2312"/>
                <w:b w:val="0"/>
                <w:bCs w:val="0"/>
                <w:color w:val="auto"/>
                <w:sz w:val="24"/>
                <w:szCs w:val="24"/>
                <w:highlight w:val="none"/>
                <w:lang w:eastAsia="zh-CN"/>
              </w:rPr>
              <w:t>，</w:t>
            </w:r>
            <w:r>
              <w:rPr>
                <w:rFonts w:hint="eastAsia" w:ascii="仿宋_GB2312" w:hAnsi="仿宋_GB2312" w:eastAsia="仿宋_GB2312" w:cs="仿宋_GB2312"/>
                <w:b w:val="0"/>
                <w:bCs w:val="0"/>
                <w:color w:val="auto"/>
                <w:sz w:val="24"/>
                <w:szCs w:val="24"/>
                <w:highlight w:val="none"/>
              </w:rPr>
              <w:t>树立中华优秀传统文化是我们每一个中国人的血脉和灵魂的情感；提升人格修养，培养文化情怀，</w:t>
            </w:r>
            <w:r>
              <w:rPr>
                <w:rFonts w:hint="eastAsia" w:ascii="仿宋_GB2312" w:hAnsi="仿宋_GB2312" w:eastAsia="仿宋_GB2312" w:cs="仿宋_GB2312"/>
                <w:b w:val="0"/>
                <w:bCs w:val="0"/>
                <w:color w:val="auto"/>
                <w:sz w:val="24"/>
                <w:szCs w:val="24"/>
                <w:highlight w:val="none"/>
                <w:lang w:val="en-US" w:eastAsia="zh-CN"/>
              </w:rPr>
              <w:t>具有较好的审美情趣和审美能力，</w:t>
            </w:r>
            <w:r>
              <w:rPr>
                <w:rFonts w:hint="eastAsia" w:ascii="仿宋_GB2312" w:hAnsi="仿宋_GB2312" w:eastAsia="仿宋_GB2312" w:cs="仿宋_GB2312"/>
                <w:b w:val="0"/>
                <w:bCs w:val="0"/>
                <w:color w:val="auto"/>
                <w:sz w:val="24"/>
                <w:szCs w:val="24"/>
                <w:highlight w:val="none"/>
              </w:rPr>
              <w:t>具备一定的优秀传统文化素养。</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b w:val="0"/>
                <w:bCs w:val="0"/>
                <w:color w:val="auto"/>
                <w:sz w:val="24"/>
                <w:szCs w:val="24"/>
                <w:highlight w:val="none"/>
                <w:lang w:val="en-US" w:eastAsia="zh-CN"/>
              </w:rPr>
            </w:pP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涵盖中华优秀传统文化的多个方面，包括传统文学历史、哲学思想、传统技艺、传统建筑、传统演艺、传统书画、传统饮食、传统医药、传统风俗、传统道德等。通过经典文献解读、历史故事讲述、艺术作品赏析等形式，系统介绍传统文化的基本内容与特点。同时，结合现代社会背景，探讨传统文化在当代的价值与应用，如道德伦理、社会治理、生态文明建设等方面的启示。</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课堂上通过案例欣赏，要求学生积极参与课堂讨论，认真完成课后作业与阅读任务，深入理解并掌握课程知识。鼓励学生主动思考传统文化的现代意义，运用所学知识解决实际问题。同时，强调实践与体验的重要性，组织学生参与文化考察、艺术实践等活动，增强对传统文化的直观感受与亲身体验。通过多元化的考核方式，既系统介绍中国传统文化的基本精神和基本知识，又着力引导学生从文化的视野分析、解读当代社会的种种现象，全面评估学生的学习成效与综合素养。培养学生对民族文化的感情和担当大任的历史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22</w:t>
            </w:r>
          </w:p>
        </w:tc>
        <w:tc>
          <w:tcPr>
            <w:tcW w:w="752"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中华民族共同体概论</w:t>
            </w:r>
          </w:p>
        </w:tc>
        <w:tc>
          <w:tcPr>
            <w:tcW w:w="4352"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rPr>
              <w:t>知识目标</w:t>
            </w:r>
            <w:r>
              <w:rPr>
                <w:rFonts w:hint="eastAsia" w:ascii="仿宋_GB2312" w:hAnsi="仿宋_GB2312" w:eastAsia="仿宋_GB2312" w:cs="仿宋_GB2312"/>
                <w:b w:val="0"/>
                <w:bCs w:val="0"/>
                <w:color w:val="auto"/>
                <w:sz w:val="24"/>
                <w:szCs w:val="24"/>
                <w:highlight w:val="none"/>
                <w:lang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全面深入学习贯彻中央民族工作会议精神和习近平总书记关于加强和改进民族工作的重要思想，了解中华民族共同体的历史和现实，认识中华民族共同体的内涵与特征等中华民族共同体的基本常识，从历史中把握中华民族共同体演变的千年历程，树立正确的中华民族历史观。</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引导学生牢固树立“休戚与共、荣辱与共、生死与共、命运与共”的共同体理念，牢固树立正确的国家观、历史观、民族观、文化观、宗教观，增强学生对伟大祖国、中华民族、中华文化、中国共产党、中国特色社会主义的认同，为实现中华民族伟大复兴的中国梦不懈奋斗，不断巩固中华民族共同体思想基础。</w:t>
            </w:r>
            <w:r>
              <w:rPr>
                <w:rFonts w:hint="eastAsia" w:ascii="仿宋_GB2312" w:hAnsi="仿宋_GB2312" w:eastAsia="仿宋_GB2312" w:cs="仿宋_GB2312"/>
                <w:color w:val="auto"/>
                <w:sz w:val="24"/>
                <w:szCs w:val="24"/>
                <w:highlight w:val="none"/>
                <w:lang w:val="en-US" w:eastAsia="zh-CN"/>
              </w:rPr>
              <w:t>紧扣铸牢中华民族共同体意识的基本任务，自觉推动中华民族共同体建设。</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引导学生树立正确的中华民族历史观，不断增强“五个认同”，树立“四个与共”的理念，铸牢中华民族共同体意识，铸就中国心、铸造中华魂；学生能积极参与各民族交往交流交融；学生会思考在铸牢中华民族共同体意识的社会大势中规划人生蓝图，树立为中华民族伟大复兴贡献力量的高远理想，努力为实现中华民族复兴伟业贡献力量。</w:t>
            </w:r>
          </w:p>
        </w:tc>
        <w:tc>
          <w:tcPr>
            <w:tcW w:w="3244"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课程共设十六讲，系统涵盖多方面内容：从中华民族共同体的基础理论、正确历史观树立入手，按史前至清前中期的历史脉络，梳理了中华民族共同体的起源、演进、初步形成、大交融、繁盛、内聚发展、大统合、稳固壮大及格局底定过程；随后聚焦近现代以来，讲述了1840—1919年国家转型与民族意识觉醒、1919—1949年先锋队引领下的民族新选择、1949—2012年新中国开启的民族新纪元，以及2012年至今新时代的民族共同体建设；最后以“文明新路与人类命运共同体”收束，形成完整的课程内容体系。</w:t>
            </w:r>
          </w:p>
        </w:tc>
        <w:tc>
          <w:tcPr>
            <w:tcW w:w="1918" w:type="dxa"/>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要求学生积极参与课堂讨论，深入理解中华民族共同体的核心理念与价值追求。鼓励学生主动查阅资料，拓宽知识面，深化对中华民族共同体构建的认识。通过课程考核，全面评估学生的学习成效与中华民族共同体意识的养成情况。</w:t>
            </w:r>
            <w:r>
              <w:rPr>
                <w:rFonts w:hint="eastAsia" w:ascii="仿宋_GB2312" w:hAnsi="仿宋_GB2312" w:eastAsia="仿宋_GB2312" w:cs="仿宋_GB2312"/>
                <w:color w:val="auto"/>
                <w:sz w:val="24"/>
                <w:szCs w:val="24"/>
                <w:highlight w:val="none"/>
              </w:rPr>
              <w:t>达到增强学生学习知识、理论的兴趣和钻研理论的热情、提高学生运用所学知识分析问题和解决问题的能力，</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培养正确开展民族交往交流交融的态度、情感、能力，铸牢中华民族共同体意识。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w:t>
            </w:r>
          </w:p>
        </w:tc>
        <w:tc>
          <w:tcPr>
            <w:tcW w:w="752" w:type="dxa"/>
            <w:shd w:val="clear" w:color="auto" w:fill="auto"/>
            <w:vAlign w:val="center"/>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left"/>
              <w:textAlignment w:val="auto"/>
              <w:rPr>
                <w:rFonts w:hint="eastAsia" w:ascii="仿宋_GB2312" w:hAnsi="仿宋_GB2312" w:eastAsia="仿宋_GB2312" w:cs="仿宋_GB2312"/>
                <w:color w:val="auto"/>
                <w:sz w:val="24"/>
                <w:szCs w:val="24"/>
                <w:highlight w:val="none"/>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高等数学</w:t>
            </w:r>
          </w:p>
        </w:tc>
        <w:tc>
          <w:tcPr>
            <w:tcW w:w="4352"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知识目标：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掌握函数、极限、导数等基础概念，理解微积分基本理论、数学建模方法，为专业课程奠定必要数学基础。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能力目标：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培养数学运算和逻辑推理能力，提升运用数学工具解决实际问题的水平。增强数据分析和建模能力，适应未来职业发展需求。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素质目标：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培养严谨求实的科学态度，提高抽象思维和创新能力。树立理论联系实际的观念，增强持续学习和自主探究意识。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Style w:val="10"/>
                <w:rFonts w:hint="eastAsia" w:ascii="仿宋_GB2312" w:hAnsi="仿宋_GB2312" w:eastAsia="仿宋_GB2312" w:cs="仿宋_GB2312"/>
                <w:b/>
                <w:bCs/>
                <w:i w:val="0"/>
                <w:iCs w:val="0"/>
                <w:caps w:val="0"/>
                <w:color w:val="auto"/>
                <w:spacing w:val="0"/>
                <w:kern w:val="0"/>
                <w:sz w:val="24"/>
                <w:szCs w:val="24"/>
                <w:highlight w:val="none"/>
                <w:shd w:val="clear" w:fill="FFFFFF"/>
                <w:lang w:val="en-US" w:eastAsia="zh-CN" w:bidi="ar"/>
              </w:rPr>
              <w:t>课程思政育人目标：</w:t>
            </w: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实现知识传授与价值引领的有机融合，培养学生养成求真务实、精益求精的态度，严谨对待学习与工作，通过融入数学史展现古今数学家的爱国情怀与奉献精神，厚植爱国主义情怀，在思维品质培养中以辩证思维解析数学概念，引导学生透过现象看本质，理解量变与质变、对立统一等规律，鼓励学生在数学问题求解中勇于创新，培养批判性思维和探索精神，同时通过团队合作解决数学建模等问题，增强学生的团队协作意识与社会责任感，使学生在掌握数学知识的同时，实现个人全面发展与社会价值统一。</w:t>
            </w:r>
          </w:p>
        </w:tc>
        <w:tc>
          <w:tcPr>
            <w:tcW w:w="3244"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课程包含函数与极限、导数与微分、积分及应用等基础模块。重点讲解工程实际问题中的数学应用，如最优化问题求解、变化率分析等。融入专业案例，开展数学建模实践，强化数学工具在专业领域的应用能力培养。</w:t>
            </w:r>
          </w:p>
        </w:tc>
        <w:tc>
          <w:tcPr>
            <w:tcW w:w="1918" w:type="dxa"/>
            <w:shd w:val="clear" w:color="auto" w:fill="auto"/>
            <w:vAlign w:val="top"/>
          </w:tcPr>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00" w:lineRule="exact"/>
              <w:ind w:left="0" w:leftChars="0" w:right="0" w:rightChars="0" w:firstLine="0" w:firstLineChars="0"/>
              <w:jc w:val="both"/>
              <w:textAlignment w:val="auto"/>
              <w:rPr>
                <w:rFonts w:hint="eastAsia" w:ascii="仿宋_GB2312" w:hAnsi="仿宋_GB2312" w:eastAsia="仿宋_GB2312" w:cs="仿宋_GB2312"/>
                <w:color w:val="auto"/>
                <w:sz w:val="24"/>
                <w:szCs w:val="24"/>
                <w:highlight w:val="none"/>
                <w:lang w:val="en-US" w:eastAsia="zh-CN"/>
              </w:rPr>
            </w:pPr>
            <w:r>
              <w:rPr>
                <w:rStyle w:val="10"/>
                <w:rFonts w:hint="eastAsia" w:ascii="仿宋_GB2312" w:hAnsi="仿宋_GB2312" w:eastAsia="仿宋_GB2312" w:cs="仿宋_GB2312"/>
                <w:b w:val="0"/>
                <w:bCs w:val="0"/>
                <w:i w:val="0"/>
                <w:iCs w:val="0"/>
                <w:caps w:val="0"/>
                <w:color w:val="auto"/>
                <w:spacing w:val="0"/>
                <w:kern w:val="0"/>
                <w:sz w:val="24"/>
                <w:szCs w:val="24"/>
                <w:highlight w:val="none"/>
                <w:shd w:val="clear" w:fill="FFFFFF"/>
                <w:lang w:val="en-US" w:eastAsia="zh-CN" w:bidi="ar"/>
              </w:rPr>
              <w:t>教师需结合专业需求设计教学内容，采用问题导向和案例教学方法。合理运用信息化手段，强化直观教学效果。学生需按时完成作业，积极参与课堂讨论。教学中要注重理论联系实际，突出数学应用价值，培养学生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07" w:type="dxa"/>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24</w:t>
            </w:r>
          </w:p>
        </w:tc>
        <w:tc>
          <w:tcPr>
            <w:tcW w:w="752"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语文</w:t>
            </w:r>
          </w:p>
        </w:tc>
        <w:tc>
          <w:tcPr>
            <w:tcW w:w="435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掌握现代汉语基础知识和常用文体特征，了解文学鉴赏基本方法。学习实用写作规范，提升语言表达准确性，培养基础文学素养。</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：培养阅读理解与书面表达能力，提升职场应用写作水平。增强口语交际能力，掌握专业文献阅读方法，适应职业发展需求。</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培育人文精神与审美情趣，提高文化修养。增强逻辑思维与创新意识，树立终身学习理念。</w:t>
            </w:r>
          </w:p>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通过经典作品传承中华优秀传统文化，培育文化自信。在语言训练中融入社会主义核心价值观教育。</w:t>
            </w:r>
          </w:p>
        </w:tc>
        <w:tc>
          <w:tcPr>
            <w:tcW w:w="324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课程包含现代汉语应用、文学鉴赏、实用写作三大模块。重点培养应用文写作、口语交际等实用技能，精选反映时代精神的文学作品。结合专业特色，设计职场情境语言训练，融入专业文献阅读指导，强化职业语文能力培养。</w:t>
            </w:r>
          </w:p>
        </w:tc>
        <w:tc>
          <w:tcPr>
            <w:tcW w:w="1918"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beforeAutospacing="0" w:after="0" w:afterAutospacing="0" w:line="30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教师需采用任务驱动教学法，设计真实语言应用场景。学生需积极参与课堂活动，完成实践训练任务。教学中要注重学用结合，突出职业导向，强化语言应用能力培养，提升学生人文素养和职业竞争力。</w:t>
            </w:r>
          </w:p>
        </w:tc>
      </w:tr>
    </w:tbl>
    <w:p>
      <w:pPr>
        <w:pStyle w:val="2"/>
        <w:pageBreakBefore w:val="0"/>
        <w:widowControl/>
        <w:kinsoku/>
        <w:wordWrap/>
        <w:topLinePunct w:val="0"/>
        <w:autoSpaceDE/>
        <w:autoSpaceDN/>
        <w:bidi w:val="0"/>
        <w:spacing w:before="0" w:after="0" w:line="520" w:lineRule="exact"/>
        <w:ind w:left="0" w:leftChars="0" w:firstLine="640" w:firstLineChars="200"/>
        <w:jc w:val="left"/>
        <w:rPr>
          <w:rFonts w:hint="eastAsia" w:ascii="楷体" w:hAnsi="楷体" w:eastAsia="楷体" w:cs="楷体"/>
          <w:color w:val="auto"/>
          <w:sz w:val="32"/>
          <w:szCs w:val="32"/>
        </w:rPr>
      </w:pPr>
      <w:r>
        <w:rPr>
          <w:rFonts w:hint="eastAsia" w:ascii="楷体" w:hAnsi="楷体" w:eastAsia="楷体" w:cs="楷体"/>
          <w:color w:val="auto"/>
          <w:sz w:val="32"/>
          <w:szCs w:val="32"/>
        </w:rPr>
        <w:t>（二）专业课程</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一般包括专业基础课程、专业核心课程和专业拓展课程，并涵盖有关实践性教学环节。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bookmarkStart w:id="9" w:name="_Toc90734975"/>
      <w:r>
        <w:rPr>
          <w:rFonts w:hint="eastAsia" w:ascii="仿宋_GB2312" w:hAnsi="仿宋_GB2312" w:eastAsia="仿宋_GB2312" w:cs="仿宋_GB2312"/>
          <w:color w:val="auto"/>
          <w:sz w:val="32"/>
          <w:szCs w:val="32"/>
        </w:rPr>
        <w:t>1.专业基础课程</w:t>
      </w:r>
      <w:bookmarkEnd w:id="9"/>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专业基础课是为后续专业课程学习打基础的课程。包括：</w:t>
      </w:r>
      <w:r>
        <w:rPr>
          <w:rFonts w:hint="eastAsia" w:ascii="仿宋_GB2312" w:hAnsi="仿宋_GB2312" w:eastAsia="仿宋_GB2312" w:cs="仿宋_GB2312"/>
          <w:color w:val="auto"/>
          <w:sz w:val="32"/>
          <w:szCs w:val="32"/>
          <w:lang w:val="en-US" w:eastAsia="zh-CN"/>
        </w:rPr>
        <w:t>设计构成基础</w:t>
      </w:r>
      <w:r>
        <w:rPr>
          <w:rFonts w:hint="eastAsia" w:ascii="仿宋_GB2312" w:hAnsi="仿宋_GB2312" w:eastAsia="仿宋_GB2312" w:cs="仿宋_GB2312"/>
          <w:color w:val="auto"/>
          <w:sz w:val="32"/>
          <w:szCs w:val="32"/>
        </w:rPr>
        <w:t>、艺术史、</w:t>
      </w:r>
      <w:r>
        <w:rPr>
          <w:rFonts w:hint="eastAsia" w:ascii="仿宋_GB2312" w:hAnsi="仿宋_GB2312" w:eastAsia="仿宋_GB2312" w:cs="仿宋_GB2312"/>
          <w:color w:val="auto"/>
          <w:sz w:val="32"/>
          <w:szCs w:val="32"/>
          <w:lang w:val="en-US" w:eastAsia="zh-CN"/>
        </w:rPr>
        <w:t>艺术概论、</w:t>
      </w:r>
      <w:r>
        <w:rPr>
          <w:rFonts w:hint="eastAsia" w:ascii="仿宋_GB2312" w:hAnsi="仿宋_GB2312" w:eastAsia="仿宋_GB2312" w:cs="仿宋_GB2312"/>
          <w:color w:val="auto"/>
          <w:sz w:val="32"/>
          <w:szCs w:val="32"/>
        </w:rPr>
        <w:t>数字图形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产品三维软件应用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设计创意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造型基础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产品材料与工艺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工业设计史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人机工程应用等课程</w:t>
      </w:r>
      <w:r>
        <w:rPr>
          <w:rFonts w:hint="eastAsia" w:ascii="仿宋_GB2312" w:hAnsi="仿宋_GB2312" w:eastAsia="仿宋_GB2312" w:cs="仿宋_GB2312"/>
          <w:color w:val="auto"/>
          <w:spacing w:val="-4"/>
          <w:sz w:val="32"/>
          <w:szCs w:val="32"/>
        </w:rPr>
        <w:t>。</w:t>
      </w:r>
    </w:p>
    <w:p>
      <w:pPr>
        <w:pageBreakBefore w:val="0"/>
        <w:kinsoku/>
        <w:wordWrap/>
        <w:overflowPunct w:val="0"/>
        <w:topLinePunct w:val="0"/>
        <w:autoSpaceDE/>
        <w:autoSpaceDN/>
        <w:bidi w:val="0"/>
        <w:adjustRightInd w:val="0"/>
        <w:spacing w:after="0" w:line="520" w:lineRule="exact"/>
        <w:ind w:left="0" w:leftChars="0"/>
        <w:jc w:val="center"/>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表3专业基础课课程目标、主要教学内容与要求</w:t>
      </w:r>
    </w:p>
    <w:tbl>
      <w:tblPr>
        <w:tblStyle w:val="7"/>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7"/>
        <w:gridCol w:w="805"/>
        <w:gridCol w:w="4350"/>
        <w:gridCol w:w="2277"/>
        <w:gridCol w:w="2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805"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课程名称</w:t>
            </w:r>
          </w:p>
        </w:tc>
        <w:tc>
          <w:tcPr>
            <w:tcW w:w="4350"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课程目标</w:t>
            </w:r>
          </w:p>
        </w:tc>
        <w:tc>
          <w:tcPr>
            <w:tcW w:w="227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主要教学内容</w:t>
            </w:r>
          </w:p>
        </w:tc>
        <w:tc>
          <w:tcPr>
            <w:tcW w:w="209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bookmarkStart w:id="10" w:name="_Hlk194587108"/>
            <w:r>
              <w:rPr>
                <w:rFonts w:hint="eastAsia" w:ascii="仿宋_GB2312" w:hAnsi="仿宋_GB2312" w:eastAsia="仿宋_GB2312" w:cs="仿宋_GB2312"/>
                <w:color w:val="auto"/>
                <w:sz w:val="24"/>
                <w:highlight w:val="none"/>
                <w:lang w:val="en-US" w:eastAsia="zh-CN"/>
              </w:rPr>
              <w:t>1</w:t>
            </w:r>
          </w:p>
        </w:tc>
        <w:tc>
          <w:tcPr>
            <w:tcW w:w="805"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设计构成基础</w:t>
            </w:r>
          </w:p>
        </w:tc>
        <w:tc>
          <w:tcPr>
            <w:tcW w:w="435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color w:val="auto"/>
                <w:sz w:val="24"/>
                <w:highlight w:val="none"/>
              </w:rPr>
              <w:t>理解设计构成基本概念、原理及要素，掌握造型元素组合规律、形式美法则、色彩原理及立体构成方法，能分析作品构成形式。</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color w:val="auto"/>
                <w:sz w:val="24"/>
                <w:highlight w:val="none"/>
              </w:rPr>
              <w:t>具备审美感知与创意表达能力，能运用构成手法完成设计作品，根据需求构思完善方案，掌握设计软件相关功能，具备团队协作与作品评价分析能力。</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color w:val="auto"/>
                <w:sz w:val="24"/>
                <w:highlight w:val="none"/>
              </w:rPr>
              <w:t>培养创新思维与审美素养，增强耐心细心，提高解决问题及团队合作能力，树立环保意识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color w:val="auto"/>
                <w:sz w:val="24"/>
                <w:highlight w:val="none"/>
              </w:rPr>
              <w:t>培养爱国情怀、工匠精神、社会责任感、创新与创业意识、团队协作精神、审美情趣及人文素养。</w:t>
            </w:r>
          </w:p>
        </w:tc>
        <w:tc>
          <w:tcPr>
            <w:tcW w:w="22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课程包含</w:t>
            </w:r>
            <w:r>
              <w:rPr>
                <w:rFonts w:hint="eastAsia" w:ascii="仿宋_GB2312" w:hAnsi="仿宋_GB2312" w:eastAsia="仿宋_GB2312" w:cs="仿宋_GB2312"/>
                <w:color w:val="auto"/>
                <w:sz w:val="24"/>
                <w:highlight w:val="none"/>
              </w:rPr>
              <w:t>理论教学视频和课题训练教学视频。除此之外，每章还设置了在线测试、单元作业、话题讨论、拓展视频、作业案例库等内容，</w:t>
            </w:r>
            <w:r>
              <w:rPr>
                <w:rFonts w:hint="eastAsia" w:ascii="仿宋_GB2312" w:hAnsi="仿宋_GB2312" w:eastAsia="仿宋_GB2312" w:cs="仿宋_GB2312"/>
                <w:color w:val="auto"/>
                <w:sz w:val="24"/>
                <w:highlight w:val="none"/>
                <w:lang w:val="en-US" w:eastAsia="zh-CN"/>
              </w:rPr>
              <w:t>学生</w:t>
            </w:r>
            <w:r>
              <w:rPr>
                <w:rFonts w:hint="eastAsia" w:ascii="仿宋_GB2312" w:hAnsi="仿宋_GB2312" w:eastAsia="仿宋_GB2312" w:cs="仿宋_GB2312"/>
                <w:color w:val="auto"/>
                <w:sz w:val="24"/>
                <w:highlight w:val="none"/>
              </w:rPr>
              <w:t>对每章节的知识点进行消化、吸收和运用。</w:t>
            </w:r>
          </w:p>
        </w:tc>
        <w:tc>
          <w:tcPr>
            <w:tcW w:w="209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通过该课程的学习，加强学生实践能力的培养及学生的综合应用能力，即能熟练应用各种元素进行</w:t>
            </w:r>
            <w:r>
              <w:rPr>
                <w:rFonts w:hint="eastAsia" w:ascii="仿宋_GB2312" w:hAnsi="仿宋_GB2312" w:eastAsia="仿宋_GB2312" w:cs="仿宋_GB2312"/>
                <w:color w:val="auto"/>
                <w:sz w:val="24"/>
                <w:highlight w:val="none"/>
                <w:lang w:val="en-US" w:eastAsia="zh-CN"/>
              </w:rPr>
              <w:t>构成</w:t>
            </w:r>
            <w:r>
              <w:rPr>
                <w:rFonts w:hint="eastAsia" w:ascii="仿宋_GB2312" w:hAnsi="仿宋_GB2312" w:eastAsia="仿宋_GB2312" w:cs="仿宋_GB2312"/>
                <w:color w:val="auto"/>
                <w:sz w:val="24"/>
                <w:highlight w:val="none"/>
              </w:rPr>
              <w:t>设计，提高审美和对设计元素的解读能力，形成新的设计思维能力与想象能力，并使学生熟练掌握构成的概念与意义、基本要素、形式美法则以及表现方法等。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bookmarkStart w:id="11" w:name="_Toc90734977"/>
            <w:r>
              <w:rPr>
                <w:rFonts w:hint="eastAsia" w:ascii="仿宋_GB2312" w:hAnsi="仿宋_GB2312" w:eastAsia="仿宋_GB2312" w:cs="仿宋_GB2312"/>
                <w:color w:val="auto"/>
                <w:sz w:val="24"/>
                <w:highlight w:val="none"/>
                <w:lang w:val="en-US" w:eastAsia="zh-CN"/>
              </w:rPr>
              <w:t>2</w:t>
            </w:r>
          </w:p>
        </w:tc>
        <w:tc>
          <w:tcPr>
            <w:tcW w:w="805"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艺术史</w:t>
            </w:r>
          </w:p>
        </w:tc>
        <w:tc>
          <w:tcPr>
            <w:tcW w:w="435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color w:val="auto"/>
                <w:sz w:val="24"/>
                <w:highlight w:val="none"/>
                <w:lang w:val="en-US"/>
              </w:rPr>
              <w:t>系统了解中外艺术发展脉络，涵盖不同历史时期的艺术风格、流派及代表作品。</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color w:val="auto"/>
                <w:sz w:val="24"/>
                <w:highlight w:val="none"/>
                <w:lang w:val="en-US"/>
              </w:rPr>
              <w:t>掌握主要艺术门类如绘画、</w:t>
            </w:r>
            <w:r>
              <w:rPr>
                <w:rFonts w:hint="eastAsia" w:ascii="仿宋_GB2312" w:hAnsi="仿宋_GB2312" w:eastAsia="仿宋_GB2312" w:cs="仿宋_GB2312"/>
                <w:color w:val="auto"/>
                <w:sz w:val="24"/>
                <w:highlight w:val="none"/>
                <w:lang w:val="en-US" w:eastAsia="zh-CN"/>
              </w:rPr>
              <w:t>音乐</w:t>
            </w:r>
            <w:r>
              <w:rPr>
                <w:rFonts w:hint="eastAsia" w:ascii="仿宋_GB2312" w:hAnsi="仿宋_GB2312" w:eastAsia="仿宋_GB2312" w:cs="仿宋_GB2312"/>
                <w:color w:val="auto"/>
                <w:sz w:val="24"/>
                <w:highlight w:val="none"/>
                <w:lang w:val="en-US"/>
              </w:rPr>
              <w:t>、建筑、工艺美术等在各历史阶段的演变特点。</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color w:val="auto"/>
                <w:sz w:val="24"/>
                <w:highlight w:val="none"/>
                <w:lang w:val="en-US"/>
              </w:rPr>
              <w:t>理解艺术与社会、文化、经济等因素的相互关系及影响。</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color w:val="auto"/>
                <w:sz w:val="24"/>
                <w:highlight w:val="none"/>
                <w:lang w:val="en-US"/>
              </w:rPr>
              <w:t>具备对艺术作品的鉴赏分析能力，能准确解读作品的形式、内涵与艺术价值。</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color w:val="auto"/>
                <w:sz w:val="24"/>
                <w:highlight w:val="none"/>
                <w:lang w:val="en-US"/>
              </w:rPr>
              <w:t>通过对艺术史的学习，培养从历史角度思考和理解艺术现象的能力。</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color w:val="auto"/>
                <w:sz w:val="24"/>
                <w:highlight w:val="none"/>
                <w:lang w:val="en-US"/>
              </w:rPr>
              <w:t>能够运用艺术史知识为艺术创作和设计提供历史文化依据与灵感启发。</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color w:val="auto"/>
                <w:sz w:val="24"/>
                <w:highlight w:val="none"/>
                <w:lang w:val="en-US"/>
              </w:rPr>
              <w:t>提升艺术审美素养，培养对多元艺术风格的欣赏与包容态度。</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color w:val="auto"/>
                <w:sz w:val="24"/>
                <w:highlight w:val="none"/>
                <w:lang w:val="en-US"/>
              </w:rPr>
              <w:t>激发对历史文化的兴趣与探索精神，增强文化底蕴。</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color w:val="auto"/>
                <w:sz w:val="24"/>
                <w:highlight w:val="none"/>
                <w:lang w:val="en-US"/>
              </w:rPr>
              <w:t>培养批判性思维，能够客观评价艺术史上的各种现象与作品。</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color w:val="auto"/>
                <w:sz w:val="24"/>
                <w:highlight w:val="none"/>
                <w:lang w:val="en-US"/>
              </w:rPr>
              <w:t>增强学生对中华优秀传统文化的认同感与自豪感，传承和弘扬民族艺术精神。通过了解世界艺术史，培养学生的全球视野和文化交流意识。引导学生从艺术发展中感悟人类文明的进步，树立积极向上的价值观。</w:t>
            </w:r>
          </w:p>
        </w:tc>
        <w:tc>
          <w:tcPr>
            <w:tcW w:w="22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rPr>
              <w:t>课程包含中国艺术史中原始社会；夏、商、周；秦汉</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魏晋南北朝</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隋唐</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宋元明清；近现代时期的中国艺术历史背景和发展过程、表现形式及其艺术特点</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以及各时期主要艺术作品的风格和代表作品。外国艺术史史前、古代西方、古代非洲、欧洲中世纪；文艺复兴、巴洛克、洛可可、新古典、近现代时期外国艺术历史背景和发展过程、表现形式及其艺术特点。熟练掌握各时期主要艺术作品的风格和代表作品。</w:t>
            </w:r>
          </w:p>
        </w:tc>
        <w:tc>
          <w:tcPr>
            <w:tcW w:w="209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通过本课程学习，使学生对中外艺术史的发展脉络、风格演变有基本的了解，从而能更深入地理解中国传统文化，增强民族自豪感。通过对优秀作品的赏读，培养学生的审美能力及艺术欣赏力，增加感性认识，提高综合素质。通过对设计理念的分析，培养学生融会贯通的能力和思考研究的习惯，加强理论基础，并以此巩固学生的专业思想，拓宽设计思路。</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4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w:t>
            </w:r>
          </w:p>
        </w:tc>
        <w:tc>
          <w:tcPr>
            <w:tcW w:w="80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rPr>
              <w:t>艺术概论</w:t>
            </w:r>
          </w:p>
        </w:tc>
        <w:tc>
          <w:tcPr>
            <w:tcW w:w="435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lang w:val="en-US"/>
              </w:rPr>
              <w:t>知识目标：</w:t>
            </w:r>
            <w:r>
              <w:rPr>
                <w:rFonts w:hint="eastAsia" w:ascii="仿宋_GB2312" w:hAnsi="仿宋_GB2312" w:eastAsia="仿宋_GB2312" w:cs="仿宋_GB2312"/>
                <w:color w:val="auto"/>
                <w:sz w:val="24"/>
                <w:highlight w:val="none"/>
                <w:lang w:val="en-US"/>
              </w:rPr>
              <w:t>全面理解艺术的本质、特征、起源与发展历程。掌握艺术的分类原则及各类艺术的特点与规律。熟悉艺术创作、艺术作品、艺术鉴赏的基本理论和方法。</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lang w:val="en-US"/>
              </w:rPr>
              <w:t>能力目标：</w:t>
            </w:r>
            <w:r>
              <w:rPr>
                <w:rFonts w:hint="eastAsia" w:ascii="仿宋_GB2312" w:hAnsi="仿宋_GB2312" w:eastAsia="仿宋_GB2312" w:cs="仿宋_GB2312"/>
                <w:color w:val="auto"/>
                <w:sz w:val="24"/>
                <w:highlight w:val="none"/>
                <w:lang w:val="en-US"/>
              </w:rPr>
              <w:t>能够运用艺术概论知识分析和解读各类艺术现象与作品。具备一定的艺术批评能力，对艺术作品进行客观、准确</w:t>
            </w:r>
            <w:r>
              <w:rPr>
                <w:rFonts w:hint="eastAsia" w:ascii="仿宋_GB2312" w:hAnsi="仿宋_GB2312" w:eastAsia="仿宋_GB2312" w:cs="仿宋_GB2312"/>
                <w:color w:val="auto"/>
                <w:sz w:val="24"/>
                <w:highlight w:val="none"/>
                <w:lang w:val="en-US" w:eastAsia="zh-CN"/>
              </w:rPr>
              <w:t>地</w:t>
            </w:r>
            <w:r>
              <w:rPr>
                <w:rFonts w:hint="eastAsia" w:ascii="仿宋_GB2312" w:hAnsi="仿宋_GB2312" w:eastAsia="仿宋_GB2312" w:cs="仿宋_GB2312"/>
                <w:color w:val="auto"/>
                <w:sz w:val="24"/>
                <w:highlight w:val="none"/>
                <w:lang w:val="en-US"/>
              </w:rPr>
              <w:t>评价。通过学习，提升艺术审美素养和艺术鉴赏水平。</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lang w:val="en-US"/>
              </w:rPr>
              <w:t>素质目标：</w:t>
            </w:r>
            <w:r>
              <w:rPr>
                <w:rFonts w:hint="eastAsia" w:ascii="仿宋_GB2312" w:hAnsi="仿宋_GB2312" w:eastAsia="仿宋_GB2312" w:cs="仿宋_GB2312"/>
                <w:color w:val="auto"/>
                <w:sz w:val="24"/>
                <w:highlight w:val="none"/>
                <w:lang w:val="en-US"/>
              </w:rPr>
              <w:t>培养对艺术的热爱和敏锐感知，激发艺术创造力和想象力。提升文化素养和人文精神，增强对多元文化的理解与包容。引导学生树立正确的艺术价值观和审美观念。</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bCs/>
                <w:color w:val="auto"/>
                <w:sz w:val="24"/>
                <w:highlight w:val="none"/>
                <w:lang w:val="en-US"/>
              </w:rPr>
              <w:t>课程思政育人目标：</w:t>
            </w:r>
            <w:r>
              <w:rPr>
                <w:rFonts w:hint="eastAsia" w:ascii="仿宋_GB2312" w:hAnsi="仿宋_GB2312" w:eastAsia="仿宋_GB2312" w:cs="仿宋_GB2312"/>
                <w:color w:val="auto"/>
                <w:sz w:val="24"/>
                <w:highlight w:val="none"/>
                <w:lang w:val="en-US" w:eastAsia="zh-CN"/>
              </w:rPr>
              <w:t>增强学生对中华优秀传统文化艺术的认同感和自豪感，传承民族艺术精神。通过艺术概论教学，培养学生的审美情趣和道德情操，提升精神境界。鼓励学生在艺术学习中追求真、善、美，培养积极向上的人生态度。</w:t>
            </w:r>
          </w:p>
        </w:tc>
        <w:tc>
          <w:tcPr>
            <w:tcW w:w="2277"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pageBreakBefore w:val="0"/>
              <w:kinsoku/>
              <w:wordWrap/>
              <w:topLinePunct w:val="0"/>
              <w:autoSpaceDE/>
              <w:autoSpaceDN/>
              <w:bidi w:val="0"/>
              <w:spacing w:after="0" w:line="320" w:lineRule="exact"/>
              <w:ind w:left="0" w:leftChars="0"/>
              <w:jc w:val="both"/>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课程包含艺术</w:t>
            </w:r>
            <w:r>
              <w:rPr>
                <w:rFonts w:hint="eastAsia" w:ascii="仿宋_GB2312" w:hAnsi="仿宋_GB2312" w:eastAsia="仿宋_GB2312" w:cs="仿宋_GB2312"/>
                <w:color w:val="auto"/>
                <w:sz w:val="24"/>
                <w:highlight w:val="none"/>
              </w:rPr>
              <w:t>的本质特征、历史发展以及不同艺术形式的特点，培养审美能力和艺术鉴赏力</w:t>
            </w:r>
            <w:r>
              <w:rPr>
                <w:rFonts w:hint="eastAsia" w:ascii="仿宋_GB2312" w:hAnsi="仿宋_GB2312" w:eastAsia="仿宋_GB2312" w:cs="仿宋_GB2312"/>
                <w:color w:val="auto"/>
                <w:sz w:val="24"/>
                <w:highlight w:val="none"/>
                <w:lang w:val="en-US" w:eastAsia="zh-CN"/>
              </w:rPr>
              <w:t>等内容</w:t>
            </w:r>
            <w:r>
              <w:rPr>
                <w:rFonts w:hint="eastAsia" w:ascii="仿宋_GB2312" w:hAnsi="仿宋_GB2312" w:eastAsia="仿宋_GB2312" w:cs="仿宋_GB2312"/>
                <w:color w:val="auto"/>
                <w:sz w:val="24"/>
                <w:highlight w:val="none"/>
              </w:rPr>
              <w:t>。</w:t>
            </w:r>
          </w:p>
        </w:tc>
        <w:tc>
          <w:tcPr>
            <w:tcW w:w="2094"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pageBreakBefore w:val="0"/>
              <w:kinsoku/>
              <w:wordWrap/>
              <w:topLinePunct w:val="0"/>
              <w:autoSpaceDE/>
              <w:autoSpaceDN/>
              <w:bidi w:val="0"/>
              <w:spacing w:after="0" w:line="320" w:lineRule="exact"/>
              <w:ind w:left="0" w:leftChars="0"/>
              <w:jc w:val="both"/>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rPr>
              <w:t>通过艺术概论的学习，人们可以对艺术有一个全面、系统</w:t>
            </w:r>
            <w:r>
              <w:rPr>
                <w:rFonts w:hint="eastAsia" w:ascii="仿宋_GB2312" w:hAnsi="仿宋_GB2312" w:eastAsia="仿宋_GB2312" w:cs="仿宋_GB2312"/>
                <w:color w:val="auto"/>
                <w:sz w:val="24"/>
                <w:highlight w:val="none"/>
                <w:lang w:eastAsia="zh-CN"/>
              </w:rPr>
              <w:t>地</w:t>
            </w:r>
            <w:r>
              <w:rPr>
                <w:rFonts w:hint="eastAsia" w:ascii="仿宋_GB2312" w:hAnsi="仿宋_GB2312" w:eastAsia="仿宋_GB2312" w:cs="仿宋_GB2312"/>
                <w:color w:val="auto"/>
                <w:sz w:val="24"/>
                <w:highlight w:val="none"/>
              </w:rPr>
              <w:t>认识，并理解艺术在人类文化和社会生活中的重要性。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4</w:t>
            </w:r>
          </w:p>
        </w:tc>
        <w:tc>
          <w:tcPr>
            <w:tcW w:w="805"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数字图形</w:t>
            </w:r>
          </w:p>
        </w:tc>
        <w:tc>
          <w:tcPr>
            <w:tcW w:w="435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color w:val="auto"/>
                <w:sz w:val="24"/>
                <w:highlight w:val="none"/>
                <w:lang w:val="en-US"/>
              </w:rPr>
              <w:t>掌握数字图形的基本概念、分类及常见图形格式。熟悉数字图形设计软件的基本操作界面与工具功能。理解数字图形的构成原理、色彩模式及图像处理基础。</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color w:val="auto"/>
                <w:sz w:val="24"/>
                <w:highlight w:val="none"/>
                <w:lang w:val="en-US"/>
              </w:rPr>
              <w:t>能够熟练运用软件进行数字图形的绘制、编辑与特效制作。具备根据设计需求创作出富有创意和表现力的数字图形作品的能力。掌握数字图形在不同领域的应用特点与规范，能进行针对性设计。</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color w:val="auto"/>
                <w:sz w:val="24"/>
                <w:highlight w:val="none"/>
                <w:lang w:val="en-US"/>
              </w:rPr>
              <w:t>培养创新思维和数字艺术审美能力，追求独特的图形表现风格。提升耐心细致的工作态度，注重数字图形细节处理。增强对数字技术的学习热情和适应能力，不断更新知识技能。</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color w:val="auto"/>
                <w:sz w:val="24"/>
                <w:highlight w:val="none"/>
                <w:lang w:val="en-US"/>
              </w:rPr>
              <w:t>鼓励学生在数字图形创作中展现中国文化元素，传播中华文化。培养学生的知识产权意识，尊重和保护数字图形创作成果。通过数字图形设计培养学生的信息素养和数字化生存能力，适应时代发展。</w:t>
            </w:r>
          </w:p>
        </w:tc>
        <w:tc>
          <w:tcPr>
            <w:tcW w:w="22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课程包含</w:t>
            </w:r>
            <w:r>
              <w:rPr>
                <w:rFonts w:hint="eastAsia" w:ascii="仿宋_GB2312" w:hAnsi="仿宋_GB2312" w:eastAsia="仿宋_GB2312" w:cs="仿宋_GB2312"/>
                <w:color w:val="auto"/>
                <w:sz w:val="24"/>
                <w:highlight w:val="none"/>
              </w:rPr>
              <w:t>软件介绍、软件命令和操作、软件相关案例练习。</w:t>
            </w:r>
          </w:p>
        </w:tc>
        <w:tc>
          <w:tcPr>
            <w:tcW w:w="209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通过教师混合式教学，通过案例分析，演示与实操，完成教学实践任务，学生在过程中掌握软件命令和操作方法，能够进行独立的平面设计，如制作海报、展板等。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5</w:t>
            </w:r>
          </w:p>
        </w:tc>
        <w:tc>
          <w:tcPr>
            <w:tcW w:w="805"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产品三维软件应用</w:t>
            </w:r>
          </w:p>
        </w:tc>
        <w:tc>
          <w:tcPr>
            <w:tcW w:w="435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color w:val="auto"/>
                <w:sz w:val="24"/>
                <w:highlight w:val="none"/>
                <w:lang w:val="en-US"/>
              </w:rPr>
              <w:t>了解产品三维软件的基本功能与工作流程。掌握三维建模、材质赋予、灯光设置及动画制作的基础方法。熟悉产品设计中三维软件的应用规范与技巧。</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color w:val="auto"/>
                <w:sz w:val="24"/>
                <w:highlight w:val="none"/>
                <w:lang w:val="en-US"/>
              </w:rPr>
              <w:t>能够独立使用三维软件完成产品的三维模型创建与渲染。具备运用软件进行产品外观、结构设计及展示动画制作的能力。能够根据产品设计要求，合理运用软件功能优化设计方案。</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color w:val="auto"/>
                <w:sz w:val="24"/>
                <w:highlight w:val="none"/>
                <w:lang w:val="en-US"/>
              </w:rPr>
              <w:t>培养空间思维和逻辑思维能力，提升对产品形态的把握能力。激发创新设计意识，通过三维软件实现独特的产品创意。培养严谨务实的工作作风，注重产品三维模型的准确性和精细度。</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color w:val="auto"/>
                <w:sz w:val="24"/>
                <w:highlight w:val="none"/>
                <w:lang w:val="en-US"/>
              </w:rPr>
              <w:t>引导学生关注中国制造业发展，以产品设计助力产业升级，增强民族自豪感。培养学生的工匠精神，在产品三维建模中追求卓越品质。通过产品三维展示培养学生的环保意识，考虑产品的可持续性设计。</w:t>
            </w:r>
          </w:p>
        </w:tc>
        <w:tc>
          <w:tcPr>
            <w:tcW w:w="22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课程包含</w:t>
            </w:r>
            <w:r>
              <w:rPr>
                <w:rFonts w:hint="eastAsia" w:ascii="仿宋_GB2312" w:hAnsi="仿宋_GB2312" w:eastAsia="仿宋_GB2312" w:cs="仿宋_GB2312"/>
                <w:color w:val="auto"/>
                <w:sz w:val="24"/>
                <w:highlight w:val="none"/>
              </w:rPr>
              <w:t>介绍C4D软件的基本概念、安装方法、界面布局以及基础操作，如视图操作、对象管理等。</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学习多边形建模、曲面建模等多种建模方法，包括基础几何体的创建、编辑和修改技巧。</w:t>
            </w:r>
            <w:r>
              <w:rPr>
                <w:rFonts w:hint="eastAsia" w:ascii="仿宋_GB2312" w:hAnsi="仿宋_GB2312" w:eastAsia="仿宋_GB2312" w:cs="仿宋_GB2312"/>
                <w:color w:val="auto"/>
                <w:sz w:val="24"/>
                <w:highlight w:val="none"/>
                <w:lang w:val="en-US" w:eastAsia="zh-CN"/>
              </w:rPr>
              <w:t>以及</w:t>
            </w:r>
            <w:r>
              <w:rPr>
                <w:rFonts w:hint="eastAsia" w:ascii="仿宋_GB2312" w:hAnsi="仿宋_GB2312" w:eastAsia="仿宋_GB2312" w:cs="仿宋_GB2312"/>
                <w:color w:val="auto"/>
                <w:sz w:val="24"/>
                <w:highlight w:val="none"/>
              </w:rPr>
              <w:t>学习材质编辑器的使用，包括颜色、反射、透明度、光泽度等材质属性的调节。学习不同类型的灯光及其属性设置，如点光源、聚光灯、区域光等。</w:t>
            </w:r>
          </w:p>
        </w:tc>
        <w:tc>
          <w:tcPr>
            <w:tcW w:w="209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学生需了解C4D的基本概念、软件安装及其在各领域（如影视特效、动画制作的应用。熟练掌握C4D软件的基本操作和功能，包括建模、材质与纹理、灯光与渲染、动画与动力学等模块。培养学生的创意表达能力，通过C4D软件实现自己的设计理念。学习如何通过C4D创作出具有视觉冲击力和表现力的动态设计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6</w:t>
            </w:r>
          </w:p>
        </w:tc>
        <w:tc>
          <w:tcPr>
            <w:tcW w:w="805"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设计创意</w:t>
            </w:r>
          </w:p>
        </w:tc>
        <w:tc>
          <w:tcPr>
            <w:tcW w:w="435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color w:val="auto"/>
                <w:sz w:val="24"/>
                <w:highlight w:val="none"/>
                <w:lang w:val="en-US"/>
              </w:rPr>
              <w:t>理解设计创意的本质、来源及重要性。</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color w:val="auto"/>
                <w:sz w:val="24"/>
                <w:highlight w:val="none"/>
                <w:lang w:val="en-US"/>
              </w:rPr>
              <w:t>掌握创意构思的基本方法与技巧，如头脑风暴、逆向思维等。了解设计创意与市场需求、用户体验的关系。</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color w:val="auto"/>
                <w:sz w:val="24"/>
                <w:highlight w:val="none"/>
                <w:lang w:val="en-US"/>
              </w:rPr>
              <w:t>能够敏锐捕捉生活中的设计灵感，激发创意潜能。运用创意方法独立完成具有创新性的设计概念与方案。具备从多角度审视设计问题，提出新颖解决方案的能力。</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color w:val="auto"/>
                <w:sz w:val="24"/>
                <w:highlight w:val="none"/>
                <w:lang w:val="en-US"/>
              </w:rPr>
              <w:t>培养创新意识和勇于突破传统的精神，敢于尝试新的设计理念。提升观察力和想象力，丰富设计创意源泉。</w:t>
            </w:r>
            <w:r>
              <w:rPr>
                <w:rFonts w:hint="eastAsia" w:ascii="仿宋_GB2312" w:hAnsi="仿宋_GB2312" w:eastAsia="仿宋_GB2312" w:cs="仿宋_GB2312"/>
                <w:color w:val="auto"/>
                <w:spacing w:val="-6"/>
                <w:sz w:val="24"/>
                <w:highlight w:val="none"/>
                <w:lang w:val="en-US"/>
              </w:rPr>
              <w:t>增强沟通与表达能力，清晰阐述设计创意思路与价值</w:t>
            </w:r>
            <w:r>
              <w:rPr>
                <w:rFonts w:hint="eastAsia" w:ascii="仿宋_GB2312" w:hAnsi="仿宋_GB2312" w:eastAsia="仿宋_GB2312" w:cs="仿宋_GB2312"/>
                <w:color w:val="auto"/>
                <w:sz w:val="24"/>
                <w:highlight w:val="none"/>
                <w:lang w:val="en-US"/>
              </w:rPr>
              <w: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color w:val="auto"/>
                <w:sz w:val="24"/>
                <w:highlight w:val="none"/>
                <w:lang w:val="en-US"/>
              </w:rPr>
              <w:t>鼓励学生在设计创意中融入中国传统文化元素，传承创新文化。培养学生的社会责任感，使创意设计服务于社会发展需求。通过创意激发培养学生的积极进取精神和对美好生活的追求。</w:t>
            </w:r>
          </w:p>
        </w:tc>
        <w:tc>
          <w:tcPr>
            <w:tcW w:w="22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课程包含</w:t>
            </w:r>
            <w:r>
              <w:rPr>
                <w:rFonts w:hint="eastAsia" w:ascii="仿宋_GB2312" w:hAnsi="仿宋_GB2312" w:eastAsia="仿宋_GB2312" w:cs="仿宋_GB2312"/>
                <w:color w:val="auto"/>
                <w:sz w:val="24"/>
                <w:highlight w:val="none"/>
              </w:rPr>
              <w:t>对产品的功能、结构、形态、色彩、材质、人机界面以及依附在产品上的标志、图形、文字进行解读，能客观、准确地获取企业精神及理念的设计</w:t>
            </w:r>
            <w:r>
              <w:rPr>
                <w:rFonts w:hint="eastAsia" w:ascii="仿宋_GB2312" w:hAnsi="仿宋_GB2312" w:eastAsia="仿宋_GB2312" w:cs="仿宋_GB2312"/>
                <w:color w:val="auto"/>
                <w:sz w:val="24"/>
                <w:highlight w:val="none"/>
                <w:lang w:eastAsia="zh-CN"/>
              </w:rPr>
              <w:t>。</w:t>
            </w:r>
          </w:p>
        </w:tc>
        <w:tc>
          <w:tcPr>
            <w:tcW w:w="209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通过教师利用多媒体教学，理论与实践相结合，使得能从产品中提取特征</w:t>
            </w:r>
            <w:r>
              <w:rPr>
                <w:rFonts w:hint="eastAsia" w:ascii="仿宋_GB2312" w:hAnsi="仿宋_GB2312" w:eastAsia="仿宋_GB2312" w:cs="仿宋_GB2312"/>
                <w:color w:val="auto"/>
                <w:sz w:val="24"/>
                <w:highlight w:val="none"/>
                <w:lang w:eastAsia="zh-CN"/>
              </w:rPr>
              <w:t>运用到</w:t>
            </w:r>
            <w:r>
              <w:rPr>
                <w:rFonts w:hint="eastAsia" w:ascii="仿宋_GB2312" w:hAnsi="仿宋_GB2312" w:eastAsia="仿宋_GB2312" w:cs="仿宋_GB2312"/>
                <w:color w:val="auto"/>
                <w:sz w:val="24"/>
                <w:highlight w:val="none"/>
              </w:rPr>
              <w:t>设计中</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使它做到风格统一又各具</w:t>
            </w:r>
            <w:r>
              <w:rPr>
                <w:rFonts w:hint="eastAsia" w:ascii="仿宋_GB2312" w:hAnsi="仿宋_GB2312" w:eastAsia="仿宋_GB2312" w:cs="仿宋_GB2312"/>
                <w:color w:val="auto"/>
                <w:sz w:val="24"/>
                <w:highlight w:val="none"/>
                <w:lang w:val="en-US" w:eastAsia="zh-CN"/>
              </w:rPr>
              <w:t>创新的</w:t>
            </w:r>
            <w:r>
              <w:rPr>
                <w:rFonts w:hint="eastAsia" w:ascii="仿宋_GB2312" w:hAnsi="仿宋_GB2312" w:eastAsia="仿宋_GB2312" w:cs="仿宋_GB2312"/>
                <w:color w:val="auto"/>
                <w:sz w:val="24"/>
                <w:highlight w:val="none"/>
              </w:rPr>
              <w:t>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7</w:t>
            </w:r>
          </w:p>
        </w:tc>
        <w:tc>
          <w:tcPr>
            <w:tcW w:w="805"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造型基础</w:t>
            </w:r>
          </w:p>
        </w:tc>
        <w:tc>
          <w:tcPr>
            <w:tcW w:w="435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color w:val="auto"/>
                <w:sz w:val="24"/>
                <w:highlight w:val="none"/>
                <w:lang w:val="en-US"/>
              </w:rPr>
              <w:t>掌握造型的基本元素，如点、线、面、体、色彩、质感等的特性与表现。理解造型的形式法则，如对称、平衡、比例、节奏等原理。熟悉不同造型风格和表现手法的特点。</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color w:val="auto"/>
                <w:sz w:val="24"/>
                <w:highlight w:val="none"/>
                <w:lang w:val="en-US"/>
              </w:rPr>
              <w:t>具备运用造型元素进行基础造型创作的能力，如绘画、手工模型制作等。能够依据形式法则对造型作品进行分析和优化调整。掌握从自然和生活中汲取造型灵感并转化为设计元素的方法。</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color w:val="auto"/>
                <w:sz w:val="24"/>
                <w:highlight w:val="none"/>
                <w:lang w:val="en-US"/>
              </w:rPr>
              <w:t>提升审美感知和造型表现能力，培养对形态美的敏锐洞察力。激发创造力和动手能力，通过造型实践展现个性与创新。培养耐心专注的品质，在造型创作过程中注重细节和整体效果。</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color w:val="auto"/>
                <w:sz w:val="24"/>
                <w:highlight w:val="none"/>
                <w:lang w:val="en-US"/>
              </w:rPr>
              <w:t>引导学生从中国传统造型艺术中汲取养分，传承民族造型文化。通过造型基础训练培养学生的工匠精神和精益求精的态度。鼓励学生在造型创作中表达对生活的热爱和积极向上的情感态度。</w:t>
            </w:r>
          </w:p>
        </w:tc>
        <w:tc>
          <w:tcPr>
            <w:tcW w:w="22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课程包含</w:t>
            </w:r>
            <w:r>
              <w:rPr>
                <w:rFonts w:hint="eastAsia" w:ascii="仿宋_GB2312" w:hAnsi="仿宋_GB2312" w:eastAsia="仿宋_GB2312" w:cs="仿宋_GB2312"/>
                <w:color w:val="auto"/>
                <w:sz w:val="24"/>
                <w:highlight w:val="none"/>
              </w:rPr>
              <w:t>介绍3Dmax软件的界面布局、菜单栏、工具栏、视图控制等基本操作。学习创建和编辑基本几何体、多边形、NURBS等对象。</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学习材质编辑器、贴图坐标等高级材质并应用各种材质和贴图效果，提升模型的真实感和质感。</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课程介绍不同类型的灯，学习渲染器设置、调整渲染参数，提高渲染效果的真实感和质感。</w:t>
            </w:r>
          </w:p>
        </w:tc>
        <w:tc>
          <w:tcPr>
            <w:tcW w:w="209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学生应熟悉3Dmax软件的基本界面和常用工具，能够熟练进行基础操作，包括基础几何体创建、多边形建模、曲面建模等，要求学生能够独立完成复杂模型的制作，并掌握材质编辑器的使用，能够合理设置材质与贴图，提升模型的真实感。同时，了解灯光的设置与应用，模拟真实世界的光照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8</w:t>
            </w:r>
          </w:p>
        </w:tc>
        <w:tc>
          <w:tcPr>
            <w:tcW w:w="805"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产品材料与工艺</w:t>
            </w:r>
          </w:p>
        </w:tc>
        <w:tc>
          <w:tcPr>
            <w:tcW w:w="435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color w:val="auto"/>
                <w:sz w:val="24"/>
                <w:highlight w:val="none"/>
                <w:lang w:val="en-US"/>
              </w:rPr>
              <w:t>了解常见产品材料的种类、性能、特点及应用范围。熟悉主要产品制造工艺的原理、流程及质量控制要点。掌握材料选择与工艺运用对产品设计的影响因素。</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color w:val="auto"/>
                <w:sz w:val="24"/>
                <w:highlight w:val="none"/>
                <w:lang w:val="en-US"/>
              </w:rPr>
              <w:t>能够根据产品设计需求合理选择材料并确定制造工艺。具备对产品材料和工艺进行成本分析与效益评估的能力。了解材料与工艺的发展趋势，为产品设计创新提供依据。</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color w:val="auto"/>
                <w:sz w:val="24"/>
                <w:highlight w:val="none"/>
                <w:lang w:val="en-US"/>
              </w:rPr>
              <w:t>培养科学严谨的态度，深入了解材料与工艺的科学性。提升经济意识，在产品设计中考虑材料与工艺成本的合理性。增强环保意识，优先选用绿色环保材料与工艺。</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color w:val="auto"/>
                <w:sz w:val="24"/>
                <w:highlight w:val="none"/>
                <w:lang w:val="en-US"/>
              </w:rPr>
              <w:t>引导学生关注中国材料产业发展，为提升民族产业贡献力量。培养学生的工匠精神，注重产品材料与工艺品质。通过环保材料与工艺教学，培养学生的社会责任感和环保理念。</w:t>
            </w:r>
          </w:p>
        </w:tc>
        <w:tc>
          <w:tcPr>
            <w:tcW w:w="22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课程包含介绍产品基本材料的情况，了解</w:t>
            </w:r>
            <w:r>
              <w:rPr>
                <w:rFonts w:hint="eastAsia" w:ascii="仿宋_GB2312" w:hAnsi="仿宋_GB2312" w:eastAsia="仿宋_GB2312" w:cs="仿宋_GB2312"/>
                <w:color w:val="auto"/>
                <w:sz w:val="24"/>
                <w:highlight w:val="none"/>
              </w:rPr>
              <w:t>金属材料</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塑料</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陶瓷与玻璃</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木材</w:t>
            </w:r>
            <w:r>
              <w:rPr>
                <w:rFonts w:hint="eastAsia" w:ascii="仿宋_GB2312" w:hAnsi="仿宋_GB2312" w:eastAsia="仿宋_GB2312" w:cs="仿宋_GB2312"/>
                <w:color w:val="auto"/>
                <w:sz w:val="24"/>
                <w:highlight w:val="none"/>
                <w:lang w:val="en-US" w:eastAsia="zh-CN"/>
              </w:rPr>
              <w:t>等材料的特性及特点，学会如何应用不同材料完成产品设计，了解</w:t>
            </w:r>
            <w:r>
              <w:rPr>
                <w:rFonts w:hint="eastAsia" w:ascii="仿宋_GB2312" w:hAnsi="仿宋_GB2312" w:eastAsia="仿宋_GB2312" w:cs="仿宋_GB2312"/>
                <w:color w:val="auto"/>
                <w:sz w:val="24"/>
                <w:highlight w:val="none"/>
              </w:rPr>
              <w:t>模型材料性能与工艺</w:t>
            </w:r>
            <w:r>
              <w:rPr>
                <w:rFonts w:hint="eastAsia" w:ascii="仿宋_GB2312" w:hAnsi="仿宋_GB2312" w:eastAsia="仿宋_GB2312" w:cs="仿宋_GB2312"/>
                <w:color w:val="auto"/>
                <w:sz w:val="24"/>
                <w:highlight w:val="none"/>
                <w:lang w:val="en-US" w:eastAsia="zh-CN"/>
              </w:rPr>
              <w:t>的特点。</w:t>
            </w:r>
          </w:p>
        </w:tc>
        <w:tc>
          <w:tcPr>
            <w:tcW w:w="209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通过学习，理解设计与材料的关系。材料的发展设计的影响。理解设计与金属材料的关系。金属材料在产品设计中的应用。理解设计与塑料材料的关系。塑料材料在产品设计中的应用。理解设计与陶瓷玻璃材料的关系。陶瓷玻璃材料在产品设计中的应用。理解设计与木材材料的关系。了解木材材料在产品设计中的应用。了解工业产品设计模型制作所需的模型材料及部分</w:t>
            </w:r>
            <w:r>
              <w:rPr>
                <w:rFonts w:hint="eastAsia" w:ascii="仿宋_GB2312" w:hAnsi="仿宋_GB2312" w:eastAsia="仿宋_GB2312" w:cs="仿宋_GB2312"/>
                <w:color w:val="auto"/>
                <w:sz w:val="24"/>
                <w:highlight w:val="none"/>
                <w:lang w:val="en-US" w:eastAsia="zh-CN"/>
              </w:rPr>
              <w:t>模型的制作技巧。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9</w:t>
            </w:r>
          </w:p>
        </w:tc>
        <w:tc>
          <w:tcPr>
            <w:tcW w:w="805"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工业设计史</w:t>
            </w:r>
          </w:p>
        </w:tc>
        <w:tc>
          <w:tcPr>
            <w:tcW w:w="435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color w:val="auto"/>
                <w:sz w:val="24"/>
                <w:highlight w:val="none"/>
                <w:lang w:val="en-US"/>
              </w:rPr>
              <w:t>全面了解工业设计的起源、发展历程及重要阶段。掌握不同时期工业设计的风格特点、代表人物及经典作品。理解工业设计与科技、社会、文化之间的相互关系。</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color w:val="auto"/>
                <w:sz w:val="24"/>
                <w:highlight w:val="none"/>
                <w:lang w:val="en-US"/>
              </w:rPr>
              <w:t>能够从工业设计史角度分析和评价设计作品与设计现象。运用工业设计史知识为当代工业设计提供历史借鉴与启示。培养对工业设计发展趋势的前瞻性判断能力。</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color w:val="auto"/>
                <w:sz w:val="24"/>
                <w:highlight w:val="none"/>
                <w:lang w:val="en-US"/>
              </w:rPr>
              <w:t>提升对工业设计文化的理解与欣赏水平，增强文化素养。激发对工业设计历史的探索兴趣，培养批判性思维。通过了解工业设计发展培养学生的创新意识和对未来的责任感。</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color w:val="auto"/>
                <w:sz w:val="24"/>
                <w:highlight w:val="none"/>
                <w:lang w:val="en-US"/>
              </w:rPr>
              <w:t>增强学生对中国工业设计发展成就的自豪感，传承创新精神。引导学生从工业设计史中感悟人类文明进步，树立正确价值观。鼓励学生在当代工业设计中弘扬民族文化特色，推动文化交流。</w:t>
            </w:r>
          </w:p>
        </w:tc>
        <w:tc>
          <w:tcPr>
            <w:tcW w:w="22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课程包含</w:t>
            </w:r>
            <w:r>
              <w:rPr>
                <w:rFonts w:hint="eastAsia" w:ascii="仿宋_GB2312" w:hAnsi="仿宋_GB2312" w:eastAsia="仿宋_GB2312" w:cs="仿宋_GB2312"/>
                <w:color w:val="auto"/>
                <w:sz w:val="24"/>
                <w:highlight w:val="none"/>
              </w:rPr>
              <w:t>中西方手工艺时期的设计</w:t>
            </w:r>
            <w:r>
              <w:rPr>
                <w:rFonts w:hint="eastAsia" w:ascii="仿宋_GB2312" w:hAnsi="仿宋_GB2312" w:eastAsia="仿宋_GB2312" w:cs="仿宋_GB2312"/>
                <w:color w:val="auto"/>
                <w:sz w:val="24"/>
                <w:highlight w:val="none"/>
                <w:lang w:eastAsia="zh-CN"/>
              </w:rPr>
              <w:t>，技术革命与工业设计，艺术流派与工业设计，信息技术与工业设计、工业设计中人的因素，新时代工业设计的发展。</w:t>
            </w:r>
          </w:p>
        </w:tc>
        <w:tc>
          <w:tcPr>
            <w:tcW w:w="209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了解设计概念的产生和人类审美意识的发展、介绍生存设计和人类需求的递进。</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了解中国及国外手工艺设计阶段的主要特点及代表性的设计风格和特色。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default" w:ascii="仿宋_GB2312" w:hAnsi="仿宋_GB2312" w:eastAsia="仿宋_GB2312" w:cs="仿宋_GB2312"/>
                <w:color w:val="auto"/>
                <w:sz w:val="24"/>
                <w:highlight w:val="none"/>
                <w:lang w:val="en-US"/>
              </w:rPr>
            </w:pPr>
            <w:r>
              <w:rPr>
                <w:rFonts w:hint="eastAsia" w:ascii="仿宋_GB2312" w:hAnsi="仿宋_GB2312" w:eastAsia="仿宋_GB2312" w:cs="仿宋_GB2312"/>
                <w:color w:val="auto"/>
                <w:sz w:val="24"/>
                <w:highlight w:val="none"/>
                <w:lang w:val="en-US" w:eastAsia="zh-CN"/>
              </w:rPr>
              <w:t>10</w:t>
            </w:r>
          </w:p>
        </w:tc>
        <w:tc>
          <w:tcPr>
            <w:tcW w:w="805"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人机工程应用</w:t>
            </w:r>
          </w:p>
        </w:tc>
        <w:tc>
          <w:tcPr>
            <w:tcW w:w="435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知识目标：</w:t>
            </w:r>
            <w:r>
              <w:rPr>
                <w:rFonts w:hint="eastAsia" w:ascii="仿宋_GB2312" w:hAnsi="仿宋_GB2312" w:eastAsia="仿宋_GB2312" w:cs="仿宋_GB2312"/>
                <w:color w:val="auto"/>
                <w:sz w:val="24"/>
                <w:highlight w:val="none"/>
                <w:lang w:val="en-US"/>
              </w:rPr>
              <w:t>掌握人机工程学的基本概念、原理和研究方法。了解人体生理和心理特征及其在设计中的应用。熟悉人机界面设计、工作空间设计等方面的人机工程学原则。</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能力目标：</w:t>
            </w:r>
            <w:r>
              <w:rPr>
                <w:rFonts w:hint="eastAsia" w:ascii="仿宋_GB2312" w:hAnsi="仿宋_GB2312" w:eastAsia="仿宋_GB2312" w:cs="仿宋_GB2312"/>
                <w:color w:val="auto"/>
                <w:sz w:val="24"/>
                <w:highlight w:val="none"/>
                <w:lang w:val="en-US"/>
              </w:rPr>
              <w:t>能够运用人机工程学知识对产品或环境进行人机分析与评估。具备根据用户需求和人机工程学原理进行设计优化的能力。掌握人机工程学相关软件或工具的基本操作，辅助设计工作。</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rPr>
            </w:pPr>
            <w:r>
              <w:rPr>
                <w:rFonts w:hint="eastAsia" w:ascii="仿宋_GB2312" w:hAnsi="仿宋_GB2312" w:eastAsia="仿宋_GB2312" w:cs="仿宋_GB2312"/>
                <w:b/>
                <w:bCs/>
                <w:color w:val="auto"/>
                <w:sz w:val="24"/>
                <w:highlight w:val="none"/>
              </w:rPr>
              <w:t>素质目标：</w:t>
            </w:r>
            <w:r>
              <w:rPr>
                <w:rFonts w:hint="eastAsia" w:ascii="仿宋_GB2312" w:hAnsi="仿宋_GB2312" w:eastAsia="仿宋_GB2312" w:cs="仿宋_GB2312"/>
                <w:color w:val="auto"/>
                <w:sz w:val="24"/>
                <w:highlight w:val="none"/>
                <w:lang w:val="en-US"/>
              </w:rPr>
              <w:t>培养关注用户体验的意识，树立以用户为中心的设计理念。提升严谨科学的态度，确保设计符合人机工程学要求。增强团队协作能力，与人机工程学相关专业人员有效沟通合作。</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b/>
                <w:bCs/>
                <w:color w:val="auto"/>
                <w:sz w:val="24"/>
                <w:highlight w:val="none"/>
              </w:rPr>
              <w:t>课程思政育人目标：</w:t>
            </w:r>
            <w:r>
              <w:rPr>
                <w:rFonts w:hint="eastAsia" w:ascii="仿宋_GB2312" w:hAnsi="仿宋_GB2312" w:eastAsia="仿宋_GB2312" w:cs="仿宋_GB2312"/>
                <w:color w:val="auto"/>
                <w:sz w:val="24"/>
                <w:highlight w:val="none"/>
                <w:lang w:val="en-US"/>
              </w:rPr>
              <w:t xml:space="preserve">引导学生关注特殊人群需求，体现设计的人文关怀，增强社会责任感。通过人机工程应用培养学生的工匠精神，追求设计的精准性和舒适性。鼓励学生在设计中考虑可持续发展，优化人机关系，促进人与环境和谐。 </w:t>
            </w:r>
          </w:p>
        </w:tc>
        <w:tc>
          <w:tcPr>
            <w:tcW w:w="22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课程包含</w:t>
            </w:r>
            <w:r>
              <w:rPr>
                <w:rFonts w:hint="eastAsia" w:ascii="仿宋_GB2312" w:hAnsi="仿宋_GB2312" w:eastAsia="仿宋_GB2312" w:cs="仿宋_GB2312"/>
                <w:color w:val="auto"/>
                <w:sz w:val="24"/>
                <w:highlight w:val="none"/>
              </w:rPr>
              <w:t>概述</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人机工程学的研究内容与方法</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人机工程学的学科体系</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rPr>
              <w:t>工业设计与人机工程学</w:t>
            </w:r>
            <w:r>
              <w:rPr>
                <w:rFonts w:hint="eastAsia" w:ascii="仿宋_GB2312" w:hAnsi="仿宋_GB2312" w:eastAsia="仿宋_GB2312" w:cs="仿宋_GB2312"/>
                <w:color w:val="auto"/>
                <w:sz w:val="24"/>
                <w:highlight w:val="none"/>
                <w:lang w:eastAsia="zh-CN"/>
              </w:rPr>
              <w:t>。</w:t>
            </w:r>
          </w:p>
        </w:tc>
        <w:tc>
          <w:tcPr>
            <w:tcW w:w="209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了解人机工程学的基本概念，初步掌握人机工程学的研究内容与方法，并了解人机工程学的学科体系及应用范围，理解人机工程学与工业设计（产品设计）的关系。</w:t>
            </w:r>
          </w:p>
        </w:tc>
      </w:tr>
      <w:bookmarkEnd w:id="10"/>
    </w:tbl>
    <w:p>
      <w:pPr>
        <w:pageBreakBefore w:val="0"/>
        <w:kinsoku/>
        <w:wordWrap/>
        <w:topLinePunct w:val="0"/>
        <w:autoSpaceDE/>
        <w:autoSpaceDN/>
        <w:bidi w:val="0"/>
        <w:adjustRightInd w:val="0"/>
        <w:snapToGri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2.专业核心课程</w:t>
      </w:r>
      <w:bookmarkEnd w:id="11"/>
    </w:p>
    <w:p>
      <w:pPr>
        <w:pageBreakBefore w:val="0"/>
        <w:kinsoku/>
        <w:wordWrap/>
        <w:overflowPunct w:val="0"/>
        <w:topLinePunct w:val="0"/>
        <w:autoSpaceDE/>
        <w:autoSpaceDN/>
        <w:bidi w:val="0"/>
        <w:adjustRightInd w:val="0"/>
        <w:spacing w:after="0" w:line="520" w:lineRule="exact"/>
        <w:ind w:left="0" w:leftChars="0"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核心课是面向产品造型设计、产品设计与研发、产品创新等岗位（群），结合工业产品造型助理设计师、家具设计师、家具设计师、广告设计师、工艺产品设计师、产品研发设计师、3D虚拟数字建模师的就业岗位，建立产品艺术设计专业核心课程，培养学生</w:t>
      </w:r>
      <w:r>
        <w:rPr>
          <w:rFonts w:hint="eastAsia" w:ascii="仿宋_GB2312" w:hAnsi="仿宋_GB2312" w:eastAsia="仿宋_GB2312" w:cs="仿宋_GB2312"/>
          <w:color w:val="auto"/>
          <w:sz w:val="32"/>
          <w:szCs w:val="32"/>
          <w:lang w:eastAsia="zh-CN"/>
        </w:rPr>
        <w:t>产品设计等</w:t>
      </w:r>
      <w:r>
        <w:rPr>
          <w:rFonts w:hint="eastAsia" w:ascii="仿宋_GB2312" w:hAnsi="仿宋_GB2312" w:eastAsia="仿宋_GB2312" w:cs="仿宋_GB2312"/>
          <w:color w:val="auto"/>
          <w:sz w:val="32"/>
          <w:szCs w:val="32"/>
        </w:rPr>
        <w:t>方面的能力。</w:t>
      </w:r>
      <w:r>
        <w:rPr>
          <w:rFonts w:hint="eastAsia" w:ascii="仿宋_GB2312" w:hAnsi="仿宋_GB2312" w:eastAsia="仿宋_GB2312" w:cs="仿宋_GB2312"/>
          <w:color w:val="auto"/>
          <w:sz w:val="32"/>
          <w:szCs w:val="32"/>
          <w:lang w:val="en-US" w:eastAsia="zh-CN"/>
        </w:rPr>
        <w:t>主要</w:t>
      </w:r>
      <w:r>
        <w:rPr>
          <w:rFonts w:hint="eastAsia" w:ascii="仿宋_GB2312" w:hAnsi="仿宋_GB2312" w:eastAsia="仿宋_GB2312" w:cs="仿宋_GB2312"/>
          <w:color w:val="auto"/>
          <w:sz w:val="32"/>
          <w:szCs w:val="32"/>
        </w:rPr>
        <w:t>包括设计程序与方法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产品功能与结构设计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产品形态设计</w:t>
      </w:r>
      <w:r>
        <w:rPr>
          <w:rFonts w:hint="eastAsia" w:ascii="仿宋_GB2312" w:hAnsi="仿宋_GB2312" w:eastAsia="仿宋_GB2312" w:cs="仿宋_GB2312"/>
          <w:color w:val="auto"/>
          <w:sz w:val="32"/>
          <w:szCs w:val="32"/>
          <w:lang w:eastAsia="zh-CN"/>
        </w:rPr>
        <w:t>、产品品牌与包装设计、</w:t>
      </w:r>
      <w:r>
        <w:rPr>
          <w:rFonts w:hint="eastAsia" w:ascii="仿宋_GB2312" w:hAnsi="仿宋_GB2312" w:eastAsia="仿宋_GB2312" w:cs="仿宋_GB2312"/>
          <w:color w:val="auto"/>
          <w:sz w:val="32"/>
          <w:szCs w:val="32"/>
        </w:rPr>
        <w:t>产品界面设计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产品模型制作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产品项目设计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产品整合创新设计等课程。</w:t>
      </w:r>
    </w:p>
    <w:p>
      <w:pPr>
        <w:pageBreakBefore w:val="0"/>
        <w:kinsoku/>
        <w:wordWrap/>
        <w:overflowPunct w:val="0"/>
        <w:topLinePunct w:val="0"/>
        <w:autoSpaceDE/>
        <w:autoSpaceDN/>
        <w:bidi w:val="0"/>
        <w:adjustRightInd w:val="0"/>
        <w:spacing w:after="0" w:line="520" w:lineRule="exact"/>
        <w:ind w:left="0" w:leftChars="0"/>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表4专业核心课课程目标、主要教学内容与要求</w:t>
      </w:r>
    </w:p>
    <w:tbl>
      <w:tblPr>
        <w:tblStyle w:val="7"/>
        <w:tblW w:w="10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822"/>
        <w:gridCol w:w="5550"/>
        <w:gridCol w:w="1810"/>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82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课程名称</w:t>
            </w:r>
          </w:p>
        </w:tc>
        <w:tc>
          <w:tcPr>
            <w:tcW w:w="5550"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课程目标</w:t>
            </w:r>
          </w:p>
        </w:tc>
        <w:tc>
          <w:tcPr>
            <w:tcW w:w="1810"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主要教学内容</w:t>
            </w:r>
          </w:p>
        </w:tc>
        <w:tc>
          <w:tcPr>
            <w:tcW w:w="1792"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bookmarkStart w:id="12" w:name="_Toc90734991"/>
            <w:r>
              <w:rPr>
                <w:rFonts w:hint="eastAsia" w:ascii="仿宋_GB2312" w:hAnsi="仿宋_GB2312" w:eastAsia="仿宋_GB2312" w:cs="仿宋_GB2312"/>
                <w:color w:val="auto"/>
                <w:sz w:val="24"/>
                <w:szCs w:val="24"/>
                <w:highlight w:val="none"/>
              </w:rPr>
              <w:t>1</w:t>
            </w:r>
          </w:p>
        </w:tc>
        <w:tc>
          <w:tcPr>
            <w:tcW w:w="82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设计程序与方法</w:t>
            </w:r>
          </w:p>
        </w:tc>
        <w:tc>
          <w:tcPr>
            <w:tcW w:w="555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b/>
                <w:bCs/>
                <w:color w:val="auto"/>
                <w:sz w:val="24"/>
                <w:szCs w:val="24"/>
                <w:highlight w:val="none"/>
                <w:lang w:val="en-US"/>
              </w:rPr>
              <w:t>知识目标：</w:t>
            </w:r>
            <w:r>
              <w:rPr>
                <w:rFonts w:hint="eastAsia" w:ascii="仿宋_GB2312" w:hAnsi="仿宋_GB2312" w:eastAsia="仿宋_GB2312" w:cs="仿宋_GB2312"/>
                <w:color w:val="auto"/>
                <w:sz w:val="24"/>
                <w:szCs w:val="24"/>
                <w:highlight w:val="none"/>
                <w:lang w:val="en-US"/>
              </w:rPr>
              <w:t>熟悉设计的一般流程，包括需求分析、概念设计、方案深化、设计评估等阶段。掌握设计过程中常用的方法，如用户研究、市场调研、头脑风暴、草图绘制等。</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color w:val="auto"/>
                <w:sz w:val="24"/>
                <w:szCs w:val="24"/>
                <w:highlight w:val="none"/>
                <w:lang w:val="en-US"/>
              </w:rPr>
              <w:t>理解设计程序与方法在不同设计领域的应用特点和要求。</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b/>
                <w:bCs/>
                <w:color w:val="auto"/>
                <w:sz w:val="24"/>
                <w:szCs w:val="24"/>
                <w:highlight w:val="none"/>
                <w:lang w:val="en-US"/>
              </w:rPr>
              <w:t>能力目标：</w:t>
            </w:r>
            <w:r>
              <w:rPr>
                <w:rFonts w:hint="eastAsia" w:ascii="仿宋_GB2312" w:hAnsi="仿宋_GB2312" w:eastAsia="仿宋_GB2312" w:cs="仿宋_GB2312"/>
                <w:color w:val="auto"/>
                <w:sz w:val="24"/>
                <w:szCs w:val="24"/>
                <w:highlight w:val="none"/>
                <w:lang w:val="en-US"/>
              </w:rPr>
              <w:t>能够运用所学设计程序独立完成简单设计项目的流程规划。熟练运用各种设计方法进行创意构思、资料收集与分析，形成初步设计方案。具备根据设计项目需求和目标，灵活调整设计程序与方法的能力。</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b/>
                <w:bCs/>
                <w:color w:val="auto"/>
                <w:sz w:val="24"/>
                <w:szCs w:val="24"/>
                <w:highlight w:val="none"/>
                <w:lang w:val="en-US"/>
              </w:rPr>
              <w:t>素质目标：</w:t>
            </w:r>
            <w:r>
              <w:rPr>
                <w:rFonts w:hint="eastAsia" w:ascii="仿宋_GB2312" w:hAnsi="仿宋_GB2312" w:eastAsia="仿宋_GB2312" w:cs="仿宋_GB2312"/>
                <w:color w:val="auto"/>
                <w:sz w:val="24"/>
                <w:szCs w:val="24"/>
                <w:highlight w:val="none"/>
                <w:lang w:val="en-US"/>
              </w:rPr>
              <w:t>培养系统思维和逻辑分析能力，确保设计过程的严谨性和条理性。提升创新思维和实践能力，敢于在设计中尝试新方法、新思路。养成善于总结和反思的习惯，不断优化设计程序与方法。</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rPr>
              <w:t>课程思政育人目标：</w:t>
            </w:r>
            <w:r>
              <w:rPr>
                <w:rFonts w:hint="eastAsia" w:ascii="仿宋_GB2312" w:hAnsi="仿宋_GB2312" w:eastAsia="仿宋_GB2312" w:cs="仿宋_GB2312"/>
                <w:color w:val="auto"/>
                <w:sz w:val="24"/>
                <w:szCs w:val="24"/>
                <w:highlight w:val="none"/>
                <w:lang w:val="en-US" w:eastAsia="zh-CN"/>
              </w:rPr>
              <w:t>培养学生的敬业精神，对待设计项目认真负责，遵循科学的设计程序。鼓励学生在设计中传承和发扬创新精神，为推动设计行业发展贡献力量。通过团队协作的设计项目，培养学生的团队意识和沟通能力，促进学生之间的相互学习与合作。</w:t>
            </w:r>
          </w:p>
        </w:tc>
        <w:tc>
          <w:tcPr>
            <w:tcW w:w="181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w:t>
            </w:r>
            <w:r>
              <w:rPr>
                <w:rFonts w:hint="eastAsia" w:ascii="仿宋_GB2312" w:hAnsi="仿宋_GB2312" w:eastAsia="仿宋_GB2312" w:cs="仿宋_GB2312"/>
                <w:color w:val="auto"/>
                <w:sz w:val="24"/>
                <w:szCs w:val="24"/>
                <w:highlight w:val="none"/>
                <w:lang w:val="en-US"/>
              </w:rPr>
              <w:t xml:space="preserve">产品设计概述、产品设计程序、产 品用户调研的方法，运用大数据技术 开展市场调研的方法、产品创新设计的方法。 </w:t>
            </w:r>
          </w:p>
        </w:tc>
        <w:tc>
          <w:tcPr>
            <w:tcW w:w="179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rPr>
              <w:t>学生应掌握产品设计的程序与方法，科学、合理地开展产品设计任务</w:t>
            </w:r>
            <w:r>
              <w:rPr>
                <w:rFonts w:hint="eastAsia" w:ascii="仿宋_GB2312" w:hAnsi="仿宋_GB2312" w:eastAsia="仿宋_GB2312" w:cs="仿宋_GB2312"/>
                <w:color w:val="auto"/>
                <w:sz w:val="24"/>
                <w:szCs w:val="24"/>
                <w:highlight w:val="none"/>
                <w:lang w:val="en-US" w:eastAsia="zh-CN"/>
              </w:rPr>
              <w:t>，学会：分析产品概述。 开展市场调研并撰写报告。 开展用户调研并撰写调研报告。 分析设计痛点。</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进行设计提案。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2</w:t>
            </w:r>
          </w:p>
        </w:tc>
        <w:tc>
          <w:tcPr>
            <w:tcW w:w="82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产品功能与结构设计</w:t>
            </w:r>
          </w:p>
        </w:tc>
        <w:tc>
          <w:tcPr>
            <w:tcW w:w="555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掌握产品功能的定义、分类及功能分析方法。理解产品结构的基本概念、类型及结构设计原则。熟悉常见产品的功能与结构特点，以及两者之间的相互关系。</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能够对给定产品进行功能拆解和分析，明确各功能之间的关联。根据产品功能需求，设计合理的产品结构，确保功能实现。具备运用结构设计知识优化产品结构，提高产品性能和可靠性的能力。</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培养科学严谨的态度，注重产品功能与结构的合理性和实用性。提升解决实际问题的能力，在设计中有效应对功能与结构方面的挑战。激发创新思维，探索新颖的产品功能与结构形式。</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关注产品功能对社会发展和人们生活的影响，培养社会责任感。通过对产品结构的研究，培养学生的工匠精神，追求产品结构的精致与完美。鼓励学生在产品功能与结构设计中融入环保理念，推动可持续发展。</w:t>
            </w:r>
          </w:p>
        </w:tc>
        <w:tc>
          <w:tcPr>
            <w:tcW w:w="181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课程包含产品功能概述、产品功能设定的流 程与方法、产品结构设计的流程与方法。</w:t>
            </w:r>
          </w:p>
        </w:tc>
        <w:tc>
          <w:tcPr>
            <w:tcW w:w="179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结合产品创新设计项目作业的实 践训练，提升产品的用户体验和设计 方案的落地性，学会：开展用户调研并撰写调研报告。完善产品功能设定。设计产品结构。 展示整体设计方案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3</w:t>
            </w:r>
          </w:p>
        </w:tc>
        <w:tc>
          <w:tcPr>
            <w:tcW w:w="82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产品形态设计</w:t>
            </w:r>
          </w:p>
        </w:tc>
        <w:tc>
          <w:tcPr>
            <w:tcW w:w="555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了解产品形态的概念、构成要素及分类。掌握产品形态设计的基本原则和美学法则，如比例、尺度、对称、均衡等。</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熟悉不同材料和工艺对产品形态的影响。</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：能够运用美学原理进行产品形态的创意设计，塑造独特的产品外观形象。根据产品功能和目标用户，选择合适的产品形态风格和表现手法。具备将产品形态设计与材料、工艺相结合，实现设计方案的能力。</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提升审美素养，培养对产品形态美的敏锐感知和鉴赏能力。激发创造力和艺术表现力，通过产品形态设计展现个性与创意。培养精益求精的品质，注重产品形态细节和整体效果的完美呈现。</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从中国传统艺术和文化中汲取产品形态设计灵感，传承和弘扬民族文化。培养学生的文化自信，通过独特的产品形态设计传播中华文化魅力。鼓励学生在产品形态设计中追求高品质和卓越审美，提升产品的文化附加值。</w:t>
            </w:r>
          </w:p>
        </w:tc>
        <w:tc>
          <w:tcPr>
            <w:tcW w:w="181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课程包含产品形态认知的规律、产品形态观的演变、影响产品形态设计的相关因素及形态处理的方法等内容。</w:t>
            </w:r>
          </w:p>
        </w:tc>
        <w:tc>
          <w:tcPr>
            <w:tcW w:w="179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学生应熟练掌握产品形态设计的方法，并结合使用环境与使用对象等 方面的要求，设计出符合用户需求的 产品形态，学会：</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开展市场调研并撰写调研报告。分析产品形态。进行产品形态二维设计与表现。进行产品形态三维设计与表现。展示整体设计方案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4</w:t>
            </w:r>
          </w:p>
        </w:tc>
        <w:tc>
          <w:tcPr>
            <w:tcW w:w="82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产品品牌与包装设计</w:t>
            </w:r>
          </w:p>
        </w:tc>
        <w:tc>
          <w:tcPr>
            <w:tcW w:w="555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理解产品品牌的内涵、价值及品牌设计的要素。掌握产品包装设计的功能、原则和主要内容，如造型、结构、视觉传达等。熟悉品牌与包装设计在市场营销中的作用和策略。</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能够为产品进行品牌定位和品牌形象设计，包括品牌名称、标志、品牌故事等。根据产品特点和品牌理念，设计出具有吸引力和功能性的产品包装方案。具备运用品牌与包装设计提升产品市场竞争力的能力。</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品牌意识和市场意识，认识到品牌与包装设计对产品销售的重要性。提升创意策划和视觉表达能力，通过品牌与包装设计传达产品核心价值。增强团队协作和沟通能力，与市场营销等相关团队紧密合作完成设计项目。</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引导学生树立正确的品牌价值观，注重品牌诚信和社会责任。通过产品包装设计，培养学生的环保意识，推广绿色包装理念。鼓励学生在品牌与包装设计中融入中国文化元素，提升产品的文化底蕴和国际影响力。</w:t>
            </w:r>
          </w:p>
        </w:tc>
        <w:tc>
          <w:tcPr>
            <w:tcW w:w="181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课程包含了解品牌概念、分析品牌效益、材料分析、包装工艺学习、案例学习。</w:t>
            </w:r>
          </w:p>
        </w:tc>
        <w:tc>
          <w:tcPr>
            <w:tcW w:w="179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通过教师利用多媒体教学，理论与实践相结合，使学生完成软件与手工练习，掌握包装设计的含义和包装所使用的材料，在设计的实践中学会利用正确的包装结构和材料，完成最终的包装设计效果，学会：学会分析产品品牌，材料分析，包装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5</w:t>
            </w:r>
          </w:p>
        </w:tc>
        <w:tc>
          <w:tcPr>
            <w:tcW w:w="82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产品界面设计</w:t>
            </w:r>
          </w:p>
        </w:tc>
        <w:tc>
          <w:tcPr>
            <w:tcW w:w="555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掌握产品界面设计的基本概念、原则和规范。</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了解用户界面的构成要素，如界面布局、图标设计、色彩搭配、交互元素等。熟悉不同类型产品界面（如移动端、桌面端）的设计特点和趋势。</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能够运用界面设计知识，设计出符合用户需求和审美标准的产品界面原型。熟练使用设计工具进行界面视觉设计和交互效果模拟。具备对产品界面进行用户体验测试和优化的能力。</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培养以用户为中心的设计思维，关注用户体验和操作便捷性。提升创新思维和审美能力，打造独特而吸引人的产品界面风格。养成严谨细致的工作态度，确保产品界面的准确性和稳定性。</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在产品界面设计中注重信息安全和隐私保护，培养社会责任感。通过界面设计体现中国文化特色，增强文化自信和民族自豪感。鼓励学生在界面设计中追求简洁高效，提升用户体验，促进产品的可持续发展。</w:t>
            </w:r>
          </w:p>
        </w:tc>
        <w:tc>
          <w:tcPr>
            <w:tcW w:w="181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课程包含产品界面设计概述、产品界面设计 流程、用户研究、竞品分析、创意关 键词及情绪板设计、产品界面高保真 原型制作和设计表现等内容。</w:t>
            </w:r>
          </w:p>
        </w:tc>
        <w:tc>
          <w:tcPr>
            <w:tcW w:w="179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学生应充分掌握产品界面设计的 程序和方法，科学有效地进行项目设 计，学会：对产品交互界面的使用流程和 信息架构进行设计。完成产品交互界面的视觉设计。设计产品端和移动设备端的交互动效。制作产品端和移动设备端界面数字原型。完成产品界面设计稿前端制作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6</w:t>
            </w:r>
          </w:p>
        </w:tc>
        <w:tc>
          <w:tcPr>
            <w:tcW w:w="82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产品模型制作</w:t>
            </w:r>
          </w:p>
        </w:tc>
        <w:tc>
          <w:tcPr>
            <w:tcW w:w="555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了解产品模型制作的材料种类、性能特点及适用范围。</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掌握产品模型制作的基本工具和工艺方法，如手工制作、3D 打印、数控加工等。熟悉不同阶段产品模型（如概念模型、功能模型、展示模型）的制作要求和作用。</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z w:val="24"/>
                <w:szCs w:val="24"/>
                <w:highlight w:val="none"/>
                <w:lang w:val="en-US" w:eastAsia="zh-CN"/>
              </w:rPr>
              <w:t>能够根据设计方案选择合适的材料和制作工艺，制作出产品模型。具备运用模型制作工具进行模型细节处理和表面修饰的能力。通过产品模型制作验证设计方案，提出改进意见，优化设计。</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培养动手实践能力和创新精神，在模型制作中探索新的工艺和表现形式。提升耐心和专注度，注重模型制作的精度和质量。增强团队协作能力，与设计团队成员共同完成模型制作任务。</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引导学生在模型制作中传承工匠精神，追求卓越品质。通过模型制作培养学生的环保意识，合理利用材料，减少浪费。鼓励学生在模型制作中发挥创意，为产品设计创新提供实践支持，增强创新自信。</w:t>
            </w:r>
          </w:p>
        </w:tc>
        <w:tc>
          <w:tcPr>
            <w:tcW w:w="181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课程包含产品模型制作概述、模型制作方法 与流程。</w:t>
            </w:r>
          </w:p>
        </w:tc>
        <w:tc>
          <w:tcPr>
            <w:tcW w:w="179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学生充分掌握产品草模、外观模 型、手板样机的制作流程与方法，以及3D 打印的方法与技能，学会：制作手工模型。制作3D 打印模型。进行模型表面处理。组装产品模型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7</w:t>
            </w:r>
          </w:p>
        </w:tc>
        <w:tc>
          <w:tcPr>
            <w:tcW w:w="82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产品项目设计</w:t>
            </w:r>
          </w:p>
        </w:tc>
        <w:tc>
          <w:tcPr>
            <w:tcW w:w="555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熟悉产品项目设计的完整流程，包括项目策划、设计执行、项目管理等环节。掌握产品项目设计中各环节的关键要点和方法，如项目目标设定、进度控制、质量保障等。了解产品项目设计与企业运营、市场需求之间的关系。</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r>
              <w:rPr>
                <w:rFonts w:hint="eastAsia" w:ascii="仿宋_GB2312" w:hAnsi="仿宋_GB2312" w:eastAsia="仿宋_GB2312" w:cs="仿宋_GB2312"/>
                <w:color w:val="auto"/>
                <w:spacing w:val="-6"/>
                <w:sz w:val="24"/>
                <w:szCs w:val="24"/>
                <w:highlight w:val="none"/>
                <w:lang w:val="en-US" w:eastAsia="zh-CN"/>
              </w:rPr>
              <w:t>能够独立承担小型产品项目的设计工作，制定项目计划并组织实施。</w:t>
            </w:r>
            <w:r>
              <w:rPr>
                <w:rFonts w:hint="eastAsia" w:ascii="仿宋_GB2312" w:hAnsi="仿宋_GB2312" w:eastAsia="仿宋_GB2312" w:cs="仿宋_GB2312"/>
                <w:color w:val="auto"/>
                <w:sz w:val="24"/>
                <w:szCs w:val="24"/>
                <w:highlight w:val="none"/>
                <w:lang w:val="en-US" w:eastAsia="zh-CN"/>
              </w:rPr>
              <w:t>具备协调项目团队成员，有效沟通和解决项目中出现的各种问题的能力。对产品项目进行成本核算、风险评估和效益分析，确保项目的可行性和成功实施。</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培养项目管理能力和领导才能，确保产品项目按计划推进。提升团队协作和沟通能力，营造良好的项目工作氛围。增强责任心和抗压能力，在项目设计中应对各种挑战和变化。</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pacing w:val="-6"/>
                <w:sz w:val="24"/>
                <w:szCs w:val="24"/>
                <w:highlight w:val="none"/>
                <w:lang w:val="en-US" w:eastAsia="zh-CN"/>
              </w:rPr>
              <w:t>引导学生树立正确的项目价值观，注重项目的社会效益和经济效益</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pacing w:val="-6"/>
                <w:sz w:val="24"/>
                <w:szCs w:val="24"/>
                <w:highlight w:val="none"/>
                <w:lang w:val="en-US" w:eastAsia="zh-CN"/>
              </w:rPr>
              <w:t>通过项目实践培养学生的敬业精神和职业道德，对工作认真负责。</w:t>
            </w:r>
            <w:r>
              <w:rPr>
                <w:rFonts w:hint="eastAsia" w:ascii="仿宋_GB2312" w:hAnsi="仿宋_GB2312" w:eastAsia="仿宋_GB2312" w:cs="仿宋_GB2312"/>
                <w:color w:val="auto"/>
                <w:sz w:val="24"/>
                <w:szCs w:val="24"/>
                <w:highlight w:val="none"/>
                <w:lang w:val="en-US" w:eastAsia="zh-CN"/>
              </w:rPr>
              <w:t>鼓励学生在产品项目设计中勇于创新，为企业发展和行业进步贡献力量。</w:t>
            </w:r>
          </w:p>
        </w:tc>
        <w:tc>
          <w:tcPr>
            <w:tcW w:w="181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课程包含将真实项目引进课堂，组建产教融 合的教学创新团队，参照商业规范实 施项目制教学。</w:t>
            </w:r>
          </w:p>
        </w:tc>
        <w:tc>
          <w:tcPr>
            <w:tcW w:w="179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学生应掌握产品设计商业项目的实施规范，具备完成真实项目的职业技能，学会：</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导入项目设计任务， 分析设计定位与市场定位，进行方案设计，制作与表现设计方案，设计 CMF 方案，制作产品模型。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8</w:t>
            </w:r>
          </w:p>
        </w:tc>
        <w:tc>
          <w:tcPr>
            <w:tcW w:w="82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产品整合创新 设计</w:t>
            </w:r>
          </w:p>
        </w:tc>
        <w:tc>
          <w:tcPr>
            <w:tcW w:w="555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知识目标：</w:t>
            </w:r>
            <w:r>
              <w:rPr>
                <w:rFonts w:hint="eastAsia" w:ascii="仿宋_GB2312" w:hAnsi="仿宋_GB2312" w:eastAsia="仿宋_GB2312" w:cs="仿宋_GB2312"/>
                <w:color w:val="auto"/>
                <w:sz w:val="24"/>
                <w:szCs w:val="24"/>
                <w:highlight w:val="none"/>
                <w:lang w:val="en-US" w:eastAsia="zh-CN"/>
              </w:rPr>
              <w:t>理解产品整合创新设计的概念、内涵和意义。掌握产品整合创新设计的方法和策略，如跨学科融合、技术与艺术融合等。熟悉产品整合创新设计在不同领域的应用案例和发展趋势。</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能力目标：</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能够运用整合创新设计方法，对现有产品进行优化升级或开发全新产品。具备整合多种资源（如技术、材料、文化等）实现产品创新的能力。对产品整合创新设计方案进行评估和验证，确保设计的可行性和创新性。</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素质目标：</w:t>
            </w:r>
            <w:r>
              <w:rPr>
                <w:rFonts w:hint="eastAsia" w:ascii="仿宋_GB2312" w:hAnsi="仿宋_GB2312" w:eastAsia="仿宋_GB2312" w:cs="仿宋_GB2312"/>
                <w:color w:val="auto"/>
                <w:sz w:val="24"/>
                <w:szCs w:val="24"/>
                <w:highlight w:val="none"/>
                <w:lang w:val="en-US" w:eastAsia="zh-CN"/>
              </w:rPr>
              <w:t>培养创新思维和系统思维能力，打破传统设计局限，实现产品全方位创新。提升综合素质和跨学科知识运用能力，适应多元化设计需求。激发勇于探索和敢于突破的精神，在产品设计领域追求卓越创新。</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课程思政育人目标：</w:t>
            </w:r>
            <w:r>
              <w:rPr>
                <w:rFonts w:hint="eastAsia" w:ascii="仿宋_GB2312" w:hAnsi="仿宋_GB2312" w:eastAsia="仿宋_GB2312" w:cs="仿宋_GB2312"/>
                <w:color w:val="auto"/>
                <w:sz w:val="24"/>
                <w:szCs w:val="24"/>
                <w:highlight w:val="none"/>
                <w:lang w:val="en-US" w:eastAsia="zh-CN"/>
              </w:rPr>
              <w:t xml:space="preserve">引导学生关注国家创新驱动发展战略，为提升国家产品创新能力贡献智慧。培养学生的创新自信和民族自豪感，通过产品整合创新展现中国设计实力。鼓励学生在产品整合创新中注重可持续发展和人文关怀，推动社会进步。 </w:t>
            </w:r>
          </w:p>
        </w:tc>
        <w:tc>
          <w:tcPr>
            <w:tcW w:w="1810"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课程包含产品品牌形象、商业策略、服务系 统、人工智能、大数据应用等学科的 交叉融合。</w:t>
            </w:r>
          </w:p>
        </w:tc>
        <w:tc>
          <w:tcPr>
            <w:tcW w:w="1792"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 xml:space="preserve">学生应初步具备跨学科、跨专业的系统创新和协同创新的设计能力，学会：对新的应用方式和服务方式进 行市场调研。 </w:t>
            </w:r>
          </w:p>
          <w:p>
            <w:pPr>
              <w:keepNext w:val="0"/>
              <w:keepLines w:val="0"/>
              <w:pageBreakBefore w:val="0"/>
              <w:widowControl w:val="0"/>
              <w:kinsoku/>
              <w:wordWrap/>
              <w:overflowPunct/>
              <w:topLinePunct w:val="0"/>
              <w:autoSpaceDE/>
              <w:autoSpaceDN/>
              <w:bidi w:val="0"/>
              <w:adjustRightInd/>
              <w:snapToGrid/>
              <w:spacing w:after="0" w:line="300" w:lineRule="exact"/>
              <w:ind w:left="0" w:lef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开展产品概念设计。 协同技术团队进行产品开发。完善产品商业策略设计。 开展产品品牌推广设计</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专业拓展课程</w:t>
      </w:r>
      <w:bookmarkEnd w:id="12"/>
    </w:p>
    <w:p>
      <w:pPr>
        <w:keepNext w:val="0"/>
        <w:keepLines w:val="0"/>
        <w:pageBreakBefore w:val="0"/>
        <w:widowControl w:val="0"/>
        <w:numPr>
          <w:ilvl w:val="0"/>
          <w:numId w:val="0"/>
        </w:numPr>
        <w:kinsoku/>
        <w:wordWrap/>
        <w:overflowPunct/>
        <w:topLinePunct w:val="0"/>
        <w:autoSpaceDE/>
        <w:autoSpaceDN/>
        <w:bidi w:val="0"/>
        <w:adjustRightInd w:val="0"/>
        <w:snapToGrid w:val="0"/>
        <w:spacing w:after="0" w:line="50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专业拓展课程是按照岗位迁移，根据产品设计行业发展的趋势，依据企业用人需求调研，企业对产品创新和产品设计师等方面日益增加的需求，建立了产品艺术设计专业拓展课，并将辅修方向课程纳入其中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由版面设计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非遗再设计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产品动态表现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交互设计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用户体验设计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产品策划与推广</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知识产权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3D 打印技术</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数字创意思维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大数据与人工智能导论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大数据商业策略课程构成专业拓展课。</w:t>
      </w:r>
    </w:p>
    <w:p>
      <w:pPr>
        <w:keepNext w:val="0"/>
        <w:pageBreakBefore w:val="0"/>
        <w:widowControl w:val="0"/>
        <w:kinsoku/>
        <w:wordWrap/>
        <w:overflowPunct w:val="0"/>
        <w:topLinePunct w:val="0"/>
        <w:autoSpaceDE/>
        <w:autoSpaceDN/>
        <w:bidi w:val="0"/>
        <w:adjustRightInd w:val="0"/>
        <w:snapToGrid/>
        <w:spacing w:after="0" w:line="520" w:lineRule="exact"/>
        <w:ind w:left="0" w:leftChars="0"/>
        <w:jc w:val="center"/>
        <w:textAlignment w:val="auto"/>
        <w:rPr>
          <w:rFonts w:hint="eastAsia" w:ascii="仿宋_GB2312" w:hAnsi="仿宋_GB2312" w:eastAsia="仿宋_GB2312" w:cs="仿宋_GB2312"/>
          <w:color w:val="auto"/>
          <w:sz w:val="32"/>
          <w:szCs w:val="32"/>
          <w:highlight w:val="green"/>
        </w:rPr>
      </w:pPr>
      <w:r>
        <w:rPr>
          <w:rFonts w:hint="eastAsia" w:ascii="仿宋_GB2312" w:hAnsi="仿宋_GB2312" w:eastAsia="仿宋_GB2312" w:cs="仿宋_GB2312"/>
          <w:color w:val="auto"/>
          <w:sz w:val="32"/>
          <w:szCs w:val="32"/>
        </w:rPr>
        <w:t>表5专业拓展</w:t>
      </w:r>
      <w:r>
        <w:rPr>
          <w:rFonts w:hint="eastAsia" w:ascii="仿宋_GB2312" w:hAnsi="仿宋_GB2312" w:eastAsia="仿宋_GB2312" w:cs="仿宋_GB2312"/>
          <w:color w:val="000000"/>
          <w:sz w:val="32"/>
          <w:szCs w:val="32"/>
        </w:rPr>
        <w:t>课课程目标、主要教学内容与要求</w:t>
      </w:r>
    </w:p>
    <w:tbl>
      <w:tblPr>
        <w:tblStyle w:val="7"/>
        <w:tblpPr w:leftFromText="180" w:rightFromText="180" w:vertAnchor="text" w:tblpXSpec="center" w:tblpY="1"/>
        <w:tblOverlap w:val="never"/>
        <w:tblW w:w="10624" w:type="dxa"/>
        <w:tblInd w:w="-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736"/>
        <w:gridCol w:w="4541"/>
        <w:gridCol w:w="2345"/>
        <w:gridCol w:w="2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736"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 名称</w:t>
            </w:r>
          </w:p>
        </w:tc>
        <w:tc>
          <w:tcPr>
            <w:tcW w:w="4541"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课程目标</w:t>
            </w:r>
          </w:p>
        </w:tc>
        <w:tc>
          <w:tcPr>
            <w:tcW w:w="2345"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主要教学内容</w:t>
            </w:r>
          </w:p>
        </w:tc>
        <w:tc>
          <w:tcPr>
            <w:tcW w:w="2286"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rPr>
              <w:t>1</w:t>
            </w:r>
          </w:p>
        </w:tc>
        <w:tc>
          <w:tcPr>
            <w:tcW w:w="73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版面设计</w:t>
            </w:r>
          </w:p>
        </w:tc>
        <w:tc>
          <w:tcPr>
            <w:tcW w:w="4541"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color w:val="auto"/>
                <w:sz w:val="24"/>
                <w:highlight w:val="none"/>
                <w:lang w:val="en-US" w:eastAsia="zh-CN"/>
              </w:rPr>
              <w:t>掌握版面设计的基本概念、构成要素和设计原则。熟悉不同类型版面（如书籍、海报、网页等）的设计特点与规范。了解版面设计中文字排版、图形图像运用、色彩搭配的技巧与方法。</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color w:val="auto"/>
                <w:sz w:val="24"/>
                <w:highlight w:val="none"/>
                <w:lang w:val="en-US" w:eastAsia="zh-CN"/>
              </w:rPr>
              <w:t>能够根据设计主题和需求，运用所学知识进行版面的创意设计。熟练使用设计软件进行版面的制作与调整，实现良好的视觉效果。具备对版面设计作品进行分析和优化的能力，提高设计质量。</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color w:val="auto"/>
                <w:sz w:val="24"/>
                <w:highlight w:val="none"/>
                <w:lang w:val="en-US" w:eastAsia="zh-CN"/>
              </w:rPr>
              <w:t>培养创新思维和审美能力，追求独特的版面设计风格。提升细心和耐心，注重版面设计的细节和整体协调性。增强沟通与表达能力，清晰传达版面设计的意图和信息。</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color w:val="auto"/>
                <w:sz w:val="24"/>
                <w:highlight w:val="none"/>
                <w:lang w:val="en-US" w:eastAsia="zh-CN"/>
              </w:rPr>
              <w:t>引导学生在版面设计中融入中国传统文化元素，传承和弘扬民族文化。培养学生的工匠精神，对待版面设计精益求精，追求卓越品质。通过版面设计培养学生的信息传播意识，确保信息准确、有效地传达。</w:t>
            </w:r>
          </w:p>
        </w:tc>
        <w:tc>
          <w:tcPr>
            <w:tcW w:w="234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课程包含视觉设计要素和构成要素、编排设计构成规律和方法、编排设计表现方面内容和形式关系、各种应用性设计形式特点</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p>
        </w:tc>
        <w:tc>
          <w:tcPr>
            <w:tcW w:w="228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掌握视觉要素包括形体及其各种变化和组合、色彩与色调、肌理等构成要素之间组合关系及变化规律。掌握以感性判断为主的设计方法和以理性分析为主的设计方法。掌握形式与内容的内在联系，以及如何通过特定的形式将特定的内容表现出来。理解并掌握包装宣传成本、POP售点广告等的设计形式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rPr>
              <w:t>2</w:t>
            </w:r>
          </w:p>
        </w:tc>
        <w:tc>
          <w:tcPr>
            <w:tcW w:w="73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非遗再设计</w:t>
            </w:r>
          </w:p>
        </w:tc>
        <w:tc>
          <w:tcPr>
            <w:tcW w:w="4541"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color w:val="auto"/>
                <w:sz w:val="24"/>
                <w:highlight w:val="none"/>
                <w:lang w:val="en-US" w:eastAsia="zh-CN"/>
              </w:rPr>
              <w:t>深入了解非物质文化遗产的种类、特点、价值及传承现状。掌握非遗再设计的概念、原则和方法，以及与传统文化传承的关系。熟悉相关设计理论和技巧在非遗再设计中的应用。</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color w:val="auto"/>
                <w:sz w:val="24"/>
                <w:highlight w:val="none"/>
                <w:lang w:val="en-US" w:eastAsia="zh-CN"/>
              </w:rPr>
              <w:t>能够从非遗元素中提取灵感，运用现代设计手法进行创新设计。具备将非遗文化与现代生活需求相结合，开发具有市场价值的产品或服务的能力。对非遗再设计作品进行评估和完善，确保其既保留非遗特色又符合现代审美与功能要求。</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color w:val="auto"/>
                <w:sz w:val="24"/>
                <w:highlight w:val="none"/>
                <w:lang w:val="en-US" w:eastAsia="zh-CN"/>
              </w:rPr>
              <w:t>培养对非物质文化遗产的尊重和保护意识，增强文化责任感。激发创新精神，在非遗再设计中探索传统文化的当代转化路径。提升文化素养和跨文化交流能力，促进非遗文化的传播与发展。</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color w:val="auto"/>
                <w:sz w:val="24"/>
                <w:highlight w:val="none"/>
                <w:lang w:val="en-US" w:eastAsia="zh-CN"/>
              </w:rPr>
              <w:t>引导学生传承和弘扬中华优秀传统文化，增强民族自豪感。通过非遗再设计培养学生的文化创新意识，推动传统文化创造性转化、创新性发展。鼓励学生在非遗再设计中关注社会需求，为文化产业发展和乡村振兴贡献力量。</w:t>
            </w:r>
          </w:p>
        </w:tc>
        <w:tc>
          <w:tcPr>
            <w:tcW w:w="234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课程包含非物质文化遗产的基本概念和特点、非物质文化遗产的类别和分布非物质文化遗产的保护与传承。非物质文化遗产案例分析。</w:t>
            </w:r>
          </w:p>
        </w:tc>
        <w:tc>
          <w:tcPr>
            <w:tcW w:w="228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学生能够准确地掌握非物质文化遗产的定义、特点、价值及其保护方法；了解我国非物质文化遗产的主要类别和分布特点；认识我国非物质文化遗产保护与传承的重要意义。学生能够运用所学知识对具体的非物质文化遗产项目进行分析、评价和传承；具备一定的非物质文化遗产、研究和表达能力。培养学生对非物质文化遗产的热爱、尊重和保护意识，提高学生传承和弘扬中华优秀传统文化的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rPr>
              <w:t>3</w:t>
            </w:r>
          </w:p>
        </w:tc>
        <w:tc>
          <w:tcPr>
            <w:tcW w:w="73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产品动态表现</w:t>
            </w:r>
          </w:p>
        </w:tc>
        <w:tc>
          <w:tcPr>
            <w:tcW w:w="4541"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color w:val="auto"/>
                <w:sz w:val="24"/>
                <w:highlight w:val="none"/>
                <w:lang w:val="en-US" w:eastAsia="zh-CN"/>
              </w:rPr>
              <w:t>理解产品动态表现的概念、目的和重要性。掌握产品动态表现的常见形式（如动画、视频演示等）及制作流程。熟悉相关软件（如动画制作软件、视频编辑软件）的基本功能和操作技巧。</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color w:val="auto"/>
                <w:sz w:val="24"/>
                <w:highlight w:val="none"/>
                <w:lang w:val="en-US" w:eastAsia="zh-CN"/>
              </w:rPr>
              <w:t>能够运用合适工具和方法为产品制作动态展示内容，突出产品特点和优势。具备根据产品定位和目标受众，设计富有吸引力的动态表现方案的能力。对产品动态表现作品进行效果评估和优化，提升视觉传达效果。</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color w:val="auto"/>
                <w:sz w:val="24"/>
                <w:highlight w:val="none"/>
                <w:lang w:val="en-US" w:eastAsia="zh-CN"/>
              </w:rPr>
              <w:t>培养创新思维和艺术表现力，通过动态表现展现产品独特魅力。提升团队协作和沟通能力，与不同专业人员合作完成产品动态展示项目。</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增强对新技术的学习能力和适应能力，不断提升产品动态表现水平。</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color w:val="auto"/>
                <w:sz w:val="24"/>
                <w:highlight w:val="none"/>
                <w:lang w:val="en-US" w:eastAsia="zh-CN"/>
              </w:rPr>
              <w:t>引导学生在产品动态表现中融入中国文化元素，传播中华文化。通过产品动态展示培养学生的工匠精神，追求高品质的视觉呈现效果。鼓励学生在产品动态表现中注重用户体验，以创新展示促进产品推广和文化传播。</w:t>
            </w:r>
          </w:p>
        </w:tc>
        <w:tc>
          <w:tcPr>
            <w:tcW w:w="234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课程包含介绍C4D软件的基本概念、安装方法、界面布局以及基础操作，如视图操作、对象管理等。以及多边形建模、曲面建模等多种建模方法，包括基础几何体的创建、编辑和修改技巧。材质编辑器的使用，包括颜色、反射、透明度、光泽度等材质属性的调节。不同类型的灯光及其属性设置，如点光源、聚光灯、区域光等。</w:t>
            </w:r>
          </w:p>
        </w:tc>
        <w:tc>
          <w:tcPr>
            <w:tcW w:w="228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学生需了解C4D的基本概念、软件安装及其在各领域（如影视特效、动画制作的应用。</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熟练掌握C4D软件的基本操作和功能，包括建模、材质与纹理、灯光与渲染、动画与动力学等模块。</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培养学生的创意表达能力，通过C4D软件实现自己的设计理念。</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学习如何通过C4D创作出具有视觉冲击力和表现力的动态设计作品。</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rPr>
              <w:t>4</w:t>
            </w:r>
          </w:p>
        </w:tc>
        <w:tc>
          <w:tcPr>
            <w:tcW w:w="73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交互设计</w:t>
            </w:r>
          </w:p>
        </w:tc>
        <w:tc>
          <w:tcPr>
            <w:tcW w:w="4541"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color w:val="auto"/>
                <w:sz w:val="24"/>
                <w:highlight w:val="none"/>
                <w:lang w:val="en-US" w:eastAsia="zh-CN"/>
              </w:rPr>
              <w:t>掌握交互设计的基本概念、原则和流程。</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理解用户与产品之间交互的原理和机制，以及影响交互体验的因素。熟悉常见的交互设计方法和技术，如界面布局、交互元素设计、信息架构设计等。</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color w:val="auto"/>
                <w:sz w:val="24"/>
                <w:highlight w:val="none"/>
                <w:lang w:val="en-US" w:eastAsia="zh-CN"/>
              </w:rPr>
              <w:t>能够运用交互设计知识进行用户界面和交互流程的设计，提高用户体验。通过用户调研和数据分析，优化交互设计方案，满足用户需求和业务目标。具备对交互设计原型进行测试和评估的能力，及时发现并解决问题。</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color w:val="auto"/>
                <w:sz w:val="24"/>
                <w:highlight w:val="none"/>
                <w:lang w:val="en-US" w:eastAsia="zh-CN"/>
              </w:rPr>
              <w:t>培养以用户为中心的设计思维，关注用户需求和行为习惯。提升创新能力和问题解决能力，不断探索新的交互设计方式。增强团队协作和沟通能力，与开发团队、用户体验团队等密切合作。</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color w:val="auto"/>
                <w:sz w:val="24"/>
                <w:highlight w:val="none"/>
                <w:lang w:val="en-US" w:eastAsia="zh-CN"/>
              </w:rPr>
              <w:t>引导学生在交互设计中注重信息无障碍设计，体现人文关怀和社会责任感。通过交互设计培养学生的创新精神，为推动数字产品创新发展贡献力量。鼓励学生在交互设计中融入中国文化特色，提升产品的文化内涵和国际竞争力。</w:t>
            </w:r>
          </w:p>
        </w:tc>
        <w:tc>
          <w:tcPr>
            <w:tcW w:w="234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课程包含基础概念、 用户体验设计、界面设计原则、交互设计方法与技术、设计流程与项目管理、案例分析与实践。</w:t>
            </w:r>
          </w:p>
        </w:tc>
        <w:tc>
          <w:tcPr>
            <w:tcW w:w="228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学生应了解产品交互设计的重要性，了解产品交互设计的发展历程；</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掌握产品交互设计的相关原理知识、设计流程以及不同阶段所采用的方法及注意问题；运用所学理论和交流的经验，利用产品交互设计的相关原理与方法进行产品交互创新设计并制作完整的产品交互设计报告书。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5</w:t>
            </w:r>
          </w:p>
        </w:tc>
        <w:tc>
          <w:tcPr>
            <w:tcW w:w="73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用户体验设计</w:t>
            </w:r>
          </w:p>
        </w:tc>
        <w:tc>
          <w:tcPr>
            <w:tcW w:w="4541"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color w:val="auto"/>
                <w:sz w:val="24"/>
                <w:highlight w:val="none"/>
                <w:lang w:val="en-US" w:eastAsia="zh-CN"/>
              </w:rPr>
              <w:t>深入理解用户体验设计的概念、内涵和重要性。掌握用户体验设计的流程和方法，包括用户研究、需求分析、原型设计、测试评估等。熟悉影响用户体验的各种因素，如易用性、情感化设计、品牌体验等。</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color w:val="auto"/>
                <w:sz w:val="24"/>
                <w:highlight w:val="none"/>
                <w:lang w:val="en-US" w:eastAsia="zh-CN"/>
              </w:rPr>
              <w:t>能够独立开展用户体验设计项目，从用户角度出发优化产品设计。运用多种研究方法收集用户数据，分析用户行为和需求，为设计决策提供依据。具备对用户体验设计方案进行全面评估和持续改进的能力，提升产品的用户满意度。</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color w:val="auto"/>
                <w:sz w:val="24"/>
                <w:highlight w:val="none"/>
                <w:lang w:val="en-US" w:eastAsia="zh-CN"/>
              </w:rPr>
              <w:t>培养敏锐的用户洞察力和同理心，真正理解用户需求和痛点。提升创新思维和设计能力，打造具有独特用户体验的产品。增强团队协作和沟通能力，与多部门协同推进用户体验设计工作。</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color w:val="auto"/>
                <w:sz w:val="24"/>
                <w:highlight w:val="none"/>
                <w:lang w:val="en-US" w:eastAsia="zh-CN"/>
              </w:rPr>
              <w:t>引导学生在用户体验设计中关注不同用户群体的需求，体现社会公平与包容。</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通过用户体验设计培养学生的工匠精神，追求极致的用户体验。鼓励学生在用户体验设计中注重可持续发展，推动产品与环境、社会的和谐共生。</w:t>
            </w:r>
          </w:p>
        </w:tc>
        <w:tc>
          <w:tcPr>
            <w:tcW w:w="234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课程包含用户体验设计的概念、设计法则、设计理念、用户体验的设计方法、设计流程和用户体验的测试工具等设计思维和技能的培训。</w:t>
            </w:r>
          </w:p>
        </w:tc>
        <w:tc>
          <w:tcPr>
            <w:tcW w:w="228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掌握用户体验设计的概念、用户体验设计的法则、设计理念、设计方法、设计流程和工具等，能够学习和掌握在产品设计过程中如何提高用户的体验度，从而提高产品的可用性；</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掌握用户体验度量的概念、了解用户体验度量的新技术，能够进行用户体验研究规划：研究目标、用户目标、选择正确的度量、评估方法等；</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能够独立进行用户体验设计，并对设计产品进行用户测试和迭代设计。掌握用户体验的绩效度量方法、基于问题的度量方法、自我报告度量方法、行为和生理度量方法，以及合并与比较度量方法。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6</w:t>
            </w:r>
          </w:p>
        </w:tc>
        <w:tc>
          <w:tcPr>
            <w:tcW w:w="73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产品策划与推广</w:t>
            </w:r>
          </w:p>
        </w:tc>
        <w:tc>
          <w:tcPr>
            <w:tcW w:w="4541"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color w:val="auto"/>
                <w:sz w:val="24"/>
                <w:highlight w:val="none"/>
                <w:lang w:val="en-US" w:eastAsia="zh-CN"/>
              </w:rPr>
              <w:t>掌握产品策划的基本流程、方法和要素，包括市场调研、产品定位、目标设定等。理解产品推广的策略、渠道和方法，以及不同阶段的推广重点。熟悉产品生命周期管理与策划推广的关系，以及相关的市场营销理论。</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color w:val="auto"/>
                <w:sz w:val="24"/>
                <w:highlight w:val="none"/>
                <w:lang w:val="en-US" w:eastAsia="zh-CN"/>
              </w:rPr>
              <w:t>能够独立完成产品策划方案，明确产品的市场定位、目标用户和核心竞争力。制定有效的产品推广计划，选择合适的推广渠道和方式，提高产品知名度和市场占有率。对产品策划与推广效果进行评估和分析，根据市场反馈及时调整策略。</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color w:val="auto"/>
                <w:sz w:val="24"/>
                <w:highlight w:val="none"/>
                <w:lang w:val="en-US" w:eastAsia="zh-CN"/>
              </w:rPr>
              <w:t>培养市场敏锐度和商业洞察力，准确把握市场动态和产品机会。提升沟通协调能力和团队合作精神，与不同部门协同推进产品策划与推广工作。增强创新意识和执行力，敢于尝试新的策划与推广思路，确保计划有效实施。</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color w:val="auto"/>
                <w:sz w:val="24"/>
                <w:highlight w:val="none"/>
                <w:lang w:val="en-US" w:eastAsia="zh-CN"/>
              </w:rPr>
              <w:t>引导学生在产品策划与推广中树立正确的商业价值观，注重诚信经营和社会责任。通过产品策划培养学生的创新精神和创业意识，鼓励学生勇于开拓市场。鼓励学生在产品推广中传播优秀企业文化和产品价值，为推动行业发展贡献力量。</w:t>
            </w:r>
          </w:p>
        </w:tc>
        <w:tc>
          <w:tcPr>
            <w:tcW w:w="234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课程包含品牌的定义与内涵、品牌的构成要素、品牌的基本特征和本质属性、品牌的分类方法、品牌定位、品牌的成长环境、品牌的成长规律。</w:t>
            </w:r>
          </w:p>
        </w:tc>
        <w:tc>
          <w:tcPr>
            <w:tcW w:w="228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强调讲解基本理论知识的系统性。在授课过程中，应全面阐述品牌经济时代企业品牌管理的相关知识，并按照企业品牌策划与推广的业务流程系统地分析各章节内容，保证章节之间逻辑连贯、前后协调、循序渐进，务求课程体系严谨、系统规范。强调讲解基本理论知识的先进性。为了适应和满足该课程的教学目标需要，基本理论和基本方法的教学内容必须反映本学科的最新发展动态，教学内容要具有一定前瞻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7</w:t>
            </w:r>
          </w:p>
        </w:tc>
        <w:tc>
          <w:tcPr>
            <w:tcW w:w="73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知识产权</w:t>
            </w:r>
          </w:p>
        </w:tc>
        <w:tc>
          <w:tcPr>
            <w:tcW w:w="4541"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color w:val="auto"/>
                <w:sz w:val="24"/>
                <w:highlight w:val="none"/>
                <w:lang w:val="en-US" w:eastAsia="zh-CN"/>
              </w:rPr>
              <w:t>全面了解知识产权的概念、范围和分类，包括专利、商标、著作权等。掌握知识产权保护的法律法规和政策措施，以及侵权责任与防范。熟悉知识产权申请、审批和管理的流程与要求。</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color w:val="auto"/>
                <w:sz w:val="24"/>
                <w:highlight w:val="none"/>
                <w:lang w:val="en-US" w:eastAsia="zh-CN"/>
              </w:rPr>
              <w:t>能够识别和判断常见的知识产权问题，依法保护自身的知识产权权益。具备运用知识产权知识进行产品创新设计和商业活动的风险评估能力。协助企业或个人完成知识产权申请和管理工作，确保创新成果得到有效保护。</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color w:val="auto"/>
                <w:sz w:val="24"/>
                <w:highlight w:val="none"/>
                <w:lang w:val="en-US" w:eastAsia="zh-CN"/>
              </w:rPr>
              <w:t>培养尊重知识产权的意识和道德观念，树立合法合规的创新和经营理念。提升法律意识和风险防范能力，在创新和商业活动中避免知识产权纠纷。增强诚信意识和责任意识，维护知识产权市场秩序。</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color w:val="auto"/>
                <w:sz w:val="24"/>
                <w:highlight w:val="none"/>
                <w:lang w:val="en-US" w:eastAsia="zh-CN"/>
              </w:rPr>
              <w:t>引导学生树立正确的知识产权价值观，尊重他人创新成果，杜绝侵权行为。</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通过知识产权教学培养学生的法治观念，遵守法律法规，依法保护知识产权。鼓励学生积极创新，同时注重知识产权保护，为营造良好的创新环境贡献力量。</w:t>
            </w:r>
          </w:p>
        </w:tc>
        <w:tc>
          <w:tcPr>
            <w:tcW w:w="234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课程包含课程的性质、任务及其研究对象，知识产权法的基本概念、知识产权法的基本理论、知识产权法的基本操作方法；</w:t>
            </w:r>
          </w:p>
        </w:tc>
        <w:tc>
          <w:tcPr>
            <w:tcW w:w="228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让学生掌握知识产权法的基本理论并能熟练运用。</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学会理论联系实际，培养学生运用所学理论知识和本课程的原理和方法分析现实知识产权法问题及具体案例的能力；学会从知识产权法实践中探索一般规律和理论概括的思维方法；学习国际知识产权法的规则。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8</w:t>
            </w:r>
          </w:p>
        </w:tc>
        <w:tc>
          <w:tcPr>
            <w:tcW w:w="73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3D 打印技术</w:t>
            </w:r>
          </w:p>
        </w:tc>
        <w:tc>
          <w:tcPr>
            <w:tcW w:w="4541"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color w:val="auto"/>
                <w:sz w:val="24"/>
                <w:highlight w:val="none"/>
                <w:lang w:val="en-US" w:eastAsia="zh-CN"/>
              </w:rPr>
              <w:t>深入了解 3D 打印技术的原理、分类和特点。掌握 3D 打印材料的性能、选择方法及应用范围。熟悉 3D 打印设备的操作与维护，以及相关软件的使用技巧。</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color w:val="auto"/>
                <w:sz w:val="24"/>
                <w:highlight w:val="none"/>
                <w:lang w:val="en-US" w:eastAsia="zh-CN"/>
              </w:rPr>
              <w:t>能够运用 3D 打印技术进行产品原型制作、零部件制造等实际操作。根据设计需求，合理选择 3D 打印材料和工艺，优化打印效果。具备对 3D 打印作品进行后期处理和质量检测的能力，确保打印质量。</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color w:val="auto"/>
                <w:sz w:val="24"/>
                <w:highlight w:val="none"/>
                <w:lang w:val="en-US" w:eastAsia="zh-CN"/>
              </w:rPr>
              <w:t>培养创新思维和动手实践能力，通过 3D 打印实现创意设计。提升对新技术的学习和适应能力，不断探索 3D 打印技术的应用领域。增强环保意识，关注 3D 打印材料的可持续性和环保性。</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color w:val="auto"/>
                <w:sz w:val="24"/>
                <w:highlight w:val="none"/>
                <w:lang w:val="en-US" w:eastAsia="zh-CN"/>
              </w:rPr>
              <w:t>引导学生关注中国 3D 打印技术的发展成就，增强民族自豪感。通过 3D 打印技术教学培养学生的工匠精神，追求高精度、高质量的打印成果。鼓励学生在 3D 打印应用中注重创新和环保，推动技术与社会的可持续发展。</w:t>
            </w:r>
          </w:p>
        </w:tc>
        <w:tc>
          <w:tcPr>
            <w:tcW w:w="234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课程包含3D打印种类、3D打印材料选择、3D打印加工工艺。</w:t>
            </w:r>
          </w:p>
        </w:tc>
        <w:tc>
          <w:tcPr>
            <w:tcW w:w="228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通过教师混合式教学，通过案例分析，演示与实操，完成教学实践任务，学生在过程中掌握相关技能和要点，明白操作流程，可独自完成3D打印的整个过程。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9</w:t>
            </w:r>
          </w:p>
        </w:tc>
        <w:tc>
          <w:tcPr>
            <w:tcW w:w="73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数字创意思维</w:t>
            </w:r>
          </w:p>
        </w:tc>
        <w:tc>
          <w:tcPr>
            <w:tcW w:w="4541"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color w:val="auto"/>
                <w:sz w:val="24"/>
                <w:highlight w:val="none"/>
                <w:lang w:val="en-US" w:eastAsia="zh-CN"/>
              </w:rPr>
              <w:t>理解数字创意思维的概念、特点和重要性。掌握数字创意工具和技术的基本原理与操作方法。熟悉数字创意设计的流程和方法，包括创意构思、概念生成、设计实现等。</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color w:val="auto"/>
                <w:sz w:val="24"/>
                <w:highlight w:val="none"/>
                <w:lang w:val="en-US" w:eastAsia="zh-CN"/>
              </w:rPr>
              <w:t>能够运用数字创意思维方法，在数字领域产生独特的创意和设计概念。熟练使用数字创意工具进行创意作品的制作和实现，如数字绘画、动画制作、交互设计等。具备对数字创意作品进行评估和优化的能力，提升作品的质量和影响力。</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color w:val="auto"/>
                <w:sz w:val="24"/>
                <w:highlight w:val="none"/>
                <w:lang w:val="en-US" w:eastAsia="zh-CN"/>
              </w:rPr>
              <w:t>培养创新思维和数字艺术素养，激发创造力和想象力。提升对数字技术的敏感度和应用能力，适应数字时代的创意需求。增强团队协作和沟通能力，与数字创意团队成员共同完成项目。</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color w:val="auto"/>
                <w:sz w:val="24"/>
                <w:highlight w:val="none"/>
                <w:lang w:val="en-US" w:eastAsia="zh-CN"/>
              </w:rPr>
              <w:t>引导学生在数字创意中展现中国文化特色，传播中华文化魅力。通过数字创意思维培养学生的创新精神，为数字文化产业发展贡献力量。鼓励学生在数字创意中注重社会责任，以积极的创意作品影响社会。</w:t>
            </w:r>
          </w:p>
        </w:tc>
        <w:tc>
          <w:tcPr>
            <w:tcW w:w="234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课程包含思维形式和特点、思维的过程、创新思维的本质和特点、创造技法、六顶帽思考法、TRIZ理论的产生与发展、技术系统进化 S 曲线、TRIZ 解决问题的流程和方法、设计与研究的关系、思维导图。</w:t>
            </w:r>
          </w:p>
        </w:tc>
        <w:tc>
          <w:tcPr>
            <w:tcW w:w="228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学会头脑风暴、组合创新、列举、设问、类比法；六顶帽思考法；技术系统进化 S 曲线；TRIZ 解决问题的流程和方法；5W2H 研究方法。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10</w:t>
            </w:r>
          </w:p>
        </w:tc>
        <w:tc>
          <w:tcPr>
            <w:tcW w:w="73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大数据与人工智能导论</w:t>
            </w:r>
          </w:p>
        </w:tc>
        <w:tc>
          <w:tcPr>
            <w:tcW w:w="4541"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color w:val="auto"/>
                <w:sz w:val="24"/>
                <w:highlight w:val="none"/>
                <w:lang w:val="en-US" w:eastAsia="zh-CN"/>
              </w:rPr>
              <w:t>了解大数据的概念、特点、存储与处理技术。掌握人工智能的基本概念、发展历程、主要技术和应用领域。熟悉大数据与人工智能之间的关系，以及它们在不同行业的应用案例。</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color w:val="auto"/>
                <w:sz w:val="24"/>
                <w:highlight w:val="none"/>
                <w:lang w:val="en-US" w:eastAsia="zh-CN"/>
              </w:rPr>
              <w:t>能够运用大数据分析工具进行数据收集、整理和简单分析。理解人工智能算法的基本原理，具备使用相关工具进行简单模型搭建的能力。</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能够识别大数据与人工智能在实际问题中的应用场景，并提出初步解决方案。</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color w:val="auto"/>
                <w:sz w:val="24"/>
                <w:highlight w:val="none"/>
                <w:lang w:val="en-US" w:eastAsia="zh-CN"/>
              </w:rPr>
              <w:t>培养数据意识和科学思维，提升对大数据和人工智能技术的理解与应用能力。激发创新思维和探索精神，关注大数据与人工智能领域的发展趋势。增强团队协作和沟通能力，与不同专业人员合作开展大数据与人工智能相关项目。</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color w:val="auto"/>
                <w:sz w:val="24"/>
                <w:highlight w:val="none"/>
                <w:lang w:val="en-US" w:eastAsia="zh-CN"/>
              </w:rPr>
              <w:t>引导学生关注国家大数据与人工智能发展战略，增强民族自豪感和责任感。通过大数据与人工智能教学培养学生的科学精神和创新意识，为科技进步贡献力量。鼓励学生在大数据与人工智能应用中注重伦理道德和社会影响，推动技术与社会的良性互动。</w:t>
            </w:r>
          </w:p>
        </w:tc>
        <w:tc>
          <w:tcPr>
            <w:tcW w:w="234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课程包含基础概念、用户体验设计、界面设计原则、交互设计方法与技术、设计流程与项目管理、案例分析与实践 。</w:t>
            </w:r>
          </w:p>
        </w:tc>
        <w:tc>
          <w:tcPr>
            <w:tcW w:w="228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 xml:space="preserve">掌握人工智能和大数据的基本概念和发展现状； </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掌握深度学习的基本概念，以及其与人工智能之间的关系； 理解深度卷积神经网络的基本理论方法，了解常用的网络结构；</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掌握深度学习在计算机视觉和通信领域的相关应用。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11</w:t>
            </w:r>
          </w:p>
        </w:tc>
        <w:tc>
          <w:tcPr>
            <w:tcW w:w="73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pPr>
              <w:keepNext w:val="0"/>
              <w:keepLines/>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highlight w:val="none"/>
                <w:lang w:val="en-US" w:eastAsia="zh-CN"/>
              </w:rPr>
              <w:t>大数据商业策略</w:t>
            </w:r>
          </w:p>
        </w:tc>
        <w:tc>
          <w:tcPr>
            <w:tcW w:w="4541"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color w:val="auto"/>
                <w:sz w:val="24"/>
                <w:highlight w:val="none"/>
                <w:lang w:val="en-US" w:eastAsia="zh-CN"/>
              </w:rPr>
              <w:t>深入理解大数据在商业领域的价值和应用场景。掌握大数据商业分析的方法和工具，如数据挖掘、数据分析模型等。熟悉基于大数据的商业策略制定流程，包括市场细分、精准营销、客户关系管理等。</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color w:val="auto"/>
                <w:sz w:val="24"/>
                <w:highlight w:val="none"/>
                <w:lang w:val="en-US" w:eastAsia="zh-CN"/>
              </w:rPr>
              <w:t>能够运用大数据技术收集、整理和分析商业数据，为决策提供支持。根据数据分析结果制定有效的商业策略，提升企业的市场竞争力和盈利能力。对大数据商业策略的实施效果进行评估和优化，持续改进商业决策。</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color w:val="auto"/>
                <w:sz w:val="24"/>
                <w:highlight w:val="none"/>
                <w:lang w:val="en-US" w:eastAsia="zh-CN"/>
              </w:rPr>
              <w:t>培养数据驱动的商业思维和决策能力，提升商业洞察力。提升创新能力和适应能力，在大数据时代探索新的商业模式和发展机遇。增强团队协作和沟通能力，与跨部门团队合作推动大数据商业策略的实施。</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color w:val="auto"/>
                <w:sz w:val="24"/>
                <w:highlight w:val="none"/>
                <w:lang w:val="en-US" w:eastAsia="zh-CN"/>
              </w:rPr>
              <w:t>引导学生在大数据商业应用中树立正确的商业价值观，注重诚信经营和社会责任。通过大数据商业策略培养学生的创新精神和创业意识，鼓励学生勇于开拓市场。鼓励学生在大数据商业实践中关注社会需求，为经济发展和社会进步贡献力量。</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p>
        </w:tc>
        <w:tc>
          <w:tcPr>
            <w:tcW w:w="234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课程包含大数据市场洞察、竞争态势分析、商业模式创新、营销策略制定、数据驱动决策流程、团队组建与协作、技术选型与整合、风险管理与应对、行业前沿趋势解读及成功案例深度剖析等。</w:t>
            </w:r>
          </w:p>
        </w:tc>
        <w:tc>
          <w:tcPr>
            <w:tcW w:w="228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使学生了解大数据发展现状和趋势及其对经济社会发展的影响，分析我国大数据发展取得的成绩和存在的问题，志向服务于国家大数据战略，推动构 建网络空间命运共同体。使学生明确“数字赋能，共创未来”的理想，要抓住产业数字化、数 字产业化赋予的机遇，利用课程知识在新经济、新工科背景下，大数据逐渐成为 经济“新引擎”的进程中贡献个人智慧。引导学生在大数据基础知识的学习中，体会积少成多、量变到质变、 诚信平等，强化攻坚克难的奋斗精神和强烈的爱国主义精神。提升学生数据安全意识、数据伦理道德意识、团队合作意识和社会主义法治精神，以及辩证地分析问题及辩证地解决问题的能力。</w:t>
            </w:r>
          </w:p>
        </w:tc>
      </w:tr>
    </w:tbl>
    <w:p>
      <w:pPr>
        <w:pageBreakBefore w:val="0"/>
        <w:kinsoku/>
        <w:wordWrap/>
        <w:topLinePunct w:val="0"/>
        <w:autoSpaceDE/>
        <w:autoSpaceDN/>
        <w:bidi w:val="0"/>
        <w:adjustRightInd w:val="0"/>
        <w:snapToGrid w:val="0"/>
        <w:spacing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4.实践性教学环节 ：毕业设计、岗位实习。</w:t>
      </w:r>
    </w:p>
    <w:p>
      <w:pPr>
        <w:pageBreakBefore w:val="0"/>
        <w:kinsoku/>
        <w:wordWrap/>
        <w:overflowPunct w:val="0"/>
        <w:topLinePunct w:val="0"/>
        <w:autoSpaceDE/>
        <w:autoSpaceDN/>
        <w:bidi w:val="0"/>
        <w:adjustRightInd w:val="0"/>
        <w:spacing w:after="0" w:line="520" w:lineRule="exact"/>
        <w:ind w:left="0" w:leftChars="0"/>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表6实践性教学环节课程目标、主要教学内容与要求</w:t>
      </w:r>
    </w:p>
    <w:tbl>
      <w:tblPr>
        <w:tblStyle w:val="7"/>
        <w:tblW w:w="106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914"/>
        <w:gridCol w:w="5040"/>
        <w:gridCol w:w="1920"/>
        <w:gridCol w:w="2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5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360" w:lineRule="exact"/>
              <w:ind w:left="0" w:leftChars="0"/>
              <w:jc w:val="center"/>
              <w:rPr>
                <w:rFonts w:hint="eastAsia" w:ascii="仿宋_GB2312" w:hAnsi="仿宋_GB2312" w:eastAsia="仿宋_GB2312" w:cs="仿宋_GB2312"/>
                <w:color w:val="auto"/>
                <w:sz w:val="24"/>
                <w:szCs w:val="24"/>
              </w:rPr>
            </w:pPr>
            <w:bookmarkStart w:id="13" w:name="OLE_LINK21"/>
            <w:r>
              <w:rPr>
                <w:rFonts w:hint="eastAsia" w:ascii="仿宋_GB2312" w:hAnsi="仿宋_GB2312" w:eastAsia="仿宋_GB2312" w:cs="仿宋_GB2312"/>
                <w:color w:val="auto"/>
                <w:sz w:val="24"/>
                <w:szCs w:val="24"/>
              </w:rPr>
              <w:t>序号</w:t>
            </w:r>
          </w:p>
        </w:tc>
        <w:tc>
          <w:tcPr>
            <w:tcW w:w="914" w:type="dxa"/>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after="0" w:line="360" w:lineRule="exact"/>
              <w:ind w:left="0" w:leftChars="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 名称</w:t>
            </w:r>
          </w:p>
        </w:tc>
        <w:tc>
          <w:tcPr>
            <w:tcW w:w="504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topLinePunct w:val="0"/>
              <w:autoSpaceDE/>
              <w:autoSpaceDN/>
              <w:bidi w:val="0"/>
              <w:spacing w:after="0" w:line="36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课程目标</w:t>
            </w:r>
          </w:p>
        </w:tc>
        <w:tc>
          <w:tcPr>
            <w:tcW w:w="192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topLinePunct w:val="0"/>
              <w:autoSpaceDE/>
              <w:autoSpaceDN/>
              <w:bidi w:val="0"/>
              <w:spacing w:after="0" w:line="36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主要教学内容</w:t>
            </w:r>
          </w:p>
        </w:tc>
        <w:tc>
          <w:tcPr>
            <w:tcW w:w="2016"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topLinePunct w:val="0"/>
              <w:autoSpaceDE/>
              <w:autoSpaceDN/>
              <w:bidi w:val="0"/>
              <w:spacing w:after="0" w:line="36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highlight w:val="none"/>
              </w:rPr>
              <w:t>1</w:t>
            </w:r>
          </w:p>
        </w:tc>
        <w:tc>
          <w:tcPr>
            <w:tcW w:w="914"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highlight w:val="none"/>
              </w:rPr>
              <w:t>毕业设计</w:t>
            </w:r>
          </w:p>
        </w:tc>
        <w:tc>
          <w:tcPr>
            <w:tcW w:w="504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color w:val="auto"/>
                <w:sz w:val="24"/>
                <w:highlight w:val="none"/>
                <w:lang w:val="en-US" w:eastAsia="zh-CN"/>
              </w:rPr>
              <w:t>全面掌握本专业毕业设计相关的理论知识和专业技能，涵盖所选设计方向的核心知识体系。</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深入理解毕业设计的流程、规范和要求，熟悉从选题到成果展示的各个环节要点。了解行业前沿动态和发展趋势，将相关知识融入毕业设计，确保作品具有一定的前瞻性和创新性。</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color w:val="auto"/>
                <w:sz w:val="24"/>
                <w:highlight w:val="none"/>
                <w:lang w:val="en-US" w:eastAsia="zh-CN"/>
              </w:rPr>
              <w:t>能够独立完成具有较高质量和创新性的毕业设计作品，综合运用所学知识解决实际设计问题。熟练掌握设计调研、方案构思、设计表达、模型制作、效果展示等一系列毕业设计流程中的关键技能，具备良好的实践操作能力。具备对毕业设计作品进行自我评价、反思和优化的能力，能够根据反馈意见不断完善设计成果，提升作品质量。</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color w:val="auto"/>
                <w:sz w:val="24"/>
                <w:highlight w:val="none"/>
                <w:lang w:val="en-US" w:eastAsia="zh-CN"/>
              </w:rPr>
              <w:t>培养严谨认真、精益求精的治学态度和工匠精神，对待毕业设计一丝不苟，追求卓越品质。</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提升创新思维和自主学习能力，在毕业设计过程中勇于探索新的设计理念、方法和技术，不断突破自我。增强团队协作和沟通能力，若毕业设计涉及团队合作，能够与团队成员有效协作，共同完成设计任务；同时，能够清晰、准确地向他人展示和阐述自己的设计思路与成果。</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color w:val="auto"/>
                <w:sz w:val="24"/>
                <w:highlight w:val="none"/>
                <w:lang w:val="en-US" w:eastAsia="zh-CN"/>
              </w:rPr>
              <w:t>激发学生的爱国情怀和民族自豪感，鼓励学生在毕业设计中关注国家发展需求，以设计服务社会，为国家建设贡献力量。培养学生的社会责任感，引导学生在设计过程中充分考虑产品或项目对社会、环境的影响，注重可持续发展和人文关怀。通过毕业设计培养学生的创新精神和实践能力，鼓励学生勇于挑战自我，在设计领域追求卓越，传承和弘扬创新文化，增强文化自信。</w:t>
            </w:r>
          </w:p>
        </w:tc>
        <w:tc>
          <w:tcPr>
            <w:tcW w:w="192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课程包含个人独立完成的毕业设计、毕业答辩、毕业产品设计、毕业模型设计。</w:t>
            </w:r>
          </w:p>
        </w:tc>
        <w:tc>
          <w:tcPr>
            <w:tcW w:w="2016"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必须具有理论研究价值或应用开发前景、具有独立搜集资料和分析、研究综合的能力、把握了学科前沿，选题新颖、合理，预期目标得当、研究方法先进，技术路线严密，措施得当；掌握技术资料准确，技术难点的分析合乎逻辑；工作安排合理表述清楚、准确，能正确回答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highlight w:val="none"/>
              </w:rPr>
              <w:t>2</w:t>
            </w:r>
          </w:p>
        </w:tc>
        <w:tc>
          <w:tcPr>
            <w:tcW w:w="914"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topLinePunct w:val="0"/>
              <w:autoSpaceDE/>
              <w:autoSpaceDN/>
              <w:bidi w:val="0"/>
              <w:spacing w:after="0" w:line="32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highlight w:val="none"/>
              </w:rPr>
              <w:t>岗位实习</w:t>
            </w:r>
          </w:p>
        </w:tc>
        <w:tc>
          <w:tcPr>
            <w:tcW w:w="504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知识目标：</w:t>
            </w:r>
            <w:r>
              <w:rPr>
                <w:rFonts w:hint="eastAsia" w:ascii="仿宋_GB2312" w:hAnsi="仿宋_GB2312" w:eastAsia="仿宋_GB2312" w:cs="仿宋_GB2312"/>
                <w:color w:val="auto"/>
                <w:sz w:val="24"/>
                <w:highlight w:val="none"/>
                <w:lang w:val="en-US" w:eastAsia="zh-CN"/>
              </w:rPr>
              <w:t>深入了解所在实习岗位的工作内容、流程和规范，熟悉行业内的业务操作模式和标准。掌握与岗位相关的专业知识和技能，包括但不限于工作中所涉及的工具、软件、设备的使用方法，以及行业特定的技术和工艺要求。了解企业的组织架构、运营管理模式和企业文化，理解企业在市场环境中的定位和发展战略。</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能力目标：</w:t>
            </w:r>
            <w:r>
              <w:rPr>
                <w:rFonts w:hint="eastAsia" w:ascii="仿宋_GB2312" w:hAnsi="仿宋_GB2312" w:eastAsia="仿宋_GB2312" w:cs="仿宋_GB2312"/>
                <w:color w:val="auto"/>
                <w:sz w:val="24"/>
                <w:highlight w:val="none"/>
                <w:lang w:val="en-US" w:eastAsia="zh-CN"/>
              </w:rPr>
              <w:t>能够快速适应实习岗位的工作要求，熟练运用所学知识和技能解决实际工作中的问题，提高工作效率和质量。提升沟通协作能力，与同事、上级和客户进行有效地沟通交流，协同完成工作任务，培养团队合作精神。增强问题解决能力和应变能力，面对工作中的突发情况和挑战，能够冷静分析，提出合理的解决方案，并不断总结经验，提升应对复杂工作环境的能力。</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素质目标：</w:t>
            </w:r>
            <w:r>
              <w:rPr>
                <w:rFonts w:hint="eastAsia" w:ascii="仿宋_GB2312" w:hAnsi="仿宋_GB2312" w:eastAsia="仿宋_GB2312" w:cs="仿宋_GB2312"/>
                <w:color w:val="auto"/>
                <w:sz w:val="24"/>
                <w:highlight w:val="none"/>
                <w:lang w:val="en-US" w:eastAsia="zh-CN"/>
              </w:rPr>
              <w:t>培养职业素养和敬业精神，树立正确的职业道德观，对待工作认真负责，遵守企业规章制度，按时、高质量地完成工作任务。提升自我管理能力，学会合理安排工作时间，制定工作计划，有效管理工作进度，确保各项任务有序推进。增强学习能力和适应能力，保持对新知识、新技术的敏感性，不断学习和掌握行业动态，快速适应岗位和企业发展的变化需求。</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课程思政育人目标：</w:t>
            </w:r>
            <w:r>
              <w:rPr>
                <w:rFonts w:hint="eastAsia" w:ascii="仿宋_GB2312" w:hAnsi="仿宋_GB2312" w:eastAsia="仿宋_GB2312" w:cs="仿宋_GB2312"/>
                <w:color w:val="auto"/>
                <w:sz w:val="24"/>
                <w:highlight w:val="none"/>
                <w:lang w:val="en-US" w:eastAsia="zh-CN"/>
              </w:rPr>
              <w:t xml:space="preserve">引导学生树立正确的职业价值观，培养敬业爱岗、诚实守信的职业道德品质，增强对职业的认同感和责任感。通过实习经历，培养学生的社会适应能力和人际交往能力，促进学生的社会化进程，使其更好地融入社会。鼓励学生在实习中关注行业发展和社会需求，培养创新意识和创业精神，为未来的职业发展和个人成长奠定坚实基础，同时引导学生树立正确的就业观和择业观，将个人发展与国家和社会需求相结合。 </w:t>
            </w:r>
          </w:p>
        </w:tc>
        <w:tc>
          <w:tcPr>
            <w:tcW w:w="192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课程包含参加对应专业工作实习、熟悉设计项目流程，提升实操能力，积累行业经验，为未来职业发展打下坚实基础。</w:t>
            </w:r>
          </w:p>
        </w:tc>
        <w:tc>
          <w:tcPr>
            <w:tcW w:w="2016"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after="0" w:line="320" w:lineRule="exact"/>
              <w:ind w:left="0" w:leftChars="0"/>
              <w:jc w:val="both"/>
              <w:textAlignment w:val="auto"/>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专业实习是产品艺术设计专业教学过程的重要组成部分，是贯彻党的教育方针、加强理论与实际结合的实践性教学环节。实习对培养学生运用知识的能力、拓宽知识面、确立实事求是的科学态度和解决设计实践能力等方面都是十分重要的意义。课程旨在加强理论联系实际，为了印证和检验学生所学的专业知识和技能，通过对工作岗位的适应性训练，使学生了解社会、接触实际，加强群众观点、劳动观点，提高社会主义事业心、责任感，增强素质，提高专业思想认识，使学生获取本专业初步的职业岗位知识，培养初步的独立工作能力和专业技能，使学生在思想上、业务上得到全面地培养与锻炼。</w:t>
            </w:r>
          </w:p>
        </w:tc>
      </w:tr>
      <w:bookmarkEnd w:id="13"/>
    </w:tbl>
    <w:p>
      <w:pPr>
        <w:pageBreakBefore w:val="0"/>
        <w:kinsoku/>
        <w:wordWrap/>
        <w:topLinePunct w:val="0"/>
        <w:autoSpaceDE/>
        <w:autoSpaceDN/>
        <w:bidi w:val="0"/>
        <w:spacing w:after="0" w:line="520" w:lineRule="exact"/>
        <w:ind w:left="0" w:leftChars="0"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（三）第二课堂素质教育课</w:t>
      </w:r>
    </w:p>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第二课堂素质教育课包括思想成长、实践实习、创新创业、志愿公益、文体活动、工作履历、专业技能特长等其他各类课程及活动。</w:t>
      </w:r>
    </w:p>
    <w:p>
      <w:pPr>
        <w:pageBreakBefore w:val="0"/>
        <w:kinsoku/>
        <w:wordWrap/>
        <w:overflowPunct w:val="0"/>
        <w:topLinePunct w:val="0"/>
        <w:autoSpaceDE/>
        <w:autoSpaceDN/>
        <w:bidi w:val="0"/>
        <w:adjustRightInd w:val="0"/>
        <w:spacing w:after="0" w:line="520" w:lineRule="exact"/>
        <w:ind w:left="0" w:leftChars="0"/>
        <w:jc w:val="center"/>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表7 第二课堂素质教育课安排表</w:t>
      </w:r>
    </w:p>
    <w:tbl>
      <w:tblPr>
        <w:tblStyle w:val="7"/>
        <w:tblW w:w="10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3573"/>
        <w:gridCol w:w="880"/>
        <w:gridCol w:w="1013"/>
        <w:gridCol w:w="1040"/>
        <w:gridCol w:w="123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36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模块</w:t>
            </w:r>
          </w:p>
        </w:tc>
        <w:tc>
          <w:tcPr>
            <w:tcW w:w="357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topLinePunct w:val="0"/>
              <w:autoSpaceDE/>
              <w:autoSpaceDN/>
              <w:bidi w:val="0"/>
              <w:spacing w:after="0" w:line="36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tc>
        <w:tc>
          <w:tcPr>
            <w:tcW w:w="88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topLinePunct w:val="0"/>
              <w:autoSpaceDE/>
              <w:autoSpaceDN/>
              <w:bidi w:val="0"/>
              <w:spacing w:after="0" w:line="36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性质</w:t>
            </w:r>
          </w:p>
        </w:tc>
        <w:tc>
          <w:tcPr>
            <w:tcW w:w="101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topLinePunct w:val="0"/>
              <w:autoSpaceDE/>
              <w:autoSpaceDN/>
              <w:bidi w:val="0"/>
              <w:spacing w:after="0" w:line="36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组织者</w:t>
            </w:r>
          </w:p>
        </w:tc>
        <w:tc>
          <w:tcPr>
            <w:tcW w:w="104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topLinePunct w:val="0"/>
              <w:autoSpaceDE/>
              <w:autoSpaceDN/>
              <w:bidi w:val="0"/>
              <w:spacing w:after="0" w:line="36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认定者</w:t>
            </w:r>
          </w:p>
        </w:tc>
        <w:tc>
          <w:tcPr>
            <w:tcW w:w="1236"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topLinePunct w:val="0"/>
              <w:autoSpaceDE/>
              <w:autoSpaceDN/>
              <w:bidi w:val="0"/>
              <w:spacing w:after="0" w:line="36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计分标准</w:t>
            </w:r>
          </w:p>
        </w:tc>
        <w:tc>
          <w:tcPr>
            <w:tcW w:w="1236"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topLinePunct w:val="0"/>
              <w:autoSpaceDE/>
              <w:autoSpaceDN/>
              <w:bidi w:val="0"/>
              <w:spacing w:after="0" w:line="360" w:lineRule="exac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1265"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思想成长</w:t>
            </w:r>
          </w:p>
        </w:tc>
        <w:tc>
          <w:tcPr>
            <w:tcW w:w="357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numPr>
                <w:ilvl w:val="0"/>
                <w:numId w:val="0"/>
              </w:numPr>
              <w:kinsoku/>
              <w:wordWrap/>
              <w:topLinePunct w:val="0"/>
              <w:autoSpaceDE/>
              <w:autoSpaceDN/>
              <w:bidi w:val="0"/>
              <w:spacing w:after="0" w:line="240" w:lineRule="atLeast"/>
              <w:ind w:left="0" w:left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1.思想政治教育主题讲座、形势与政策报告会</w:t>
            </w:r>
          </w:p>
          <w:p>
            <w:pPr>
              <w:pageBreakBefore w:val="0"/>
              <w:numPr>
                <w:ilvl w:val="0"/>
                <w:numId w:val="0"/>
              </w:numPr>
              <w:kinsoku/>
              <w:wordWrap/>
              <w:topLinePunct w:val="0"/>
              <w:autoSpaceDE/>
              <w:autoSpaceDN/>
              <w:bidi w:val="0"/>
              <w:spacing w:after="0" w:line="240" w:lineRule="atLeast"/>
              <w:ind w:left="0" w:left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2.爱国主义教育活动</w:t>
            </w:r>
          </w:p>
          <w:p>
            <w:pPr>
              <w:pageBreakBefore w:val="0"/>
              <w:numPr>
                <w:ilvl w:val="0"/>
                <w:numId w:val="0"/>
              </w:numPr>
              <w:kinsoku/>
              <w:wordWrap/>
              <w:topLinePunct w:val="0"/>
              <w:autoSpaceDE/>
              <w:autoSpaceDN/>
              <w:bidi w:val="0"/>
              <w:spacing w:after="0" w:line="240" w:lineRule="atLeast"/>
              <w:ind w:left="0" w:left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3.党团组织生活</w:t>
            </w:r>
          </w:p>
          <w:p>
            <w:pPr>
              <w:pageBreakBefore w:val="0"/>
              <w:numPr>
                <w:ilvl w:val="0"/>
                <w:numId w:val="0"/>
              </w:numPr>
              <w:kinsoku/>
              <w:wordWrap/>
              <w:topLinePunct w:val="0"/>
              <w:autoSpaceDE/>
              <w:autoSpaceDN/>
              <w:bidi w:val="0"/>
              <w:spacing w:after="0" w:line="240" w:lineRule="atLeast"/>
              <w:ind w:left="0" w:left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4.党团培训 </w:t>
            </w:r>
          </w:p>
          <w:p>
            <w:pPr>
              <w:pageBreakBefore w:val="0"/>
              <w:numPr>
                <w:ilvl w:val="0"/>
                <w:numId w:val="0"/>
              </w:numPr>
              <w:kinsoku/>
              <w:wordWrap/>
              <w:topLinePunct w:val="0"/>
              <w:autoSpaceDE/>
              <w:autoSpaceDN/>
              <w:bidi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sz w:val="24"/>
                <w:szCs w:val="24"/>
              </w:rPr>
              <w:t>5.青年大学习</w:t>
            </w:r>
          </w:p>
        </w:tc>
        <w:tc>
          <w:tcPr>
            <w:tcW w:w="88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自选</w:t>
            </w:r>
          </w:p>
        </w:tc>
        <w:tc>
          <w:tcPr>
            <w:tcW w:w="101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校团委</w:t>
            </w:r>
          </w:p>
        </w:tc>
        <w:tc>
          <w:tcPr>
            <w:tcW w:w="1236"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sz w:val="24"/>
                <w:szCs w:val="24"/>
              </w:rPr>
              <w:t>第二课堂成绩由网络管理系 统（到梦 空间）实 时记录，学生在大一、 大二期间积分达60分及以上，可获4学分。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65"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实践实习</w:t>
            </w:r>
          </w:p>
        </w:tc>
        <w:tc>
          <w:tcPr>
            <w:tcW w:w="357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numPr>
                <w:ilvl w:val="0"/>
                <w:numId w:val="0"/>
              </w:numPr>
              <w:kinsoku/>
              <w:wordWrap/>
              <w:topLinePunct w:val="0"/>
              <w:autoSpaceDE/>
              <w:autoSpaceDN/>
              <w:bidi w:val="0"/>
              <w:spacing w:after="0" w:line="240" w:lineRule="atLeast"/>
              <w:ind w:left="0" w:left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1.暑期“三下乡”社会实践活动 2.寒暑假“返家乡”实践活动 </w:t>
            </w:r>
          </w:p>
          <w:p>
            <w:pPr>
              <w:pageBreakBefore w:val="0"/>
              <w:numPr>
                <w:ilvl w:val="0"/>
                <w:numId w:val="0"/>
              </w:numPr>
              <w:kinsoku/>
              <w:wordWrap/>
              <w:topLinePunct w:val="0"/>
              <w:autoSpaceDE/>
              <w:autoSpaceDN/>
              <w:bidi w:val="0"/>
              <w:spacing w:after="0" w:line="240" w:lineRule="atLeast"/>
              <w:ind w:left="0" w:left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3.企业见习实践 </w:t>
            </w:r>
          </w:p>
          <w:p>
            <w:pPr>
              <w:pageBreakBefore w:val="0"/>
              <w:numPr>
                <w:ilvl w:val="0"/>
                <w:numId w:val="0"/>
              </w:numPr>
              <w:kinsoku/>
              <w:wordWrap/>
              <w:topLinePunct w:val="0"/>
              <w:autoSpaceDE/>
              <w:autoSpaceDN/>
              <w:bidi w:val="0"/>
              <w:spacing w:after="0" w:line="240" w:lineRule="atLeast"/>
              <w:ind w:left="0" w:left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4.上级、校院交予专项工作项目实践活动含兼挂职锻炼 </w:t>
            </w:r>
          </w:p>
          <w:p>
            <w:pPr>
              <w:pageBreakBefore w:val="0"/>
              <w:numPr>
                <w:ilvl w:val="0"/>
                <w:numId w:val="0"/>
              </w:numPr>
              <w:kinsoku/>
              <w:wordWrap/>
              <w:topLinePunct w:val="0"/>
              <w:autoSpaceDE/>
              <w:autoSpaceDN/>
              <w:bidi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sz w:val="24"/>
                <w:szCs w:val="24"/>
              </w:rPr>
              <w:t xml:space="preserve">5.新闻宣传报道被学校、学院采用或转发 </w:t>
            </w:r>
          </w:p>
          <w:p>
            <w:pPr>
              <w:pageBreakBefore w:val="0"/>
              <w:numPr>
                <w:ilvl w:val="0"/>
                <w:numId w:val="0"/>
              </w:numPr>
              <w:kinsoku/>
              <w:wordWrap/>
              <w:topLinePunct w:val="0"/>
              <w:autoSpaceDE/>
              <w:autoSpaceDN/>
              <w:bidi w:val="0"/>
              <w:spacing w:after="0" w:line="240" w:lineRule="atLeast"/>
              <w:ind w:left="0" w:left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6.晨读</w:t>
            </w:r>
          </w:p>
          <w:p>
            <w:pPr>
              <w:pageBreakBefore w:val="0"/>
              <w:numPr>
                <w:ilvl w:val="0"/>
                <w:numId w:val="0"/>
              </w:numPr>
              <w:kinsoku/>
              <w:wordWrap/>
              <w:topLinePunct w:val="0"/>
              <w:autoSpaceDE/>
              <w:autoSpaceDN/>
              <w:bidi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sz w:val="24"/>
                <w:szCs w:val="24"/>
              </w:rPr>
              <w:t xml:space="preserve">7.劳动精神、劳模精神、工匠精神专题教育 </w:t>
            </w:r>
          </w:p>
          <w:p>
            <w:pPr>
              <w:pageBreakBefore w:val="0"/>
              <w:numPr>
                <w:ilvl w:val="0"/>
                <w:numId w:val="0"/>
              </w:numPr>
              <w:kinsoku/>
              <w:wordWrap/>
              <w:topLinePunct w:val="0"/>
              <w:autoSpaceDE/>
              <w:autoSpaceDN/>
              <w:bidi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sz w:val="24"/>
                <w:szCs w:val="24"/>
              </w:rPr>
              <w:t>8.实践活动的相关荣誉</w:t>
            </w:r>
          </w:p>
        </w:tc>
        <w:tc>
          <w:tcPr>
            <w:tcW w:w="88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自选</w:t>
            </w:r>
          </w:p>
        </w:tc>
        <w:tc>
          <w:tcPr>
            <w:tcW w:w="101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校团委</w:t>
            </w:r>
          </w:p>
        </w:tc>
        <w:tc>
          <w:tcPr>
            <w:tcW w:w="1236"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265"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创新创业</w:t>
            </w:r>
          </w:p>
        </w:tc>
        <w:tc>
          <w:tcPr>
            <w:tcW w:w="357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numPr>
                <w:ilvl w:val="0"/>
                <w:numId w:val="0"/>
              </w:numPr>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1.发表文章、出版专著 </w:t>
            </w:r>
          </w:p>
          <w:p>
            <w:pPr>
              <w:pageBreakBefore w:val="0"/>
              <w:numPr>
                <w:ilvl w:val="0"/>
                <w:numId w:val="0"/>
              </w:numPr>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2.发明专利 </w:t>
            </w:r>
          </w:p>
          <w:p>
            <w:pPr>
              <w:pageBreakBefore w:val="0"/>
              <w:numPr>
                <w:ilvl w:val="0"/>
                <w:numId w:val="0"/>
              </w:numPr>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3.创新创业项目竞赛 </w:t>
            </w:r>
          </w:p>
          <w:p>
            <w:pPr>
              <w:pageBreakBefore w:val="0"/>
              <w:numPr>
                <w:ilvl w:val="0"/>
                <w:numId w:val="0"/>
              </w:numPr>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4.创新创业项目培训 </w:t>
            </w:r>
          </w:p>
          <w:p>
            <w:pPr>
              <w:pageBreakBefore w:val="0"/>
              <w:numPr>
                <w:ilvl w:val="0"/>
                <w:numId w:val="0"/>
              </w:numPr>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5.创新创业课程、讲座 </w:t>
            </w:r>
          </w:p>
          <w:p>
            <w:pPr>
              <w:pageBreakBefore w:val="0"/>
              <w:numPr>
                <w:ilvl w:val="0"/>
                <w:numId w:val="0"/>
              </w:numPr>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6.自主创业</w:t>
            </w:r>
          </w:p>
        </w:tc>
        <w:tc>
          <w:tcPr>
            <w:tcW w:w="88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自选</w:t>
            </w:r>
          </w:p>
        </w:tc>
        <w:tc>
          <w:tcPr>
            <w:tcW w:w="101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校团委</w:t>
            </w:r>
          </w:p>
        </w:tc>
        <w:tc>
          <w:tcPr>
            <w:tcW w:w="1236"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1265"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志愿公益</w:t>
            </w:r>
          </w:p>
        </w:tc>
        <w:tc>
          <w:tcPr>
            <w:tcW w:w="357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1.校级、学院、社团、班级等学生组织开展的志愿服务活动 </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2.无偿献血活动 </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3.捐献造血干细胞 </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4.相关公益类宣传讲座、报告会等志愿服务表彰</w:t>
            </w:r>
          </w:p>
          <w:p>
            <w:pPr>
              <w:pageBreakBefore w:val="0"/>
              <w:numPr>
                <w:ilvl w:val="0"/>
                <w:numId w:val="0"/>
              </w:numPr>
              <w:kinsoku/>
              <w:wordWrap/>
              <w:topLinePunct w:val="0"/>
              <w:autoSpaceDE/>
              <w:autoSpaceDN/>
              <w:bidi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sz w:val="24"/>
                <w:szCs w:val="24"/>
              </w:rPr>
              <w:t xml:space="preserve">5.公益劳动 </w:t>
            </w:r>
          </w:p>
        </w:tc>
        <w:tc>
          <w:tcPr>
            <w:tcW w:w="88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自选</w:t>
            </w:r>
          </w:p>
        </w:tc>
        <w:tc>
          <w:tcPr>
            <w:tcW w:w="101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校团委</w:t>
            </w:r>
          </w:p>
        </w:tc>
        <w:tc>
          <w:tcPr>
            <w:tcW w:w="1236"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000000"/>
                <w:sz w:val="24"/>
                <w:szCs w:val="24"/>
              </w:rPr>
              <w:t xml:space="preserve">文体活动 </w:t>
            </w:r>
          </w:p>
        </w:tc>
        <w:tc>
          <w:tcPr>
            <w:tcW w:w="357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1.文艺竞赛 </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2.体育竞赛 </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3.文艺演出 </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4.体育活动 </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auto"/>
                <w:sz w:val="24"/>
                <w:szCs w:val="24"/>
              </w:rPr>
              <w:t>5.文体讲座</w:t>
            </w:r>
          </w:p>
        </w:tc>
        <w:tc>
          <w:tcPr>
            <w:tcW w:w="88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自选</w:t>
            </w:r>
          </w:p>
        </w:tc>
        <w:tc>
          <w:tcPr>
            <w:tcW w:w="101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校团委</w:t>
            </w:r>
          </w:p>
        </w:tc>
        <w:tc>
          <w:tcPr>
            <w:tcW w:w="1236"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工作履历 </w:t>
            </w:r>
          </w:p>
        </w:tc>
        <w:tc>
          <w:tcPr>
            <w:tcW w:w="357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1.团学干部任职</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2.团学先进个人</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3.勤工俭学</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4.社会任职 </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auto"/>
                <w:sz w:val="24"/>
                <w:szCs w:val="24"/>
              </w:rPr>
              <w:t>5.退伍军人</w:t>
            </w:r>
          </w:p>
        </w:tc>
        <w:tc>
          <w:tcPr>
            <w:tcW w:w="88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自选</w:t>
            </w:r>
          </w:p>
        </w:tc>
        <w:tc>
          <w:tcPr>
            <w:tcW w:w="101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校团委</w:t>
            </w:r>
          </w:p>
        </w:tc>
        <w:tc>
          <w:tcPr>
            <w:tcW w:w="1236"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技能特长 </w:t>
            </w:r>
          </w:p>
        </w:tc>
        <w:tc>
          <w:tcPr>
            <w:tcW w:w="357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1.职业资格证书 </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2.职业技能证书 </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3.机动车驾驶证</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4.从业人员上岗资格证 </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5.技能比赛获奖</w:t>
            </w:r>
          </w:p>
        </w:tc>
        <w:tc>
          <w:tcPr>
            <w:tcW w:w="88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自选</w:t>
            </w:r>
          </w:p>
        </w:tc>
        <w:tc>
          <w:tcPr>
            <w:tcW w:w="101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校团委</w:t>
            </w:r>
          </w:p>
        </w:tc>
        <w:tc>
          <w:tcPr>
            <w:tcW w:w="1236"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5"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其他</w:t>
            </w:r>
          </w:p>
        </w:tc>
        <w:tc>
          <w:tcPr>
            <w:tcW w:w="357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1.其他证书（社会职业类证书） </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2.校内各单位其他类型活动 </w:t>
            </w:r>
          </w:p>
          <w:p>
            <w:pPr>
              <w:pageBreakBefore w:val="0"/>
              <w:kinsoku/>
              <w:wordWrap/>
              <w:overflowPunct w:val="0"/>
              <w:topLinePunct w:val="0"/>
              <w:autoSpaceDE/>
              <w:autoSpaceDN/>
              <w:bidi w:val="0"/>
              <w:adjustRightInd w:val="0"/>
              <w:spacing w:after="0" w:line="240" w:lineRule="atLeast"/>
              <w:ind w:left="0" w:leftChars="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auto"/>
                <w:sz w:val="24"/>
                <w:szCs w:val="24"/>
              </w:rPr>
              <w:t>3.升旗仪式工作人员</w:t>
            </w:r>
          </w:p>
        </w:tc>
        <w:tc>
          <w:tcPr>
            <w:tcW w:w="88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自选</w:t>
            </w:r>
          </w:p>
        </w:tc>
        <w:tc>
          <w:tcPr>
            <w:tcW w:w="1013"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活动组 织单位</w:t>
            </w:r>
          </w:p>
        </w:tc>
        <w:tc>
          <w:tcPr>
            <w:tcW w:w="1040"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校团委</w:t>
            </w:r>
          </w:p>
        </w:tc>
        <w:tc>
          <w:tcPr>
            <w:tcW w:w="1236" w:type="dxa"/>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“第二课堂成绩单”活动各模块计分标准</w:t>
            </w:r>
          </w:p>
        </w:tc>
        <w:tc>
          <w:tcPr>
            <w:tcW w:w="123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ageBreakBefore w:val="0"/>
              <w:kinsoku/>
              <w:wordWrap/>
              <w:overflowPunct w:val="0"/>
              <w:topLinePunct w:val="0"/>
              <w:autoSpaceDE/>
              <w:autoSpaceDN/>
              <w:bidi w:val="0"/>
              <w:adjustRightInd w:val="0"/>
              <w:spacing w:after="0" w:line="240" w:lineRule="atLeast"/>
              <w:ind w:left="0" w:leftChars="0"/>
              <w:jc w:val="center"/>
              <w:rPr>
                <w:rFonts w:hint="eastAsia" w:ascii="仿宋_GB2312" w:hAnsi="仿宋_GB2312" w:eastAsia="仿宋_GB2312" w:cs="仿宋_GB2312"/>
                <w:color w:val="auto"/>
                <w:sz w:val="24"/>
                <w:szCs w:val="24"/>
              </w:rPr>
            </w:pPr>
          </w:p>
        </w:tc>
      </w:tr>
    </w:tbl>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黑体" w:hAnsi="黑体" w:eastAsia="黑体"/>
          <w:sz w:val="32"/>
          <w:szCs w:val="32"/>
        </w:rPr>
      </w:pPr>
      <w:r>
        <w:rPr>
          <w:rFonts w:hint="eastAsia" w:ascii="黑体" w:hAnsi="黑体" w:eastAsia="黑体"/>
          <w:sz w:val="32"/>
          <w:szCs w:val="32"/>
        </w:rPr>
        <w:t>八</w:t>
      </w:r>
      <w:r>
        <w:rPr>
          <w:rFonts w:ascii="黑体" w:hAnsi="黑体" w:eastAsia="黑体"/>
          <w:sz w:val="32"/>
          <w:szCs w:val="32"/>
        </w:rPr>
        <w:t>、教学进程总体安排</w:t>
      </w:r>
    </w:p>
    <w:p>
      <w:pPr>
        <w:pageBreakBefore w:val="0"/>
        <w:kinsoku/>
        <w:wordWrap/>
        <w:topLinePunct w:val="0"/>
        <w:autoSpaceDE/>
        <w:autoSpaceDN/>
        <w:bidi w:val="0"/>
        <w:spacing w:after="0" w:line="520" w:lineRule="exact"/>
        <w:ind w:left="0" w:leftChars="0" w:firstLine="640" w:firstLineChars="200"/>
        <w:rPr>
          <w:rFonts w:hint="eastAsia" w:ascii="楷体" w:hAnsi="楷体" w:eastAsia="楷体" w:cs="楷体"/>
          <w:sz w:val="32"/>
          <w:szCs w:val="32"/>
        </w:rPr>
      </w:pPr>
      <w:r>
        <w:rPr>
          <w:rFonts w:hint="eastAsia" w:ascii="楷体" w:hAnsi="楷体" w:eastAsia="楷体" w:cs="楷体"/>
          <w:sz w:val="32"/>
          <w:szCs w:val="32"/>
        </w:rPr>
        <w:t xml:space="preserve">（一）教学环节分配表 </w:t>
      </w:r>
    </w:p>
    <w:p>
      <w:pPr>
        <w:pageBreakBefore w:val="0"/>
        <w:kinsoku/>
        <w:wordWrap/>
        <w:topLinePunct w:val="0"/>
        <w:autoSpaceDE/>
        <w:autoSpaceDN/>
        <w:bidi w:val="0"/>
        <w:spacing w:after="0" w:line="520" w:lineRule="exact"/>
        <w:ind w:left="0" w:lef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教学周数分配表每学期总周数合计应为20周，各学期教学周数应与教学计划进程表一致，军训、入学教育、考试环节、实习开展、毕业设计、社会实践及毕业教育等，学期合计周数为20周。</w:t>
      </w:r>
    </w:p>
    <w:p>
      <w:pPr>
        <w:pageBreakBefore w:val="0"/>
        <w:kinsoku/>
        <w:wordWrap/>
        <w:topLinePunct w:val="0"/>
        <w:autoSpaceDE/>
        <w:autoSpaceDN/>
        <w:bidi w:val="0"/>
        <w:spacing w:after="0" w:line="520" w:lineRule="exact"/>
        <w:ind w:left="0" w:leftChars="0"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表8 教育活动时间分配表（单位：周）</w:t>
      </w:r>
    </w:p>
    <w:tbl>
      <w:tblPr>
        <w:tblStyle w:val="8"/>
        <w:tblW w:w="5116" w:type="pct"/>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2035"/>
        <w:gridCol w:w="1109"/>
        <w:gridCol w:w="1106"/>
        <w:gridCol w:w="1108"/>
        <w:gridCol w:w="1106"/>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14" w:type="pct"/>
            <w:vMerge w:val="restart"/>
            <w:shd w:val="clear" w:color="auto" w:fill="auto"/>
            <w:vAlign w:val="top"/>
            <mc:AlternateContent>
              <mc:Choice Requires="wpsCustomData">
                <wpsCustomData:diagonals>
                  <wpsCustomData:diagonal from="30000" to="13800">
                    <wpsCustomData:border w:val="single" w:color="auto" w:sz="4" w:space="0"/>
                  </wpsCustomData:diagonal>
                  <wpsCustomData:diagonal from="30000" to="6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spacing w:after="0" w:line="280" w:lineRule="atLeast"/>
              <w:ind w:left="0" w:leftChars="0"/>
              <w:textAlignment w:val="auto"/>
              <w:rPr>
                <w:rFonts w:hint="eastAsia" w:ascii="仿宋_GB2312" w:hAnsi="仿宋_GB2312" w:eastAsia="仿宋_GB2312" w:cs="仿宋_GB2312"/>
                <w:color w:val="auto"/>
                <w:sz w:val="24"/>
                <w:szCs w:val="24"/>
              </w:rPr>
            </w:pPr>
          </w:p>
          <w:p>
            <w:pPr>
              <w:keepNext w:val="0"/>
              <w:keepLines w:val="0"/>
              <w:pageBreakBefore w:val="0"/>
              <w:widowControl w:val="0"/>
              <w:kinsoku/>
              <w:wordWrap/>
              <w:overflowPunct/>
              <w:topLinePunct w:val="0"/>
              <w:autoSpaceDE/>
              <w:autoSpaceDN/>
              <w:bidi w:val="0"/>
              <w:adjustRightInd/>
              <w:snapToGrid/>
              <w:spacing w:after="0" w:line="280" w:lineRule="atLeast"/>
              <w:ind w:left="0" w:leftChars="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项目</w:t>
            </w:r>
          </w:p>
          <w:p>
            <w:pPr>
              <w:keepNext w:val="0"/>
              <w:keepLines w:val="0"/>
              <w:pageBreakBefore w:val="0"/>
              <w:widowControl w:val="0"/>
              <w:kinsoku/>
              <w:wordWrap/>
              <w:overflowPunct/>
              <w:topLinePunct w:val="0"/>
              <w:autoSpaceDE/>
              <w:autoSpaceDN/>
              <w:bidi w:val="0"/>
              <w:adjustRightInd/>
              <w:snapToGrid/>
              <w:spacing w:after="0" w:line="280" w:lineRule="atLeast"/>
              <w:ind w:left="0" w:leftChars="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周数</w:t>
            </w:r>
          </w:p>
          <w:p>
            <w:pPr>
              <w:keepNext w:val="0"/>
              <w:keepLines w:val="0"/>
              <w:pageBreakBefore w:val="0"/>
              <w:widowControl w:val="0"/>
              <w:kinsoku/>
              <w:wordWrap/>
              <w:overflowPunct/>
              <w:topLinePunct w:val="0"/>
              <w:autoSpaceDE/>
              <w:autoSpaceDN/>
              <w:bidi w:val="0"/>
              <w:adjustRightInd/>
              <w:snapToGrid/>
              <w:spacing w:after="0" w:line="280" w:lineRule="atLeast"/>
              <w:ind w:left="0" w:leftChars="0"/>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内容</w:t>
            </w:r>
          </w:p>
          <w:p>
            <w:pPr>
              <w:keepNext w:val="0"/>
              <w:keepLines w:val="0"/>
              <w:pageBreakBefore w:val="0"/>
              <w:widowControl w:val="0"/>
              <w:kinsoku/>
              <w:wordWrap/>
              <w:overflowPunct/>
              <w:topLinePunct w:val="0"/>
              <w:autoSpaceDE/>
              <w:autoSpaceDN/>
              <w:bidi w:val="0"/>
              <w:adjustRightInd/>
              <w:snapToGrid/>
              <w:spacing w:after="0" w:line="280" w:lineRule="atLeast"/>
              <w:ind w:left="0" w:leftChars="0"/>
              <w:textAlignment w:val="auto"/>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280" w:lineRule="atLeast"/>
              <w:ind w:left="0" w:leftChars="0"/>
              <w:textAlignment w:val="auto"/>
              <mc:AlternateContent>
                <mc:Choice Requires="wpsCustomData">
                  <wpsCustomData:diagonalParaType/>
                </mc:Choice>
              </mc:AlternateConten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周数</w:t>
            </w:r>
          </w:p>
          <w:p>
            <w:pPr>
              <w:keepNext w:val="0"/>
              <w:keepLines w:val="0"/>
              <w:pageBreakBefore w:val="0"/>
              <w:widowControl w:val="0"/>
              <w:kinsoku/>
              <w:wordWrap/>
              <w:overflowPunct/>
              <w:topLinePunct w:val="0"/>
              <w:autoSpaceDE/>
              <w:autoSpaceDN/>
              <w:bidi w:val="0"/>
              <w:adjustRightInd/>
              <w:snapToGrid/>
              <w:spacing w:after="0" w:line="280" w:lineRule="atLeast"/>
              <w:ind w:left="0" w:leftChars="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学年</w:t>
            </w:r>
          </w:p>
        </w:tc>
        <w:tc>
          <w:tcPr>
            <w:tcW w:w="1654" w:type="pct"/>
            <w:gridSpan w:val="2"/>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一</w:t>
            </w:r>
          </w:p>
        </w:tc>
        <w:tc>
          <w:tcPr>
            <w:tcW w:w="1164" w:type="pct"/>
            <w:gridSpan w:val="2"/>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二</w:t>
            </w:r>
          </w:p>
        </w:tc>
        <w:tc>
          <w:tcPr>
            <w:tcW w:w="1166" w:type="pct"/>
            <w:gridSpan w:val="2"/>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014" w:type="pct"/>
            <w:vMerge w:val="continue"/>
          </w:tcPr>
          <w:p>
            <w:pPr>
              <w:keepNext w:val="0"/>
              <w:keepLines w:val="0"/>
              <w:pageBreakBefore w:val="0"/>
              <w:widowControl w:val="0"/>
              <w:kinsoku/>
              <w:wordWrap/>
              <w:overflowPunct/>
              <w:topLinePunct w:val="0"/>
              <w:autoSpaceDE/>
              <w:autoSpaceDN/>
              <w:bidi w:val="0"/>
              <w:adjustRightInd/>
              <w:snapToGrid/>
              <w:spacing w:after="0" w:line="280" w:lineRule="atLeast"/>
              <w:ind w:left="0" w:leftChars="0"/>
              <w:textAlignment w:val="auto"/>
              <w:rPr>
                <w:rFonts w:hint="eastAsia" w:ascii="仿宋_GB2312" w:hAnsi="仿宋_GB2312" w:eastAsia="仿宋_GB2312" w:cs="仿宋_GB2312"/>
                <w:sz w:val="24"/>
              </w:rPr>
            </w:pPr>
          </w:p>
        </w:tc>
        <w:tc>
          <w:tcPr>
            <w:tcW w:w="1070"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585"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014"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color w:val="000000"/>
                <w:sz w:val="24"/>
              </w:rPr>
              <w:t>课堂教学</w:t>
            </w:r>
          </w:p>
        </w:tc>
        <w:tc>
          <w:tcPr>
            <w:tcW w:w="1070"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c>
          <w:tcPr>
            <w:tcW w:w="585"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14"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color w:val="000000"/>
                <w:sz w:val="24"/>
              </w:rPr>
              <w:t>考试</w:t>
            </w:r>
          </w:p>
        </w:tc>
        <w:tc>
          <w:tcPr>
            <w:tcW w:w="1070"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19-20</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19-20</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19-20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19-20</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19-20</w:t>
            </w:r>
          </w:p>
        </w:tc>
        <w:tc>
          <w:tcPr>
            <w:tcW w:w="585"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14"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color w:val="000000"/>
                <w:sz w:val="24"/>
              </w:rPr>
              <w:t>军训</w:t>
            </w:r>
          </w:p>
        </w:tc>
        <w:tc>
          <w:tcPr>
            <w:tcW w:w="1070"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1-2</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5"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14"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入学教育</w:t>
            </w:r>
          </w:p>
        </w:tc>
        <w:tc>
          <w:tcPr>
            <w:tcW w:w="1070"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3-8</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5"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14"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毕业设计</w:t>
            </w:r>
          </w:p>
        </w:tc>
        <w:tc>
          <w:tcPr>
            <w:tcW w:w="1070"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3"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c>
          <w:tcPr>
            <w:tcW w:w="585"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14"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color w:val="000000"/>
                <w:sz w:val="24"/>
              </w:rPr>
              <w:t>岗位实习</w:t>
            </w:r>
          </w:p>
        </w:tc>
        <w:tc>
          <w:tcPr>
            <w:tcW w:w="1070"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3"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1-20</w:t>
            </w:r>
          </w:p>
        </w:tc>
        <w:tc>
          <w:tcPr>
            <w:tcW w:w="585"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14"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color w:val="000000"/>
                <w:sz w:val="24"/>
                <w:highlight w:val="green"/>
              </w:rPr>
            </w:pPr>
            <w:r>
              <w:rPr>
                <w:rFonts w:hint="eastAsia" w:ascii="仿宋_GB2312" w:hAnsi="仿宋_GB2312" w:eastAsia="仿宋_GB2312" w:cs="仿宋_GB2312"/>
                <w:color w:val="000000"/>
                <w:sz w:val="24"/>
              </w:rPr>
              <w:t>社会实践</w:t>
            </w:r>
          </w:p>
        </w:tc>
        <w:tc>
          <w:tcPr>
            <w:tcW w:w="1070"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highlight w:val="green"/>
              </w:rPr>
            </w:pPr>
            <w:r>
              <w:rPr>
                <w:rFonts w:hint="eastAsia" w:ascii="仿宋_GB2312" w:hAnsi="仿宋_GB2312" w:eastAsia="仿宋_GB2312" w:cs="仿宋_GB2312"/>
                <w:sz w:val="24"/>
              </w:rPr>
              <w:t>1-20</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highlight w:val="green"/>
              </w:rPr>
            </w:pPr>
            <w:r>
              <w:rPr>
                <w:rFonts w:hint="eastAsia" w:ascii="仿宋_GB2312" w:hAnsi="仿宋_GB2312" w:eastAsia="仿宋_GB2312" w:cs="仿宋_GB2312"/>
                <w:sz w:val="24"/>
              </w:rPr>
              <w:t>1-20</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highlight w:val="green"/>
              </w:rPr>
            </w:pPr>
            <w:r>
              <w:rPr>
                <w:rFonts w:hint="eastAsia" w:ascii="仿宋_GB2312" w:hAnsi="仿宋_GB2312" w:eastAsia="仿宋_GB2312" w:cs="仿宋_GB2312"/>
                <w:sz w:val="24"/>
              </w:rPr>
              <w:t>1-20</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highlight w:val="green"/>
              </w:rPr>
            </w:pPr>
            <w:r>
              <w:rPr>
                <w:rFonts w:hint="eastAsia" w:ascii="仿宋_GB2312" w:hAnsi="仿宋_GB2312" w:eastAsia="仿宋_GB2312" w:cs="仿宋_GB2312"/>
                <w:sz w:val="24"/>
              </w:rPr>
              <w:t>1-20</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highlight w:val="green"/>
              </w:rPr>
            </w:pPr>
            <w:r>
              <w:rPr>
                <w:rFonts w:hint="eastAsia" w:ascii="仿宋_GB2312" w:hAnsi="仿宋_GB2312" w:eastAsia="仿宋_GB2312" w:cs="仿宋_GB2312"/>
                <w:sz w:val="24"/>
              </w:rPr>
              <w:t>1-20</w:t>
            </w:r>
          </w:p>
        </w:tc>
        <w:tc>
          <w:tcPr>
            <w:tcW w:w="585"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highlight w:val="green"/>
              </w:rPr>
            </w:pPr>
            <w:r>
              <w:rPr>
                <w:rFonts w:hint="eastAsia" w:ascii="仿宋_GB2312" w:hAnsi="仿宋_GB2312" w:eastAsia="仿宋_GB2312" w:cs="仿宋_GB2312"/>
                <w:sz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14"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毕业教育</w:t>
            </w:r>
          </w:p>
        </w:tc>
        <w:tc>
          <w:tcPr>
            <w:tcW w:w="1070"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3"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p>
        </w:tc>
        <w:tc>
          <w:tcPr>
            <w:tcW w:w="585"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14"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color w:val="000000"/>
                <w:sz w:val="24"/>
              </w:rPr>
              <w:t>学期教学总周数</w:t>
            </w:r>
          </w:p>
        </w:tc>
        <w:tc>
          <w:tcPr>
            <w:tcW w:w="1070"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20周</w:t>
            </w:r>
          </w:p>
        </w:tc>
        <w:tc>
          <w:tcPr>
            <w:tcW w:w="583"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20周</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20周</w:t>
            </w:r>
          </w:p>
        </w:tc>
        <w:tc>
          <w:tcPr>
            <w:tcW w:w="582"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20周</w:t>
            </w:r>
          </w:p>
        </w:tc>
        <w:tc>
          <w:tcPr>
            <w:tcW w:w="581"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20周</w:t>
            </w:r>
          </w:p>
        </w:tc>
        <w:tc>
          <w:tcPr>
            <w:tcW w:w="585" w:type="pct"/>
            <w:vAlign w:val="center"/>
          </w:tcPr>
          <w:p>
            <w:pPr>
              <w:keepNext w:val="0"/>
              <w:keepLines w:val="0"/>
              <w:pageBreakBefore w:val="0"/>
              <w:widowControl w:val="0"/>
              <w:kinsoku/>
              <w:wordWrap/>
              <w:overflowPunct/>
              <w:topLinePunct w:val="0"/>
              <w:autoSpaceDE/>
              <w:autoSpaceDN/>
              <w:bidi w:val="0"/>
              <w:adjustRightInd/>
              <w:snapToGrid/>
              <w:spacing w:after="0" w:line="280" w:lineRule="atLeast"/>
              <w:ind w:left="0" w:leftChars="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20周</w:t>
            </w:r>
          </w:p>
        </w:tc>
      </w:tr>
    </w:tbl>
    <w:p>
      <w:pPr>
        <w:pageBreakBefore w:val="0"/>
        <w:kinsoku/>
        <w:wordWrap/>
        <w:topLinePunct w:val="0"/>
        <w:autoSpaceDE/>
        <w:autoSpaceDN/>
        <w:bidi w:val="0"/>
        <w:spacing w:after="0" w:line="520" w:lineRule="exact"/>
        <w:ind w:left="0" w:leftChars="0" w:firstLine="640" w:firstLineChars="200"/>
        <w:rPr>
          <w:rFonts w:hint="eastAsia" w:ascii="楷体" w:hAnsi="楷体" w:eastAsia="楷体" w:cs="楷体"/>
          <w:bCs/>
          <w:sz w:val="32"/>
          <w:szCs w:val="32"/>
        </w:rPr>
      </w:pPr>
      <w:r>
        <w:rPr>
          <w:rFonts w:hint="eastAsia" w:ascii="楷体" w:hAnsi="楷体" w:eastAsia="楷体" w:cs="楷体"/>
          <w:sz w:val="32"/>
          <w:szCs w:val="32"/>
        </w:rPr>
        <w:t>（二）</w:t>
      </w:r>
      <w:r>
        <w:rPr>
          <w:rFonts w:hint="eastAsia" w:ascii="楷体" w:hAnsi="楷体" w:eastAsia="楷体" w:cs="楷体"/>
          <w:bCs/>
          <w:sz w:val="32"/>
          <w:szCs w:val="32"/>
        </w:rPr>
        <w:t>课程结构与学时、学分分配</w:t>
      </w:r>
    </w:p>
    <w:p>
      <w:pPr>
        <w:pageBreakBefore w:val="0"/>
        <w:kinsoku/>
        <w:wordWrap/>
        <w:topLinePunct w:val="0"/>
        <w:autoSpaceDE/>
        <w:autoSpaceDN/>
        <w:bidi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本专业教学总学时为</w:t>
      </w:r>
      <w:r>
        <w:rPr>
          <w:rFonts w:hint="eastAsia" w:ascii="仿宋_GB2312" w:hAnsi="仿宋_GB2312" w:eastAsia="仿宋_GB2312" w:cs="仿宋_GB2312"/>
          <w:bCs/>
          <w:sz w:val="32"/>
          <w:szCs w:val="32"/>
          <w:lang w:val="en-US" w:eastAsia="zh-CN"/>
        </w:rPr>
        <w:t>2810</w:t>
      </w:r>
      <w:r>
        <w:rPr>
          <w:rFonts w:hint="eastAsia" w:ascii="仿宋_GB2312" w:hAnsi="仿宋_GB2312" w:eastAsia="仿宋_GB2312" w:cs="仿宋_GB2312"/>
          <w:bCs/>
          <w:sz w:val="32"/>
          <w:szCs w:val="32"/>
        </w:rPr>
        <w:t>学时。其中理论教学</w:t>
      </w:r>
      <w:r>
        <w:rPr>
          <w:rFonts w:hint="eastAsia" w:ascii="仿宋_GB2312" w:hAnsi="仿宋_GB2312" w:eastAsia="仿宋_GB2312" w:cs="仿宋_GB2312"/>
          <w:bCs/>
          <w:sz w:val="32"/>
          <w:szCs w:val="32"/>
          <w:lang w:val="en-US" w:eastAsia="zh-CN"/>
        </w:rPr>
        <w:t>982</w:t>
      </w:r>
      <w:r>
        <w:rPr>
          <w:rFonts w:hint="eastAsia" w:ascii="仿宋_GB2312" w:hAnsi="仿宋_GB2312" w:eastAsia="仿宋_GB2312" w:cs="仿宋_GB2312"/>
          <w:bCs/>
          <w:sz w:val="32"/>
          <w:szCs w:val="32"/>
        </w:rPr>
        <w:t>学时，占</w:t>
      </w:r>
      <w:r>
        <w:rPr>
          <w:rFonts w:hint="eastAsia" w:ascii="仿宋_GB2312" w:hAnsi="仿宋_GB2312" w:eastAsia="仿宋_GB2312" w:cs="仿宋_GB2312"/>
          <w:bCs/>
          <w:sz w:val="32"/>
          <w:szCs w:val="32"/>
          <w:lang w:val="en-US" w:eastAsia="zh-CN"/>
        </w:rPr>
        <w:t>34.95</w:t>
      </w:r>
      <w:r>
        <w:rPr>
          <w:rFonts w:hint="eastAsia" w:ascii="仿宋_GB2312" w:hAnsi="仿宋_GB2312" w:eastAsia="仿宋_GB2312" w:cs="仿宋_GB2312"/>
          <w:bCs/>
          <w:sz w:val="32"/>
          <w:szCs w:val="32"/>
        </w:rPr>
        <w:t>%；实践教学</w:t>
      </w:r>
      <w:r>
        <w:rPr>
          <w:rFonts w:hint="eastAsia" w:ascii="仿宋_GB2312" w:hAnsi="仿宋_GB2312" w:eastAsia="仿宋_GB2312" w:cs="仿宋_GB2312"/>
          <w:bCs/>
          <w:sz w:val="32"/>
          <w:szCs w:val="32"/>
          <w:lang w:val="en-US" w:eastAsia="zh-CN"/>
        </w:rPr>
        <w:t>1828</w:t>
      </w:r>
      <w:r>
        <w:rPr>
          <w:rFonts w:hint="eastAsia" w:ascii="仿宋_GB2312" w:hAnsi="仿宋_GB2312" w:eastAsia="仿宋_GB2312" w:cs="仿宋_GB2312"/>
          <w:bCs/>
          <w:sz w:val="32"/>
          <w:szCs w:val="32"/>
        </w:rPr>
        <w:t>学时，占</w:t>
      </w:r>
      <w:r>
        <w:rPr>
          <w:rFonts w:hint="eastAsia" w:ascii="仿宋_GB2312" w:hAnsi="仿宋_GB2312" w:eastAsia="仿宋_GB2312" w:cs="仿宋_GB2312"/>
          <w:bCs/>
          <w:sz w:val="32"/>
          <w:szCs w:val="32"/>
          <w:lang w:val="en-US" w:eastAsia="zh-CN"/>
        </w:rPr>
        <w:t>65.05</w:t>
      </w:r>
      <w:r>
        <w:rPr>
          <w:rFonts w:hint="eastAsia" w:ascii="仿宋_GB2312" w:hAnsi="仿宋_GB2312" w:eastAsia="仿宋_GB2312" w:cs="仿宋_GB2312"/>
          <w:bCs/>
          <w:sz w:val="32"/>
          <w:szCs w:val="32"/>
        </w:rPr>
        <w:t>%，其中岗位实习累计时间 6个月。公共基础课85</w:t>
      </w:r>
      <w:r>
        <w:rPr>
          <w:rFonts w:hint="eastAsia" w:ascii="仿宋_GB2312" w:hAnsi="仿宋_GB2312" w:eastAsia="仿宋_GB2312" w:cs="仿宋_GB2312"/>
          <w:bCs/>
          <w:sz w:val="32"/>
          <w:szCs w:val="32"/>
          <w:lang w:val="en-US" w:eastAsia="zh-CN"/>
        </w:rPr>
        <w:t>8</w:t>
      </w:r>
      <w:r>
        <w:rPr>
          <w:rFonts w:hint="eastAsia" w:ascii="仿宋_GB2312" w:hAnsi="仿宋_GB2312" w:eastAsia="仿宋_GB2312" w:cs="仿宋_GB2312"/>
          <w:bCs/>
          <w:sz w:val="32"/>
          <w:szCs w:val="32"/>
        </w:rPr>
        <w:t>学时，占30.</w:t>
      </w:r>
      <w:r>
        <w:rPr>
          <w:rFonts w:hint="eastAsia" w:ascii="仿宋_GB2312" w:hAnsi="仿宋_GB2312" w:eastAsia="仿宋_GB2312" w:cs="仿宋_GB2312"/>
          <w:bCs/>
          <w:sz w:val="32"/>
          <w:szCs w:val="32"/>
          <w:lang w:val="en-US" w:eastAsia="zh-CN"/>
        </w:rPr>
        <w:t>53</w:t>
      </w:r>
      <w:r>
        <w:rPr>
          <w:rFonts w:hint="eastAsia" w:ascii="仿宋_GB2312" w:hAnsi="仿宋_GB2312" w:eastAsia="仿宋_GB2312" w:cs="仿宋_GB2312"/>
          <w:bCs/>
          <w:sz w:val="32"/>
          <w:szCs w:val="32"/>
        </w:rPr>
        <w:t>%；选修课</w:t>
      </w:r>
      <w:r>
        <w:rPr>
          <w:rFonts w:hint="eastAsia" w:ascii="仿宋_GB2312" w:hAnsi="仿宋_GB2312" w:eastAsia="仿宋_GB2312" w:cs="仿宋_GB2312"/>
          <w:bCs/>
          <w:sz w:val="32"/>
          <w:szCs w:val="32"/>
          <w:lang w:val="en-US" w:eastAsia="zh-CN"/>
        </w:rPr>
        <w:t>308</w:t>
      </w:r>
      <w:r>
        <w:rPr>
          <w:rFonts w:hint="eastAsia" w:ascii="仿宋_GB2312" w:hAnsi="仿宋_GB2312" w:eastAsia="仿宋_GB2312" w:cs="仿宋_GB2312"/>
          <w:bCs/>
          <w:sz w:val="32"/>
          <w:szCs w:val="32"/>
        </w:rPr>
        <w:t>学时，占10.</w:t>
      </w:r>
      <w:r>
        <w:rPr>
          <w:rFonts w:hint="eastAsia" w:ascii="仿宋_GB2312" w:hAnsi="仿宋_GB2312" w:eastAsia="仿宋_GB2312" w:cs="仿宋_GB2312"/>
          <w:bCs/>
          <w:sz w:val="32"/>
          <w:szCs w:val="32"/>
          <w:lang w:val="en-US" w:eastAsia="zh-CN"/>
        </w:rPr>
        <w:t>96</w:t>
      </w:r>
      <w:r>
        <w:rPr>
          <w:rFonts w:hint="eastAsia" w:ascii="仿宋_GB2312" w:hAnsi="仿宋_GB2312" w:eastAsia="仿宋_GB2312" w:cs="仿宋_GB2312"/>
          <w:bCs/>
          <w:sz w:val="32"/>
          <w:szCs w:val="32"/>
        </w:rPr>
        <w:t xml:space="preserve">%。         </w:t>
      </w:r>
    </w:p>
    <w:p>
      <w:pPr>
        <w:pageBreakBefore w:val="0"/>
        <w:kinsoku/>
        <w:wordWrap/>
        <w:topLinePunct w:val="0"/>
        <w:autoSpaceDE/>
        <w:autoSpaceDN/>
        <w:bidi w:val="0"/>
        <w:spacing w:after="0" w:line="520" w:lineRule="exact"/>
        <w:ind w:left="0" w:leftChars="0"/>
        <w:jc w:val="center"/>
        <w:rPr>
          <w:rFonts w:hint="eastAsia" w:ascii="仿宋_GB2312" w:hAnsi="仿宋_GB2312" w:eastAsia="仿宋_GB2312" w:cs="仿宋_GB2312"/>
          <w:spacing w:val="-2"/>
          <w:sz w:val="32"/>
          <w:szCs w:val="32"/>
        </w:rPr>
      </w:pPr>
      <w:r>
        <w:rPr>
          <w:rFonts w:hint="eastAsia" w:ascii="仿宋_GB2312" w:hAnsi="仿宋_GB2312" w:eastAsia="仿宋_GB2312" w:cs="仿宋_GB2312"/>
          <w:sz w:val="32"/>
          <w:szCs w:val="32"/>
        </w:rPr>
        <w:t>表9</w:t>
      </w:r>
      <w:r>
        <w:rPr>
          <w:rFonts w:hint="eastAsia" w:ascii="仿宋_GB2312" w:hAnsi="仿宋_GB2312" w:eastAsia="仿宋_GB2312" w:cs="仿宋_GB2312"/>
          <w:spacing w:val="-2"/>
          <w:sz w:val="32"/>
          <w:szCs w:val="32"/>
        </w:rPr>
        <w:t>课程学时、学分分配表</w:t>
      </w:r>
    </w:p>
    <w:tbl>
      <w:tblPr>
        <w:tblStyle w:val="7"/>
        <w:tblW w:w="106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7"/>
        <w:gridCol w:w="1900"/>
        <w:gridCol w:w="934"/>
        <w:gridCol w:w="718"/>
        <w:gridCol w:w="1118"/>
        <w:gridCol w:w="896"/>
        <w:gridCol w:w="759"/>
        <w:gridCol w:w="1261"/>
        <w:gridCol w:w="750"/>
        <w:gridCol w:w="12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课程类别</w:t>
            </w:r>
          </w:p>
        </w:tc>
        <w:tc>
          <w:tcPr>
            <w:tcW w:w="9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课程性质</w:t>
            </w:r>
          </w:p>
        </w:tc>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学分</w:t>
            </w:r>
          </w:p>
        </w:tc>
        <w:tc>
          <w:tcPr>
            <w:tcW w:w="1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占专业总学分比例</w:t>
            </w:r>
          </w:p>
        </w:tc>
        <w:tc>
          <w:tcPr>
            <w:tcW w:w="493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                         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ind w:left="0" w:leftChars="0"/>
              <w:jc w:val="center"/>
              <w:rPr>
                <w:rFonts w:hint="eastAsia" w:ascii="仿宋_GB2312" w:hAnsi="仿宋_GB2312" w:eastAsia="仿宋_GB2312" w:cs="仿宋_GB2312"/>
                <w:i w:val="0"/>
                <w:iCs w:val="0"/>
                <w:color w:val="000000"/>
                <w:sz w:val="24"/>
                <w:szCs w:val="24"/>
                <w:u w:val="none"/>
              </w:rPr>
            </w:pPr>
          </w:p>
        </w:tc>
        <w:tc>
          <w:tcPr>
            <w:tcW w:w="9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ind w:left="0" w:leftChars="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ind w:left="0" w:leftChars="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ind w:left="0" w:leftChars="0"/>
              <w:jc w:val="center"/>
              <w:rPr>
                <w:rFonts w:hint="eastAsia" w:ascii="仿宋_GB2312" w:hAnsi="仿宋_GB2312" w:eastAsia="仿宋_GB2312" w:cs="仿宋_GB2312"/>
                <w:i w:val="0"/>
                <w:iCs w:val="0"/>
                <w:color w:val="000000"/>
                <w:sz w:val="24"/>
                <w:szCs w:val="24"/>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合计</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理论教学</w:t>
            </w:r>
          </w:p>
        </w:tc>
        <w:tc>
          <w:tcPr>
            <w:tcW w:w="20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实践教学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29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ind w:left="0" w:leftChars="0"/>
              <w:jc w:val="center"/>
              <w:rPr>
                <w:rFonts w:hint="eastAsia" w:ascii="仿宋_GB2312" w:hAnsi="仿宋_GB2312" w:eastAsia="仿宋_GB2312" w:cs="仿宋_GB2312"/>
                <w:i w:val="0"/>
                <w:iCs w:val="0"/>
                <w:color w:val="000000"/>
                <w:sz w:val="24"/>
                <w:szCs w:val="24"/>
                <w:u w:val="none"/>
              </w:rPr>
            </w:pPr>
          </w:p>
        </w:tc>
        <w:tc>
          <w:tcPr>
            <w:tcW w:w="9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ind w:left="0" w:leftChars="0"/>
              <w:jc w:val="center"/>
              <w:rPr>
                <w:rFonts w:hint="eastAsia" w:ascii="仿宋_GB2312" w:hAnsi="仿宋_GB2312" w:eastAsia="仿宋_GB2312" w:cs="仿宋_GB2312"/>
                <w:i w:val="0"/>
                <w:iCs w:val="0"/>
                <w:color w:val="000000"/>
                <w:sz w:val="24"/>
                <w:szCs w:val="24"/>
                <w:u w:val="none"/>
              </w:rPr>
            </w:pPr>
          </w:p>
        </w:tc>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ind w:left="0" w:leftChars="0"/>
              <w:rPr>
                <w:rFonts w:hint="eastAsia" w:ascii="仿宋_GB2312" w:hAnsi="仿宋_GB2312" w:eastAsia="仿宋_GB2312" w:cs="仿宋_GB2312"/>
                <w:i w:val="0"/>
                <w:iCs w:val="0"/>
                <w:color w:val="000000"/>
                <w:sz w:val="24"/>
                <w:szCs w:val="24"/>
                <w:u w:val="none"/>
              </w:rPr>
            </w:pPr>
          </w:p>
        </w:tc>
        <w:tc>
          <w:tcPr>
            <w:tcW w:w="1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ind w:left="0" w:leftChars="0"/>
              <w:jc w:val="center"/>
              <w:rPr>
                <w:rFonts w:hint="eastAsia" w:ascii="仿宋_GB2312" w:hAnsi="仿宋_GB2312" w:eastAsia="仿宋_GB2312" w:cs="仿宋_GB2312"/>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ind w:left="0" w:leftChars="0"/>
              <w:rPr>
                <w:rFonts w:hint="eastAsia" w:ascii="仿宋_GB2312" w:hAnsi="仿宋_GB2312" w:eastAsia="仿宋_GB2312" w:cs="仿宋_GB2312"/>
                <w:i w:val="0"/>
                <w:iCs w:val="0"/>
                <w:color w:val="000000"/>
                <w:sz w:val="24"/>
                <w:szCs w:val="24"/>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学时</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占专业总学时比例（%）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公共基础课</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25.50%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13.88%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29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ind w:left="0" w:leftChars="0"/>
              <w:jc w:val="center"/>
              <w:rPr>
                <w:rFonts w:hint="eastAsia" w:ascii="仿宋_GB2312" w:hAnsi="仿宋_GB2312" w:eastAsia="仿宋_GB2312" w:cs="仿宋_GB2312"/>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29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320" w:lineRule="exact"/>
              <w:ind w:left="0" w:leftChars="0"/>
              <w:jc w:val="center"/>
              <w:rPr>
                <w:rFonts w:hint="eastAsia" w:ascii="仿宋_GB2312" w:hAnsi="仿宋_GB2312" w:eastAsia="仿宋_GB2312" w:cs="仿宋_GB2312"/>
                <w:i w:val="0"/>
                <w:iCs w:val="0"/>
                <w:color w:val="000000"/>
                <w:sz w:val="24"/>
                <w:szCs w:val="24"/>
                <w:u w:val="none"/>
              </w:rPr>
            </w:pP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30.87%</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858</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16.73%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专业课</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专业基础课</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25.50%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684</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7"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ind w:left="0" w:leftChars="0"/>
              <w:jc w:val="center"/>
              <w:rPr>
                <w:rFonts w:hint="eastAsia" w:ascii="仿宋_GB2312" w:hAnsi="仿宋_GB2312" w:eastAsia="仿宋_GB2312" w:cs="仿宋_GB2312"/>
                <w:i w:val="0"/>
                <w:iCs w:val="0"/>
                <w:color w:val="000000"/>
                <w:sz w:val="24"/>
                <w:szCs w:val="24"/>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专业核心课</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21.48%</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576</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416</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7"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320" w:lineRule="exact"/>
              <w:ind w:left="0" w:leftChars="0"/>
              <w:jc w:val="center"/>
              <w:rPr>
                <w:rFonts w:hint="eastAsia" w:ascii="仿宋_GB2312" w:hAnsi="仿宋_GB2312" w:eastAsia="仿宋_GB2312" w:cs="仿宋_GB2312"/>
                <w:i w:val="0"/>
                <w:iCs w:val="0"/>
                <w:color w:val="000000"/>
                <w:sz w:val="24"/>
                <w:szCs w:val="24"/>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专业拓展课</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选修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6.71%</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027"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9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实践</w:t>
            </w:r>
            <w:r>
              <w:rPr>
                <w:rFonts w:hint="eastAsia" w:ascii="仿宋_GB2312" w:hAnsi="仿宋_GB2312" w:eastAsia="仿宋_GB2312" w:cs="仿宋_GB2312"/>
                <w:i w:val="0"/>
                <w:iCs w:val="0"/>
                <w:color w:val="000000"/>
                <w:sz w:val="24"/>
                <w:szCs w:val="24"/>
                <w:u w:val="none"/>
                <w:lang w:val="en-US" w:eastAsia="zh-CN"/>
              </w:rPr>
              <w:t>性</w:t>
            </w:r>
            <w:r>
              <w:rPr>
                <w:rFonts w:hint="eastAsia" w:ascii="仿宋_GB2312" w:hAnsi="仿宋_GB2312" w:eastAsia="仿宋_GB2312" w:cs="仿宋_GB2312"/>
                <w:i w:val="0"/>
                <w:iCs w:val="0"/>
                <w:color w:val="000000"/>
                <w:sz w:val="24"/>
                <w:szCs w:val="24"/>
                <w:u w:val="none"/>
              </w:rPr>
              <w:t>教学环节</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必修</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15.44%</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0.71%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492</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02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283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小计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103</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69.13%</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18.22%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1440</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386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合计</w:t>
            </w:r>
          </w:p>
        </w:tc>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2810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34.95%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1828</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320" w:lineRule="exact"/>
              <w:ind w:left="0" w:leftChars="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65.05%</w:t>
            </w:r>
          </w:p>
        </w:tc>
      </w:tr>
    </w:tbl>
    <w:p>
      <w:pPr>
        <w:pageBreakBefore w:val="0"/>
        <w:numPr>
          <w:ilvl w:val="0"/>
          <w:numId w:val="1"/>
        </w:numPr>
        <w:kinsoku/>
        <w:wordWrap/>
        <w:topLinePunct w:val="0"/>
        <w:autoSpaceDE/>
        <w:autoSpaceDN/>
        <w:bidi w:val="0"/>
        <w:spacing w:after="0" w:line="520" w:lineRule="exact"/>
        <w:ind w:left="0" w:leftChars="0" w:firstLine="640" w:firstLineChars="200"/>
        <w:rPr>
          <w:rFonts w:hint="eastAsia" w:ascii="楷体" w:hAnsi="楷体" w:eastAsia="楷体" w:cs="楷体"/>
          <w:sz w:val="32"/>
          <w:szCs w:val="32"/>
        </w:rPr>
      </w:pPr>
      <w:r>
        <w:rPr>
          <w:rFonts w:hint="eastAsia" w:ascii="楷体" w:hAnsi="楷体" w:eastAsia="楷体" w:cs="楷体"/>
          <w:sz w:val="32"/>
          <w:szCs w:val="32"/>
        </w:rPr>
        <w:t>教学计划进程</w:t>
      </w:r>
    </w:p>
    <w:p>
      <w:pPr>
        <w:pageBreakBefore w:val="0"/>
        <w:numPr>
          <w:numId w:val="0"/>
        </w:numPr>
        <w:kinsoku/>
        <w:wordWrap/>
        <w:topLinePunct w:val="0"/>
        <w:autoSpaceDE/>
        <w:autoSpaceDN/>
        <w:bidi w:val="0"/>
        <w:spacing w:after="0" w:line="520" w:lineRule="exact"/>
        <w:ind w:leftChars="200"/>
        <w:rPr>
          <w:rFonts w:hint="eastAsia" w:ascii="楷体" w:hAnsi="楷体" w:eastAsia="楷体" w:cs="楷体"/>
          <w:sz w:val="32"/>
          <w:szCs w:val="32"/>
        </w:rPr>
      </w:pPr>
    </w:p>
    <w:p>
      <w:pPr>
        <w:pStyle w:val="6"/>
        <w:pageBreakBefore w:val="0"/>
        <w:shd w:val="clear" w:color="auto" w:fill="FFFFFF"/>
        <w:kinsoku/>
        <w:wordWrap/>
        <w:topLinePunct w:val="0"/>
        <w:autoSpaceDE/>
        <w:autoSpaceDN/>
        <w:bidi w:val="0"/>
        <w:spacing w:before="0" w:beforeAutospacing="0" w:after="0" w:afterAutospacing="0" w:line="520" w:lineRule="exact"/>
        <w:ind w:left="0" w:leftChars="0"/>
        <w:jc w:val="center"/>
        <w:rPr>
          <w:rFonts w:hint="eastAsia" w:ascii="黑体" w:hAnsi="黑体" w:eastAsia="黑体" w:cs="黑体"/>
          <w:sz w:val="32"/>
          <w:szCs w:val="32"/>
        </w:rPr>
      </w:pPr>
      <w:r>
        <w:rPr>
          <w:rFonts w:hint="eastAsia" w:ascii="仿宋_GB2312" w:hAnsi="仿宋_GB2312" w:eastAsia="仿宋_GB2312" w:cs="仿宋_GB2312"/>
          <w:sz w:val="32"/>
          <w:szCs w:val="32"/>
        </w:rPr>
        <w:t>表10</w:t>
      </w:r>
      <w:r>
        <w:rPr>
          <w:rFonts w:hint="eastAsia" w:ascii="仿宋_GB2312" w:hAnsi="仿宋_GB2312" w:eastAsia="仿宋_GB2312" w:cs="仿宋_GB2312"/>
          <w:sz w:val="32"/>
          <w:szCs w:val="32"/>
          <w:shd w:val="clear" w:color="auto" w:fill="FFFFFF"/>
          <w:lang w:bidi="ar"/>
        </w:rPr>
        <w:t>教学计划进程安排表</w:t>
      </w:r>
    </w:p>
    <w:tbl>
      <w:tblPr>
        <w:tblStyle w:val="7"/>
        <w:tblW w:w="575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3"/>
        <w:gridCol w:w="4"/>
        <w:gridCol w:w="378"/>
        <w:gridCol w:w="480"/>
        <w:gridCol w:w="720"/>
        <w:gridCol w:w="1425"/>
        <w:gridCol w:w="1470"/>
        <w:gridCol w:w="965"/>
        <w:gridCol w:w="780"/>
        <w:gridCol w:w="758"/>
        <w:gridCol w:w="732"/>
        <w:gridCol w:w="240"/>
        <w:gridCol w:w="354"/>
        <w:gridCol w:w="354"/>
        <w:gridCol w:w="354"/>
        <w:gridCol w:w="480"/>
        <w:gridCol w:w="365"/>
        <w:gridCol w:w="498"/>
        <w:gridCol w:w="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312" w:hRule="atLeast"/>
          <w:jc w:val="center"/>
        </w:trPr>
        <w:tc>
          <w:tcPr>
            <w:tcW w:w="118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left"/>
              <w:textAlignment w:val="center"/>
              <w:rPr>
                <w:rFonts w:hint="eastAsia" w:ascii="仿宋_GB2312" w:hAnsi="仿宋_GB2312" w:eastAsia="仿宋_GB2312" w:cs="仿宋_GB2312"/>
                <w:i w:val="0"/>
                <w:iCs w:val="0"/>
                <w:color w:val="auto"/>
                <w:sz w:val="20"/>
                <w:szCs w:val="20"/>
                <w:u w:val="none"/>
              </w:rPr>
            </w:pPr>
            <w:bookmarkStart w:id="14" w:name="OLE_LINK3"/>
            <w:r>
              <w:rPr>
                <w:rFonts w:hint="eastAsia" w:ascii="仿宋_GB2312" w:hAnsi="仿宋_GB2312" w:eastAsia="仿宋_GB2312" w:cs="仿宋_GB2312"/>
                <w:i w:val="0"/>
                <w:color w:val="000000"/>
                <w:kern w:val="0"/>
                <w:sz w:val="20"/>
                <w:szCs w:val="20"/>
                <w:u w:val="none"/>
                <w:lang w:val="en-US" w:eastAsia="zh-CN" w:bidi="ar"/>
              </w:rPr>
              <w:t>课程类型</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序号</w:t>
            </w: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课程代码</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课程名称</w:t>
            </w:r>
          </w:p>
        </w:tc>
        <w:tc>
          <w:tcPr>
            <w:tcW w:w="9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学分</w:t>
            </w:r>
          </w:p>
        </w:tc>
        <w:tc>
          <w:tcPr>
            <w:tcW w:w="227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教学学时数</w:t>
            </w:r>
          </w:p>
        </w:tc>
        <w:tc>
          <w:tcPr>
            <w:tcW w:w="2147"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开课学期和周学时</w:t>
            </w:r>
          </w:p>
        </w:tc>
        <w:tc>
          <w:tcPr>
            <w:tcW w:w="4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考核类型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466" w:hRule="atLeast"/>
          <w:jc w:val="center"/>
        </w:trPr>
        <w:tc>
          <w:tcPr>
            <w:tcW w:w="118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left"/>
              <w:rPr>
                <w:rFonts w:hint="eastAsia" w:ascii="仿宋_GB2312" w:hAnsi="仿宋_GB2312" w:eastAsia="仿宋_GB2312" w:cs="仿宋_GB2312"/>
                <w:i w:val="0"/>
                <w:iCs w:val="0"/>
                <w:color w:val="auto"/>
                <w:sz w:val="20"/>
                <w:szCs w:val="20"/>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27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214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118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left"/>
              <w:rPr>
                <w:rFonts w:hint="eastAsia" w:ascii="仿宋_GB2312" w:hAnsi="仿宋_GB2312" w:eastAsia="仿宋_GB2312" w:cs="仿宋_GB2312"/>
                <w:i w:val="0"/>
                <w:iCs w:val="0"/>
                <w:color w:val="auto"/>
                <w:sz w:val="20"/>
                <w:szCs w:val="20"/>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合计</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理论学时</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实践学时</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公共基础课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思想道德与法治</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1A410101102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形势与政策</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1到4学期开课，每学期8学时。</w:t>
            </w: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1A410101103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国家安全教育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1A410101104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军事理论</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lang w:val="en-US" w:eastAsia="zh-CN"/>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1C410101105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军训</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112</w:t>
            </w:r>
          </w:p>
        </w:tc>
        <w:tc>
          <w:tcPr>
            <w:tcW w:w="21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第1学期，实际训练时间不少于14天</w:t>
            </w: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1B410101106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计算机基础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64</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1B410101108</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大学英语</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128</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104</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1C410101109</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大学体育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108</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9</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1B410101110</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大学生职业发展与就业指导</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38</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1B410101111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大学生心理健康教育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1C410101112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劳动教育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1B410101113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毛泽东思想和中国特色社会主义理论体系概论</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28</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1B410101114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创新创业教育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1B410101115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习近平新时代中国特色社会主义思想概论</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nil"/>
              <w:left w:val="nil"/>
              <w:bottom w:val="nil"/>
              <w:right w:val="nil"/>
            </w:tcBorders>
            <w:shd w:val="clear" w:color="auto" w:fill="auto"/>
            <w:noWrap/>
            <w:vAlign w:val="center"/>
          </w:tcPr>
          <w:p>
            <w:pPr>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选修</w:t>
            </w: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中国民俗剪纸技法</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147" w:type="dxa"/>
            <w:gridSpan w:val="6"/>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公共选修课最低学分要求为 8学分，其中要求2个学分为思政选修课学分。</w:t>
            </w: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影视与鉴赏</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中华优秀传统文化</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中国共产党简史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改革开放简史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中华人民共和国简史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1B410101207</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社会主义发展简史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1B410101208</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中华民族共同体概论</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1B410101209</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高等数学</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500"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1B410101210</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语文</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147" w:type="dxa"/>
            <w:gridSpan w:val="6"/>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9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公共必修课程学分、学时小计</w:t>
            </w:r>
          </w:p>
        </w:tc>
        <w:tc>
          <w:tcPr>
            <w:tcW w:w="9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38</w:t>
            </w:r>
          </w:p>
        </w:tc>
        <w:tc>
          <w:tcPr>
            <w:tcW w:w="7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730</w:t>
            </w:r>
          </w:p>
        </w:tc>
        <w:tc>
          <w:tcPr>
            <w:tcW w:w="75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390</w:t>
            </w:r>
          </w:p>
        </w:tc>
        <w:tc>
          <w:tcPr>
            <w:tcW w:w="73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340</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both"/>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9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公共必修课程学分、学时占比</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25.50%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pacing w:val="-6"/>
                <w:kern w:val="0"/>
                <w:sz w:val="20"/>
                <w:szCs w:val="20"/>
                <w:u w:val="none"/>
                <w:lang w:val="en-US" w:eastAsia="zh-CN" w:bidi="ar"/>
              </w:rPr>
            </w:pPr>
            <w:r>
              <w:rPr>
                <w:rFonts w:hint="eastAsia" w:ascii="仿宋_GB2312" w:hAnsi="仿宋_GB2312" w:eastAsia="仿宋_GB2312" w:cs="仿宋_GB2312"/>
                <w:i w:val="0"/>
                <w:iCs w:val="0"/>
                <w:color w:val="000000"/>
                <w:spacing w:val="-6"/>
                <w:kern w:val="0"/>
                <w:sz w:val="20"/>
                <w:szCs w:val="20"/>
                <w:u w:val="none"/>
                <w:lang w:val="en-US" w:eastAsia="zh-CN" w:bidi="ar"/>
              </w:rPr>
              <w:t>25.98%</w:t>
            </w:r>
          </w:p>
        </w:tc>
        <w:tc>
          <w:tcPr>
            <w:tcW w:w="75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13.88%</w:t>
            </w:r>
          </w:p>
        </w:tc>
        <w:tc>
          <w:tcPr>
            <w:tcW w:w="73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pacing w:val="-11"/>
                <w:kern w:val="0"/>
                <w:sz w:val="20"/>
                <w:szCs w:val="20"/>
                <w:u w:val="none"/>
                <w:lang w:val="en-US" w:eastAsia="zh-CN" w:bidi="ar"/>
              </w:rPr>
            </w:pPr>
            <w:r>
              <w:rPr>
                <w:rFonts w:hint="eastAsia" w:ascii="仿宋_GB2312" w:hAnsi="仿宋_GB2312" w:eastAsia="仿宋_GB2312" w:cs="仿宋_GB2312"/>
                <w:i w:val="0"/>
                <w:iCs w:val="0"/>
                <w:color w:val="000000"/>
                <w:spacing w:val="-17"/>
                <w:kern w:val="0"/>
                <w:sz w:val="20"/>
                <w:szCs w:val="20"/>
                <w:u w:val="none"/>
                <w:lang w:val="en-US" w:eastAsia="zh-CN" w:bidi="ar"/>
              </w:rPr>
              <w:t>12.10%</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both"/>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9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公共选修课程学分、学时小计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128</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80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48</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both"/>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 w:hRule="atLeast"/>
          <w:jc w:val="center"/>
        </w:trPr>
        <w:tc>
          <w:tcPr>
            <w:tcW w:w="7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09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公共选修课程学分、学时占比</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5.37%</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4.56%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2.85%</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1.71%</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323"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专业课</w:t>
            </w:r>
          </w:p>
        </w:tc>
        <w:tc>
          <w:tcPr>
            <w:tcW w:w="382" w:type="dxa"/>
            <w:gridSpan w:val="2"/>
            <w:vMerge w:val="restart"/>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专业基础课</w:t>
            </w:r>
          </w:p>
        </w:tc>
        <w:tc>
          <w:tcPr>
            <w:tcW w:w="480"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4B550104301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设计构成基础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144</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44</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4A550111301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艺术概论</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lang w:eastAsia="zh-CN"/>
              </w:rPr>
            </w:pPr>
            <w:r>
              <w:rPr>
                <w:rFonts w:hint="eastAsia" w:ascii="仿宋_GB2312" w:hAnsi="仿宋_GB2312" w:eastAsia="仿宋_GB2312" w:cs="仿宋_GB2312"/>
                <w:color w:val="000000"/>
                <w:kern w:val="0"/>
                <w:sz w:val="20"/>
                <w:szCs w:val="20"/>
                <w:highlight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4A550111302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艺术史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val="en-US" w:eastAsia="zh-CN" w:bidi="ar"/>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4B550104302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数字图形</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4B550104303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产品三维软件应用</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4B550104304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auto"/>
                <w:kern w:val="0"/>
                <w:sz w:val="20"/>
                <w:szCs w:val="20"/>
                <w:lang w:bidi="ar"/>
              </w:rPr>
              <w:t>设计创意</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auto"/>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4B550104305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auto"/>
                <w:kern w:val="0"/>
                <w:sz w:val="20"/>
                <w:szCs w:val="20"/>
                <w:lang w:bidi="ar"/>
              </w:rPr>
              <w:t>造型基础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auto"/>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8</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4B550104306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auto"/>
                <w:kern w:val="0"/>
                <w:sz w:val="20"/>
                <w:szCs w:val="20"/>
                <w:lang w:bidi="ar"/>
              </w:rPr>
              <w:t>产品材料与工艺</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auto"/>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9</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4B550104307</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auto"/>
                <w:kern w:val="0"/>
                <w:sz w:val="20"/>
                <w:szCs w:val="20"/>
                <w:lang w:bidi="ar"/>
              </w:rPr>
              <w:t>工业设计史</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auto"/>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4B550104308</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人机工程应用</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专业核心课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必修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4B550104401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设计程序与方法</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4B550104402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产品功能与结构设计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4B550104403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产品形态设计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4B550104404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产品品牌与包装设计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4B550104405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产品界面设计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6</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4B550104406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产品模型制作</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7</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4B550104407</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产品项目设计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color w:val="000000"/>
                <w:kern w:val="0"/>
                <w:sz w:val="20"/>
                <w:szCs w:val="20"/>
                <w:u w:val="none"/>
                <w:lang w:val="en-US" w:eastAsia="zh-CN" w:bidi="ar"/>
              </w:rPr>
              <w:t>8</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4B550104408</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产品整合创新设计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72</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52</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highlight w:val="none"/>
                <w:lang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color w:val="000000"/>
                <w:kern w:val="0"/>
                <w:sz w:val="20"/>
                <w:szCs w:val="20"/>
                <w:u w:val="none"/>
                <w:lang w:val="en-US" w:eastAsia="zh-CN" w:bidi="ar"/>
              </w:rPr>
              <w:t>专业拓展课</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选修</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4B550104501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版面设计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99" w:type="dxa"/>
            <w:gridSpan w:val="3"/>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auto"/>
                <w:sz w:val="20"/>
                <w:szCs w:val="20"/>
                <w:u w:val="none"/>
              </w:rPr>
              <w:t>专业拓展课最低学分要求为</w:t>
            </w:r>
            <w:r>
              <w:rPr>
                <w:rFonts w:hint="eastAsia" w:ascii="仿宋_GB2312" w:hAnsi="仿宋_GB2312" w:eastAsia="仿宋_GB2312" w:cs="仿宋_GB2312"/>
                <w:i w:val="0"/>
                <w:iCs w:val="0"/>
                <w:color w:val="auto"/>
                <w:sz w:val="20"/>
                <w:szCs w:val="20"/>
                <w:u w:val="none"/>
                <w:lang w:val="en-US" w:eastAsia="zh-CN"/>
              </w:rPr>
              <w:t>10</w:t>
            </w:r>
            <w:r>
              <w:rPr>
                <w:rFonts w:hint="eastAsia" w:ascii="仿宋_GB2312" w:hAnsi="仿宋_GB2312" w:eastAsia="仿宋_GB2312" w:cs="仿宋_GB2312"/>
                <w:i w:val="0"/>
                <w:iCs w:val="0"/>
                <w:color w:val="auto"/>
                <w:sz w:val="20"/>
                <w:szCs w:val="20"/>
                <w:u w:val="none"/>
              </w:rPr>
              <w:t>学分</w:t>
            </w: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4B550104502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非遗再设计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4B550104503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产品动态表现</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4B550104504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交互设计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705"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4B550104505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用户体验设计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6</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4B550104506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产品策划与推广</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03"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p>
        </w:tc>
        <w:tc>
          <w:tcPr>
            <w:tcW w:w="480"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7</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4B550104507</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知识产权</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8</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4B550104508</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3D 打印技术</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9</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4B550104509</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数字创意思维</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 w:type="dxa"/>
          <w:trHeight w:val="24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10</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4B550104510</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大数据与人工智能导论</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6" w:type="dxa"/>
          <w:trHeight w:val="320" w:hRule="atLeast"/>
          <w:jc w:val="center"/>
        </w:trPr>
        <w:tc>
          <w:tcPr>
            <w:tcW w:w="3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82" w:type="dxa"/>
            <w:gridSpan w:val="2"/>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4B550104511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color w:val="000000"/>
                <w:kern w:val="0"/>
                <w:sz w:val="20"/>
                <w:szCs w:val="20"/>
                <w:lang w:bidi="ar"/>
              </w:rPr>
              <w:t>大数据商业策略</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36</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732"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24</w:t>
            </w:r>
          </w:p>
        </w:tc>
        <w:tc>
          <w:tcPr>
            <w:tcW w:w="2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1199" w:type="dxa"/>
            <w:gridSpan w:val="3"/>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color w:val="auto"/>
                <w:sz w:val="20"/>
                <w:szCs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bidi="ar"/>
              </w:rPr>
              <w:t>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jc w:val="center"/>
        </w:trPr>
        <w:tc>
          <w:tcPr>
            <w:tcW w:w="327" w:type="dxa"/>
            <w:gridSpan w:val="2"/>
            <w:vMerge w:val="restart"/>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rPr>
            </w:pPr>
          </w:p>
        </w:tc>
        <w:tc>
          <w:tcPr>
            <w:tcW w:w="378" w:type="dxa"/>
            <w:vMerge w:val="restart"/>
            <w:tcBorders>
              <w:top w:val="single" w:color="000000"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exact"/>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实践性教学环节</w:t>
            </w:r>
          </w:p>
        </w:tc>
        <w:tc>
          <w:tcPr>
            <w:tcW w:w="480"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必修</w:t>
            </w:r>
          </w:p>
        </w:tc>
        <w:tc>
          <w:tcPr>
            <w:tcW w:w="72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1</w:t>
            </w:r>
          </w:p>
        </w:tc>
        <w:tc>
          <w:tcPr>
            <w:tcW w:w="142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1B410101601</w:t>
            </w:r>
          </w:p>
        </w:tc>
        <w:tc>
          <w:tcPr>
            <w:tcW w:w="147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毕业设计</w:t>
            </w:r>
          </w:p>
        </w:tc>
        <w:tc>
          <w:tcPr>
            <w:tcW w:w="96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78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80</w:t>
            </w:r>
          </w:p>
        </w:tc>
        <w:tc>
          <w:tcPr>
            <w:tcW w:w="75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73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60</w:t>
            </w:r>
          </w:p>
        </w:tc>
        <w:tc>
          <w:tcPr>
            <w:tcW w:w="240"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auto"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color w:val="000000"/>
                <w:sz w:val="20"/>
                <w:szCs w:val="20"/>
                <w:lang w:val="en-US" w:eastAsia="zh-CN"/>
              </w:rPr>
              <w:t>20</w:t>
            </w:r>
          </w:p>
        </w:tc>
        <w:tc>
          <w:tcPr>
            <w:tcW w:w="365" w:type="dxa"/>
            <w:tcBorders>
              <w:top w:val="single" w:color="000000" w:sz="4" w:space="0"/>
              <w:left w:val="single" w:color="000000" w:sz="4" w:space="0"/>
              <w:bottom w:val="single" w:color="auto"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327" w:type="dxa"/>
            <w:gridSpan w:val="2"/>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78" w:type="dxa"/>
            <w:vMerge w:val="continue"/>
            <w:tcBorders>
              <w:left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auto"/>
                <w:sz w:val="20"/>
                <w:szCs w:val="20"/>
                <w:u w:val="none"/>
                <w:lang w:val="en-US" w:eastAsia="zh-CN"/>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1C410101602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岗位实习</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18</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topLinePunct w:val="0"/>
              <w:autoSpaceDE/>
              <w:autoSpaceDN/>
              <w:bidi w:val="0"/>
              <w:spacing w:after="0"/>
              <w:ind w:left="0" w:leftChars="0"/>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4800" w:type="dxa"/>
            <w:gridSpan w:val="7"/>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专业必修课程学分、学时小计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70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1260</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432</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828</w:t>
            </w:r>
          </w:p>
        </w:tc>
        <w:tc>
          <w:tcPr>
            <w:tcW w:w="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48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专业必修课程学分、学时占比</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46.98%</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pacing w:val="-6"/>
                <w:kern w:val="0"/>
                <w:sz w:val="20"/>
                <w:szCs w:val="20"/>
                <w:u w:val="none"/>
                <w:lang w:val="en-US" w:eastAsia="zh-CN" w:bidi="ar"/>
              </w:rPr>
            </w:pPr>
            <w:r>
              <w:rPr>
                <w:rFonts w:hint="eastAsia" w:ascii="仿宋_GB2312" w:hAnsi="仿宋_GB2312" w:eastAsia="仿宋_GB2312" w:cs="仿宋_GB2312"/>
                <w:i w:val="0"/>
                <w:iCs w:val="0"/>
                <w:color w:val="000000"/>
                <w:spacing w:val="-6"/>
                <w:kern w:val="0"/>
                <w:sz w:val="20"/>
                <w:szCs w:val="20"/>
                <w:u w:val="none"/>
                <w:lang w:val="en-US" w:eastAsia="zh-CN" w:bidi="ar"/>
              </w:rPr>
              <w:t>44.84%</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pacing w:val="-11"/>
                <w:kern w:val="0"/>
                <w:sz w:val="20"/>
                <w:szCs w:val="20"/>
                <w:u w:val="none"/>
                <w:lang w:val="en-US" w:eastAsia="zh-CN" w:bidi="ar"/>
              </w:rPr>
            </w:pPr>
            <w:r>
              <w:rPr>
                <w:rFonts w:hint="eastAsia" w:ascii="仿宋_GB2312" w:hAnsi="仿宋_GB2312" w:eastAsia="仿宋_GB2312" w:cs="仿宋_GB2312"/>
                <w:i w:val="0"/>
                <w:iCs w:val="0"/>
                <w:color w:val="000000"/>
                <w:spacing w:val="-11"/>
                <w:kern w:val="0"/>
                <w:sz w:val="20"/>
                <w:szCs w:val="20"/>
                <w:u w:val="none"/>
                <w:lang w:val="en-US" w:eastAsia="zh-CN" w:bidi="ar"/>
              </w:rPr>
              <w:t>15.37%</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pacing w:val="-11"/>
                <w:kern w:val="0"/>
                <w:sz w:val="20"/>
                <w:szCs w:val="20"/>
                <w:u w:val="none"/>
                <w:lang w:val="en-US" w:eastAsia="zh-CN" w:bidi="ar"/>
              </w:rPr>
            </w:pPr>
            <w:r>
              <w:rPr>
                <w:rFonts w:hint="eastAsia" w:ascii="仿宋_GB2312" w:hAnsi="仿宋_GB2312" w:eastAsia="仿宋_GB2312" w:cs="仿宋_GB2312"/>
                <w:i w:val="0"/>
                <w:iCs w:val="0"/>
                <w:color w:val="000000"/>
                <w:spacing w:val="-17"/>
                <w:kern w:val="0"/>
                <w:sz w:val="20"/>
                <w:szCs w:val="20"/>
                <w:u w:val="none"/>
                <w:lang w:val="en-US" w:eastAsia="zh-CN" w:bidi="ar"/>
              </w:rPr>
              <w:t>29.47%</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48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专业拓展课程学分、学时小计</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180</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60</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120</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48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专业拓展课程学分、学时占比</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6.71%</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6.41%</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2.14%</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4.27%</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48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总学分、学时合计</w:t>
            </w:r>
          </w:p>
        </w:tc>
        <w:tc>
          <w:tcPr>
            <w:tcW w:w="96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149</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2810</w:t>
            </w:r>
          </w:p>
        </w:tc>
        <w:tc>
          <w:tcPr>
            <w:tcW w:w="758"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lang w:val="en-US"/>
              </w:rPr>
            </w:pPr>
            <w:r>
              <w:rPr>
                <w:rFonts w:hint="eastAsia" w:ascii="仿宋_GB2312" w:hAnsi="仿宋_GB2312" w:eastAsia="仿宋_GB2312" w:cs="仿宋_GB2312"/>
                <w:i w:val="0"/>
                <w:iCs w:val="0"/>
                <w:color w:val="000000"/>
                <w:kern w:val="0"/>
                <w:sz w:val="20"/>
                <w:szCs w:val="20"/>
                <w:u w:val="none"/>
                <w:lang w:val="en-US" w:eastAsia="zh-CN" w:bidi="ar"/>
              </w:rPr>
              <w:t>982</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topLinePunct w:val="0"/>
              <w:autoSpaceDE/>
              <w:autoSpaceDN/>
              <w:bidi w:val="0"/>
              <w:spacing w:after="0"/>
              <w:ind w:left="0" w:leftChars="0"/>
              <w:jc w:val="center"/>
              <w:textAlignment w:val="center"/>
              <w:rPr>
                <w:rFonts w:hint="eastAsia" w:ascii="仿宋_GB2312" w:hAnsi="仿宋_GB2312" w:eastAsia="仿宋_GB2312" w:cs="仿宋_GB2312"/>
                <w:i w:val="0"/>
                <w:iCs w:val="0"/>
                <w:color w:val="auto"/>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1828</w:t>
            </w:r>
          </w:p>
        </w:tc>
        <w:tc>
          <w:tcPr>
            <w:tcW w:w="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c>
          <w:tcPr>
            <w:tcW w:w="5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rPr>
                <w:rFonts w:hint="eastAsia" w:ascii="仿宋_GB2312" w:hAnsi="仿宋_GB2312" w:eastAsia="仿宋_GB2312" w:cs="仿宋_GB2312"/>
                <w:i w:val="0"/>
                <w:iCs w:val="0"/>
                <w:color w:val="auto"/>
                <w:sz w:val="20"/>
                <w:szCs w:val="20"/>
                <w:u w:val="none"/>
              </w:rPr>
            </w:pPr>
          </w:p>
        </w:tc>
      </w:tr>
      <w:bookmarkEnd w:id="14"/>
    </w:tbl>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黑体" w:hAnsi="黑体" w:eastAsia="黑体" w:cs="黑体"/>
          <w:sz w:val="32"/>
          <w:szCs w:val="32"/>
        </w:rPr>
      </w:pPr>
      <w:r>
        <w:rPr>
          <w:rFonts w:hint="eastAsia" w:ascii="黑体" w:hAnsi="黑体" w:eastAsia="黑体" w:cs="黑体"/>
          <w:sz w:val="32"/>
          <w:szCs w:val="32"/>
        </w:rPr>
        <w:t>九、师资队伍</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按照“四有好老师”“四个相统一”“四个引路人”的要求建设专业教师队伍，将师德师风作为教师队伍建设的第一标准。</w:t>
      </w:r>
    </w:p>
    <w:p>
      <w:pPr>
        <w:pageBreakBefore w:val="0"/>
        <w:numPr>
          <w:ilvl w:val="0"/>
          <w:numId w:val="2"/>
        </w:numPr>
        <w:kinsoku/>
        <w:wordWrap/>
        <w:overflowPunct w:val="0"/>
        <w:topLinePunct w:val="0"/>
        <w:autoSpaceDE/>
        <w:autoSpaceDN/>
        <w:bidi w:val="0"/>
        <w:adjustRightInd w:val="0"/>
        <w:spacing w:after="0" w:line="520" w:lineRule="exact"/>
        <w:ind w:left="0" w:leftChars="0" w:firstLine="640" w:firstLineChars="200"/>
        <w:rPr>
          <w:rFonts w:hint="eastAsia" w:ascii="楷体" w:hAnsi="楷体" w:eastAsia="楷体" w:cs="楷体"/>
          <w:sz w:val="32"/>
          <w:szCs w:val="32"/>
        </w:rPr>
      </w:pPr>
      <w:r>
        <w:rPr>
          <w:rFonts w:hint="eastAsia" w:ascii="楷体" w:hAnsi="楷体" w:eastAsia="楷体" w:cs="楷体"/>
          <w:sz w:val="32"/>
          <w:szCs w:val="32"/>
        </w:rPr>
        <w:t>队伍结构</w:t>
      </w:r>
      <w:r>
        <w:rPr>
          <w:rFonts w:hint="eastAsia" w:ascii="楷体" w:hAnsi="楷体" w:eastAsia="楷体" w:cs="楷体"/>
          <w:sz w:val="32"/>
          <w:szCs w:val="32"/>
        </w:rPr>
        <w:br w:type="textWrapping"/>
      </w:r>
      <w:r>
        <w:rPr>
          <w:rFonts w:hint="eastAsia" w:ascii="楷体" w:hAnsi="楷体" w:eastAsia="楷体" w:cs="楷体"/>
          <w:sz w:val="32"/>
          <w:szCs w:val="32"/>
          <w:lang w:val="en-US" w:eastAsia="zh-CN"/>
        </w:rPr>
        <w:t xml:space="preserve">    </w:t>
      </w:r>
      <w:r>
        <w:rPr>
          <w:rFonts w:hint="eastAsia" w:ascii="仿宋_GB2312" w:hAnsi="仿宋_GB2312" w:eastAsia="仿宋_GB2312" w:cs="仿宋_GB2312"/>
          <w:sz w:val="32"/>
          <w:szCs w:val="32"/>
        </w:rPr>
        <w:t>专业教师团队现有专任教师2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人，获取职称人数为2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人。其中副高及以上职称4人，中级职称1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初级职称4人</w:t>
      </w:r>
      <w:r>
        <w:rPr>
          <w:rFonts w:hint="eastAsia" w:ascii="仿宋_GB2312" w:hAnsi="仿宋_GB2312" w:eastAsia="仿宋_GB2312" w:cs="仿宋_GB2312"/>
          <w:sz w:val="32"/>
          <w:szCs w:val="32"/>
        </w:rPr>
        <w:t>。双师型专任教师1人，具有研究生学位</w:t>
      </w:r>
      <w:r>
        <w:rPr>
          <w:rFonts w:hint="eastAsia" w:ascii="仿宋_GB2312" w:hAnsi="仿宋_GB2312" w:eastAsia="仿宋_GB2312" w:cs="仿宋_GB2312"/>
          <w:sz w:val="32"/>
          <w:szCs w:val="32"/>
          <w:lang w:eastAsia="zh-CN"/>
        </w:rPr>
        <w:t>教师</w:t>
      </w:r>
      <w:r>
        <w:rPr>
          <w:rFonts w:hint="eastAsia" w:ascii="仿宋_GB2312" w:hAnsi="仿宋_GB2312" w:eastAsia="仿宋_GB2312" w:cs="仿宋_GB2312"/>
          <w:sz w:val="32"/>
          <w:szCs w:val="32"/>
        </w:rPr>
        <w:t>2人。本专业还会不断完善专任教师的学历结构和职称结构；增强专任教师的实践能力，提高教学效果；积极开展教学和科研经验、成果、动态方面的交流探讨，实现科研与教学之间的良性互动，在科研中进一步提升教师的专业素养和学术水平。</w:t>
      </w:r>
    </w:p>
    <w:p>
      <w:pPr>
        <w:pageBreakBefore w:val="0"/>
        <w:numPr>
          <w:ilvl w:val="0"/>
          <w:numId w:val="2"/>
        </w:numPr>
        <w:kinsoku/>
        <w:wordWrap/>
        <w:overflowPunct w:val="0"/>
        <w:topLinePunct w:val="0"/>
        <w:autoSpaceDE/>
        <w:autoSpaceDN/>
        <w:bidi w:val="0"/>
        <w:adjustRightInd w:val="0"/>
        <w:spacing w:after="0" w:line="520" w:lineRule="exact"/>
        <w:ind w:left="0" w:leftChars="0" w:firstLine="640" w:firstLineChars="200"/>
        <w:rPr>
          <w:rFonts w:hint="eastAsia" w:ascii="楷体" w:hAnsi="楷体" w:eastAsia="楷体" w:cs="楷体"/>
          <w:sz w:val="32"/>
          <w:szCs w:val="32"/>
        </w:rPr>
      </w:pPr>
      <w:r>
        <w:rPr>
          <w:rFonts w:hint="eastAsia" w:ascii="楷体" w:hAnsi="楷体" w:eastAsia="楷体" w:cs="楷体"/>
          <w:sz w:val="32"/>
          <w:szCs w:val="32"/>
        </w:rPr>
        <w:t>专业带头人</w:t>
      </w:r>
    </w:p>
    <w:p>
      <w:pPr>
        <w:pageBreakBefore w:val="0"/>
        <w:numPr>
          <w:ilvl w:val="0"/>
          <w:numId w:val="0"/>
        </w:numPr>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业带头人原则上应具有副高及以上职称，能够较好地把握国内外产品设计行业、专业发展，能广泛联系行业企业，了解行业企业对本专业人才的需求实际，教学设计、专业研究能力强，组织开展教科研工作能力强，在本区域或本领域具有一定的专业影响力。本专业带头人为颜培彬，副高职称，负责本专业的规划与建设、主持专业人才培养方案、课程标准的制定与修订、教材、专业教学标准、专业认证体系的建设工作、负责本专业教学改革和实践技能培养方案的制定等工作。</w:t>
      </w:r>
      <w:r>
        <w:rPr>
          <w:rFonts w:hint="eastAsia" w:ascii="楷体" w:hAnsi="楷体" w:eastAsia="楷体" w:cs="楷体"/>
          <w:sz w:val="32"/>
          <w:szCs w:val="32"/>
        </w:rPr>
        <w:br w:type="textWrapping"/>
      </w:r>
      <w:r>
        <w:rPr>
          <w:rFonts w:hint="eastAsia" w:ascii="楷体" w:hAnsi="楷体" w:eastAsia="楷体" w:cs="楷体"/>
          <w:sz w:val="32"/>
          <w:szCs w:val="32"/>
        </w:rPr>
        <w:t xml:space="preserve">    （三）专任教师</w:t>
      </w:r>
      <w:r>
        <w:rPr>
          <w:rFonts w:hint="eastAsia" w:ascii="楷体" w:hAnsi="楷体" w:eastAsia="楷体" w:cs="楷体"/>
          <w:sz w:val="32"/>
          <w:szCs w:val="32"/>
        </w:rPr>
        <w:br w:type="textWrapping"/>
      </w:r>
      <w:r>
        <w:rPr>
          <w:rFonts w:hint="eastAsia" w:ascii="楷体" w:hAnsi="楷体" w:eastAsia="楷体" w:cs="楷体"/>
          <w:sz w:val="32"/>
          <w:szCs w:val="32"/>
          <w:lang w:val="en-US" w:eastAsia="zh-CN"/>
        </w:rPr>
        <w:t xml:space="preserve">    </w:t>
      </w:r>
      <w:r>
        <w:rPr>
          <w:rFonts w:hint="eastAsia" w:ascii="仿宋_GB2312" w:hAnsi="仿宋_GB2312" w:eastAsia="仿宋_GB2312" w:cs="仿宋_GB2312"/>
          <w:sz w:val="32"/>
          <w:szCs w:val="32"/>
        </w:rPr>
        <w:t>专任教师应具有高校教师资格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有理想信念、有道德情操、有扎实学识、有仁爱之心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具有产品艺术设计等相关专业本科及以上学历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具有扎实的本专业相关理论功底和实践能力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具有较</w:t>
      </w:r>
      <w:r>
        <w:rPr>
          <w:rFonts w:hint="eastAsia" w:ascii="仿宋_GB2312" w:hAnsi="仿宋_GB2312" w:eastAsia="仿宋_GB2312" w:cs="仿宋_GB2312"/>
          <w:sz w:val="32"/>
          <w:szCs w:val="32"/>
          <w:lang w:eastAsia="zh-CN"/>
        </w:rPr>
        <w:t>强的</w:t>
      </w:r>
      <w:r>
        <w:rPr>
          <w:rFonts w:hint="eastAsia" w:ascii="仿宋_GB2312" w:hAnsi="仿宋_GB2312" w:eastAsia="仿宋_GB2312" w:cs="仿宋_GB2312"/>
          <w:sz w:val="32"/>
          <w:szCs w:val="32"/>
        </w:rPr>
        <w:t>信息化教学能力，能够开展课程教学改革和科学研究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有每5 年累计不少于6个月的企业实践经历。</w:t>
      </w:r>
      <w:r>
        <w:rPr>
          <w:rFonts w:hint="eastAsia" w:ascii="楷体" w:hAnsi="楷体" w:eastAsia="楷体" w:cs="楷体"/>
          <w:sz w:val="32"/>
          <w:szCs w:val="32"/>
        </w:rPr>
        <w:br w:type="textWrapping"/>
      </w:r>
      <w:r>
        <w:rPr>
          <w:rFonts w:hint="eastAsia" w:ascii="楷体" w:hAnsi="楷体" w:eastAsia="楷体" w:cs="楷体"/>
          <w:sz w:val="32"/>
          <w:szCs w:val="32"/>
        </w:rPr>
        <w:t xml:space="preserve">    （四）兼职教师</w:t>
      </w:r>
      <w:r>
        <w:rPr>
          <w:rFonts w:hint="eastAsia" w:ascii="楷体" w:hAnsi="楷体" w:eastAsia="楷体" w:cs="楷体"/>
          <w:sz w:val="32"/>
          <w:szCs w:val="32"/>
        </w:rPr>
        <w:br w:type="textWrapping"/>
      </w:r>
      <w:r>
        <w:rPr>
          <w:rFonts w:hint="eastAsia" w:ascii="楷体" w:hAnsi="楷体" w:eastAsia="楷体" w:cs="楷体"/>
          <w:sz w:val="32"/>
          <w:szCs w:val="32"/>
          <w:lang w:val="en-US" w:eastAsia="zh-CN"/>
        </w:rPr>
        <w:t xml:space="preserve">     </w:t>
      </w:r>
      <w:r>
        <w:rPr>
          <w:rFonts w:hint="eastAsia" w:ascii="仿宋_GB2312" w:hAnsi="仿宋_GB2312" w:eastAsia="仿宋_GB2312" w:cs="仿宋_GB2312"/>
          <w:sz w:val="32"/>
          <w:szCs w:val="32"/>
          <w:lang w:val="en-US"/>
        </w:rPr>
        <w:t>依据专业教学需求和岗位要求，制定严格的兼职教师选拔标准。除了具备深厚的行业专业知识和丰富的实践经验外，还需考察其教学能力，如能否清晰讲解知识、有效引导学生思考、灵活运用教学方法等。要求兼职教师有在相关企业从事实际项目研发或生产管理的经历，熟悉行业最新技术和工艺流程。注重职业道德和职业素养，确保兼职教师能够以身作则，为学生树立良好的职业榜样。选拔过程中可通过面试、试讲、查看工作成果等多种方式全面评估候选人。</w:t>
      </w:r>
    </w:p>
    <w:p>
      <w:pPr>
        <w:pageBreakBefore w:val="0"/>
        <w:kinsoku/>
        <w:wordWrap/>
        <w:overflowPunct w:val="0"/>
        <w:topLinePunct w:val="0"/>
        <w:autoSpaceDE/>
        <w:autoSpaceDN/>
        <w:bidi w:val="0"/>
        <w:adjustRightInd w:val="0"/>
        <w:spacing w:after="0" w:line="520" w:lineRule="exact"/>
        <w:ind w:left="0" w:leftChars="0" w:firstLine="640" w:firstLineChars="200"/>
        <w:outlineLvl w:val="0"/>
        <w:rPr>
          <w:rFonts w:hint="eastAsia" w:ascii="楷体" w:hAnsi="楷体" w:eastAsia="楷体" w:cs="楷体"/>
          <w:sz w:val="32"/>
          <w:szCs w:val="32"/>
        </w:rPr>
      </w:pPr>
      <w:r>
        <w:rPr>
          <w:rFonts w:hint="eastAsia" w:ascii="黑体" w:hAnsi="黑体" w:eastAsia="黑体" w:cs="黑体"/>
          <w:sz w:val="32"/>
          <w:szCs w:val="32"/>
        </w:rPr>
        <w:t>十、教学条件</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楷体" w:hAnsi="楷体" w:eastAsia="楷体" w:cs="楷体"/>
          <w:sz w:val="32"/>
          <w:szCs w:val="32"/>
        </w:rPr>
      </w:pPr>
      <w:r>
        <w:rPr>
          <w:rFonts w:hint="eastAsia" w:ascii="楷体" w:hAnsi="楷体" w:eastAsia="楷体" w:cs="楷体"/>
          <w:sz w:val="32"/>
          <w:szCs w:val="32"/>
        </w:rPr>
        <w:t>（一）教学设施</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教学设施主要包括能够满足正常的课程教学、实习实训所需的专业教室、校内实训室和校外实训基地等。</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1.专业教室要求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学校为该专业配备公共教室（配备有多媒体设施）、多媒体教室等，满足理论教学要求。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rPr>
      </w:pPr>
      <w:r>
        <w:rPr>
          <w:rFonts w:hint="eastAsia" w:ascii="仿宋_GB2312" w:hAnsi="仿宋_GB2312" w:eastAsia="仿宋_GB2312" w:cs="仿宋_GB2312"/>
          <w:sz w:val="32"/>
          <w:szCs w:val="32"/>
        </w:rPr>
        <w:t>配有黑（白）板、多媒体计算机、投影设备、音响设备，安装应急照明装置并保持良好状态，符合紧急疏散要求，标志明显，逃生通道畅通无阻。</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rPr>
      </w:pPr>
      <w:r>
        <w:rPr>
          <w:rFonts w:hint="eastAsia" w:ascii="仿宋_GB2312" w:hAnsi="仿宋_GB2312" w:eastAsia="仿宋_GB2312" w:cs="仿宋_GB2312"/>
          <w:sz w:val="32"/>
          <w:szCs w:val="32"/>
        </w:rPr>
        <w:t>2.校内实训资源</w:t>
      </w:r>
    </w:p>
    <w:p>
      <w:pPr>
        <w:pageBreakBefore w:val="0"/>
        <w:kinsoku/>
        <w:wordWrap/>
        <w:overflowPunct w:val="0"/>
        <w:topLinePunct w:val="0"/>
        <w:autoSpaceDE/>
        <w:autoSpaceDN/>
        <w:bidi w:val="0"/>
        <w:adjustRightInd w:val="0"/>
        <w:spacing w:after="0" w:line="520" w:lineRule="exact"/>
        <w:ind w:left="0" w:leftChars="0"/>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 xml:space="preserve">表11 </w:t>
      </w:r>
      <w:r>
        <w:rPr>
          <w:rFonts w:hint="eastAsia" w:ascii="仿宋_GB2312" w:hAnsi="仿宋_GB2312" w:eastAsia="仿宋_GB2312" w:cs="仿宋_GB2312"/>
          <w:kern w:val="0"/>
          <w:sz w:val="32"/>
          <w:szCs w:val="32"/>
        </w:rPr>
        <w:t>校内实训资源列表</w:t>
      </w:r>
    </w:p>
    <w:tbl>
      <w:tblPr>
        <w:tblStyle w:val="8"/>
        <w:tblW w:w="10549"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022"/>
        <w:gridCol w:w="4106"/>
        <w:gridCol w:w="2044"/>
        <w:gridCol w:w="1987"/>
        <w:gridCol w:w="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80" w:type="dxa"/>
            <w:vAlign w:val="center"/>
          </w:tcPr>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1022" w:type="dxa"/>
            <w:vAlign w:val="center"/>
          </w:tcPr>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实验实训室名称</w:t>
            </w:r>
          </w:p>
        </w:tc>
        <w:tc>
          <w:tcPr>
            <w:tcW w:w="4106" w:type="dxa"/>
            <w:vAlign w:val="center"/>
          </w:tcPr>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实训适用课程</w:t>
            </w:r>
          </w:p>
        </w:tc>
        <w:tc>
          <w:tcPr>
            <w:tcW w:w="2044" w:type="dxa"/>
            <w:vAlign w:val="center"/>
          </w:tcPr>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实训项目</w:t>
            </w:r>
          </w:p>
        </w:tc>
        <w:tc>
          <w:tcPr>
            <w:tcW w:w="1987" w:type="dxa"/>
            <w:vAlign w:val="center"/>
          </w:tcPr>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主要设备名称</w:t>
            </w:r>
          </w:p>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及配置数量</w:t>
            </w:r>
          </w:p>
        </w:tc>
        <w:tc>
          <w:tcPr>
            <w:tcW w:w="910" w:type="dxa"/>
            <w:vAlign w:val="center"/>
          </w:tcPr>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p>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工位数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vAlign w:val="center"/>
          </w:tcPr>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1022" w:type="dxa"/>
            <w:shd w:val="clear" w:color="auto" w:fill="auto"/>
            <w:vAlign w:val="center"/>
          </w:tcPr>
          <w:p>
            <w:pPr>
              <w:pageBreakBefore w:val="0"/>
              <w:kinsoku/>
              <w:wordWrap/>
              <w:overflowPunct w:val="0"/>
              <w:topLinePunct w:val="0"/>
              <w:autoSpaceDE/>
              <w:autoSpaceDN/>
              <w:bidi w:val="0"/>
              <w:adjustRightInd w:val="0"/>
              <w:spacing w:after="0"/>
              <w:ind w:left="0" w:lef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计算机辅助设计室</w:t>
            </w:r>
          </w:p>
        </w:tc>
        <w:tc>
          <w:tcPr>
            <w:tcW w:w="4106"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产品三维效果图表现</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C4D</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、产品形态设计、产品品牌与包装设计、产品改良设计、工艺产品设计、产品模型设计与制作、（铝）产品设计3D打印技术、家具设计</w:t>
            </w:r>
          </w:p>
        </w:tc>
        <w:tc>
          <w:tcPr>
            <w:tcW w:w="2044"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电脑软件实训、电脑绘图、电脑建模渲染等</w:t>
            </w:r>
          </w:p>
        </w:tc>
        <w:tc>
          <w:tcPr>
            <w:tcW w:w="1987"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电脑显示器610，电脑主机610</w:t>
            </w:r>
          </w:p>
        </w:tc>
        <w:tc>
          <w:tcPr>
            <w:tcW w:w="910"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vAlign w:val="center"/>
          </w:tcPr>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1022" w:type="dxa"/>
            <w:shd w:val="clear" w:color="auto" w:fill="auto"/>
            <w:vAlign w:val="center"/>
          </w:tcPr>
          <w:p>
            <w:pPr>
              <w:pageBreakBefore w:val="0"/>
              <w:kinsoku/>
              <w:wordWrap/>
              <w:overflowPunct w:val="0"/>
              <w:topLinePunct w:val="0"/>
              <w:autoSpaceDE/>
              <w:autoSpaceDN/>
              <w:bidi w:val="0"/>
              <w:adjustRightInd w:val="0"/>
              <w:spacing w:after="0"/>
              <w:ind w:left="0" w:lef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超级助手3D打印区</w:t>
            </w:r>
          </w:p>
        </w:tc>
        <w:tc>
          <w:tcPr>
            <w:tcW w:w="4106"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工艺产品设计、产品改良设计、产品形态设计、产品模型设计与制作、（铝）产品设计3D打印技术、家具设计</w:t>
            </w:r>
          </w:p>
        </w:tc>
        <w:tc>
          <w:tcPr>
            <w:tcW w:w="2044"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模型设计与制作、模型后处理、模型上色等</w:t>
            </w:r>
          </w:p>
        </w:tc>
        <w:tc>
          <w:tcPr>
            <w:tcW w:w="1987"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3D打印机100台、多媒体投影仪1台、教师电脑1套、3D打印桌16张。</w:t>
            </w:r>
          </w:p>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sz w:val="24"/>
                <w:szCs w:val="24"/>
                <w:highlight w:val="none"/>
                <w:lang w:val="en-US" w:eastAsia="zh-CN"/>
              </w:rPr>
            </w:pPr>
          </w:p>
        </w:tc>
        <w:tc>
          <w:tcPr>
            <w:tcW w:w="910"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480" w:type="dxa"/>
            <w:vAlign w:val="center"/>
          </w:tcPr>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1022" w:type="dxa"/>
            <w:shd w:val="clear" w:color="auto" w:fill="auto"/>
            <w:vAlign w:val="center"/>
          </w:tcPr>
          <w:p>
            <w:pPr>
              <w:pageBreakBefore w:val="0"/>
              <w:kinsoku/>
              <w:wordWrap/>
              <w:overflowPunct w:val="0"/>
              <w:topLinePunct w:val="0"/>
              <w:autoSpaceDE/>
              <w:autoSpaceDN/>
              <w:bidi w:val="0"/>
              <w:adjustRightInd w:val="0"/>
              <w:spacing w:after="0"/>
              <w:ind w:left="0" w:lef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雕刻机实训区</w:t>
            </w:r>
          </w:p>
        </w:tc>
        <w:tc>
          <w:tcPr>
            <w:tcW w:w="4106"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工艺产品设计、产品改良设计、产品形态设计、产品模型设计与制作、（铝）产品设计3D打印技术、家具设计、产品品牌与包装设计</w:t>
            </w:r>
          </w:p>
        </w:tc>
        <w:tc>
          <w:tcPr>
            <w:tcW w:w="2044"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模型设计与制作、模型切割</w:t>
            </w:r>
          </w:p>
        </w:tc>
        <w:tc>
          <w:tcPr>
            <w:tcW w:w="1987"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激光切割机6套</w:t>
            </w:r>
          </w:p>
        </w:tc>
        <w:tc>
          <w:tcPr>
            <w:tcW w:w="910"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vAlign w:val="center"/>
          </w:tcPr>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1022" w:type="dxa"/>
            <w:shd w:val="clear" w:color="auto" w:fill="auto"/>
            <w:vAlign w:val="center"/>
          </w:tcPr>
          <w:p>
            <w:pPr>
              <w:pageBreakBefore w:val="0"/>
              <w:kinsoku/>
              <w:wordWrap/>
              <w:overflowPunct w:val="0"/>
              <w:topLinePunct w:val="0"/>
              <w:autoSpaceDE/>
              <w:autoSpaceDN/>
              <w:bidi w:val="0"/>
              <w:adjustRightInd w:val="0"/>
              <w:spacing w:after="0"/>
              <w:ind w:left="0" w:lef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双创培训区</w:t>
            </w:r>
          </w:p>
        </w:tc>
        <w:tc>
          <w:tcPr>
            <w:tcW w:w="4106"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产品形态设计、产品品牌与包装设计、产品改良设计、工艺产品设计、产品模型设计与制作、三大构成</w:t>
            </w:r>
          </w:p>
        </w:tc>
        <w:tc>
          <w:tcPr>
            <w:tcW w:w="2044"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完成理论学习和产品设计分析，学习讨论和产品开发设计</w:t>
            </w:r>
          </w:p>
        </w:tc>
        <w:tc>
          <w:tcPr>
            <w:tcW w:w="1987"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桌子21张，凳子81张，教师讲台多媒体1套，投影仪1台</w:t>
            </w:r>
          </w:p>
        </w:tc>
        <w:tc>
          <w:tcPr>
            <w:tcW w:w="910"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vAlign w:val="center"/>
          </w:tcPr>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1022" w:type="dxa"/>
            <w:shd w:val="clear" w:color="auto" w:fill="auto"/>
            <w:vAlign w:val="center"/>
          </w:tcPr>
          <w:p>
            <w:pPr>
              <w:pageBreakBefore w:val="0"/>
              <w:kinsoku/>
              <w:wordWrap/>
              <w:overflowPunct w:val="0"/>
              <w:topLinePunct w:val="0"/>
              <w:autoSpaceDE/>
              <w:autoSpaceDN/>
              <w:bidi w:val="0"/>
              <w:adjustRightInd w:val="0"/>
              <w:spacing w:after="0"/>
              <w:ind w:left="0" w:lef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3D产品设计区</w:t>
            </w:r>
          </w:p>
        </w:tc>
        <w:tc>
          <w:tcPr>
            <w:tcW w:w="4106"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产品三维效果图表现</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C4D</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、产品形态设计、产品改良设计、工艺产品设计、产品模型设计与制作、（铝）产品设计3D打印技术、家具设计</w:t>
            </w:r>
          </w:p>
        </w:tc>
        <w:tc>
          <w:tcPr>
            <w:tcW w:w="2044"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分组学习讨论、产品效果展现设计、产品模型设计与制作、3D打印后处理等</w:t>
            </w:r>
          </w:p>
        </w:tc>
        <w:tc>
          <w:tcPr>
            <w:tcW w:w="1987"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桌子9张、椅子54张、电脑9套、3D打印机9台</w:t>
            </w:r>
          </w:p>
        </w:tc>
        <w:tc>
          <w:tcPr>
            <w:tcW w:w="910"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vAlign w:val="center"/>
          </w:tcPr>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6</w:t>
            </w:r>
          </w:p>
        </w:tc>
        <w:tc>
          <w:tcPr>
            <w:tcW w:w="1022" w:type="dxa"/>
            <w:shd w:val="clear" w:color="auto" w:fill="auto"/>
            <w:vAlign w:val="center"/>
          </w:tcPr>
          <w:p>
            <w:pPr>
              <w:pageBreakBefore w:val="0"/>
              <w:kinsoku/>
              <w:wordWrap/>
              <w:overflowPunct w:val="0"/>
              <w:topLinePunct w:val="0"/>
              <w:autoSpaceDE/>
              <w:autoSpaceDN/>
              <w:bidi w:val="0"/>
              <w:adjustRightInd w:val="0"/>
              <w:spacing w:after="0"/>
              <w:ind w:left="0" w:lef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3D操作实训区</w:t>
            </w:r>
          </w:p>
        </w:tc>
        <w:tc>
          <w:tcPr>
            <w:tcW w:w="4106"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产品形态设计、产品改良设计、工艺产品设计、产品模型设计与制作、（铝）产品设计3D打印技术、家具设计</w:t>
            </w:r>
          </w:p>
        </w:tc>
        <w:tc>
          <w:tcPr>
            <w:tcW w:w="2044"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分组学习讨论、产品效果展现设计、产品模型设计与制作、3D打印后处理等</w:t>
            </w:r>
          </w:p>
        </w:tc>
        <w:tc>
          <w:tcPr>
            <w:tcW w:w="1987"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3D</w:t>
            </w:r>
            <w:r>
              <w:rPr>
                <w:rFonts w:hint="eastAsia" w:ascii="仿宋_GB2312" w:hAnsi="仿宋_GB2312" w:eastAsia="仿宋_GB2312" w:cs="仿宋_GB2312"/>
                <w:color w:val="auto"/>
                <w:sz w:val="24"/>
                <w:szCs w:val="24"/>
                <w:highlight w:val="none"/>
                <w:lang w:eastAsia="zh-CN"/>
              </w:rPr>
              <w:t>打印机</w:t>
            </w:r>
            <w:r>
              <w:rPr>
                <w:rFonts w:hint="eastAsia" w:ascii="仿宋_GB2312" w:hAnsi="仿宋_GB2312" w:eastAsia="仿宋_GB2312" w:cs="仿宋_GB2312"/>
                <w:color w:val="auto"/>
                <w:sz w:val="24"/>
                <w:szCs w:val="24"/>
                <w:highlight w:val="none"/>
              </w:rPr>
              <w:t>12台、桌子4张</w:t>
            </w:r>
          </w:p>
        </w:tc>
        <w:tc>
          <w:tcPr>
            <w:tcW w:w="910"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dxa"/>
            <w:vAlign w:val="center"/>
          </w:tcPr>
          <w:p>
            <w:pPr>
              <w:pageBreakBefore w:val="0"/>
              <w:kinsoku/>
              <w:wordWrap/>
              <w:overflowPunct w:val="0"/>
              <w:topLinePunct w:val="0"/>
              <w:autoSpaceDE/>
              <w:autoSpaceDN/>
              <w:bidi w:val="0"/>
              <w:adjustRightInd w:val="0"/>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7</w:t>
            </w:r>
          </w:p>
        </w:tc>
        <w:tc>
          <w:tcPr>
            <w:tcW w:w="1022" w:type="dxa"/>
            <w:shd w:val="clear" w:color="auto" w:fill="auto"/>
            <w:vAlign w:val="center"/>
          </w:tcPr>
          <w:p>
            <w:pPr>
              <w:pageBreakBefore w:val="0"/>
              <w:kinsoku/>
              <w:wordWrap/>
              <w:overflowPunct w:val="0"/>
              <w:topLinePunct w:val="0"/>
              <w:autoSpaceDE/>
              <w:autoSpaceDN/>
              <w:bidi w:val="0"/>
              <w:adjustRightInd w:val="0"/>
              <w:spacing w:after="0"/>
              <w:ind w:left="0" w:lef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SC-200 3D打印区</w:t>
            </w:r>
          </w:p>
        </w:tc>
        <w:tc>
          <w:tcPr>
            <w:tcW w:w="4106"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产品形态设计、产品改良设计、工艺产品设计、产品模型设计与制作、（铝）产品设计3D打印技术、家具设计</w:t>
            </w:r>
          </w:p>
        </w:tc>
        <w:tc>
          <w:tcPr>
            <w:tcW w:w="2044"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分组学习讨论、产品效果展现设计、产品模型设计与制作、3D打印后处理等</w:t>
            </w:r>
          </w:p>
        </w:tc>
        <w:tc>
          <w:tcPr>
            <w:tcW w:w="1987"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桌子6张、3D</w:t>
            </w:r>
            <w:r>
              <w:rPr>
                <w:rFonts w:hint="eastAsia" w:ascii="仿宋_GB2312" w:hAnsi="仿宋_GB2312" w:eastAsia="仿宋_GB2312" w:cs="仿宋_GB2312"/>
                <w:color w:val="auto"/>
                <w:sz w:val="24"/>
                <w:szCs w:val="24"/>
                <w:highlight w:val="none"/>
                <w:lang w:eastAsia="zh-CN"/>
              </w:rPr>
              <w:t>打印机</w:t>
            </w:r>
            <w:r>
              <w:rPr>
                <w:rFonts w:hint="eastAsia" w:ascii="仿宋_GB2312" w:hAnsi="仿宋_GB2312" w:eastAsia="仿宋_GB2312" w:cs="仿宋_GB2312"/>
                <w:color w:val="auto"/>
                <w:sz w:val="24"/>
                <w:szCs w:val="24"/>
                <w:highlight w:val="none"/>
              </w:rPr>
              <w:t>12台、椅子12张</w:t>
            </w:r>
          </w:p>
        </w:tc>
        <w:tc>
          <w:tcPr>
            <w:tcW w:w="910" w:type="dxa"/>
            <w:shd w:val="clear" w:color="auto" w:fill="auto"/>
            <w:vAlign w:val="center"/>
          </w:tcPr>
          <w:p>
            <w:pPr>
              <w:pageBreakBefore w:val="0"/>
              <w:kinsoku/>
              <w:wordWrap/>
              <w:overflowPunct w:val="0"/>
              <w:topLinePunct w:val="0"/>
              <w:autoSpaceDE/>
              <w:autoSpaceDN/>
              <w:bidi w:val="0"/>
              <w:adjustRightInd w:val="0"/>
              <w:spacing w:after="0"/>
              <w:ind w:left="0" w:leftChars="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12</w:t>
            </w:r>
          </w:p>
        </w:tc>
      </w:tr>
    </w:tbl>
    <w:p>
      <w:pPr>
        <w:pStyle w:val="2"/>
        <w:pageBreakBefore w:val="0"/>
        <w:widowControl/>
        <w:kinsoku/>
        <w:wordWrap/>
        <w:topLinePunct w:val="0"/>
        <w:autoSpaceDE/>
        <w:autoSpaceDN/>
        <w:bidi w:val="0"/>
        <w:spacing w:before="0" w:after="0" w:line="52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3.校外实训资源</w:t>
      </w:r>
    </w:p>
    <w:p>
      <w:pPr>
        <w:pageBreakBefore w:val="0"/>
        <w:kinsoku/>
        <w:wordWrap/>
        <w:overflowPunct w:val="0"/>
        <w:topLinePunct w:val="0"/>
        <w:autoSpaceDE/>
        <w:autoSpaceDN/>
        <w:bidi w:val="0"/>
        <w:adjustRightInd w:val="0"/>
        <w:spacing w:after="0" w:line="520" w:lineRule="exact"/>
        <w:ind w:left="0" w:leftChars="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（1）校外实训基地基本要求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具有稳定的校外实训基地2个以上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能够开展产品研发、产品程序设计、产品后处理、产品实验、产品模型设计与制作等实训活动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实训设施齐备，实训岗位、实训指导教师确定，实训管理及实施规章制度齐全。</w:t>
      </w:r>
    </w:p>
    <w:p>
      <w:pPr>
        <w:pageBreakBefore w:val="0"/>
        <w:numPr>
          <w:ilvl w:val="0"/>
          <w:numId w:val="3"/>
        </w:numPr>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学生实习基地基本要求</w:t>
      </w:r>
    </w:p>
    <w:p>
      <w:pPr>
        <w:pageBreakBefore w:val="0"/>
        <w:numPr>
          <w:ilvl w:val="0"/>
          <w:numId w:val="0"/>
        </w:numPr>
        <w:kinsoku/>
        <w:wordWrap/>
        <w:overflowPunct w:val="0"/>
        <w:topLinePunct w:val="0"/>
        <w:autoSpaceDE/>
        <w:autoSpaceDN/>
        <w:bidi w:val="0"/>
        <w:adjustRightInd w:val="0"/>
        <w:spacing w:after="0" w:line="520" w:lineRule="exact"/>
        <w:ind w:left="0" w:leftChars="0"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有稳定的校外实习基地2个以上；能提供工业产品造型助理设计师、家具设计师、家具设计师、广告设计师、工艺产品设计师、产品研发设计师、3D虚拟数字建模师等相关实习岗位，能涵盖当前相关产业的主流技术，可接纳一定规模的学生实习；能够配备相应数量的指导教师对学生实习进行指导和管理；有保证实习生日常工作、学习、生活的规章制度，有安全、保险保障。</w:t>
      </w:r>
    </w:p>
    <w:p>
      <w:pPr>
        <w:pageBreakBefore w:val="0"/>
        <w:kinsoku/>
        <w:wordWrap/>
        <w:overflowPunct w:val="0"/>
        <w:topLinePunct w:val="0"/>
        <w:autoSpaceDE/>
        <w:autoSpaceDN/>
        <w:bidi w:val="0"/>
        <w:adjustRightInd w:val="0"/>
        <w:spacing w:after="0" w:line="520" w:lineRule="exact"/>
        <w:ind w:left="0" w:left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表12 校外实习基地一览表</w:t>
      </w:r>
    </w:p>
    <w:tbl>
      <w:tblPr>
        <w:tblStyle w:val="8"/>
        <w:tblW w:w="10106" w:type="dxa"/>
        <w:tblInd w:w="-4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8"/>
        <w:gridCol w:w="3750"/>
        <w:gridCol w:w="2578"/>
        <w:gridCol w:w="777"/>
        <w:gridCol w:w="1254"/>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3750"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校外实习基地名称</w:t>
            </w:r>
          </w:p>
        </w:tc>
        <w:tc>
          <w:tcPr>
            <w:tcW w:w="2578"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合作企业名称</w:t>
            </w:r>
          </w:p>
        </w:tc>
        <w:tc>
          <w:tcPr>
            <w:tcW w:w="777"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用途</w:t>
            </w:r>
          </w:p>
        </w:tc>
        <w:tc>
          <w:tcPr>
            <w:tcW w:w="1254"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合作深度要求</w:t>
            </w:r>
          </w:p>
        </w:tc>
        <w:tc>
          <w:tcPr>
            <w:tcW w:w="1209" w:type="dxa"/>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sz w:val="24"/>
              </w:rPr>
            </w:pPr>
            <w:r>
              <w:rPr>
                <w:rFonts w:hint="eastAsia" w:ascii="仿宋_GB2312" w:hAnsi="仿宋_GB2312" w:eastAsia="仿宋_GB2312" w:cs="仿宋_GB2312"/>
                <w:sz w:val="24"/>
              </w:rPr>
              <w:t>接纳学生实习人次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1</w:t>
            </w:r>
          </w:p>
        </w:tc>
        <w:tc>
          <w:tcPr>
            <w:tcW w:w="3750"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广西工程职业学院产品艺术设计专业校外实习基地</w:t>
            </w:r>
          </w:p>
        </w:tc>
        <w:tc>
          <w:tcPr>
            <w:tcW w:w="2578"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平果市千顺广告有限公司</w:t>
            </w:r>
          </w:p>
        </w:tc>
        <w:tc>
          <w:tcPr>
            <w:tcW w:w="777"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岗位实习</w:t>
            </w:r>
          </w:p>
        </w:tc>
        <w:tc>
          <w:tcPr>
            <w:tcW w:w="1254"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深度合作</w:t>
            </w:r>
          </w:p>
        </w:tc>
        <w:tc>
          <w:tcPr>
            <w:tcW w:w="1209"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38"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2</w:t>
            </w:r>
          </w:p>
        </w:tc>
        <w:tc>
          <w:tcPr>
            <w:tcW w:w="3750"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广西工程职业学院产品艺术设计专业校外实习基地</w:t>
            </w:r>
          </w:p>
        </w:tc>
        <w:tc>
          <w:tcPr>
            <w:tcW w:w="2578"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bidi="ar"/>
              </w:rPr>
              <w:t>新平果果果广告公司</w:t>
            </w:r>
          </w:p>
        </w:tc>
        <w:tc>
          <w:tcPr>
            <w:tcW w:w="777"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岗位实习</w:t>
            </w:r>
          </w:p>
        </w:tc>
        <w:tc>
          <w:tcPr>
            <w:tcW w:w="1254"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深度合作</w:t>
            </w:r>
          </w:p>
        </w:tc>
        <w:tc>
          <w:tcPr>
            <w:tcW w:w="1209"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3</w:t>
            </w:r>
          </w:p>
        </w:tc>
        <w:tc>
          <w:tcPr>
            <w:tcW w:w="3750"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广西工程职业学院产品艺术设计专业校外实习基地</w:t>
            </w:r>
          </w:p>
        </w:tc>
        <w:tc>
          <w:tcPr>
            <w:tcW w:w="2578"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bidi="ar"/>
              </w:rPr>
              <w:t>平果市如意包装有限公司</w:t>
            </w:r>
          </w:p>
        </w:tc>
        <w:tc>
          <w:tcPr>
            <w:tcW w:w="777"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岗位实习</w:t>
            </w:r>
          </w:p>
        </w:tc>
        <w:tc>
          <w:tcPr>
            <w:tcW w:w="1254"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深度合作</w:t>
            </w:r>
          </w:p>
        </w:tc>
        <w:tc>
          <w:tcPr>
            <w:tcW w:w="1209"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4</w:t>
            </w:r>
          </w:p>
        </w:tc>
        <w:tc>
          <w:tcPr>
            <w:tcW w:w="3750"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广西工程职业学院产品艺术设计专业校外实习基地</w:t>
            </w:r>
          </w:p>
        </w:tc>
        <w:tc>
          <w:tcPr>
            <w:tcW w:w="2578"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bidi="ar"/>
              </w:rPr>
              <w:t>广西初晨广告有限公司</w:t>
            </w:r>
          </w:p>
        </w:tc>
        <w:tc>
          <w:tcPr>
            <w:tcW w:w="777"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岗位实习</w:t>
            </w:r>
          </w:p>
        </w:tc>
        <w:tc>
          <w:tcPr>
            <w:tcW w:w="1254"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深度合作</w:t>
            </w:r>
          </w:p>
        </w:tc>
        <w:tc>
          <w:tcPr>
            <w:tcW w:w="1209"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538"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5</w:t>
            </w:r>
          </w:p>
        </w:tc>
        <w:tc>
          <w:tcPr>
            <w:tcW w:w="3750"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广西工程职业学院产品艺术设计专业校外实习基地</w:t>
            </w:r>
          </w:p>
        </w:tc>
        <w:tc>
          <w:tcPr>
            <w:tcW w:w="2578"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bidi="ar"/>
              </w:rPr>
              <w:t>广西平果恒望有限公司</w:t>
            </w:r>
          </w:p>
        </w:tc>
        <w:tc>
          <w:tcPr>
            <w:tcW w:w="777"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岗位实习</w:t>
            </w:r>
          </w:p>
        </w:tc>
        <w:tc>
          <w:tcPr>
            <w:tcW w:w="1254"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深度合作</w:t>
            </w:r>
          </w:p>
        </w:tc>
        <w:tc>
          <w:tcPr>
            <w:tcW w:w="1209"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6</w:t>
            </w:r>
          </w:p>
        </w:tc>
        <w:tc>
          <w:tcPr>
            <w:tcW w:w="3750"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广西工程职业学院产品艺术设计专业校外实习基地</w:t>
            </w:r>
          </w:p>
        </w:tc>
        <w:tc>
          <w:tcPr>
            <w:tcW w:w="2578"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bidi="ar"/>
              </w:rPr>
              <w:t>广西知乎文化传播有限公司</w:t>
            </w:r>
          </w:p>
        </w:tc>
        <w:tc>
          <w:tcPr>
            <w:tcW w:w="777"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岗位实习</w:t>
            </w:r>
          </w:p>
        </w:tc>
        <w:tc>
          <w:tcPr>
            <w:tcW w:w="1254"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深度合作</w:t>
            </w:r>
          </w:p>
        </w:tc>
        <w:tc>
          <w:tcPr>
            <w:tcW w:w="1209"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7</w:t>
            </w:r>
          </w:p>
        </w:tc>
        <w:tc>
          <w:tcPr>
            <w:tcW w:w="3750"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广西工程职业学院产品艺术设计专业校外实习基地</w:t>
            </w:r>
          </w:p>
        </w:tc>
        <w:tc>
          <w:tcPr>
            <w:tcW w:w="2578"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bidi="ar"/>
              </w:rPr>
              <w:t>广西蓝孔雀装饰设计工程有限公司</w:t>
            </w:r>
          </w:p>
        </w:tc>
        <w:tc>
          <w:tcPr>
            <w:tcW w:w="777"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岗位实习</w:t>
            </w:r>
          </w:p>
        </w:tc>
        <w:tc>
          <w:tcPr>
            <w:tcW w:w="1254"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深度合作</w:t>
            </w:r>
          </w:p>
        </w:tc>
        <w:tc>
          <w:tcPr>
            <w:tcW w:w="1209"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lang w:val="en-US" w:eastAsia="zh-CN"/>
              </w:rPr>
              <w:t>8</w:t>
            </w:r>
          </w:p>
        </w:tc>
        <w:tc>
          <w:tcPr>
            <w:tcW w:w="3750"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广西工程职业学院产品艺术设计专业校外实习基地</w:t>
            </w:r>
          </w:p>
        </w:tc>
        <w:tc>
          <w:tcPr>
            <w:tcW w:w="2578"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kern w:val="0"/>
                <w:sz w:val="24"/>
                <w:szCs w:val="24"/>
                <w:highlight w:val="none"/>
                <w:lang w:bidi="ar"/>
              </w:rPr>
              <w:t>深圳市卓翼科技股份有限公司</w:t>
            </w:r>
          </w:p>
        </w:tc>
        <w:tc>
          <w:tcPr>
            <w:tcW w:w="777"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岗位实习</w:t>
            </w:r>
          </w:p>
        </w:tc>
        <w:tc>
          <w:tcPr>
            <w:tcW w:w="1254" w:type="dxa"/>
            <w:shd w:val="clear" w:color="auto" w:fill="auto"/>
            <w:vAlign w:val="center"/>
          </w:tcPr>
          <w:p>
            <w:pPr>
              <w:keepNext w:val="0"/>
              <w:keepLines w:val="0"/>
              <w:pageBreakBefore w:val="0"/>
              <w:kinsoku/>
              <w:wordWrap/>
              <w:overflowPunct w:val="0"/>
              <w:topLinePunct w:val="0"/>
              <w:autoSpaceDE/>
              <w:autoSpaceDN/>
              <w:bidi w:val="0"/>
              <w:adjustRightInd w:val="0"/>
              <w:snapToGrid/>
              <w:spacing w:after="0" w:line="300" w:lineRule="exact"/>
              <w:ind w:left="0" w:leftChars="0"/>
              <w:jc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b w:val="0"/>
                <w:bCs w:val="0"/>
                <w:color w:val="auto"/>
                <w:sz w:val="24"/>
                <w:szCs w:val="24"/>
                <w:highlight w:val="none"/>
              </w:rPr>
              <w:t>深度合作</w:t>
            </w:r>
          </w:p>
        </w:tc>
        <w:tc>
          <w:tcPr>
            <w:tcW w:w="1209" w:type="dxa"/>
            <w:shd w:val="clear" w:color="auto" w:fill="auto"/>
            <w:vAlign w:val="center"/>
          </w:tcPr>
          <w:p>
            <w:pPr>
              <w:keepNext w:val="0"/>
              <w:keepLines w:val="0"/>
              <w:pageBreakBefore w:val="0"/>
              <w:widowControl/>
              <w:kinsoku/>
              <w:wordWrap/>
              <w:topLinePunct w:val="0"/>
              <w:autoSpaceDE/>
              <w:autoSpaceDN/>
              <w:bidi w:val="0"/>
              <w:snapToGrid/>
              <w:spacing w:after="0" w:line="300" w:lineRule="exact"/>
              <w:ind w:left="0" w:leftChars="0"/>
              <w:jc w:val="center"/>
              <w:textAlignment w:val="center"/>
              <w:rPr>
                <w:rFonts w:hint="eastAsia" w:ascii="仿宋_GB2312" w:hAnsi="仿宋_GB2312" w:eastAsia="仿宋_GB2312" w:cs="仿宋_GB2312"/>
                <w:b w:val="0"/>
                <w:bCs w:val="0"/>
                <w:color w:val="auto"/>
                <w:kern w:val="0"/>
                <w:sz w:val="24"/>
                <w:szCs w:val="24"/>
                <w:highlight w:val="none"/>
                <w:lang w:val="en-US" w:eastAsia="zh-CN" w:bidi="ar"/>
              </w:rPr>
            </w:pPr>
            <w:r>
              <w:rPr>
                <w:rFonts w:hint="eastAsia" w:ascii="仿宋_GB2312" w:hAnsi="仿宋_GB2312" w:eastAsia="仿宋_GB2312" w:cs="仿宋_GB2312"/>
                <w:b w:val="0"/>
                <w:bCs w:val="0"/>
                <w:color w:val="auto"/>
                <w:kern w:val="0"/>
                <w:sz w:val="24"/>
                <w:szCs w:val="24"/>
                <w:highlight w:val="none"/>
                <w:lang w:val="en-US" w:eastAsia="zh-CN" w:bidi="ar"/>
              </w:rPr>
              <w:t>50</w:t>
            </w:r>
          </w:p>
        </w:tc>
      </w:tr>
    </w:tbl>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楷体" w:hAnsi="楷体" w:eastAsia="楷体" w:cs="楷体"/>
          <w:sz w:val="32"/>
          <w:szCs w:val="32"/>
        </w:rPr>
      </w:pPr>
      <w:r>
        <w:rPr>
          <w:rFonts w:hint="eastAsia" w:ascii="楷体" w:hAnsi="楷体" w:eastAsia="楷体" w:cs="楷体"/>
          <w:sz w:val="32"/>
          <w:szCs w:val="32"/>
        </w:rPr>
        <w:t>（二）教学资源</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教学资源主要包括能满足学生专业学习、教师专业教学研究和教学实施所需的教材、图书文献及数字教学资源等。</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1.教材选用基本要求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选用近五年内出版的高职高专国家级规划教材、自治区级规划教材、高职高专类出版教材。</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2.图书文献配备基本要求</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图书文献配备能满足人才培养、专业建设、教科研等工作的需要，方便师生查询、借阅。专业类文献主要包括：产品设计相关行业政策法规、行业标准、技术规范以及产品艺术设计等与服务相关专业类图书和实务案例类图书。专业图书资料（含电子图书）不低于500册，5种以上产品艺术设计类专业学术期刊，并能保持每年更新。</w:t>
      </w:r>
    </w:p>
    <w:p>
      <w:pPr>
        <w:pageBreakBefore w:val="0"/>
        <w:numPr>
          <w:ilvl w:val="0"/>
          <w:numId w:val="0"/>
        </w:numPr>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数字教学资源配置基本要求</w:t>
      </w:r>
    </w:p>
    <w:p>
      <w:pPr>
        <w:pageBreakBefore w:val="0"/>
        <w:numPr>
          <w:ilvl w:val="0"/>
          <w:numId w:val="0"/>
        </w:numPr>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建设、配备与专业相关的音视频素材、教学课件、数字化教学案例库、虚拟仿真软件、数字教材等专业教学资源库，应种类丰富、形式多样、使用便捷、动态更新，能满足教学要求。</w:t>
      </w:r>
    </w:p>
    <w:p>
      <w:pPr>
        <w:pageBreakBefore w:val="0"/>
        <w:numPr>
          <w:ilvl w:val="0"/>
          <w:numId w:val="2"/>
        </w:numPr>
        <w:kinsoku/>
        <w:wordWrap/>
        <w:overflowPunct w:val="0"/>
        <w:topLinePunct w:val="0"/>
        <w:autoSpaceDE/>
        <w:autoSpaceDN/>
        <w:bidi w:val="0"/>
        <w:adjustRightInd w:val="0"/>
        <w:spacing w:after="0" w:line="520" w:lineRule="exact"/>
        <w:ind w:left="0" w:leftChars="0" w:firstLine="640" w:firstLineChars="200"/>
        <w:rPr>
          <w:rFonts w:hint="eastAsia" w:ascii="楷体" w:hAnsi="楷体" w:eastAsia="楷体" w:cs="楷体"/>
          <w:sz w:val="32"/>
          <w:szCs w:val="32"/>
        </w:rPr>
      </w:pPr>
      <w:r>
        <w:rPr>
          <w:rFonts w:hint="eastAsia" w:ascii="楷体" w:hAnsi="楷体" w:eastAsia="楷体" w:cs="楷体"/>
          <w:sz w:val="32"/>
          <w:szCs w:val="32"/>
        </w:rPr>
        <w:t>教学方法</w:t>
      </w:r>
    </w:p>
    <w:p>
      <w:pPr>
        <w:pageBreakBefore w:val="0"/>
        <w:numPr>
          <w:ilvl w:val="0"/>
          <w:numId w:val="0"/>
        </w:numPr>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不同课程的性质特点，在保留传统讲授法、演示法、讨论法、问答法、案例分析法等的基础上，应充分利用信息化教学资源，尽量将项目驱动法、探究式教学、翻转课堂等新型教学模式及方法引入课堂，遵循“学生为主体，教师为主导”的原则，积极探索多种教学方法。</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楷体" w:hAnsi="楷体" w:eastAsia="楷体" w:cs="楷体"/>
          <w:sz w:val="32"/>
          <w:szCs w:val="32"/>
        </w:rPr>
      </w:pPr>
      <w:r>
        <w:rPr>
          <w:rFonts w:hint="eastAsia" w:ascii="楷体" w:hAnsi="楷体" w:eastAsia="楷体" w:cs="楷体"/>
          <w:sz w:val="32"/>
          <w:szCs w:val="32"/>
        </w:rPr>
        <w:t>（四）学习评价</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1.课程考核方法</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的考核一般分为考试评价、考查评价、鉴定评价、评语评价和答辩评价五种形式。考核评价须根据国家有关规定、课程标准及教学特点确定相应形式，可采取笔试、技能测试、机考、口试、面试等中的一种或多种方式进行。</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课程成绩评定根据学生参与度、作业质量、实训效果与期末考核等项目确定不同比例进行综合评定，评定标准如下：</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（1）A类课程成绩构成（纯理论）</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课程总成绩=期末卷面考试成绩（50%）+平时成绩（50%）</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（2）B类课程成绩构成（理论+实践）</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课程总成绩=理论部分期末卷面考试</w:t>
      </w:r>
      <w:r>
        <w:rPr>
          <w:rFonts w:hint="eastAsia" w:ascii="仿宋_GB2312" w:hAnsi="仿宋_GB2312" w:eastAsia="仿宋_GB2312" w:cs="仿宋_GB2312"/>
          <w:sz w:val="32"/>
          <w:szCs w:val="32"/>
          <w:lang w:val="en-US" w:eastAsia="zh-CN"/>
        </w:rPr>
        <w:t>成绩</w:t>
      </w:r>
      <w:r>
        <w:rPr>
          <w:rFonts w:hint="eastAsia" w:ascii="仿宋_GB2312" w:hAnsi="仿宋_GB2312" w:eastAsia="仿宋_GB2312" w:cs="仿宋_GB2312"/>
          <w:sz w:val="32"/>
          <w:szCs w:val="32"/>
        </w:rPr>
        <w:t>（40%）+技能成绩（30%）+平时成绩（30%）。</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（3）C类课程成绩构成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纯实践）</w:t>
      </w:r>
    </w:p>
    <w:p>
      <w:pPr>
        <w:pageBreakBefore w:val="0"/>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课程总成绩=技能成绩（50%）+平时成绩（50%）</w:t>
      </w:r>
    </w:p>
    <w:p>
      <w:pPr>
        <w:pageBreakBefore w:val="0"/>
        <w:numPr>
          <w:ilvl w:val="0"/>
          <w:numId w:val="0"/>
        </w:numPr>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教学评价方式</w:t>
      </w:r>
    </w:p>
    <w:p>
      <w:pPr>
        <w:pageBreakBefore w:val="0"/>
        <w:numPr>
          <w:ilvl w:val="0"/>
          <w:numId w:val="0"/>
        </w:numPr>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评价采用校内评价与校外评价相结合的方式，校内评价注重过程考核，校外评价以企业评价为主，由企业人员根据企业的岗位工作考核标准，制定对应的核心课程的评价标准，并组织企业人员对学生考核，把评价标准的着眼点和落脚点从目前以学科成绩为核心，改变到以岗位能力为核心的轨道上来。本着为行业企业服务的原则，努力缩小或消除学校评价与企业评价之间的差异。</w:t>
      </w:r>
    </w:p>
    <w:p>
      <w:pPr>
        <w:pageBreakBefore w:val="0"/>
        <w:numPr>
          <w:ilvl w:val="0"/>
          <w:numId w:val="4"/>
        </w:numPr>
        <w:kinsoku/>
        <w:wordWrap/>
        <w:overflowPunct w:val="0"/>
        <w:topLinePunct w:val="0"/>
        <w:autoSpaceDE/>
        <w:autoSpaceDN/>
        <w:bidi w:val="0"/>
        <w:adjustRightInd w:val="0"/>
        <w:spacing w:after="0" w:line="520" w:lineRule="exact"/>
        <w:ind w:left="0" w:leftChars="0" w:firstLine="640" w:firstLineChars="200"/>
        <w:outlineLvl w:val="0"/>
        <w:rPr>
          <w:rFonts w:hint="eastAsia" w:ascii="黑体" w:hAnsi="黑体" w:eastAsia="黑体" w:cs="黑体"/>
          <w:sz w:val="32"/>
          <w:szCs w:val="32"/>
        </w:rPr>
      </w:pPr>
      <w:r>
        <w:rPr>
          <w:rFonts w:hint="eastAsia" w:ascii="黑体" w:hAnsi="黑体" w:eastAsia="黑体" w:cs="黑体"/>
          <w:sz w:val="32"/>
          <w:szCs w:val="32"/>
        </w:rPr>
        <w:t>质量保障</w:t>
      </w:r>
    </w:p>
    <w:p>
      <w:pPr>
        <w:pageBreakBefore w:val="0"/>
        <w:numPr>
          <w:ilvl w:val="0"/>
          <w:numId w:val="0"/>
        </w:numPr>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1.建立专业建设和教学质量诊断与改进机制，健全专业 教学质量监控管理制度，完善课堂教学、教学评价、实习实训、毕业设计以及专业调研、人才培养方案更新、资源建设 等方面质量标准建设，通过教学实施、过程监控、质量评价 和持续改进，达成人才培养规格。</w:t>
      </w:r>
    </w:p>
    <w:p>
      <w:pPr>
        <w:pageBreakBefore w:val="0"/>
        <w:numPr>
          <w:ilvl w:val="0"/>
          <w:numId w:val="0"/>
        </w:numPr>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pageBreakBefore w:val="0"/>
        <w:numPr>
          <w:ilvl w:val="0"/>
          <w:numId w:val="0"/>
        </w:numPr>
        <w:kinsoku/>
        <w:wordWrap/>
        <w:overflowPunct w:val="0"/>
        <w:topLinePunct w:val="0"/>
        <w:autoSpaceDE/>
        <w:autoSpaceDN/>
        <w:bidi w:val="0"/>
        <w:adjustRightInd w:val="0"/>
        <w:spacing w:after="0" w:line="52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3.建立毕业生跟踪反馈机制及社会评价机制，并对生源情况、在校生学业水平、毕业生就业情况等进行分析，定期评价人才培养质量和培养目标达成情况。</w:t>
      </w:r>
    </w:p>
    <w:p>
      <w:pPr>
        <w:pageBreakBefore w:val="0"/>
        <w:numPr>
          <w:ilvl w:val="0"/>
          <w:numId w:val="0"/>
        </w:numPr>
        <w:kinsoku/>
        <w:wordWrap/>
        <w:overflowPunct w:val="0"/>
        <w:topLinePunct w:val="0"/>
        <w:autoSpaceDE/>
        <w:autoSpaceDN/>
        <w:bidi w:val="0"/>
        <w:adjustRightInd w:val="0"/>
        <w:spacing w:after="0" w:line="520" w:lineRule="exact"/>
        <w:ind w:left="0" w:leftChars="0" w:firstLine="640" w:firstLineChars="200"/>
        <w:rPr>
          <w:rFonts w:hint="eastAsia" w:ascii="方正仿宋_GB2312" w:hAnsi="方正仿宋_GB2312" w:eastAsia="方正仿宋_GB2312" w:cs="方正仿宋_GB2312"/>
          <w:sz w:val="32"/>
          <w:szCs w:val="32"/>
        </w:rPr>
      </w:pPr>
      <w:r>
        <w:rPr>
          <w:rFonts w:hint="eastAsia" w:ascii="仿宋_GB2312" w:hAnsi="仿宋_GB2312" w:eastAsia="仿宋_GB2312" w:cs="仿宋_GB2312"/>
          <w:sz w:val="32"/>
          <w:szCs w:val="32"/>
        </w:rPr>
        <w:t>4.充分利用评价分析结果有效改进专业教学，持续提高 人才培养质量。</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黑体" w:hAnsi="黑体" w:eastAsia="黑体" w:cs="黑体"/>
          <w:color w:val="1D41D5"/>
          <w:sz w:val="32"/>
          <w:szCs w:val="32"/>
        </w:rPr>
      </w:pPr>
      <w:r>
        <w:rPr>
          <w:rFonts w:hint="eastAsia" w:ascii="黑体" w:hAnsi="黑体" w:eastAsia="黑体" w:cs="黑体"/>
          <w:sz w:val="32"/>
          <w:szCs w:val="32"/>
        </w:rPr>
        <w:t>十二、毕业要求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楷体" w:hAnsi="楷体" w:eastAsia="楷体" w:cs="楷体"/>
          <w:color w:val="auto"/>
          <w:sz w:val="32"/>
          <w:szCs w:val="32"/>
        </w:rPr>
      </w:pPr>
      <w:r>
        <w:rPr>
          <w:rFonts w:hint="eastAsia" w:ascii="楷体" w:hAnsi="楷体" w:eastAsia="楷体" w:cs="楷体"/>
          <w:color w:val="auto"/>
          <w:sz w:val="32"/>
          <w:szCs w:val="32"/>
        </w:rPr>
        <w:t>（一）满足学分要求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本专业要求学生根据人才培养方案确定的目标和培养规格，完成规定的实习实训，全部课程考核合格且修满至少</w:t>
      </w:r>
      <w:r>
        <w:rPr>
          <w:rFonts w:hint="eastAsia" w:ascii="仿宋_GB2312" w:hAnsi="仿宋_GB2312" w:eastAsia="仿宋_GB2312" w:cs="仿宋_GB2312"/>
          <w:sz w:val="32"/>
          <w:szCs w:val="32"/>
          <w:lang w:val="en-US" w:eastAsia="zh-CN"/>
        </w:rPr>
        <w:t>149</w:t>
      </w:r>
      <w:r>
        <w:rPr>
          <w:rFonts w:hint="eastAsia" w:ascii="仿宋_GB2312" w:hAnsi="仿宋_GB2312" w:eastAsia="仿宋_GB2312" w:cs="仿宋_GB2312"/>
          <w:sz w:val="32"/>
          <w:szCs w:val="32"/>
        </w:rPr>
        <w:t>学分。其中，必修课</w:t>
      </w:r>
      <w:r>
        <w:rPr>
          <w:rFonts w:hint="eastAsia" w:ascii="仿宋_GB2312" w:hAnsi="仿宋_GB2312" w:eastAsia="仿宋_GB2312" w:cs="仿宋_GB2312"/>
          <w:sz w:val="32"/>
          <w:szCs w:val="32"/>
          <w:lang w:val="en-US" w:eastAsia="zh-CN"/>
        </w:rPr>
        <w:t>131</w:t>
      </w:r>
      <w:r>
        <w:rPr>
          <w:rFonts w:hint="eastAsia" w:ascii="仿宋_GB2312" w:hAnsi="仿宋_GB2312" w:eastAsia="仿宋_GB2312" w:cs="仿宋_GB2312"/>
          <w:sz w:val="32"/>
          <w:szCs w:val="32"/>
        </w:rPr>
        <w:t>学分，选修课</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学分。公共必修课</w:t>
      </w:r>
      <w:r>
        <w:rPr>
          <w:rFonts w:hint="eastAsia" w:ascii="仿宋_GB2312" w:hAnsi="仿宋_GB2312" w:eastAsia="仿宋_GB2312" w:cs="仿宋_GB2312"/>
          <w:sz w:val="32"/>
          <w:szCs w:val="32"/>
          <w:lang w:val="en-US" w:eastAsia="zh-CN"/>
        </w:rPr>
        <w:t>38</w:t>
      </w:r>
      <w:r>
        <w:rPr>
          <w:rFonts w:hint="eastAsia" w:ascii="仿宋_GB2312" w:hAnsi="仿宋_GB2312" w:eastAsia="仿宋_GB2312" w:cs="仿宋_GB2312"/>
          <w:sz w:val="32"/>
          <w:szCs w:val="32"/>
        </w:rPr>
        <w:t>学分，公共选修课</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学分。专业必修课</w:t>
      </w:r>
      <w:r>
        <w:rPr>
          <w:rFonts w:hint="eastAsia" w:ascii="仿宋_GB2312" w:hAnsi="仿宋_GB2312" w:eastAsia="仿宋_GB2312" w:cs="仿宋_GB2312"/>
          <w:sz w:val="32"/>
          <w:szCs w:val="32"/>
          <w:lang w:val="en-US" w:eastAsia="zh-CN"/>
        </w:rPr>
        <w:t>93</w:t>
      </w:r>
      <w:r>
        <w:rPr>
          <w:rFonts w:hint="eastAsia" w:ascii="仿宋_GB2312" w:hAnsi="仿宋_GB2312" w:eastAsia="仿宋_GB2312" w:cs="仿宋_GB2312"/>
          <w:sz w:val="32"/>
          <w:szCs w:val="32"/>
        </w:rPr>
        <w:t>学分，专业选修课</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学分。</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outlineLvl w:val="0"/>
        <w:rPr>
          <w:rFonts w:hint="default" w:ascii="楷体" w:hAnsi="楷体" w:eastAsia="楷体" w:cs="楷体"/>
          <w:color w:val="auto"/>
          <w:sz w:val="32"/>
          <w:szCs w:val="32"/>
          <w:lang w:val="en-US" w:eastAsia="zh-CN"/>
        </w:rPr>
      </w:pP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二</w:t>
      </w:r>
      <w:r>
        <w:rPr>
          <w:rFonts w:hint="eastAsia" w:ascii="楷体" w:hAnsi="楷体" w:eastAsia="楷体" w:cs="楷体"/>
          <w:color w:val="auto"/>
          <w:sz w:val="32"/>
          <w:szCs w:val="32"/>
          <w:lang w:eastAsia="zh-CN"/>
        </w:rPr>
        <w:t>）</w:t>
      </w:r>
      <w:r>
        <w:rPr>
          <w:rFonts w:hint="eastAsia" w:ascii="楷体" w:hAnsi="楷体" w:eastAsia="楷体" w:cs="楷体"/>
          <w:color w:val="auto"/>
          <w:sz w:val="32"/>
          <w:szCs w:val="32"/>
          <w:lang w:val="en-US" w:eastAsia="zh-CN"/>
        </w:rPr>
        <w:t>综合素质要求</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1.经鉴定思想品德符合要求，</w:t>
      </w:r>
      <w:r>
        <w:rPr>
          <w:rFonts w:hint="eastAsia" w:ascii="仿宋_GB2312" w:hAnsi="仿宋_GB2312" w:eastAsia="仿宋_GB2312" w:cs="仿宋_GB2312"/>
          <w:color w:val="auto"/>
          <w:sz w:val="32"/>
          <w:szCs w:val="32"/>
        </w:rPr>
        <w:t>坚定拥护中国共产党领导和我国社会主义制度，在习近平新时代中国特色社会主义思想指引下，践行社会主义核心价值观，具有深厚的爱国情感和中华民族自豪感</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崇尚宪法、遵法守纪、崇德向善、诚实守信、尊重生命、热爱劳动，履行道德准则和行为规范，具有社会责任感和社会参与意识；</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具有质量意识、环保意识、安全意识、信息素养、工匠精神、创新思维；</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勇于奋斗、乐观向上，具有自我管理能力、职业生涯规划的意识，有较强的集体意识和团队合作精神；</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掌握本专业知识和技术技能，</w:t>
      </w:r>
      <w:r>
        <w:rPr>
          <w:rFonts w:hint="eastAsia" w:ascii="仿宋_GB2312" w:hAnsi="仿宋_GB2312" w:eastAsia="仿宋_GB2312" w:cs="仿宋_GB2312"/>
          <w:color w:val="auto"/>
          <w:sz w:val="32"/>
          <w:szCs w:val="32"/>
          <w:lang w:eastAsia="zh-CN"/>
        </w:rPr>
        <w:t>思想政治理论、科学文化基础知识和中华优秀传统文化知识；</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熟悉与本专业相关的法律法规以及环境保护、安全消防，</w:t>
      </w:r>
      <w:r>
        <w:rPr>
          <w:rFonts w:hint="eastAsia" w:ascii="仿宋_GB2312" w:hAnsi="仿宋_GB2312" w:eastAsia="仿宋_GB2312" w:cs="仿宋_GB2312"/>
          <w:color w:val="auto"/>
          <w:sz w:val="32"/>
          <w:szCs w:val="32"/>
        </w:rPr>
        <w:t>积极参加社会实践活动，具备职业综合素质和行动能力</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具有探究学习、终身学习、分析问题和解决问题的能力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有良好的语言、文字表达能力和沟通能力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具有一定的市场</w:t>
      </w:r>
      <w:r>
        <w:rPr>
          <w:rFonts w:hint="eastAsia" w:ascii="仿宋_GB2312" w:hAnsi="仿宋_GB2312" w:eastAsia="仿宋_GB2312" w:cs="仿宋_GB2312"/>
          <w:color w:val="auto"/>
          <w:sz w:val="32"/>
          <w:szCs w:val="32"/>
          <w:lang w:val="en-US" w:eastAsia="zh-CN"/>
        </w:rPr>
        <w:t>实践调研</w:t>
      </w:r>
      <w:r>
        <w:rPr>
          <w:rFonts w:hint="eastAsia" w:ascii="仿宋_GB2312" w:hAnsi="仿宋_GB2312" w:eastAsia="仿宋_GB2312" w:cs="仿宋_GB2312"/>
          <w:color w:val="auto"/>
          <w:sz w:val="32"/>
          <w:szCs w:val="32"/>
        </w:rPr>
        <w:t>能力</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after="0" w:line="52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能运用Coreldraw、3Dmax、Photoshop、Auto CAD、3D打印技术、激光雕刻技术、产品扫描成像等辅助设计软件完成</w:t>
      </w:r>
      <w:r>
        <w:rPr>
          <w:rFonts w:hint="eastAsia" w:ascii="仿宋_GB2312" w:hAnsi="仿宋_GB2312" w:eastAsia="仿宋_GB2312" w:cs="仿宋_GB2312"/>
          <w:color w:val="auto"/>
          <w:sz w:val="32"/>
          <w:szCs w:val="32"/>
          <w:lang w:val="en-US" w:eastAsia="zh-CN"/>
        </w:rPr>
        <w:t>专业设计的</w:t>
      </w:r>
      <w:r>
        <w:rPr>
          <w:rFonts w:hint="eastAsia" w:ascii="仿宋_GB2312" w:hAnsi="仿宋_GB2312" w:eastAsia="仿宋_GB2312" w:cs="仿宋_GB2312"/>
          <w:color w:val="auto"/>
          <w:sz w:val="32"/>
          <w:szCs w:val="32"/>
        </w:rPr>
        <w:t>能力</w:t>
      </w:r>
      <w:r>
        <w:rPr>
          <w:rFonts w:hint="eastAsia" w:ascii="仿宋_GB2312" w:hAnsi="仿宋_GB2312" w:eastAsia="仿宋_GB2312" w:cs="仿宋_GB2312"/>
          <w:color w:val="auto"/>
          <w:sz w:val="32"/>
          <w:szCs w:val="32"/>
          <w:lang w:eastAsia="zh-CN"/>
        </w:rPr>
        <w:t>。</w:t>
      </w:r>
      <w:bookmarkStart w:id="15" w:name="_GoBack"/>
      <w:bookmarkEnd w:id="15"/>
    </w:p>
    <w:sectPr>
      <w:footerReference r:id="rId4"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4D0F998-0279-4F32-8C4A-DDC68145551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E31D8969-2A5F-44A4-B519-6F24E0E07B29}"/>
  </w:font>
  <w:font w:name="华文新魏">
    <w:panose1 w:val="02010800040101010101"/>
    <w:charset w:val="86"/>
    <w:family w:val="auto"/>
    <w:pitch w:val="default"/>
    <w:sig w:usb0="00000000" w:usb1="00000000" w:usb2="00000000" w:usb3="00000000" w:csb0="00000000" w:csb1="00000000"/>
    <w:embedRegular r:id="rId3" w:fontKey="{FBD482A7-89B1-4D33-A58E-AACA2E7D2B8C}"/>
  </w:font>
  <w:font w:name="方正小标宋简体">
    <w:panose1 w:val="03000509000000000000"/>
    <w:charset w:val="86"/>
    <w:family w:val="script"/>
    <w:pitch w:val="default"/>
    <w:sig w:usb0="00000001" w:usb1="080E0000" w:usb2="00000000" w:usb3="00000000" w:csb0="00040000" w:csb1="00000000"/>
    <w:embedRegular r:id="rId4" w:fontKey="{F34F02D1-E51A-4198-B9AD-B86A9F744861}"/>
  </w:font>
  <w:font w:name="仿宋_GB2312">
    <w:panose1 w:val="02010609030101010101"/>
    <w:charset w:val="86"/>
    <w:family w:val="modern"/>
    <w:pitch w:val="default"/>
    <w:sig w:usb0="00000001" w:usb1="080E0000" w:usb2="00000000" w:usb3="00000000" w:csb0="00040000" w:csb1="00000000"/>
    <w:embedRegular r:id="rId5" w:fontKey="{C8D6AF97-4E82-484E-866F-7E3935366413}"/>
  </w:font>
  <w:font w:name="楷体">
    <w:panose1 w:val="02010609060101010101"/>
    <w:charset w:val="86"/>
    <w:family w:val="modern"/>
    <w:pitch w:val="default"/>
    <w:sig w:usb0="800002BF" w:usb1="38CF7CFA" w:usb2="00000016" w:usb3="00000000" w:csb0="00040001" w:csb1="00000000"/>
    <w:embedRegular r:id="rId6" w:fontKey="{3CB1B020-B80A-406C-B596-55B76E044F4F}"/>
  </w:font>
  <w:font w:name="方正仿宋_GB2312">
    <w:panose1 w:val="02000000000000000000"/>
    <w:charset w:val="86"/>
    <w:family w:val="auto"/>
    <w:pitch w:val="default"/>
    <w:sig w:usb0="00000000" w:usb1="00000000" w:usb2="00000000" w:usb3="00000000" w:csb0="00000000" w:csb1="00000000"/>
    <w:embedRegular r:id="rId7" w:fontKey="{691AD573-4F25-43CF-B934-38C7D6D7A9E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E467B6"/>
    <w:multiLevelType w:val="singleLevel"/>
    <w:tmpl w:val="C9E467B6"/>
    <w:lvl w:ilvl="0" w:tentative="0">
      <w:start w:val="2"/>
      <w:numFmt w:val="decimal"/>
      <w:suff w:val="nothing"/>
      <w:lvlText w:val="（%1）"/>
      <w:lvlJc w:val="left"/>
    </w:lvl>
  </w:abstractNum>
  <w:abstractNum w:abstractNumId="1">
    <w:nsid w:val="EB2D466B"/>
    <w:multiLevelType w:val="singleLevel"/>
    <w:tmpl w:val="EB2D466B"/>
    <w:lvl w:ilvl="0" w:tentative="0">
      <w:start w:val="1"/>
      <w:numFmt w:val="chineseCounting"/>
      <w:suff w:val="nothing"/>
      <w:lvlText w:val="（%1）"/>
      <w:lvlJc w:val="left"/>
      <w:rPr>
        <w:rFonts w:hint="eastAsia"/>
      </w:rPr>
    </w:lvl>
  </w:abstractNum>
  <w:abstractNum w:abstractNumId="2">
    <w:nsid w:val="12F509E0"/>
    <w:multiLevelType w:val="singleLevel"/>
    <w:tmpl w:val="12F509E0"/>
    <w:lvl w:ilvl="0" w:tentative="0">
      <w:start w:val="1"/>
      <w:numFmt w:val="chineseCounting"/>
      <w:suff w:val="nothing"/>
      <w:lvlText w:val="（%1）"/>
      <w:lvlJc w:val="left"/>
      <w:rPr>
        <w:rFonts w:hint="eastAsia"/>
      </w:rPr>
    </w:lvl>
  </w:abstractNum>
  <w:abstractNum w:abstractNumId="3">
    <w:nsid w:val="3846E1B7"/>
    <w:multiLevelType w:val="singleLevel"/>
    <w:tmpl w:val="3846E1B7"/>
    <w:lvl w:ilvl="0" w:tentative="0">
      <w:start w:val="11"/>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ODNhNmM0OTAwZDVjMTAyN2Q2MmIyMTg0YmNmNzQifQ=="/>
  </w:docVars>
  <w:rsids>
    <w:rsidRoot w:val="00172A27"/>
    <w:rsid w:val="00090E00"/>
    <w:rsid w:val="000A7541"/>
    <w:rsid w:val="0015300C"/>
    <w:rsid w:val="001673E5"/>
    <w:rsid w:val="001A7FBE"/>
    <w:rsid w:val="00283E45"/>
    <w:rsid w:val="002D15C0"/>
    <w:rsid w:val="003531B3"/>
    <w:rsid w:val="00376915"/>
    <w:rsid w:val="003D3CE4"/>
    <w:rsid w:val="005645D8"/>
    <w:rsid w:val="005A2BBB"/>
    <w:rsid w:val="005F6043"/>
    <w:rsid w:val="006A1AE0"/>
    <w:rsid w:val="0071110E"/>
    <w:rsid w:val="00884283"/>
    <w:rsid w:val="00A12741"/>
    <w:rsid w:val="00A165B0"/>
    <w:rsid w:val="00A23811"/>
    <w:rsid w:val="00AB71CC"/>
    <w:rsid w:val="00B14C0C"/>
    <w:rsid w:val="00B46AB6"/>
    <w:rsid w:val="00B91791"/>
    <w:rsid w:val="00C3446C"/>
    <w:rsid w:val="00C4271B"/>
    <w:rsid w:val="00CE711B"/>
    <w:rsid w:val="00CF1684"/>
    <w:rsid w:val="00D03D56"/>
    <w:rsid w:val="00E2700A"/>
    <w:rsid w:val="00EA2375"/>
    <w:rsid w:val="00ED3BD8"/>
    <w:rsid w:val="00F52A8D"/>
    <w:rsid w:val="00F63617"/>
    <w:rsid w:val="00F82685"/>
    <w:rsid w:val="00FA77F6"/>
    <w:rsid w:val="00FB052B"/>
    <w:rsid w:val="01514167"/>
    <w:rsid w:val="01786F4B"/>
    <w:rsid w:val="01AA3877"/>
    <w:rsid w:val="022C297A"/>
    <w:rsid w:val="02661E94"/>
    <w:rsid w:val="02CD5374"/>
    <w:rsid w:val="02F72AEC"/>
    <w:rsid w:val="03304250"/>
    <w:rsid w:val="03967795"/>
    <w:rsid w:val="03A07894"/>
    <w:rsid w:val="03C70711"/>
    <w:rsid w:val="048C3708"/>
    <w:rsid w:val="04A2552D"/>
    <w:rsid w:val="04BC3FEE"/>
    <w:rsid w:val="04EE7F1F"/>
    <w:rsid w:val="051223C4"/>
    <w:rsid w:val="062E0F1B"/>
    <w:rsid w:val="06471FDD"/>
    <w:rsid w:val="0686237C"/>
    <w:rsid w:val="06C90C44"/>
    <w:rsid w:val="06EF7C1A"/>
    <w:rsid w:val="070954E4"/>
    <w:rsid w:val="07322345"/>
    <w:rsid w:val="073B2858"/>
    <w:rsid w:val="082F2519"/>
    <w:rsid w:val="084C7436"/>
    <w:rsid w:val="08946CC4"/>
    <w:rsid w:val="08DA7138"/>
    <w:rsid w:val="08F70DAF"/>
    <w:rsid w:val="09075A53"/>
    <w:rsid w:val="094D790A"/>
    <w:rsid w:val="095347F5"/>
    <w:rsid w:val="0958293E"/>
    <w:rsid w:val="097C7FF6"/>
    <w:rsid w:val="09CB082F"/>
    <w:rsid w:val="09D45935"/>
    <w:rsid w:val="0A1E4E03"/>
    <w:rsid w:val="0A3B04AB"/>
    <w:rsid w:val="0A634F0B"/>
    <w:rsid w:val="0AC91212"/>
    <w:rsid w:val="0AFF69E2"/>
    <w:rsid w:val="0B64718D"/>
    <w:rsid w:val="0B9E269F"/>
    <w:rsid w:val="0BB93035"/>
    <w:rsid w:val="0BFB189F"/>
    <w:rsid w:val="0C0A3BA0"/>
    <w:rsid w:val="0CE642FD"/>
    <w:rsid w:val="0D3000CB"/>
    <w:rsid w:val="0D8F1A4E"/>
    <w:rsid w:val="0DB963BF"/>
    <w:rsid w:val="0DE924A0"/>
    <w:rsid w:val="0E1D4BC4"/>
    <w:rsid w:val="0E2350DD"/>
    <w:rsid w:val="0E3826A1"/>
    <w:rsid w:val="0E5D717C"/>
    <w:rsid w:val="0E5E6115"/>
    <w:rsid w:val="0E8430A6"/>
    <w:rsid w:val="0ED4462A"/>
    <w:rsid w:val="0F386966"/>
    <w:rsid w:val="0FA47B58"/>
    <w:rsid w:val="0FA67D74"/>
    <w:rsid w:val="0FAF73B6"/>
    <w:rsid w:val="0FD20B69"/>
    <w:rsid w:val="0FE4089C"/>
    <w:rsid w:val="10093E5F"/>
    <w:rsid w:val="10152804"/>
    <w:rsid w:val="10234F21"/>
    <w:rsid w:val="108F6A5A"/>
    <w:rsid w:val="10914580"/>
    <w:rsid w:val="10AE33DE"/>
    <w:rsid w:val="10E751CB"/>
    <w:rsid w:val="10EE36A0"/>
    <w:rsid w:val="116752E1"/>
    <w:rsid w:val="11D626D2"/>
    <w:rsid w:val="12485112"/>
    <w:rsid w:val="127F665A"/>
    <w:rsid w:val="12DC3AAD"/>
    <w:rsid w:val="12F708E7"/>
    <w:rsid w:val="13203999"/>
    <w:rsid w:val="134753CA"/>
    <w:rsid w:val="135C5E82"/>
    <w:rsid w:val="13826402"/>
    <w:rsid w:val="139B5716"/>
    <w:rsid w:val="13C77F07"/>
    <w:rsid w:val="13F454F6"/>
    <w:rsid w:val="14A800EA"/>
    <w:rsid w:val="14B95E54"/>
    <w:rsid w:val="15001CD4"/>
    <w:rsid w:val="150317C5"/>
    <w:rsid w:val="15202377"/>
    <w:rsid w:val="15542020"/>
    <w:rsid w:val="1558036F"/>
    <w:rsid w:val="165F0C7D"/>
    <w:rsid w:val="1699418F"/>
    <w:rsid w:val="16995FBA"/>
    <w:rsid w:val="16A42B33"/>
    <w:rsid w:val="16DC051F"/>
    <w:rsid w:val="16FF7D6A"/>
    <w:rsid w:val="170B4961"/>
    <w:rsid w:val="170E1360"/>
    <w:rsid w:val="171E7FAF"/>
    <w:rsid w:val="1740285C"/>
    <w:rsid w:val="1749510D"/>
    <w:rsid w:val="1796247C"/>
    <w:rsid w:val="1798559B"/>
    <w:rsid w:val="18CB084B"/>
    <w:rsid w:val="19196C5D"/>
    <w:rsid w:val="19481E9C"/>
    <w:rsid w:val="1996115B"/>
    <w:rsid w:val="19AF3CC9"/>
    <w:rsid w:val="1A192A7E"/>
    <w:rsid w:val="1A262FB5"/>
    <w:rsid w:val="1AE45BF4"/>
    <w:rsid w:val="1B284278"/>
    <w:rsid w:val="1BAE7956"/>
    <w:rsid w:val="1BCC19A4"/>
    <w:rsid w:val="1BF93A5C"/>
    <w:rsid w:val="1C124C1B"/>
    <w:rsid w:val="1C27223D"/>
    <w:rsid w:val="1C6F14EE"/>
    <w:rsid w:val="1C90180A"/>
    <w:rsid w:val="1CB25FAA"/>
    <w:rsid w:val="1CD75A11"/>
    <w:rsid w:val="1D0377EB"/>
    <w:rsid w:val="1D106876"/>
    <w:rsid w:val="1D24677C"/>
    <w:rsid w:val="1D602654"/>
    <w:rsid w:val="1DD51824"/>
    <w:rsid w:val="1E44016F"/>
    <w:rsid w:val="1E4B3DFE"/>
    <w:rsid w:val="1E91399D"/>
    <w:rsid w:val="1EA77665"/>
    <w:rsid w:val="1EC45B21"/>
    <w:rsid w:val="1ECC6B87"/>
    <w:rsid w:val="1EF87346"/>
    <w:rsid w:val="1F3A7811"/>
    <w:rsid w:val="1F5350F7"/>
    <w:rsid w:val="1F9A4848"/>
    <w:rsid w:val="1FB17C46"/>
    <w:rsid w:val="1FB21E1D"/>
    <w:rsid w:val="1FB72576"/>
    <w:rsid w:val="1FBC2C9C"/>
    <w:rsid w:val="207417C9"/>
    <w:rsid w:val="20AA343C"/>
    <w:rsid w:val="20AD7038"/>
    <w:rsid w:val="20BE4D41"/>
    <w:rsid w:val="20E56222"/>
    <w:rsid w:val="20E57FD0"/>
    <w:rsid w:val="210E0F0E"/>
    <w:rsid w:val="21464E29"/>
    <w:rsid w:val="2170143C"/>
    <w:rsid w:val="21C9026A"/>
    <w:rsid w:val="21EB3D26"/>
    <w:rsid w:val="22123047"/>
    <w:rsid w:val="223461B5"/>
    <w:rsid w:val="22587130"/>
    <w:rsid w:val="22967FAA"/>
    <w:rsid w:val="22A00653"/>
    <w:rsid w:val="2338088B"/>
    <w:rsid w:val="236773C3"/>
    <w:rsid w:val="237D0994"/>
    <w:rsid w:val="23954DD6"/>
    <w:rsid w:val="23A0563D"/>
    <w:rsid w:val="23D42CAA"/>
    <w:rsid w:val="249D12EE"/>
    <w:rsid w:val="24E76143"/>
    <w:rsid w:val="24F353B2"/>
    <w:rsid w:val="250E5D48"/>
    <w:rsid w:val="25257535"/>
    <w:rsid w:val="25B6018D"/>
    <w:rsid w:val="267A11BB"/>
    <w:rsid w:val="26802F3F"/>
    <w:rsid w:val="27075144"/>
    <w:rsid w:val="27441EF5"/>
    <w:rsid w:val="27AE3812"/>
    <w:rsid w:val="27F5401D"/>
    <w:rsid w:val="28557849"/>
    <w:rsid w:val="285A12A4"/>
    <w:rsid w:val="289A5B44"/>
    <w:rsid w:val="28BD30CD"/>
    <w:rsid w:val="29076628"/>
    <w:rsid w:val="29312005"/>
    <w:rsid w:val="296E1A2F"/>
    <w:rsid w:val="29B449E4"/>
    <w:rsid w:val="29C72B81"/>
    <w:rsid w:val="29F55728"/>
    <w:rsid w:val="2ADC6044"/>
    <w:rsid w:val="2B0F281A"/>
    <w:rsid w:val="2B5B7BB1"/>
    <w:rsid w:val="2B8D373E"/>
    <w:rsid w:val="2BF11F1F"/>
    <w:rsid w:val="2C802418"/>
    <w:rsid w:val="2CB341C7"/>
    <w:rsid w:val="2CC66F08"/>
    <w:rsid w:val="2CEB2E12"/>
    <w:rsid w:val="2D5704A8"/>
    <w:rsid w:val="2D8165B1"/>
    <w:rsid w:val="2D964B2C"/>
    <w:rsid w:val="2DAC4350"/>
    <w:rsid w:val="2DE47F8D"/>
    <w:rsid w:val="2DF80479"/>
    <w:rsid w:val="2F083808"/>
    <w:rsid w:val="2F34284F"/>
    <w:rsid w:val="2F436F36"/>
    <w:rsid w:val="2F7A2E0A"/>
    <w:rsid w:val="2F8512FC"/>
    <w:rsid w:val="2F8D1F5F"/>
    <w:rsid w:val="2FA96B3D"/>
    <w:rsid w:val="2FD67C58"/>
    <w:rsid w:val="2FD933F6"/>
    <w:rsid w:val="30145578"/>
    <w:rsid w:val="30A6152A"/>
    <w:rsid w:val="30A77050"/>
    <w:rsid w:val="30DC27D6"/>
    <w:rsid w:val="30E4207F"/>
    <w:rsid w:val="31052FA1"/>
    <w:rsid w:val="3115220C"/>
    <w:rsid w:val="311614C6"/>
    <w:rsid w:val="31342FDA"/>
    <w:rsid w:val="318A49A8"/>
    <w:rsid w:val="31A83FF1"/>
    <w:rsid w:val="31AA329C"/>
    <w:rsid w:val="31D2634F"/>
    <w:rsid w:val="321D581C"/>
    <w:rsid w:val="32432DA9"/>
    <w:rsid w:val="32CB34CA"/>
    <w:rsid w:val="32D35EE3"/>
    <w:rsid w:val="32F32A21"/>
    <w:rsid w:val="32F92E4C"/>
    <w:rsid w:val="32FA3DAF"/>
    <w:rsid w:val="32FD73FC"/>
    <w:rsid w:val="33260700"/>
    <w:rsid w:val="33266952"/>
    <w:rsid w:val="33AE06F6"/>
    <w:rsid w:val="33B93C14"/>
    <w:rsid w:val="340B64C1"/>
    <w:rsid w:val="348B3F97"/>
    <w:rsid w:val="34B65AB4"/>
    <w:rsid w:val="34C46423"/>
    <w:rsid w:val="34EA50C0"/>
    <w:rsid w:val="357449D1"/>
    <w:rsid w:val="359009FB"/>
    <w:rsid w:val="35E93C67"/>
    <w:rsid w:val="364315C9"/>
    <w:rsid w:val="36657792"/>
    <w:rsid w:val="370E7E29"/>
    <w:rsid w:val="376B0DD8"/>
    <w:rsid w:val="3770165B"/>
    <w:rsid w:val="37960DB8"/>
    <w:rsid w:val="37AD2573"/>
    <w:rsid w:val="37B2058C"/>
    <w:rsid w:val="38082ACA"/>
    <w:rsid w:val="380B4E4F"/>
    <w:rsid w:val="381153F4"/>
    <w:rsid w:val="38481119"/>
    <w:rsid w:val="38877EE4"/>
    <w:rsid w:val="38C22C79"/>
    <w:rsid w:val="39372651"/>
    <w:rsid w:val="39A700C1"/>
    <w:rsid w:val="3A4164A5"/>
    <w:rsid w:val="3A451367"/>
    <w:rsid w:val="3A60099C"/>
    <w:rsid w:val="3A7A7584"/>
    <w:rsid w:val="3AAE2754"/>
    <w:rsid w:val="3AEA4709"/>
    <w:rsid w:val="3B4007CD"/>
    <w:rsid w:val="3C17152E"/>
    <w:rsid w:val="3C3F4310"/>
    <w:rsid w:val="3C804747"/>
    <w:rsid w:val="3CB2543F"/>
    <w:rsid w:val="3CCE70BD"/>
    <w:rsid w:val="3D0047E4"/>
    <w:rsid w:val="3D586945"/>
    <w:rsid w:val="3D766728"/>
    <w:rsid w:val="3D7D2AAC"/>
    <w:rsid w:val="3D9F7A2D"/>
    <w:rsid w:val="3E4D7489"/>
    <w:rsid w:val="3E725142"/>
    <w:rsid w:val="3EB92D70"/>
    <w:rsid w:val="3F367217"/>
    <w:rsid w:val="3F6532BD"/>
    <w:rsid w:val="3F6A4DBB"/>
    <w:rsid w:val="3F785DC7"/>
    <w:rsid w:val="3F9C4784"/>
    <w:rsid w:val="3FB34229"/>
    <w:rsid w:val="3FF86C17"/>
    <w:rsid w:val="3FFC1167"/>
    <w:rsid w:val="40077B0C"/>
    <w:rsid w:val="404B5C4A"/>
    <w:rsid w:val="40664832"/>
    <w:rsid w:val="4084115C"/>
    <w:rsid w:val="4099592E"/>
    <w:rsid w:val="40B53BBC"/>
    <w:rsid w:val="40B557B9"/>
    <w:rsid w:val="40C3565E"/>
    <w:rsid w:val="40C8470D"/>
    <w:rsid w:val="413D6362"/>
    <w:rsid w:val="41540B2E"/>
    <w:rsid w:val="415648A7"/>
    <w:rsid w:val="41727207"/>
    <w:rsid w:val="41A42FA1"/>
    <w:rsid w:val="41BB6E00"/>
    <w:rsid w:val="41CF62FB"/>
    <w:rsid w:val="41DE5079"/>
    <w:rsid w:val="422A57D8"/>
    <w:rsid w:val="42817701"/>
    <w:rsid w:val="428611BC"/>
    <w:rsid w:val="42B86E9B"/>
    <w:rsid w:val="43036368"/>
    <w:rsid w:val="43105F3B"/>
    <w:rsid w:val="436463B1"/>
    <w:rsid w:val="43713C1A"/>
    <w:rsid w:val="43792ACE"/>
    <w:rsid w:val="43A538C3"/>
    <w:rsid w:val="43C755E8"/>
    <w:rsid w:val="44380293"/>
    <w:rsid w:val="447D65EE"/>
    <w:rsid w:val="44A43B7B"/>
    <w:rsid w:val="44B71B00"/>
    <w:rsid w:val="44B862E9"/>
    <w:rsid w:val="455530C7"/>
    <w:rsid w:val="4602706C"/>
    <w:rsid w:val="46733805"/>
    <w:rsid w:val="46B856BC"/>
    <w:rsid w:val="46C045FB"/>
    <w:rsid w:val="46EE10DD"/>
    <w:rsid w:val="46F661E4"/>
    <w:rsid w:val="47103740"/>
    <w:rsid w:val="471C3E9C"/>
    <w:rsid w:val="477C0DDF"/>
    <w:rsid w:val="4803505C"/>
    <w:rsid w:val="480A0199"/>
    <w:rsid w:val="484E6031"/>
    <w:rsid w:val="48A57EC2"/>
    <w:rsid w:val="48AE4FC8"/>
    <w:rsid w:val="48BA396D"/>
    <w:rsid w:val="48BD16AF"/>
    <w:rsid w:val="48DF1625"/>
    <w:rsid w:val="48E56510"/>
    <w:rsid w:val="48FD5F50"/>
    <w:rsid w:val="49395702"/>
    <w:rsid w:val="49843F7B"/>
    <w:rsid w:val="49A63EF1"/>
    <w:rsid w:val="4A3C6604"/>
    <w:rsid w:val="4AA20B5D"/>
    <w:rsid w:val="4AD8632C"/>
    <w:rsid w:val="4AF15640"/>
    <w:rsid w:val="4AFA62A3"/>
    <w:rsid w:val="4B531E57"/>
    <w:rsid w:val="4B537135"/>
    <w:rsid w:val="4B726781"/>
    <w:rsid w:val="4B7578B3"/>
    <w:rsid w:val="4BF947AC"/>
    <w:rsid w:val="4C0272E2"/>
    <w:rsid w:val="4C0C0983"/>
    <w:rsid w:val="4C1149B8"/>
    <w:rsid w:val="4C186067"/>
    <w:rsid w:val="4C3500D7"/>
    <w:rsid w:val="4C675BBA"/>
    <w:rsid w:val="4CAC08CB"/>
    <w:rsid w:val="4CC77104"/>
    <w:rsid w:val="4CDF4158"/>
    <w:rsid w:val="4CF457E6"/>
    <w:rsid w:val="4D135D42"/>
    <w:rsid w:val="4D1473C4"/>
    <w:rsid w:val="4DA841F4"/>
    <w:rsid w:val="4E514358"/>
    <w:rsid w:val="4E5C7274"/>
    <w:rsid w:val="4F585C8E"/>
    <w:rsid w:val="4F6B3C13"/>
    <w:rsid w:val="4F7D56F4"/>
    <w:rsid w:val="509C4C8B"/>
    <w:rsid w:val="50AE0001"/>
    <w:rsid w:val="5135219E"/>
    <w:rsid w:val="51C30881"/>
    <w:rsid w:val="51D535C6"/>
    <w:rsid w:val="51FE1E87"/>
    <w:rsid w:val="522105B9"/>
    <w:rsid w:val="523A2F3A"/>
    <w:rsid w:val="5259656B"/>
    <w:rsid w:val="531243A6"/>
    <w:rsid w:val="535B634F"/>
    <w:rsid w:val="53807561"/>
    <w:rsid w:val="53C71634"/>
    <w:rsid w:val="53DC3C80"/>
    <w:rsid w:val="542919A7"/>
    <w:rsid w:val="548B2F99"/>
    <w:rsid w:val="55562C6F"/>
    <w:rsid w:val="55653A2B"/>
    <w:rsid w:val="55846503"/>
    <w:rsid w:val="55B158A0"/>
    <w:rsid w:val="55D87B28"/>
    <w:rsid w:val="56397652"/>
    <w:rsid w:val="565C2507"/>
    <w:rsid w:val="566118CC"/>
    <w:rsid w:val="56617535"/>
    <w:rsid w:val="56A23A63"/>
    <w:rsid w:val="56E30533"/>
    <w:rsid w:val="56F95FA8"/>
    <w:rsid w:val="572D5C52"/>
    <w:rsid w:val="577B4C0F"/>
    <w:rsid w:val="57B343A9"/>
    <w:rsid w:val="57B50B13"/>
    <w:rsid w:val="57B83D32"/>
    <w:rsid w:val="57F329F7"/>
    <w:rsid w:val="58337298"/>
    <w:rsid w:val="58680DC2"/>
    <w:rsid w:val="588673C8"/>
    <w:rsid w:val="588B2C30"/>
    <w:rsid w:val="58E02A3F"/>
    <w:rsid w:val="5900361E"/>
    <w:rsid w:val="592E244B"/>
    <w:rsid w:val="592F7A5F"/>
    <w:rsid w:val="59345076"/>
    <w:rsid w:val="59575208"/>
    <w:rsid w:val="595C12A3"/>
    <w:rsid w:val="5996188C"/>
    <w:rsid w:val="59A31FC3"/>
    <w:rsid w:val="59C77C98"/>
    <w:rsid w:val="59DE1485"/>
    <w:rsid w:val="5A0C7744"/>
    <w:rsid w:val="5A563FC2"/>
    <w:rsid w:val="5A9F0C15"/>
    <w:rsid w:val="5AD36B10"/>
    <w:rsid w:val="5AE64A95"/>
    <w:rsid w:val="5B137EF8"/>
    <w:rsid w:val="5B171E82"/>
    <w:rsid w:val="5B1F1DFE"/>
    <w:rsid w:val="5B322D65"/>
    <w:rsid w:val="5BBC75A4"/>
    <w:rsid w:val="5BCC4E68"/>
    <w:rsid w:val="5C0E6052"/>
    <w:rsid w:val="5C38700F"/>
    <w:rsid w:val="5C3D2493"/>
    <w:rsid w:val="5C4E644E"/>
    <w:rsid w:val="5C606182"/>
    <w:rsid w:val="5C8C341B"/>
    <w:rsid w:val="5C9B365E"/>
    <w:rsid w:val="5CD1707F"/>
    <w:rsid w:val="5D01298C"/>
    <w:rsid w:val="5D206DB4"/>
    <w:rsid w:val="5D292A17"/>
    <w:rsid w:val="5D7F2AAE"/>
    <w:rsid w:val="5D9102BB"/>
    <w:rsid w:val="5E043D85"/>
    <w:rsid w:val="5E510503"/>
    <w:rsid w:val="5E7540E3"/>
    <w:rsid w:val="5E8B1BDC"/>
    <w:rsid w:val="5E93321A"/>
    <w:rsid w:val="5E9B7945"/>
    <w:rsid w:val="5EBD5B0D"/>
    <w:rsid w:val="5EF55541"/>
    <w:rsid w:val="5F07293D"/>
    <w:rsid w:val="5F1B4F3C"/>
    <w:rsid w:val="5F2B6F1B"/>
    <w:rsid w:val="5F335DCF"/>
    <w:rsid w:val="5F475456"/>
    <w:rsid w:val="5F4C0C3F"/>
    <w:rsid w:val="5FC058B5"/>
    <w:rsid w:val="5FE1582B"/>
    <w:rsid w:val="5FF23595"/>
    <w:rsid w:val="5FF437B1"/>
    <w:rsid w:val="601C4AB5"/>
    <w:rsid w:val="603116DC"/>
    <w:rsid w:val="60324F9C"/>
    <w:rsid w:val="60477D84"/>
    <w:rsid w:val="608D150F"/>
    <w:rsid w:val="611D2893"/>
    <w:rsid w:val="613D1187"/>
    <w:rsid w:val="614442C4"/>
    <w:rsid w:val="61750921"/>
    <w:rsid w:val="617A5F38"/>
    <w:rsid w:val="61800532"/>
    <w:rsid w:val="61926DDD"/>
    <w:rsid w:val="61FC06FB"/>
    <w:rsid w:val="62386256"/>
    <w:rsid w:val="62D11B87"/>
    <w:rsid w:val="62E80EC0"/>
    <w:rsid w:val="631D301E"/>
    <w:rsid w:val="631F49AF"/>
    <w:rsid w:val="632717A7"/>
    <w:rsid w:val="6384309D"/>
    <w:rsid w:val="638D0589"/>
    <w:rsid w:val="63CE39A4"/>
    <w:rsid w:val="63D27965"/>
    <w:rsid w:val="63E53F33"/>
    <w:rsid w:val="64025D70"/>
    <w:rsid w:val="643017E4"/>
    <w:rsid w:val="644840CB"/>
    <w:rsid w:val="64966BE4"/>
    <w:rsid w:val="64990483"/>
    <w:rsid w:val="6502427A"/>
    <w:rsid w:val="65165F77"/>
    <w:rsid w:val="653C36DA"/>
    <w:rsid w:val="65B31A18"/>
    <w:rsid w:val="65FE0EE5"/>
    <w:rsid w:val="663F14FE"/>
    <w:rsid w:val="66707909"/>
    <w:rsid w:val="66B141AA"/>
    <w:rsid w:val="671604B0"/>
    <w:rsid w:val="6736719C"/>
    <w:rsid w:val="67470A9D"/>
    <w:rsid w:val="676D7A10"/>
    <w:rsid w:val="6773145F"/>
    <w:rsid w:val="6780563A"/>
    <w:rsid w:val="67B90B06"/>
    <w:rsid w:val="67FA56DC"/>
    <w:rsid w:val="681A3FD0"/>
    <w:rsid w:val="6888718C"/>
    <w:rsid w:val="68B25FB7"/>
    <w:rsid w:val="69164798"/>
    <w:rsid w:val="693C4CB6"/>
    <w:rsid w:val="69636523"/>
    <w:rsid w:val="69D837FB"/>
    <w:rsid w:val="6A246A40"/>
    <w:rsid w:val="6A325601"/>
    <w:rsid w:val="6A9C6F1F"/>
    <w:rsid w:val="6ABA1153"/>
    <w:rsid w:val="6AF44665"/>
    <w:rsid w:val="6B4E7FF4"/>
    <w:rsid w:val="6BDB75D3"/>
    <w:rsid w:val="6BF80185"/>
    <w:rsid w:val="6C2B055A"/>
    <w:rsid w:val="6C423AF6"/>
    <w:rsid w:val="6C8A72E3"/>
    <w:rsid w:val="6C923EBF"/>
    <w:rsid w:val="6D1D49F8"/>
    <w:rsid w:val="6D381F39"/>
    <w:rsid w:val="6D8F2D6B"/>
    <w:rsid w:val="6E0C43BB"/>
    <w:rsid w:val="6EF07839"/>
    <w:rsid w:val="6F2D45E9"/>
    <w:rsid w:val="6F2F65B3"/>
    <w:rsid w:val="6FC4358D"/>
    <w:rsid w:val="6FF128C8"/>
    <w:rsid w:val="6FF60E7F"/>
    <w:rsid w:val="711710AD"/>
    <w:rsid w:val="713C6D66"/>
    <w:rsid w:val="71BD6397"/>
    <w:rsid w:val="71C27838"/>
    <w:rsid w:val="71DD2CB4"/>
    <w:rsid w:val="72011973"/>
    <w:rsid w:val="722D2A5F"/>
    <w:rsid w:val="724D3ECA"/>
    <w:rsid w:val="72563E57"/>
    <w:rsid w:val="7299009A"/>
    <w:rsid w:val="72DA6836"/>
    <w:rsid w:val="72F21DD2"/>
    <w:rsid w:val="72FF629D"/>
    <w:rsid w:val="730022F6"/>
    <w:rsid w:val="732301DD"/>
    <w:rsid w:val="732950C8"/>
    <w:rsid w:val="735E76C4"/>
    <w:rsid w:val="73C60B68"/>
    <w:rsid w:val="73FD2CDB"/>
    <w:rsid w:val="74024296"/>
    <w:rsid w:val="74185868"/>
    <w:rsid w:val="742510D0"/>
    <w:rsid w:val="74257F85"/>
    <w:rsid w:val="744F0B5E"/>
    <w:rsid w:val="749A44CF"/>
    <w:rsid w:val="74F55BA9"/>
    <w:rsid w:val="74F6722B"/>
    <w:rsid w:val="750951B1"/>
    <w:rsid w:val="751A53DD"/>
    <w:rsid w:val="754D7793"/>
    <w:rsid w:val="75504B8E"/>
    <w:rsid w:val="76191423"/>
    <w:rsid w:val="76326989"/>
    <w:rsid w:val="76562678"/>
    <w:rsid w:val="7718792D"/>
    <w:rsid w:val="77226D00"/>
    <w:rsid w:val="77330A09"/>
    <w:rsid w:val="77D965A0"/>
    <w:rsid w:val="77FC484A"/>
    <w:rsid w:val="782C5979"/>
    <w:rsid w:val="7847671C"/>
    <w:rsid w:val="789254BD"/>
    <w:rsid w:val="78EF0B61"/>
    <w:rsid w:val="79002D6F"/>
    <w:rsid w:val="791660EE"/>
    <w:rsid w:val="793A1DDD"/>
    <w:rsid w:val="79751DE3"/>
    <w:rsid w:val="79A71C89"/>
    <w:rsid w:val="79B750C5"/>
    <w:rsid w:val="7A1E674C"/>
    <w:rsid w:val="7A993CB5"/>
    <w:rsid w:val="7B2D5C2D"/>
    <w:rsid w:val="7B821819"/>
    <w:rsid w:val="7BAC4AE8"/>
    <w:rsid w:val="7C200B67"/>
    <w:rsid w:val="7C9C690A"/>
    <w:rsid w:val="7D1172F8"/>
    <w:rsid w:val="7D4F1BCF"/>
    <w:rsid w:val="7D7B6E68"/>
    <w:rsid w:val="7DAC0DCF"/>
    <w:rsid w:val="7E372159"/>
    <w:rsid w:val="7EAF501B"/>
    <w:rsid w:val="7F080287"/>
    <w:rsid w:val="7F1255AA"/>
    <w:rsid w:val="7F491DA9"/>
    <w:rsid w:val="7FB623D9"/>
    <w:rsid w:val="7FE707E4"/>
    <w:rsid w:val="7FE83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40"/>
      <w:outlineLvl w:val="2"/>
    </w:pPr>
    <w:rPr>
      <w:rFonts w:ascii="Calibri Light" w:hAnsi="Calibri Light"/>
      <w:color w:val="0D0D0D"/>
      <w:sz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cs="宋体"/>
      <w:szCs w:val="21"/>
      <w:lang w:eastAsia="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unhideWhenUsed/>
    <w:qFormat/>
    <w:uiPriority w:val="0"/>
    <w:rPr>
      <w:rFonts w:hint="default"/>
      <w:b/>
      <w:sz w:val="24"/>
      <w:szCs w:val="24"/>
    </w:rPr>
  </w:style>
  <w:style w:type="paragraph" w:customStyle="1" w:styleId="11">
    <w:name w:val="Table Text"/>
    <w:basedOn w:val="1"/>
    <w:semiHidden/>
    <w:qFormat/>
    <w:uiPriority w:val="0"/>
    <w:rPr>
      <w:rFonts w:ascii="宋体" w:hAnsi="宋体" w:cs="宋体"/>
      <w:sz w:val="18"/>
      <w:szCs w:val="18"/>
      <w:lang w:eastAsia="en-US"/>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Default"/>
    <w:qFormat/>
    <w:uiPriority w:val="0"/>
    <w:pPr>
      <w:widowControl w:val="0"/>
      <w:autoSpaceDE w:val="0"/>
      <w:autoSpaceDN w:val="0"/>
      <w:adjustRightInd w:val="0"/>
    </w:pPr>
    <w:rPr>
      <w:rFonts w:ascii="宋体" w:hAnsi="Calibri" w:eastAsia="宋体" w:cs="宋体"/>
      <w:color w:val="000000"/>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16778</Words>
  <Characters>16908</Characters>
  <Lines>40</Lines>
  <Paragraphs>11</Paragraphs>
  <TotalTime>12</TotalTime>
  <ScaleCrop>false</ScaleCrop>
  <LinksUpToDate>false</LinksUpToDate>
  <CharactersWithSpaces>16932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2024-09-18T00:36:00Z</dcterms:created>
  <dc:creator>Administrator.WIN-GUF7F9D61L7</dc:creator>
  <cp:lastModifiedBy>ll</cp:lastModifiedBy>
  <cp:lastPrinted>2024-09-18T02:55:00Z</cp:lastPrinted>
  <dcterms:modified xsi:type="dcterms:W3CDTF">2025-09-25T09:06:31Z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0DAC74E1EFE5487690866511387BAA3D_13</vt:lpwstr>
  </property>
  <property fmtid="{D5CDD505-2E9C-101B-9397-08002B2CF9AE}" pid="4" name="KSOTemplateDocerSaveRecord">
    <vt:lpwstr>eyJoZGlkIjoiNmYzYTkyNDU0NDQ3YmM5Y2ZiZGIzYjFiMWE2YzFjYWIiLCJ1c2VySWQiOiIyNzM4NzE1MTMifQ==</vt:lpwstr>
  </property>
</Properties>
</file>