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F694E">
      <w:pPr>
        <w:overflowPunct w:val="0"/>
        <w:adjustRightInd w:val="0"/>
        <w:snapToGrid w:val="0"/>
        <w:ind w:firstLine="420"/>
        <w:rPr>
          <w:rFonts w:hint="eastAsia" w:ascii="仿宋" w:hAnsi="仿宋" w:eastAsia="仿宋"/>
          <w:szCs w:val="32"/>
        </w:rPr>
      </w:pPr>
      <w:r>
        <w:rPr>
          <w:rFonts w:ascii="宋体" w:hAnsi="宋体" w:cs="宋体"/>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13"/>
                    <a:stretch>
                      <a:fillRect/>
                    </a:stretch>
                  </pic:blipFill>
                  <pic:spPr>
                    <a:xfrm>
                      <a:off x="0" y="0"/>
                      <a:ext cx="5114925" cy="1130935"/>
                    </a:xfrm>
                    <a:prstGeom prst="rect">
                      <a:avLst/>
                    </a:prstGeom>
                    <a:noFill/>
                    <a:ln>
                      <a:noFill/>
                    </a:ln>
                  </pic:spPr>
                </pic:pic>
              </a:graphicData>
            </a:graphic>
          </wp:anchor>
        </w:drawing>
      </w:r>
    </w:p>
    <w:p w14:paraId="73CE3EC2">
      <w:pPr>
        <w:overflowPunct w:val="0"/>
        <w:adjustRightInd w:val="0"/>
        <w:snapToGrid w:val="0"/>
        <w:jc w:val="center"/>
        <w:rPr>
          <w:rFonts w:hint="eastAsia" w:ascii="仿宋" w:hAnsi="仿宋" w:eastAsia="仿宋"/>
          <w:szCs w:val="32"/>
        </w:rPr>
      </w:pPr>
    </w:p>
    <w:p w14:paraId="5BDCCBBA">
      <w:pPr>
        <w:overflowPunct w:val="0"/>
        <w:adjustRightInd w:val="0"/>
        <w:snapToGrid w:val="0"/>
        <w:jc w:val="center"/>
        <w:rPr>
          <w:rFonts w:hint="eastAsia" w:ascii="仿宋" w:hAnsi="仿宋" w:eastAsia="仿宋"/>
          <w:szCs w:val="32"/>
        </w:rPr>
      </w:pPr>
    </w:p>
    <w:p w14:paraId="25002CEE">
      <w:pPr>
        <w:overflowPunct w:val="0"/>
        <w:adjustRightInd w:val="0"/>
        <w:snapToGrid w:val="0"/>
        <w:jc w:val="center"/>
        <w:rPr>
          <w:rFonts w:hint="eastAsia" w:ascii="仿宋" w:hAnsi="仿宋" w:eastAsia="仿宋"/>
          <w:szCs w:val="32"/>
        </w:rPr>
      </w:pPr>
    </w:p>
    <w:p w14:paraId="31E83462">
      <w:pPr>
        <w:overflowPunct w:val="0"/>
        <w:adjustRightInd w:val="0"/>
        <w:snapToGrid w:val="0"/>
        <w:jc w:val="center"/>
        <w:rPr>
          <w:rFonts w:hint="eastAsia" w:ascii="仿宋" w:hAnsi="仿宋" w:eastAsia="仿宋"/>
          <w:szCs w:val="32"/>
        </w:rPr>
      </w:pPr>
    </w:p>
    <w:p w14:paraId="62E28F53">
      <w:pPr>
        <w:overflowPunct w:val="0"/>
        <w:adjustRightInd w:val="0"/>
        <w:snapToGrid w:val="0"/>
        <w:jc w:val="center"/>
        <w:rPr>
          <w:rFonts w:hint="eastAsia" w:ascii="仿宋" w:hAnsi="仿宋" w:eastAsia="仿宋"/>
          <w:szCs w:val="32"/>
        </w:rPr>
      </w:pPr>
    </w:p>
    <w:p w14:paraId="4A24B80A">
      <w:pPr>
        <w:overflowPunct w:val="0"/>
        <w:adjustRightInd w:val="0"/>
        <w:snapToGrid w:val="0"/>
        <w:jc w:val="center"/>
        <w:rPr>
          <w:rFonts w:hint="eastAsia" w:ascii="仿宋" w:hAnsi="仿宋" w:eastAsia="仿宋"/>
          <w:szCs w:val="32"/>
        </w:rPr>
      </w:pPr>
    </w:p>
    <w:p w14:paraId="579E73AF">
      <w:pPr>
        <w:overflowPunct w:val="0"/>
        <w:adjustRightInd w:val="0"/>
        <w:snapToGrid w:val="0"/>
        <w:rPr>
          <w:rFonts w:hint="eastAsia" w:ascii="华文新魏" w:hAnsi="仿宋" w:eastAsia="华文新魏"/>
          <w:b/>
          <w:sz w:val="100"/>
          <w:szCs w:val="100"/>
        </w:rPr>
      </w:pPr>
    </w:p>
    <w:p w14:paraId="63E7F122">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级电子信息工程技术专业人才培养方案</w:t>
      </w:r>
    </w:p>
    <w:p w14:paraId="72093266">
      <w:pPr>
        <w:widowControl/>
        <w:overflowPunct w:val="0"/>
        <w:adjustRightInd w:val="0"/>
        <w:snapToGrid w:val="0"/>
        <w:jc w:val="center"/>
        <w:rPr>
          <w:rFonts w:hint="eastAsia" w:ascii="黑体" w:hAnsi="黑体" w:eastAsia="黑体" w:cs="黑体"/>
          <w:b/>
          <w:bCs/>
          <w:kern w:val="0"/>
          <w:sz w:val="52"/>
          <w:szCs w:val="52"/>
        </w:rPr>
      </w:pPr>
    </w:p>
    <w:p w14:paraId="38989E3B">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（汽车与机电学院）</w:t>
      </w:r>
    </w:p>
    <w:p w14:paraId="3F9F7BC3">
      <w:pPr>
        <w:widowControl/>
        <w:overflowPunct w:val="0"/>
        <w:adjustRightInd w:val="0"/>
        <w:snapToGrid w:val="0"/>
        <w:jc w:val="center"/>
        <w:rPr>
          <w:rFonts w:hint="eastAsia" w:ascii="黑体" w:hAnsi="黑体" w:eastAsia="黑体" w:cs="黑体"/>
          <w:b/>
          <w:bCs/>
          <w:kern w:val="0"/>
          <w:sz w:val="52"/>
          <w:szCs w:val="52"/>
        </w:rPr>
      </w:pPr>
    </w:p>
    <w:p w14:paraId="090CFA91">
      <w:pPr>
        <w:widowControl/>
        <w:overflowPunct w:val="0"/>
        <w:adjustRightInd w:val="0"/>
        <w:snapToGrid w:val="0"/>
        <w:rPr>
          <w:rFonts w:hint="eastAsia" w:ascii="黑体" w:hAnsi="黑体" w:eastAsia="黑体" w:cs="黑体"/>
          <w:b/>
          <w:bCs/>
          <w:kern w:val="0"/>
          <w:sz w:val="52"/>
          <w:szCs w:val="52"/>
        </w:rPr>
      </w:pPr>
    </w:p>
    <w:p w14:paraId="075099CD">
      <w:pPr>
        <w:widowControl/>
        <w:overflowPunct w:val="0"/>
        <w:adjustRightInd w:val="0"/>
        <w:snapToGrid w:val="0"/>
        <w:jc w:val="center"/>
        <w:rPr>
          <w:rFonts w:hint="eastAsia" w:ascii="黑体" w:hAnsi="黑体" w:eastAsia="黑体" w:cs="黑体"/>
          <w:b/>
          <w:bCs/>
          <w:kern w:val="0"/>
          <w:sz w:val="52"/>
          <w:szCs w:val="52"/>
        </w:rPr>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kern w:val="0"/>
          <w:sz w:val="52"/>
          <w:szCs w:val="52"/>
        </w:rPr>
        <w:t>2025年</w:t>
      </w:r>
      <w:r>
        <w:rPr>
          <w:rFonts w:hint="eastAsia" w:ascii="黑体" w:hAnsi="黑体" w:eastAsia="黑体" w:cs="黑体"/>
          <w:b/>
          <w:bCs/>
          <w:kern w:val="0"/>
          <w:sz w:val="52"/>
          <w:szCs w:val="52"/>
          <w:lang w:val="en-US" w:eastAsia="zh-CN"/>
        </w:rPr>
        <w:t>4</w:t>
      </w:r>
      <w:r>
        <w:rPr>
          <w:rFonts w:hint="eastAsia" w:ascii="黑体" w:hAnsi="黑体" w:eastAsia="黑体" w:cs="黑体"/>
          <w:b/>
          <w:bCs/>
          <w:kern w:val="0"/>
          <w:sz w:val="52"/>
          <w:szCs w:val="52"/>
        </w:rPr>
        <w:t>月</w:t>
      </w:r>
    </w:p>
    <w:p w14:paraId="0CEF097A">
      <w:pPr>
        <w:widowControl/>
        <w:overflowPunct w:val="0"/>
        <w:adjustRightInd w:val="0"/>
        <w:snapToGrid w:val="0"/>
        <w:jc w:val="center"/>
        <w:rPr>
          <w:rFonts w:hint="eastAsia" w:ascii="黑体" w:hAnsi="黑体" w:eastAsia="黑体" w:cs="黑体"/>
          <w:b/>
          <w:bCs/>
          <w:kern w:val="0"/>
          <w:sz w:val="52"/>
          <w:szCs w:val="52"/>
        </w:rPr>
      </w:pPr>
    </w:p>
    <w:p w14:paraId="2CC703EA">
      <w:pPr>
        <w:widowControl/>
        <w:overflowPunct w:val="0"/>
        <w:adjustRightInd w:val="0"/>
        <w:snapToGrid w:val="0"/>
        <w:rPr>
          <w:rFonts w:hint="eastAsia" w:ascii="黑体" w:hAnsi="黑体" w:eastAsia="黑体" w:cs="黑体"/>
          <w:b/>
          <w:bCs/>
          <w:kern w:val="0"/>
          <w:sz w:val="52"/>
          <w:szCs w:val="52"/>
        </w:rPr>
        <w:sectPr>
          <w:pgSz w:w="11906" w:h="16838"/>
          <w:pgMar w:top="1417" w:right="1417" w:bottom="1417" w:left="1984" w:header="851" w:footer="992" w:gutter="0"/>
          <w:pgNumType w:start="1"/>
          <w:cols w:space="425" w:num="1"/>
          <w:docGrid w:type="lines" w:linePitch="312" w:charSpace="0"/>
        </w:sectPr>
      </w:pPr>
    </w:p>
    <w:p w14:paraId="10E9173F">
      <w:pPr>
        <w:widowControl/>
        <w:tabs>
          <w:tab w:val="left" w:pos="3708"/>
        </w:tabs>
        <w:overflowPunct w:val="0"/>
        <w:adjustRightInd w:val="0"/>
        <w:snapToGrid w:val="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电子信息工程技术专业人才培养方案</w:t>
      </w:r>
    </w:p>
    <w:p w14:paraId="3A04C728">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14:paraId="2CF1B2B4">
      <w:pPr>
        <w:overflowPunct w:val="0"/>
        <w:adjustRightInd w:val="0"/>
        <w:snapToGri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一、专业名称及代码</w:t>
      </w:r>
    </w:p>
    <w:p w14:paraId="20018098">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专业名称：电子信息工程技术专业</w:t>
      </w:r>
    </w:p>
    <w:p w14:paraId="24D00282">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专业代码：510101 </w:t>
      </w:r>
    </w:p>
    <w:p w14:paraId="6B163C08">
      <w:pPr>
        <w:overflowPunct w:val="0"/>
        <w:adjustRightInd w:val="0"/>
        <w:snapToGri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二、入学要求</w:t>
      </w:r>
    </w:p>
    <w:p w14:paraId="3B243AA3">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中等职业学校毕业、普通高级中学毕业或具备同等学力。</w:t>
      </w:r>
    </w:p>
    <w:p w14:paraId="6383D5AC">
      <w:pPr>
        <w:overflowPunct w:val="0"/>
        <w:adjustRightInd w:val="0"/>
        <w:snapToGri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三、基本修业年限</w:t>
      </w:r>
    </w:p>
    <w:p w14:paraId="5045C229">
      <w:pPr>
        <w:overflowPunct w:val="0"/>
        <w:adjustRightInd w:val="0"/>
        <w:spacing w:after="0" w:line="52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14:paraId="6C6801A6">
      <w:pPr>
        <w:overflowPunct w:val="0"/>
        <w:adjustRightInd w:val="0"/>
        <w:snapToGri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四、职业面向</w:t>
      </w:r>
    </w:p>
    <w:p w14:paraId="77BED557">
      <w:pPr>
        <w:overflowPunct w:val="0"/>
        <w:adjustRightInd w:val="0"/>
        <w:spacing w:after="0" w:line="520" w:lineRule="exact"/>
        <w:ind w:firstLine="640" w:firstLineChars="200"/>
        <w:jc w:val="center"/>
        <w:rPr>
          <w:rFonts w:hint="eastAsia" w:ascii="仿宋" w:hAnsi="仿宋" w:eastAsia="仿宋"/>
          <w:sz w:val="32"/>
          <w:szCs w:val="32"/>
          <w:highlight w:val="none"/>
        </w:rPr>
      </w:pPr>
      <w:r>
        <w:rPr>
          <w:rFonts w:hint="eastAsia" w:ascii="仿宋_GB2312" w:hAnsi="仿宋_GB2312" w:eastAsia="仿宋_GB2312" w:cs="仿宋_GB2312"/>
          <w:sz w:val="32"/>
          <w:szCs w:val="32"/>
          <w:highlight w:val="none"/>
        </w:rPr>
        <w:t>表1职业岗位分析表</w:t>
      </w:r>
    </w:p>
    <w:tbl>
      <w:tblPr>
        <w:tblStyle w:val="8"/>
        <w:tblW w:w="10084"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3"/>
        <w:gridCol w:w="1333"/>
        <w:gridCol w:w="1178"/>
        <w:gridCol w:w="2431"/>
        <w:gridCol w:w="1988"/>
        <w:gridCol w:w="1871"/>
      </w:tblGrid>
      <w:tr w14:paraId="721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283" w:type="dxa"/>
            <w:vAlign w:val="center"/>
          </w:tcPr>
          <w:p w14:paraId="03C53D2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所属专业大类</w:t>
            </w:r>
          </w:p>
          <w:p w14:paraId="6D11D30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（代码）</w:t>
            </w:r>
          </w:p>
        </w:tc>
        <w:tc>
          <w:tcPr>
            <w:tcW w:w="1333" w:type="dxa"/>
            <w:vAlign w:val="center"/>
          </w:tcPr>
          <w:p w14:paraId="2EC852A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所属专业类</w:t>
            </w:r>
          </w:p>
          <w:p w14:paraId="6717BB7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（代码）</w:t>
            </w:r>
          </w:p>
        </w:tc>
        <w:tc>
          <w:tcPr>
            <w:tcW w:w="1178" w:type="dxa"/>
            <w:vAlign w:val="center"/>
          </w:tcPr>
          <w:p w14:paraId="60B5535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对应行业（代码）</w:t>
            </w:r>
          </w:p>
        </w:tc>
        <w:tc>
          <w:tcPr>
            <w:tcW w:w="2431" w:type="dxa"/>
            <w:vAlign w:val="center"/>
          </w:tcPr>
          <w:p w14:paraId="0EC2D2B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主要职业类别</w:t>
            </w:r>
          </w:p>
          <w:p w14:paraId="4AE7D33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（代码）</w:t>
            </w:r>
          </w:p>
        </w:tc>
        <w:tc>
          <w:tcPr>
            <w:tcW w:w="1988" w:type="dxa"/>
            <w:vAlign w:val="center"/>
          </w:tcPr>
          <w:p w14:paraId="1F9E0A4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主要岗位（群）或技术领域</w:t>
            </w:r>
          </w:p>
        </w:tc>
        <w:tc>
          <w:tcPr>
            <w:tcW w:w="1871" w:type="dxa"/>
            <w:vAlign w:val="center"/>
          </w:tcPr>
          <w:p w14:paraId="309ACC4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职业类证书</w:t>
            </w:r>
          </w:p>
        </w:tc>
      </w:tr>
      <w:tr w14:paraId="0CD96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1283" w:type="dxa"/>
          </w:tcPr>
          <w:p w14:paraId="70B96D18">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bookmarkStart w:id="0" w:name="OLE_LINK1" w:colFirst="0" w:colLast="5"/>
            <w:r>
              <w:rPr>
                <w:rFonts w:hint="eastAsia" w:ascii="仿宋_GB2312" w:hAnsi="仿宋_GB2312" w:eastAsia="仿宋_GB2312" w:cs="仿宋_GB2312"/>
                <w:sz w:val="24"/>
                <w:szCs w:val="24"/>
                <w:highlight w:val="none"/>
              </w:rPr>
              <w:t>电子与信息大类（51）</w:t>
            </w:r>
          </w:p>
          <w:p w14:paraId="5ECFC487">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p>
        </w:tc>
        <w:tc>
          <w:tcPr>
            <w:tcW w:w="1333" w:type="dxa"/>
          </w:tcPr>
          <w:p w14:paraId="08DAE00C">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电子信息类（5101）</w:t>
            </w:r>
          </w:p>
        </w:tc>
        <w:tc>
          <w:tcPr>
            <w:tcW w:w="1178" w:type="dxa"/>
          </w:tcPr>
          <w:p w14:paraId="5A80CE74">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计算机、通信和其他电子设备制造业（39）</w:t>
            </w:r>
          </w:p>
          <w:p w14:paraId="7763C55D">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p>
        </w:tc>
        <w:tc>
          <w:tcPr>
            <w:tcW w:w="2431" w:type="dxa"/>
          </w:tcPr>
          <w:p w14:paraId="247F41AB">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电子工程技术人员（</w:t>
            </w:r>
            <w:r>
              <w:rPr>
                <w:rFonts w:ascii="仿宋_GB2312" w:hAnsi="仿宋_GB2312" w:eastAsia="仿宋_GB2312" w:cs="仿宋_GB2312"/>
                <w:sz w:val="24"/>
                <w:szCs w:val="24"/>
                <w:highlight w:val="none"/>
              </w:rPr>
              <w:t>2-02-09</w:t>
            </w:r>
            <w:r>
              <w:rPr>
                <w:rFonts w:hint="eastAsia" w:ascii="仿宋_GB2312" w:hAnsi="仿宋_GB2312" w:eastAsia="仿宋_GB2312" w:cs="仿宋_GB2312"/>
                <w:sz w:val="24"/>
                <w:szCs w:val="24"/>
                <w:highlight w:val="none"/>
              </w:rPr>
              <w:t>）、</w:t>
            </w:r>
          </w:p>
          <w:p w14:paraId="6DB555BD">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信息和通信工程技术人员（</w:t>
            </w:r>
            <w:r>
              <w:rPr>
                <w:rFonts w:ascii="仿宋_GB2312" w:hAnsi="仿宋_GB2312" w:eastAsia="仿宋_GB2312" w:cs="仿宋_GB2312"/>
                <w:sz w:val="24"/>
                <w:szCs w:val="24"/>
                <w:highlight w:val="none"/>
              </w:rPr>
              <w:t>2-02-10</w:t>
            </w:r>
            <w:r>
              <w:rPr>
                <w:rFonts w:hint="eastAsia" w:ascii="仿宋_GB2312" w:hAnsi="仿宋_GB2312" w:eastAsia="仿宋_GB2312" w:cs="仿宋_GB2312"/>
                <w:sz w:val="24"/>
                <w:szCs w:val="24"/>
                <w:highlight w:val="none"/>
              </w:rPr>
              <w:t>）、</w:t>
            </w:r>
          </w:p>
          <w:p w14:paraId="4F0576D9">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物联网工程技术人员</w:t>
            </w:r>
            <w:r>
              <w:rPr>
                <w:rFonts w:ascii="仿宋_GB2312" w:hAnsi="仿宋_GB2312" w:eastAsia="仿宋_GB2312" w:cs="仿宋_GB2312"/>
                <w:sz w:val="24"/>
                <w:szCs w:val="24"/>
                <w:highlight w:val="none"/>
              </w:rPr>
              <w:t>S</w:t>
            </w:r>
            <w:r>
              <w:rPr>
                <w:rFonts w:hint="eastAsia" w:ascii="仿宋_GB2312" w:hAnsi="仿宋_GB2312" w:eastAsia="仿宋_GB2312" w:cs="仿宋_GB2312"/>
                <w:sz w:val="24"/>
                <w:szCs w:val="24"/>
                <w:highlight w:val="none"/>
              </w:rPr>
              <w:t>（</w:t>
            </w:r>
            <w:r>
              <w:rPr>
                <w:rFonts w:ascii="仿宋_GB2312" w:hAnsi="仿宋_GB2312" w:eastAsia="仿宋_GB2312" w:cs="仿宋_GB2312"/>
                <w:sz w:val="24"/>
                <w:szCs w:val="24"/>
                <w:highlight w:val="none"/>
              </w:rPr>
              <w:t>2-02-38-02</w:t>
            </w:r>
            <w:r>
              <w:rPr>
                <w:rFonts w:hint="eastAsia" w:ascii="仿宋_GB2312" w:hAnsi="仿宋_GB2312" w:eastAsia="仿宋_GB2312" w:cs="仿宋_GB2312"/>
                <w:sz w:val="24"/>
                <w:szCs w:val="24"/>
                <w:highlight w:val="none"/>
              </w:rPr>
              <w:t>）、计算机制造人员（</w:t>
            </w:r>
            <w:r>
              <w:rPr>
                <w:rFonts w:ascii="仿宋_GB2312" w:hAnsi="仿宋_GB2312" w:eastAsia="仿宋_GB2312" w:cs="仿宋_GB2312"/>
                <w:sz w:val="24"/>
                <w:szCs w:val="24"/>
                <w:highlight w:val="none"/>
              </w:rPr>
              <w:t>6-25-03</w:t>
            </w:r>
            <w:r>
              <w:rPr>
                <w:rFonts w:hint="eastAsia" w:ascii="仿宋_GB2312" w:hAnsi="仿宋_GB2312" w:eastAsia="仿宋_GB2312" w:cs="仿宋_GB2312"/>
                <w:sz w:val="24"/>
                <w:szCs w:val="24"/>
                <w:highlight w:val="none"/>
              </w:rPr>
              <w:t>）、</w:t>
            </w:r>
          </w:p>
          <w:p w14:paraId="3A3FDC8C">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电子设备装配调试人员（</w:t>
            </w:r>
            <w:r>
              <w:rPr>
                <w:rFonts w:ascii="仿宋_GB2312" w:hAnsi="仿宋_GB2312" w:eastAsia="仿宋_GB2312" w:cs="仿宋_GB2312"/>
                <w:sz w:val="24"/>
                <w:szCs w:val="24"/>
                <w:highlight w:val="none"/>
              </w:rPr>
              <w:t>6-25-04</w:t>
            </w:r>
            <w:r>
              <w:rPr>
                <w:rFonts w:hint="eastAsia" w:ascii="仿宋_GB2312" w:hAnsi="仿宋_GB2312" w:eastAsia="仿宋_GB2312" w:cs="仿宋_GB2312"/>
                <w:sz w:val="24"/>
                <w:szCs w:val="24"/>
                <w:highlight w:val="none"/>
              </w:rPr>
              <w:t>）、智能硬件装调员（</w:t>
            </w:r>
            <w:r>
              <w:rPr>
                <w:rFonts w:ascii="仿宋_GB2312" w:hAnsi="仿宋_GB2312" w:eastAsia="仿宋_GB2312" w:cs="仿宋_GB2312"/>
                <w:sz w:val="24"/>
                <w:szCs w:val="24"/>
                <w:highlight w:val="none"/>
              </w:rPr>
              <w:t>6-25-04-05</w:t>
            </w:r>
            <w:r>
              <w:rPr>
                <w:rFonts w:hint="eastAsia" w:ascii="仿宋_GB2312" w:hAnsi="仿宋_GB2312" w:eastAsia="仿宋_GB2312" w:cs="仿宋_GB2312"/>
                <w:sz w:val="24"/>
                <w:szCs w:val="24"/>
                <w:highlight w:val="none"/>
              </w:rPr>
              <w:t>）、</w:t>
            </w:r>
          </w:p>
          <w:p w14:paraId="15B8D9B3">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其他计算机、通信和其他电子设备制造人员（</w:t>
            </w:r>
            <w:r>
              <w:rPr>
                <w:rFonts w:ascii="仿宋_GB2312" w:hAnsi="仿宋_GB2312" w:eastAsia="仿宋_GB2312" w:cs="仿宋_GB2312"/>
                <w:sz w:val="24"/>
                <w:szCs w:val="24"/>
                <w:highlight w:val="none"/>
              </w:rPr>
              <w:t>6-25-99</w:t>
            </w:r>
            <w:r>
              <w:rPr>
                <w:rFonts w:hint="eastAsia" w:ascii="仿宋_GB2312" w:hAnsi="仿宋_GB2312" w:eastAsia="仿宋_GB2312" w:cs="仿宋_GB2312"/>
                <w:sz w:val="24"/>
                <w:szCs w:val="24"/>
                <w:highlight w:val="none"/>
              </w:rPr>
              <w:t>）</w:t>
            </w:r>
          </w:p>
          <w:p w14:paraId="32391DF1">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p>
        </w:tc>
        <w:tc>
          <w:tcPr>
            <w:tcW w:w="1988" w:type="dxa"/>
          </w:tcPr>
          <w:p w14:paraId="6CEF9B4E">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智能电子产品设计开发，智能电子产品装配调试、检测认证、生产管理，智能电子产品维护维修，智能应用系统集成、运行维护</w:t>
            </w:r>
          </w:p>
          <w:p w14:paraId="7400277E">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p>
        </w:tc>
        <w:tc>
          <w:tcPr>
            <w:tcW w:w="1871" w:type="dxa"/>
          </w:tcPr>
          <w:p w14:paraId="2A72D0FB">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传感网应用开发、集成电路开发与测试、网络系统建设与运维、无人</w:t>
            </w:r>
          </w:p>
          <w:p w14:paraId="06141C6F">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机驾驶、</w:t>
            </w:r>
            <w:r>
              <w:rPr>
                <w:rFonts w:ascii="仿宋_GB2312" w:hAnsi="仿宋_GB2312" w:eastAsia="仿宋_GB2312" w:cs="仿宋_GB2312"/>
                <w:sz w:val="24"/>
                <w:szCs w:val="24"/>
                <w:highlight w:val="none"/>
              </w:rPr>
              <w:t>5G</w:t>
            </w:r>
            <w:r>
              <w:rPr>
                <w:rFonts w:hint="eastAsia" w:ascii="仿宋_GB2312" w:hAnsi="仿宋_GB2312" w:eastAsia="仿宋_GB2312" w:cs="仿宋_GB2312"/>
                <w:sz w:val="24"/>
                <w:szCs w:val="24"/>
                <w:highlight w:val="none"/>
              </w:rPr>
              <w:t>移动网络运维、智能硬件应用开发、电子装联、</w:t>
            </w:r>
            <w:r>
              <w:rPr>
                <w:rFonts w:ascii="仿宋_GB2312" w:hAnsi="仿宋_GB2312" w:eastAsia="仿宋_GB2312" w:cs="仿宋_GB2312"/>
                <w:sz w:val="24"/>
                <w:szCs w:val="24"/>
                <w:highlight w:val="none"/>
              </w:rPr>
              <w:t>LED</w:t>
            </w:r>
            <w:r>
              <w:rPr>
                <w:rFonts w:hint="eastAsia" w:ascii="仿宋_GB2312" w:hAnsi="仿宋_GB2312" w:eastAsia="仿宋_GB2312" w:cs="仿宋_GB2312"/>
                <w:sz w:val="24"/>
                <w:szCs w:val="24"/>
                <w:highlight w:val="none"/>
              </w:rPr>
              <w:t>显</w:t>
            </w:r>
          </w:p>
          <w:p w14:paraId="31D7FEB2">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示屏应用</w:t>
            </w:r>
          </w:p>
          <w:p w14:paraId="6492455F">
            <w:pPr>
              <w:keepNext w:val="0"/>
              <w:keepLines w:val="0"/>
              <w:pageBreakBefore w:val="0"/>
              <w:widowControl w:val="0"/>
              <w:kinsoku/>
              <w:wordWrap/>
              <w:overflowPunct w:val="0"/>
              <w:topLinePunct w:val="0"/>
              <w:autoSpaceDE/>
              <w:autoSpaceDN/>
              <w:bidi w:val="0"/>
              <w:adjustRightInd w:val="0"/>
              <w:snapToGrid/>
              <w:spacing w:after="0" w:line="320" w:lineRule="exact"/>
              <w:textAlignment w:val="auto"/>
              <w:rPr>
                <w:rFonts w:hint="eastAsia" w:ascii="仿宋_GB2312" w:hAnsi="仿宋_GB2312" w:eastAsia="仿宋_GB2312" w:cs="仿宋_GB2312"/>
                <w:sz w:val="24"/>
                <w:szCs w:val="24"/>
                <w:highlight w:val="none"/>
              </w:rPr>
            </w:pPr>
          </w:p>
        </w:tc>
      </w:tr>
      <w:bookmarkEnd w:id="0"/>
    </w:tbl>
    <w:p w14:paraId="53F3DD2A">
      <w:pPr>
        <w:overflowPunct w:val="0"/>
        <w:adjustRightIn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五、培养目标</w:t>
      </w:r>
    </w:p>
    <w:p w14:paraId="26761EDD">
      <w:pPr>
        <w:overflowPunct w:val="0"/>
        <w:adjustRightInd w:val="0"/>
        <w:spacing w:after="0" w:line="52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本专业培养德、智、体、美、劳全面发展，适应我</w:t>
      </w:r>
      <w:r>
        <w:rPr>
          <w:rFonts w:hint="eastAsia" w:ascii="仿宋GB2312" w:hAnsi="仿宋GB2312" w:eastAsia="仿宋GB2312" w:cs="仿宋GB2312"/>
          <w:sz w:val="32"/>
          <w:szCs w:val="32"/>
          <w:highlight w:val="none"/>
        </w:rPr>
        <w:t>国社会主义现代化建设和电子信息产业发展需要，具有一定的科学文化水平、良好</w:t>
      </w:r>
      <w:r>
        <w:rPr>
          <w:rFonts w:hint="eastAsia" w:ascii="仿宋GB2312" w:hAnsi="仿宋GB2312" w:eastAsia="仿宋GB2312" w:cs="仿宋GB2312"/>
          <w:sz w:val="32"/>
          <w:szCs w:val="32"/>
          <w:highlight w:val="none"/>
          <w:lang w:val="en-US" w:eastAsia="zh-CN"/>
        </w:rPr>
        <w:t>的</w:t>
      </w:r>
      <w:r>
        <w:rPr>
          <w:rFonts w:hint="eastAsia" w:ascii="仿宋GB2312" w:hAnsi="仿宋GB2312" w:eastAsia="仿宋GB2312" w:cs="仿宋GB2312"/>
          <w:sz w:val="32"/>
          <w:szCs w:val="32"/>
          <w:highlight w:val="none"/>
        </w:rPr>
        <w:t>人文素养、职业道德和创新意识，秉持精益求精工匠精神的高素质技术技能人才。精通读图、识别电子元件、操作仪器仪表以及工具工装的技能。面向计算机、通信以及其他电子设备制造等行业，从事电子设备装配调试、检验、维修，电子设备生产管理，电子信息系统集成，电子产品设计开发等一线岗位工作，且具备强大的就业能力和可持续发展能力的技能人才。</w:t>
      </w:r>
    </w:p>
    <w:p w14:paraId="571EC8E5">
      <w:pPr>
        <w:overflowPunct w:val="0"/>
        <w:adjustRightInd w:val="0"/>
        <w:spacing w:after="0" w:line="52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六、培养规格</w:t>
      </w:r>
    </w:p>
    <w:p w14:paraId="7F034017">
      <w:pPr>
        <w:pStyle w:val="3"/>
        <w:spacing w:after="0" w:line="52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本专业学生</w:t>
      </w:r>
      <w:r>
        <w:rPr>
          <w:rFonts w:hint="eastAsia" w:ascii="仿宋GB2312" w:hAnsi="仿宋GB2312" w:eastAsia="仿宋GB2312" w:cs="仿宋GB2312"/>
          <w:sz w:val="32"/>
          <w:szCs w:val="32"/>
          <w:highlight w:val="none"/>
          <w:lang w:eastAsia="zh-CN"/>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sz w:val="32"/>
          <w:szCs w:val="32"/>
          <w:highlight w:val="none"/>
          <w:lang w:eastAsia="zh-CN"/>
        </w:rPr>
        <w:t>总体上须达到以下要求：</w:t>
      </w:r>
    </w:p>
    <w:p w14:paraId="1AD0FAA9">
      <w:pPr>
        <w:overflowPunct w:val="0"/>
        <w:adjustRightInd w:val="0"/>
        <w:spacing w:after="0" w:line="520" w:lineRule="exact"/>
        <w:ind w:firstLine="640" w:firstLineChars="2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（一）知识目标</w:t>
      </w:r>
    </w:p>
    <w:p w14:paraId="1980E57D">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1.掌握电路的基础理论知识，包括电路基本定律、电路分析方法、电路定理等，能够运用这些知识对常见电路进行分析和计算。</w:t>
      </w:r>
    </w:p>
    <w:p w14:paraId="40D69655">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2.掌握模拟电子技术的基础理论知识，如半导体器件的工作原理、基本放大电路、集成运算放大器、反馈放大电路等，能够识别、分析和设计简单的模拟电子电路。</w:t>
      </w:r>
    </w:p>
    <w:p w14:paraId="01989B13">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3.掌握数字电子技术的基础理论知识，包括数字逻辑基础、组合逻辑电路、时序逻辑电路、半导体存储器、可编程逻辑器件等，能够进行数字电路的设计和分析。</w:t>
      </w:r>
    </w:p>
    <w:p w14:paraId="554B9A1E">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4.掌握通信与网络技术基础知识，了解通信系统的基本组成和工作原理，熟悉常见的通信方式和网络拓扑结构，掌握网络协议和数据传输的基本知识。</w:t>
      </w:r>
    </w:p>
    <w:p w14:paraId="69061612">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5.掌握电子测试的技术和方法，了解电子测量仪器的工作原理和使用方法，能够正确选择和使用电子测试仪器对电子电路和设备进行测试和故障诊断。</w:t>
      </w:r>
    </w:p>
    <w:p w14:paraId="01836AFD">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6.掌握单片机技术和应用方法，了解单片机的硬件结构和工作原理，掌握单片机的指令系统和编程方法，能够利用单片机进行简单系统的开发和应用。</w:t>
      </w:r>
    </w:p>
    <w:p w14:paraId="7D83A17C">
      <w:pPr>
        <w:overflowPunct w:val="0"/>
        <w:adjustRightInd w:val="0"/>
        <w:spacing w:after="0" w:line="520" w:lineRule="exact"/>
        <w:ind w:firstLine="640" w:firstLineChars="2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（二）能力目标</w:t>
      </w:r>
    </w:p>
    <w:p w14:paraId="0F151C19">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1.具有探究学习、终身学习、分析问题和解决问题的能力，能够运用所学知识和技能，对电子信息工程领域中的实际问题进行分析、研究和解决。</w:t>
      </w:r>
    </w:p>
    <w:p w14:paraId="13B82B17">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2.具有本专业需要的信息技术应用与维护能力，能够熟练使用计算机和相关软件工具，进行电子信息系统的设计、开发、测试和维护。</w:t>
      </w:r>
    </w:p>
    <w:p w14:paraId="59ECC19C">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3.能够识读电子设备的原理图和装配图，理解电子设备的工作原理和结构，能够根据图纸进行电子设备的组装和调试。</w:t>
      </w:r>
    </w:p>
    <w:p w14:paraId="30B3710C">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4.能够熟练操作使用电子装配设备和工具，掌握电子元器件的安装、焊接、调试等基本技能，能够进行电子产品的手工装配和生产。能够使用电子设计软件进行电子产品的电原理图和印制</w:t>
      </w:r>
      <w:r>
        <w:rPr>
          <w:rFonts w:hint="eastAsia" w:ascii="仿宋GB2312" w:hAnsi="仿宋GB2312" w:eastAsia="仿宋GB2312" w:cs="仿宋GB2312"/>
          <w:sz w:val="32"/>
          <w:szCs w:val="32"/>
          <w:highlight w:val="none"/>
          <w:lang w:val="en-US" w:eastAsia="zh-CN"/>
        </w:rPr>
        <w:t>版</w:t>
      </w:r>
      <w:r>
        <w:rPr>
          <w:rFonts w:hint="eastAsia" w:ascii="仿宋GB2312" w:hAnsi="仿宋GB2312" w:eastAsia="仿宋GB2312" w:cs="仿宋GB2312"/>
          <w:sz w:val="32"/>
          <w:szCs w:val="32"/>
          <w:highlight w:val="none"/>
        </w:rPr>
        <w:t>图设计，如 keil、proteus、stc-isp 等软件，能够进行电路原理图的绘制、元器件库的管理、印制板图的设计和优化。</w:t>
      </w:r>
    </w:p>
    <w:p w14:paraId="5DB7C08F">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5.能够操作使用电子测试仪器、仪表、工具对常见电路故障进行分析、维修，如示波器、万用表、信号发生器等仪器，能够准确判断电路故障的原因，并进行修复。</w:t>
      </w:r>
    </w:p>
    <w:p w14:paraId="4E35C633">
      <w:pPr>
        <w:overflowPunct w:val="0"/>
        <w:adjustRightInd w:val="0"/>
        <w:spacing w:after="0" w:line="540" w:lineRule="exact"/>
        <w:ind w:firstLine="640" w:firstLineChars="200"/>
        <w:outlineLvl w:val="0"/>
        <w:rPr>
          <w:rFonts w:hint="eastAsia" w:ascii="楷体" w:hAnsi="楷体" w:eastAsia="楷体" w:cs="楷体"/>
          <w:sz w:val="32"/>
          <w:szCs w:val="32"/>
          <w:highlight w:val="none"/>
        </w:rPr>
      </w:pPr>
      <w:r>
        <w:rPr>
          <w:rFonts w:hint="eastAsia" w:ascii="仿宋GB2312" w:hAnsi="仿宋GB2312" w:eastAsia="仿宋GB2312" w:cs="仿宋GB2312"/>
          <w:sz w:val="32"/>
          <w:szCs w:val="32"/>
          <w:highlight w:val="none"/>
        </w:rPr>
        <w:t>6.具有实施弱电工程和网络工程的综合布线能力，了解弱电工程和网络工程的设计规范和施工要求，能够进行综合布线系统的设计、施工和调试。</w:t>
      </w:r>
    </w:p>
    <w:p w14:paraId="52E02C4A">
      <w:pPr>
        <w:overflowPunct w:val="0"/>
        <w:adjustRightInd w:val="0"/>
        <w:spacing w:after="0" w:line="520" w:lineRule="exact"/>
        <w:ind w:firstLine="640" w:firstLineChars="2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（三）素质目标</w:t>
      </w:r>
    </w:p>
    <w:p w14:paraId="68783B32">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1.坚定拥护中国共产党领导和我国社会主义制度，在习近平新时代中国特色社会主义思想指引下，践行社会主义核心价值观，具有深厚的爱国情感和中华民族自豪感。</w:t>
      </w:r>
    </w:p>
    <w:p w14:paraId="0B985397">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2.崇尚宪法、遵法守纪、崇德向善、诚实守信、尊重生命、热爱劳动，履行道德准则和行为规范，具有社会责任感和社会参与意识。</w:t>
      </w:r>
    </w:p>
    <w:p w14:paraId="0FFE9046">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3.具有质量意识、环保意识、安全意识、信息素养、工匠精神、创新思维，具有诚信、敬业的职业理念和成为行家里手的职业理想。</w:t>
      </w:r>
    </w:p>
    <w:p w14:paraId="18BD70D2">
      <w:pPr>
        <w:overflowPunct w:val="0"/>
        <w:adjustRightInd w:val="0"/>
        <w:spacing w:after="0" w:line="540" w:lineRule="exact"/>
        <w:ind w:firstLine="640" w:firstLineChars="200"/>
        <w:outlineLvl w:val="0"/>
        <w:rPr>
          <w:rFonts w:hint="eastAsia" w:ascii="仿宋GB2312" w:hAnsi="仿宋GB2312" w:eastAsia="仿宋GB2312" w:cs="仿宋GB2312"/>
          <w:sz w:val="32"/>
          <w:szCs w:val="32"/>
          <w:highlight w:val="none"/>
        </w:rPr>
      </w:pPr>
      <w:r>
        <w:rPr>
          <w:rFonts w:hint="eastAsia" w:ascii="仿宋GB2312" w:hAnsi="仿宋GB2312" w:eastAsia="仿宋GB2312" w:cs="仿宋GB2312"/>
          <w:sz w:val="32"/>
          <w:szCs w:val="32"/>
          <w:highlight w:val="none"/>
        </w:rPr>
        <w:t>4.具有自我管理能力、职业生涯规划的意识，有较强的集体意识和团队合作精神。</w:t>
      </w:r>
    </w:p>
    <w:p w14:paraId="32E42246">
      <w:pPr>
        <w:adjustRightInd w:val="0"/>
        <w:snapToGrid w:val="0"/>
        <w:spacing w:after="0" w:line="520"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七、课程设置</w:t>
      </w:r>
    </w:p>
    <w:p w14:paraId="5598D8D2">
      <w:pPr>
        <w:overflowPunct w:val="0"/>
        <w:adjustRightInd w:val="0"/>
        <w:spacing w:after="0" w:line="52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061E2099">
      <w:pPr>
        <w:overflowPunct w:val="0"/>
        <w:adjustRightInd w:val="0"/>
        <w:spacing w:after="0" w:line="520" w:lineRule="exact"/>
        <w:ind w:firstLine="640" w:firstLineChars="2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（一）公共基础课程</w:t>
      </w:r>
    </w:p>
    <w:p w14:paraId="794D44A0">
      <w:pPr>
        <w:overflowPunct w:val="0"/>
        <w:adjustRightInd w:val="0"/>
        <w:spacing w:after="0" w:line="52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分为公共必修课和公共选修课。</w:t>
      </w:r>
    </w:p>
    <w:p w14:paraId="1A161B8A">
      <w:pPr>
        <w:overflowPunct w:val="0"/>
        <w:adjustRightInd w:val="0"/>
        <w:spacing w:after="0" w:line="52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必修课程包括：思想道德与法治、形势与政策、国家安全教育、军事理论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军训、计算机基础、高等数学、大学英语、大学体育、大学生职业发展与就业指导、大学生心理健康教育、劳动教育、毛泽东思想和中国特色社会主义理论体系概论、创新创业教育、习近平新时代中国特色社会主义思想概论。</w:t>
      </w:r>
    </w:p>
    <w:p w14:paraId="43DAF3FF">
      <w:pPr>
        <w:overflowPunct w:val="0"/>
        <w:adjustRightInd w:val="0"/>
        <w:spacing w:after="0" w:line="52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选修课程包括：中国民俗剪纸技法、影视与鉴赏、中国共产党简史、中华人民共和国简史、改革开放简史、社会主义发展简史、中华优秀传统文化、中华民族共同体概论、语文、物理。</w:t>
      </w:r>
    </w:p>
    <w:p w14:paraId="755F293F">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683C180D">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458C4C2B">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7DE4C2D7">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5EE7B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A895135">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1" w:name="_Toc2022"/>
            <w:bookmarkStart w:id="2"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1"/>
            <w:bookmarkEnd w:id="2"/>
          </w:p>
        </w:tc>
        <w:tc>
          <w:tcPr>
            <w:tcW w:w="752" w:type="dxa"/>
            <w:vAlign w:val="center"/>
          </w:tcPr>
          <w:p w14:paraId="355AD07C">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3" w:name="_Toc90734980"/>
            <w:bookmarkStart w:id="4" w:name="_Toc2635"/>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bookmarkEnd w:id="3"/>
            <w:bookmarkEnd w:id="4"/>
          </w:p>
        </w:tc>
        <w:tc>
          <w:tcPr>
            <w:tcW w:w="3928" w:type="dxa"/>
            <w:vAlign w:val="center"/>
          </w:tcPr>
          <w:p w14:paraId="4E0EEABF">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5" w:name="_Toc24608"/>
            <w:bookmarkStart w:id="6" w:name="_Toc90734981"/>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bookmarkEnd w:id="5"/>
            <w:bookmarkEnd w:id="6"/>
          </w:p>
        </w:tc>
        <w:tc>
          <w:tcPr>
            <w:tcW w:w="2960" w:type="dxa"/>
            <w:vAlign w:val="center"/>
          </w:tcPr>
          <w:p w14:paraId="5860037B">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7" w:name="_Toc90734982"/>
            <w:bookmarkStart w:id="8" w:name="_Toc23051"/>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bookmarkEnd w:id="7"/>
            <w:bookmarkEnd w:id="8"/>
          </w:p>
        </w:tc>
        <w:tc>
          <w:tcPr>
            <w:tcW w:w="2626" w:type="dxa"/>
            <w:vAlign w:val="center"/>
          </w:tcPr>
          <w:p w14:paraId="6CF9325F">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58F93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518D78A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4E54C3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top"/>
          </w:tcPr>
          <w:p w14:paraId="00213F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6F9830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59BED8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top"/>
          </w:tcPr>
          <w:p w14:paraId="2F0A8A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71B09D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3D28C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4A866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755624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4C9138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3C03E1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0548AE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top"/>
          </w:tcPr>
          <w:p w14:paraId="12E375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2D5F507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7AF7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0D8A1D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77C1E3B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top"/>
          </w:tcPr>
          <w:p w14:paraId="46FBEC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1BEB16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7E37C7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23A2C6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0FD040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5EE4B1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2FA41B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0799E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55433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99616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6B7507B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14:paraId="00E0872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17DF78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3832D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4393CB9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51800E0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494799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69AA59B2">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135B59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68EF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40184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1DAD76A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14:paraId="4C9F27E1">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1A8ED42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03E295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79E288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6CB229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4F7E73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1EF926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08C92D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17603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775ED68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13156B8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center"/>
          </w:tcPr>
          <w:p w14:paraId="2588EE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66AD5BE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67F0B10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58E5C93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center"/>
          </w:tcPr>
          <w:p w14:paraId="4D687D7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0C0B168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1A1F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14:paraId="18F7A2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1857858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center"/>
          </w:tcPr>
          <w:p w14:paraId="0400C10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18358F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2CF061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5AA0855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center"/>
          </w:tcPr>
          <w:p w14:paraId="5CA451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6FB4341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4CE6C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0B5B88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56DE74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center"/>
          </w:tcPr>
          <w:p w14:paraId="35ADC5B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71B69B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7284A88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4609272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center"/>
          </w:tcPr>
          <w:p w14:paraId="3C482A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3E881C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1835E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2CD4EB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16C6F7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5A1079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2C55B1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38D66B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18D112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center"/>
          </w:tcPr>
          <w:p w14:paraId="2720F4A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3978EA0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54A8D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2A450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146DC5A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06FC2E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4C8E19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7F1650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5DACFDA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center"/>
          </w:tcPr>
          <w:p w14:paraId="476CE17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77B18AA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5693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1C1E8F7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50D58F2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center"/>
          </w:tcPr>
          <w:p w14:paraId="67501E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14:textFill>
                  <w14:solidFill>
                    <w14:schemeClr w14:val="tx1"/>
                  </w14:solidFill>
                </w14:textFill>
              </w:rPr>
            </w:pPr>
          </w:p>
          <w:p w14:paraId="45E402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38E672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6CC235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01BACD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764950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30A834D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7E029A3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7B49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261D99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71ED2C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center"/>
          </w:tcPr>
          <w:p w14:paraId="7A436A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2D865C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1A608D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1E4C6F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center"/>
          </w:tcPr>
          <w:p w14:paraId="0093C33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08BEBF9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CB74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50A6E3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231342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center"/>
          </w:tcPr>
          <w:p w14:paraId="5C54E9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6FA3EE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4FAA34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348E3D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67FABA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246ED9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737A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732B53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5C29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5987E7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380CC2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6BF964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204429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3869CC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729DCC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center"/>
          </w:tcPr>
          <w:p w14:paraId="0CD1A34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3574880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F4B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7809E6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65316F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center"/>
          </w:tcPr>
          <w:p w14:paraId="17E45F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0F166A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3213AB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center"/>
          </w:tcPr>
          <w:p w14:paraId="3FE5F8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128D75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1B345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50698E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6564576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center"/>
          </w:tcPr>
          <w:p w14:paraId="20C7F1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268242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6D7CCF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113AC4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center"/>
          </w:tcPr>
          <w:p w14:paraId="171D85C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4864A62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54BDC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58092F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4CD621A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center"/>
          </w:tcPr>
          <w:p w14:paraId="06B57C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79235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1E3F72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180854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7742E2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77E26A2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5487BA3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6501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49E269C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4D8E6F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center"/>
          </w:tcPr>
          <w:p w14:paraId="07B9C8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0D73E0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112E24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center"/>
          </w:tcPr>
          <w:p w14:paraId="4B7400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6818D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6B12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221BA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6CF7E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47CB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3D1A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13304F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85FC4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39346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3159A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8631A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2DE98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85D29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2097C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4C6FDBF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4A0E94B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75F351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2D24A0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3AB7FD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6EAE07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43AD3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0906E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FCC34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60129A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10B848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FB72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3A397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930DF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57E56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15E6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19766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73F29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7130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3B379A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57E1EF8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3512A6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2991EE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5F4B0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4418EA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1B8859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19427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FEF10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01E32E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DABC2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817FF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5F559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641ACCF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19DBF9B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center"/>
          </w:tcPr>
          <w:p w14:paraId="36A91B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029B79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67C41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042B18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75575F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22A67D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1F2E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75AEC8C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EE3DB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38B97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7FBBFEC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4BD7C1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56B04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6E20FD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7F2AAF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66262E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521E95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477161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395AF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21863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58E173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7A0AE3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23EE5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1EB6EBA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753379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1BE2E5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7BA9D3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1BA570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0" w:type="dxa"/>
            <w:vAlign w:val="center"/>
          </w:tcPr>
          <w:p w14:paraId="1CCA3F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D7A80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7F91A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0357F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0B253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6A7E7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3C5410C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2EBC2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0C7B1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27FD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14C4C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1E9F3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73D91C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6D8B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155F6D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18E3CCC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center"/>
          </w:tcPr>
          <w:p w14:paraId="1CA55F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32DFBB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4BF5DD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730CF3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0" w:type="dxa"/>
            <w:shd w:val="clear" w:color="auto" w:fill="auto"/>
            <w:vAlign w:val="center"/>
          </w:tcPr>
          <w:p w14:paraId="5D9D17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43905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A0885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25D703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0DB23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EEA8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21C2C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63DB6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EBEADD0">
            <w:pPr>
              <w:spacing w:after="0" w:line="300" w:lineRule="exact"/>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2</w:t>
            </w:r>
            <w:r>
              <w:rPr>
                <w:rFonts w:hint="eastAsia" w:ascii="仿宋_GB2312" w:hAnsi="仿宋_GB2312" w:eastAsia="仿宋_GB2312" w:cs="仿宋_GB2312"/>
                <w:sz w:val="24"/>
                <w:highlight w:val="none"/>
                <w:lang w:val="en-US" w:eastAsia="zh-CN"/>
              </w:rPr>
              <w:t>5</w:t>
            </w:r>
          </w:p>
        </w:tc>
        <w:tc>
          <w:tcPr>
            <w:tcW w:w="752" w:type="dxa"/>
            <w:vAlign w:val="center"/>
          </w:tcPr>
          <w:p w14:paraId="3176DF83">
            <w:pPr>
              <w:spacing w:after="0" w:line="300" w:lineRule="exac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物理</w:t>
            </w:r>
          </w:p>
        </w:tc>
        <w:tc>
          <w:tcPr>
            <w:tcW w:w="3928" w:type="dxa"/>
          </w:tcPr>
          <w:p w14:paraId="6F38F945">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知识目标：</w:t>
            </w:r>
            <w:r>
              <w:rPr>
                <w:rFonts w:hint="eastAsia" w:ascii="仿宋_GB2312" w:hAnsi="仿宋_GB2312" w:eastAsia="仿宋_GB2312" w:cs="仿宋_GB2312"/>
                <w:sz w:val="24"/>
                <w:highlight w:val="none"/>
              </w:rPr>
              <w:t>掌握力学、热学、电磁学等经典物理核心概念与规律，了解其在高新技术和工程实践中的具体应用，构建必要的物理知识体系。</w:t>
            </w:r>
          </w:p>
          <w:p w14:paraId="0A9BCDFE">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能力目标：</w:t>
            </w:r>
            <w:r>
              <w:rPr>
                <w:rFonts w:hint="eastAsia" w:ascii="仿宋_GB2312" w:hAnsi="仿宋_GB2312" w:eastAsia="仿宋_GB2312" w:cs="仿宋_GB2312"/>
                <w:sz w:val="24"/>
                <w:highlight w:val="none"/>
              </w:rPr>
              <w:t>能够运用物理原理分析和解决生产生活中的实际问题，具备基本的实验操作、数据处理和科学思维能力，提升技术应用与创新意识。</w:t>
            </w:r>
          </w:p>
          <w:p w14:paraId="22D37451">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素质目标：</w:t>
            </w:r>
            <w:r>
              <w:rPr>
                <w:rFonts w:hint="eastAsia" w:ascii="仿宋_GB2312" w:hAnsi="仿宋_GB2312" w:eastAsia="仿宋_GB2312" w:cs="仿宋_GB2312"/>
                <w:sz w:val="24"/>
                <w:highlight w:val="none"/>
              </w:rPr>
              <w:t>培养严谨求实的科学态度、精益求精的工匠精神和探索未知的好奇心，为未来职业发展和终身学习奠定坚实基础。</w:t>
            </w:r>
          </w:p>
          <w:p w14:paraId="4EAC23BA">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课程思政育人目标：</w:t>
            </w:r>
            <w:r>
              <w:rPr>
                <w:rFonts w:hint="eastAsia" w:ascii="仿宋_GB2312" w:hAnsi="仿宋_GB2312" w:eastAsia="仿宋_GB2312" w:cs="仿宋_GB2312"/>
                <w:sz w:val="24"/>
                <w:highlight w:val="none"/>
              </w:rPr>
              <w:t>通过物理学史和科学家故事，弘扬科学精神和爱国情怀，培养职业道德、团队协作意识与社会责任感。</w:t>
            </w:r>
          </w:p>
        </w:tc>
        <w:tc>
          <w:tcPr>
            <w:tcW w:w="2960" w:type="dxa"/>
          </w:tcPr>
          <w:p w14:paraId="078FFE87">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tcPr>
          <w:p w14:paraId="14394C2F">
            <w:pPr>
              <w:spacing w:after="0" w:line="32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bl>
    <w:p w14:paraId="377F8B92">
      <w:pPr>
        <w:pStyle w:val="2"/>
        <w:widowControl/>
        <w:spacing w:before="0" w:after="0" w:line="520" w:lineRule="exact"/>
        <w:ind w:firstLine="640" w:firstLineChars="200"/>
        <w:jc w:val="left"/>
        <w:rPr>
          <w:rFonts w:hint="eastAsia" w:ascii="楷体" w:hAnsi="楷体" w:eastAsia="楷体" w:cs="楷体"/>
          <w:color w:val="auto"/>
          <w:sz w:val="32"/>
          <w:szCs w:val="32"/>
          <w:highlight w:val="none"/>
        </w:rPr>
      </w:pPr>
      <w:bookmarkStart w:id="9" w:name="_Toc90734977"/>
      <w:r>
        <w:rPr>
          <w:rFonts w:hint="eastAsia" w:ascii="楷体" w:hAnsi="楷体" w:eastAsia="楷体" w:cs="楷体"/>
          <w:color w:val="auto"/>
          <w:sz w:val="32"/>
          <w:szCs w:val="32"/>
          <w:highlight w:val="none"/>
        </w:rPr>
        <w:t>（二）专业课程</w:t>
      </w:r>
    </w:p>
    <w:p w14:paraId="2A0BA252">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一般包括专业基础课程、专业核心课程和专业拓展课程，并涵盖有关实践性教学环节。</w:t>
      </w:r>
      <w:bookmarkStart w:id="10" w:name="_Toc90734975"/>
    </w:p>
    <w:p w14:paraId="69C72E49">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1.专业基础课程</w:t>
      </w:r>
      <w:bookmarkEnd w:id="10"/>
    </w:p>
    <w:p w14:paraId="2A55550F">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专业基础课程是为后续专业课程学习打基础的课程。包括：C语言程序设计、电路基础、电子工程制图、模拟电子技术、数字电子技术、通信与网络技术、智能系统导论等课程。</w:t>
      </w:r>
    </w:p>
    <w:p w14:paraId="25FBAB35">
      <w:pPr>
        <w:overflowPunct w:val="0"/>
        <w:adjustRightInd w:val="0"/>
        <w:spacing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表3专业基础课课程目标、主要教学内容与要求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86"/>
        <w:gridCol w:w="3769"/>
        <w:gridCol w:w="2494"/>
        <w:gridCol w:w="2659"/>
      </w:tblGrid>
      <w:tr w14:paraId="6F0C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5E28C83">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序号</w:t>
            </w:r>
          </w:p>
        </w:tc>
        <w:tc>
          <w:tcPr>
            <w:tcW w:w="886" w:type="dxa"/>
            <w:vAlign w:val="center"/>
          </w:tcPr>
          <w:p w14:paraId="729495BA">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课程名称</w:t>
            </w:r>
          </w:p>
        </w:tc>
        <w:tc>
          <w:tcPr>
            <w:tcW w:w="3769" w:type="dxa"/>
            <w:vAlign w:val="center"/>
          </w:tcPr>
          <w:p w14:paraId="2B1FF731">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课程目标</w:t>
            </w:r>
          </w:p>
        </w:tc>
        <w:tc>
          <w:tcPr>
            <w:tcW w:w="2494" w:type="dxa"/>
            <w:vAlign w:val="center"/>
          </w:tcPr>
          <w:p w14:paraId="0A658F88">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主要教学内容</w:t>
            </w:r>
          </w:p>
        </w:tc>
        <w:tc>
          <w:tcPr>
            <w:tcW w:w="2659" w:type="dxa"/>
            <w:vAlign w:val="center"/>
          </w:tcPr>
          <w:p w14:paraId="08701FA0">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教学要求</w:t>
            </w:r>
          </w:p>
        </w:tc>
      </w:tr>
      <w:tr w14:paraId="2604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0B9E6B4">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w:t>
            </w:r>
          </w:p>
        </w:tc>
        <w:tc>
          <w:tcPr>
            <w:tcW w:w="886" w:type="dxa"/>
            <w:vAlign w:val="center"/>
          </w:tcPr>
          <w:p w14:paraId="7C007530">
            <w:pPr>
              <w:spacing w:after="0" w:line="320" w:lineRule="exact"/>
              <w:jc w:val="lef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C语言程序设计</w:t>
            </w:r>
          </w:p>
        </w:tc>
        <w:tc>
          <w:tcPr>
            <w:tcW w:w="3769" w:type="dxa"/>
          </w:tcPr>
          <w:p w14:paraId="3E1037E0">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：掌握C语言基本语法、数据类型、运算符、控制结构等核心概念，理解函数模块化编程、数组与指针原理，了解文件操作与内存管理进阶知识。</w:t>
            </w:r>
          </w:p>
          <w:p w14:paraId="3C85BFEC">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：能独立编写、编译、调试C语言程序，运用核心知识解决简单编程问题，具备基础程序设计与故障排查能力。</w:t>
            </w:r>
          </w:p>
          <w:p w14:paraId="4ABB5F6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：培养逻辑思维与抽象建模能力，养成规范编码与严谨调试的习惯，提升自主学习与问题分析素养。</w:t>
            </w:r>
          </w:p>
          <w:p w14:paraId="15C05A6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结合国产操作系统、嵌入式技术发展案例，激发科技报国情怀；通过代码优化与调试，传递精益求精的工匠精神。</w:t>
            </w:r>
          </w:p>
        </w:tc>
        <w:tc>
          <w:tcPr>
            <w:tcW w:w="2494" w:type="dxa"/>
          </w:tcPr>
          <w:p w14:paraId="69FDCDEA">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C语言的基本语法、数据类型、运算符、控制结构、函数与模块化编程、数组与指针等核心概念，以及文件操作、内存管理等进阶知识</w:t>
            </w:r>
          </w:p>
        </w:tc>
        <w:tc>
          <w:tcPr>
            <w:tcW w:w="2659" w:type="dxa"/>
          </w:tcPr>
          <w:p w14:paraId="2683546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学生需深入理解C语言的基本语法和编程思想，掌握数据类型、控制结构、函数、数组、指针等核心概念。能够熟练运用C语言进行简单的程序设计。通过实验课程，学生需掌握C语言程序的编写、编译、调试和运行过程。培养学生的动手能力和实践操作能力，使其能够独立完成实验项目。</w:t>
            </w:r>
          </w:p>
        </w:tc>
      </w:tr>
      <w:tr w14:paraId="44CDE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557CC58">
            <w:pPr>
              <w:spacing w:after="0" w:line="320" w:lineRule="exact"/>
              <w:jc w:val="center"/>
              <w:rPr>
                <w:rFonts w:hint="eastAsia" w:ascii="仿宋_GB2312" w:hAnsi="仿宋_GB2312" w:eastAsia="仿宋_GB2312" w:cs="仿宋_GB2312"/>
                <w:kern w:val="0"/>
                <w:sz w:val="24"/>
                <w:szCs w:val="20"/>
                <w:highlight w:val="none"/>
              </w:rPr>
            </w:pPr>
            <w:bookmarkStart w:id="11" w:name="_Hlk194587108"/>
            <w:r>
              <w:rPr>
                <w:rFonts w:hint="eastAsia" w:ascii="仿宋_GB2312" w:hAnsi="仿宋_GB2312" w:eastAsia="仿宋_GB2312" w:cs="仿宋_GB2312"/>
                <w:kern w:val="0"/>
                <w:sz w:val="24"/>
                <w:szCs w:val="20"/>
                <w:highlight w:val="none"/>
              </w:rPr>
              <w:t>2</w:t>
            </w:r>
          </w:p>
        </w:tc>
        <w:tc>
          <w:tcPr>
            <w:tcW w:w="886" w:type="dxa"/>
            <w:vAlign w:val="center"/>
          </w:tcPr>
          <w:p w14:paraId="491EFF68">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电路基础</w:t>
            </w:r>
          </w:p>
        </w:tc>
        <w:tc>
          <w:tcPr>
            <w:tcW w:w="3769" w:type="dxa"/>
          </w:tcPr>
          <w:p w14:paraId="16775D8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：理解电流、电压、电阻等基本概念及单位，掌握电路元件（电容、电感、电源等）特性，熟悉正弦交流电三要素、变压器与电动机工作原理。</w:t>
            </w:r>
          </w:p>
          <w:p w14:paraId="02C4177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：能正确使用示波器、万用表等仪器测量电路参数，独立完成简单电路装配、调试与故障排除，具备分析基本电路问题的能力。</w:t>
            </w:r>
          </w:p>
          <w:p w14:paraId="7A60ECD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：培养严谨的实验操作素养与数据处理能力，树立安全用电意识，提升对电路原理的具象化理解与应用能力。</w:t>
            </w:r>
          </w:p>
          <w:p w14:paraId="61D5CA60">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结合我国电力工程（如特高压输电）成就，增强民族自豪感；通过电路故障排查，引导学生树立“细节决定成败”的责任意识。</w:t>
            </w:r>
          </w:p>
        </w:tc>
        <w:tc>
          <w:tcPr>
            <w:tcW w:w="2494" w:type="dxa"/>
          </w:tcPr>
          <w:p w14:paraId="2865641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电工基本概念与电路基础，涉及电流、电压、电阻、功率等基本概念及其单位，以及电源、负载、导线等电路基本组成元素及其作用</w:t>
            </w:r>
          </w:p>
        </w:tc>
        <w:tc>
          <w:tcPr>
            <w:tcW w:w="2659" w:type="dxa"/>
          </w:tcPr>
          <w:p w14:paraId="2DDE617F">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学生应理解并掌握电路的基本概念和原理，包括电路模型、电压、电流、电阻、电容、电感等基本元件及其特性。熟悉正弦交流电的基本概念、三要素及表示方法，理解正弦交流电路中的电流与电压关系。掌握变压器、电动机等电气设备的工作原理和结构特点。学生应能正确使用示波器、信号发生器、万用表等常用电子仪器、仪表，进行电路参数的测量和调试。能够进行电子线路的装配、调试和故障排除，具备解决实际电路问题的能力。</w:t>
            </w:r>
          </w:p>
        </w:tc>
      </w:tr>
      <w:tr w14:paraId="628A6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1" w:hRule="atLeast"/>
          <w:jc w:val="center"/>
        </w:trPr>
        <w:tc>
          <w:tcPr>
            <w:tcW w:w="465" w:type="dxa"/>
            <w:vAlign w:val="center"/>
          </w:tcPr>
          <w:p w14:paraId="12600865">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3</w:t>
            </w:r>
          </w:p>
        </w:tc>
        <w:tc>
          <w:tcPr>
            <w:tcW w:w="886" w:type="dxa"/>
            <w:vAlign w:val="center"/>
          </w:tcPr>
          <w:p w14:paraId="60ACD83D">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电子工程制图</w:t>
            </w:r>
          </w:p>
        </w:tc>
        <w:tc>
          <w:tcPr>
            <w:tcW w:w="3769" w:type="dxa"/>
          </w:tcPr>
          <w:p w14:paraId="24C529CB">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：掌握中心投影、平行投影原理及点线面投影规律，熟悉电子工程常用视图（主视图、剖视图等）绘制规范，了解电路图、PCB图标准。</w:t>
            </w:r>
          </w:p>
          <w:p w14:paraId="7975954C">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：能运用绘图软件与手工绘图完成电子图纸绘制，具备图纸阅读与解析能力，可根据图纸开展简单装配与调试工作。</w:t>
            </w:r>
          </w:p>
          <w:p w14:paraId="2E1EDA2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：培养严谨细致的工程思维与规范表达习惯，提升空间想象与团队协作中图纸沟通能力。</w:t>
            </w:r>
          </w:p>
          <w:p w14:paraId="4596EFB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结合国产芯片设计、航天电子图纸案例，强调“图纸即责任”，激发精益求精的工程报国精神。</w:t>
            </w:r>
          </w:p>
        </w:tc>
        <w:tc>
          <w:tcPr>
            <w:tcW w:w="2494" w:type="dxa"/>
          </w:tcPr>
          <w:p w14:paraId="75FF8CD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介绍投影的基本原理，如中心投影和平行投影，以及点、线、面的投影规律。讲解电子工程中常用的视图表达方式，如主视图、俯视图、左视图等，以及剖视图、断面图等特殊视图的绘制方法。</w:t>
            </w:r>
          </w:p>
        </w:tc>
        <w:tc>
          <w:tcPr>
            <w:tcW w:w="2659" w:type="dxa"/>
          </w:tcPr>
          <w:p w14:paraId="10DE9250">
            <w:pPr>
              <w:spacing w:after="24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要求学生扎实掌握投影原理、视图表达、尺寸标注等理论知识，熟悉各类电子图纸规范与标准。借助绘图软件与手工绘图双训练，帮助学生熟练绘制电路图、PCB图、装配图等。同时，着重提升学生图纸阅读与解析能力，培养严谨细致的工作习惯、勇于探索的创新精神以及善于沟通的团队协作能力，助力学生运用所学知识解决复杂多变的实际工程问题。</w:t>
            </w:r>
          </w:p>
        </w:tc>
      </w:tr>
      <w:tr w14:paraId="28B8D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465" w:type="dxa"/>
            <w:vAlign w:val="center"/>
          </w:tcPr>
          <w:p w14:paraId="71A84BA4">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4</w:t>
            </w:r>
          </w:p>
        </w:tc>
        <w:tc>
          <w:tcPr>
            <w:tcW w:w="886" w:type="dxa"/>
            <w:vAlign w:val="center"/>
          </w:tcPr>
          <w:p w14:paraId="5CC4E2EF">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模拟电子技术</w:t>
            </w:r>
          </w:p>
        </w:tc>
        <w:tc>
          <w:tcPr>
            <w:tcW w:w="3769" w:type="dxa"/>
          </w:tcPr>
          <w:p w14:paraId="1189765A">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：理解半导体器件工作原理，掌握放大电路、负反馈电路、集成运放及直流电源理论，了解模拟信号处理基本方法。</w:t>
            </w:r>
          </w:p>
          <w:p w14:paraId="7011287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：能分析模拟电路性能，独立使用电子仪器完成实验项目，设计并调试简单模拟电路，具备解决基础模拟电路问题的能力。</w:t>
            </w:r>
          </w:p>
          <w:p w14:paraId="39AC01CC">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：培养理论联系实际的实践素养，提升电路分析与创新设计思维，养成严谨的实验记录与数据验证习惯。</w:t>
            </w:r>
          </w:p>
          <w:p w14:paraId="04FB2A8A">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结合我国模拟芯片技术突破案例，引导学生认识核心技术自主可控的重要性，树立科技自立自强的理想。</w:t>
            </w:r>
          </w:p>
        </w:tc>
        <w:tc>
          <w:tcPr>
            <w:tcW w:w="2494" w:type="dxa"/>
          </w:tcPr>
          <w:p w14:paraId="70CA633B">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电子技术基础知识，包括半导体器件、放大电路、频率响应、运算放大电路、反馈电路等，旨在培养学生掌握模拟信号处理与电路设计的技能</w:t>
            </w:r>
          </w:p>
        </w:tc>
        <w:tc>
          <w:tcPr>
            <w:tcW w:w="2659" w:type="dxa"/>
          </w:tcPr>
          <w:p w14:paraId="75AD6A81">
            <w:pPr>
              <w:spacing w:after="24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学生需深入理解半导体器件的工作原理和特性，掌握放大电路、负反馈电路、集成运算放大器和直流电源的基本理论知识。能够运用所学知识分析和解决实际问题。通过实验课程，学生需掌握常用电子仪器的使用方法，能够独立完成实验项目。培养学生的动手能力和实践操作能力，使其能够设计和调试简单的模拟电路。通过系统的理论学习和实践训练，使学生全面掌握模拟电子技术的基本理论、基本知识和基本技能，并培养其分析问题、解决问题和设计模拟电路系统的能力。</w:t>
            </w:r>
          </w:p>
        </w:tc>
      </w:tr>
      <w:tr w14:paraId="6B1DD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54BABE9">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5</w:t>
            </w:r>
          </w:p>
        </w:tc>
        <w:tc>
          <w:tcPr>
            <w:tcW w:w="886" w:type="dxa"/>
            <w:vAlign w:val="center"/>
          </w:tcPr>
          <w:p w14:paraId="22EDC593">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数字电子技术</w:t>
            </w:r>
          </w:p>
        </w:tc>
        <w:tc>
          <w:tcPr>
            <w:tcW w:w="3769" w:type="dxa"/>
          </w:tcPr>
          <w:p w14:paraId="788BA491">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：掌握逻辑代数定律、逻辑函数化简方法，理解门电路、组合逻辑电路、时序逻辑电路原理，了解数字系统设计流程。</w:t>
            </w:r>
          </w:p>
          <w:p w14:paraId="70D1F153">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：能设计简单数字电路，独立完成数字电路调试与故障排除，运用实验仪器验证电路功能，具备数字电路分析与设计基础能力。</w:t>
            </w:r>
          </w:p>
          <w:p w14:paraId="10DA0EBB">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：培养数字化思维与逻辑推理能力，提升电路设计的规范性与创新性，养成严谨的实验操作与问题解决习惯。</w:t>
            </w:r>
          </w:p>
          <w:p w14:paraId="3BB2929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结合数字电路在国产工业控制、人工智能设备中的应用，强调技术创新对产业升级的推动作用，激发学生的行业责任感。</w:t>
            </w:r>
          </w:p>
        </w:tc>
        <w:tc>
          <w:tcPr>
            <w:tcW w:w="2494" w:type="dxa"/>
          </w:tcPr>
          <w:p w14:paraId="2BBB0E93">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数字电路基础、逻辑代数、门电路、组合逻辑电路、时序逻辑电路、数字系统设计等方面的知识，旨在培养学生掌握数字电路分析与设计的技能</w:t>
            </w:r>
          </w:p>
        </w:tc>
        <w:tc>
          <w:tcPr>
            <w:tcW w:w="2659" w:type="dxa"/>
          </w:tcPr>
          <w:p w14:paraId="38BEDF37">
            <w:pPr>
              <w:spacing w:after="24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学生需深入理解数字电子技术的基本原理和基本概念，掌握逻辑代数的基本定律和逻辑函数的化简方法。熟悉各种门电路、组合逻辑电路和时序逻辑电路的工作原理和设计方法。通过实验课程，学生需掌握常用实验仪器的使用方法，能够独立完成数字电路的设计、调试和故障排除。培养学生的动手能力和实践操作能力，使其能够运用所学知识解决实际问题。</w:t>
            </w:r>
          </w:p>
        </w:tc>
      </w:tr>
      <w:tr w14:paraId="0271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1C67AE2">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6</w:t>
            </w:r>
          </w:p>
        </w:tc>
        <w:tc>
          <w:tcPr>
            <w:tcW w:w="886" w:type="dxa"/>
            <w:vAlign w:val="center"/>
          </w:tcPr>
          <w:p w14:paraId="272E7DC0">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通信与网络技术</w:t>
            </w:r>
          </w:p>
        </w:tc>
        <w:tc>
          <w:tcPr>
            <w:tcW w:w="3769" w:type="dxa"/>
          </w:tcPr>
          <w:p w14:paraId="6D85F474">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：理解通信系统架构、模拟/数字通信原理，掌握网络分层模型、局域网/广域网配置方法，了解5G/6G、物联网等前沿技术。</w:t>
            </w:r>
          </w:p>
          <w:p w14:paraId="77DA0B5A">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：能搭建基础通信链路，配置网络设备，排查常见网络故障，运用工具分析通信信号，具备通信与网络系统基础操作能力。</w:t>
            </w:r>
          </w:p>
          <w:p w14:paraId="6A6B40D2">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：培养跨领域知识整合能力与实操素养，提升团队协作与技术创新思维，养成关注行业前沿的自主学习习惯。</w:t>
            </w:r>
          </w:p>
          <w:p w14:paraId="134E2B9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结合我国5G技术全球领先、北斗通信系统建设成就，增强民族自信，引导学生思考技术赋能社会发展的责任。</w:t>
            </w:r>
          </w:p>
        </w:tc>
        <w:tc>
          <w:tcPr>
            <w:tcW w:w="2494" w:type="dxa"/>
          </w:tcPr>
          <w:p w14:paraId="6487C509">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通信与网络技术课程围绕通信与网络的全流程展开，开篇介绍通信与网络系统的基本概念、架构及演进脉络，夯实理论根基。深入讲解模拟和数字通信原理，剖析信号调制、解调与编码机制，同时阐释有线和无线通信技术，包含光纤通信、移动通信的工作方式。网络技术板块，从网络拓扑、分层模型讲起，对局域网、广域网的组建、配置与管理进行实操教学，并介绍网络安全防护策略与技术。课程借助实验、课程设计，让学生动手搭建通信链路、配置网络设备、排查网络故障，提升实操能力，还引入物联网、5G/6G等前沿技术，拓宽学生视野，确保学生能全方位理解通信与网络技术的原理、应用及发展方向。</w:t>
            </w:r>
          </w:p>
        </w:tc>
        <w:tc>
          <w:tcPr>
            <w:tcW w:w="2659" w:type="dxa"/>
          </w:tcPr>
          <w:p w14:paraId="1D34E197">
            <w:pPr>
              <w:spacing w:after="24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在通信与网络技术教学过程中，教师不仅要采用多样化教学方法，借助案例与实验，帮助学生理解通信与网络技术的理论知识，还要指导学生开展实操训练，使其熟练掌握设备操作、系统搭建与故障诊断的技能，提升综合实践能力。同时，要通过小组项目与讨论，锻炼学生的团队协作与沟通能力，培养其创新思维与问题解决能力，引导学生关注行业发展趋势，培养自主学习习惯，塑造良好的职业素养，助力学生成为适应行业需求的高素质人才。</w:t>
            </w:r>
          </w:p>
        </w:tc>
      </w:tr>
      <w:tr w14:paraId="20BE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1" w:hRule="atLeast"/>
          <w:jc w:val="center"/>
        </w:trPr>
        <w:tc>
          <w:tcPr>
            <w:tcW w:w="465" w:type="dxa"/>
            <w:vAlign w:val="center"/>
          </w:tcPr>
          <w:p w14:paraId="09BE3056">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7</w:t>
            </w:r>
          </w:p>
        </w:tc>
        <w:tc>
          <w:tcPr>
            <w:tcW w:w="886" w:type="dxa"/>
            <w:vAlign w:val="center"/>
          </w:tcPr>
          <w:p w14:paraId="58DCCFE2">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智能系统导论</w:t>
            </w:r>
          </w:p>
        </w:tc>
        <w:tc>
          <w:tcPr>
            <w:tcW w:w="3769" w:type="dxa"/>
          </w:tcPr>
          <w:p w14:paraId="7FE59BC6">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：理解智能系统概念、架构及发展历程，掌握人工智能基础算法、传感器技术原理，了解边缘计算、脑机接口等前沿方向。</w:t>
            </w:r>
          </w:p>
          <w:p w14:paraId="70BF4EA0">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：能运用Python实现基础机器学习算法，借助树莓派/Arduino搭建智能系统并完成调试，具备智能系统设计与应用基础能力。</w:t>
            </w:r>
          </w:p>
          <w:p w14:paraId="14C0B504">
            <w:pPr>
              <w:spacing w:after="0" w:line="320" w:lineRule="exact"/>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：培养跨学科融合思维与创新实践素养，提升技术整合与问题解决能力，养成严谨的科学实验与系统优化习惯。</w:t>
            </w:r>
          </w:p>
          <w:p w14:paraId="643F3411">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结合我国智能系统在工业自动化、医疗辅助等领域的应用案例，强调技术伦理与社会责任，激发学生用智能技术服务社会的使命感。</w:t>
            </w:r>
          </w:p>
        </w:tc>
        <w:tc>
          <w:tcPr>
            <w:tcW w:w="2494" w:type="dxa"/>
          </w:tcPr>
          <w:p w14:paraId="2A7C1AD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理论层面，阐述智能系统概念、架构与发展历程，讲解人工智能、传感器技术等核心技术原理，让学生构建扎实的知识框架。实践环节，以Python编程为工具，引导学生实现机器学习算法，借助树莓派、Arduino等硬件平台搭建智能系统，完成从算法设计到系统整合与调试的全流程实操。此外，课程剖析工业、医疗、交通等领域的典型应用案例，引入边缘计算、脑机接口等前沿技术，帮助学生了解行业动态，拓宽技术视野。</w:t>
            </w:r>
          </w:p>
        </w:tc>
        <w:tc>
          <w:tcPr>
            <w:tcW w:w="2659" w:type="dxa"/>
          </w:tcPr>
          <w:p w14:paraId="3EACBC53">
            <w:pPr>
              <w:spacing w:after="24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在智能系统导论教学中，教师需引导学生搭建完备的知识体系，深入理解智能系统的概念、架构，熟练掌握人工智能、传感器技术等理论知识，并关注行业前沿进展。在实践环节，要求学生以Python为工具，实现机器学习算法，借助硬件平台完成智能系统从设计到调试的全流程操作，提升实操能力。同时，通过案例分析与小组项目，锻炼学生将理论知识应用于解决实际问题的能力，培养其团队协作、沟通交流以及创新思维，引导学生养成严谨的科学态度，为后续在智能系统领域的深入学习和职业发展筑牢根基</w:t>
            </w:r>
          </w:p>
        </w:tc>
      </w:tr>
      <w:bookmarkEnd w:id="11"/>
    </w:tbl>
    <w:p w14:paraId="3B19B917">
      <w:pPr>
        <w:adjustRightInd w:val="0"/>
        <w:snapToGri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2.专业核心课程</w:t>
      </w:r>
      <w:bookmarkEnd w:id="9"/>
    </w:p>
    <w:p w14:paraId="589EC13E">
      <w:pPr>
        <w:adjustRightInd w:val="0"/>
        <w:snapToGrid w:val="0"/>
        <w:spacing w:after="0" w:line="520" w:lineRule="exact"/>
        <w:ind w:firstLine="640" w:firstLineChars="200"/>
        <w:rPr>
          <w:rFonts w:hint="eastAsia" w:ascii="仿宋_GB2312" w:hAnsi="仿宋_GB2312" w:eastAsia="仿宋_GB2312" w:cs="仿宋_GB2312"/>
          <w:spacing w:val="-4"/>
          <w:sz w:val="32"/>
          <w:szCs w:val="32"/>
          <w:highlight w:val="none"/>
        </w:rPr>
      </w:pPr>
      <w:bookmarkStart w:id="12" w:name="OLE_LINK7"/>
      <w:r>
        <w:rPr>
          <w:rFonts w:hint="eastAsia" w:ascii="仿宋_GB2312" w:hAnsi="仿宋_GB2312" w:eastAsia="仿宋_GB2312" w:cs="仿宋_GB2312"/>
          <w:sz w:val="32"/>
          <w:szCs w:val="32"/>
          <w:highlight w:val="none"/>
        </w:rPr>
        <w:t>专业核心课是</w:t>
      </w:r>
      <w:bookmarkEnd w:id="12"/>
      <w:r>
        <w:rPr>
          <w:rFonts w:hint="eastAsia" w:ascii="仿宋_GB2312" w:hAnsi="仿宋_GB2312" w:eastAsia="仿宋_GB2312" w:cs="仿宋_GB2312"/>
          <w:sz w:val="32"/>
          <w:szCs w:val="32"/>
          <w:highlight w:val="none"/>
        </w:rPr>
        <w:t>面向计算机、通信和其他电子设备制造行业的电子工程技术、电子设备装配调试等岗位（群），结合电子设备装配调试、电子设备检验、电子产品维修、电子设备生产管理、电子信息系统集成、电子产品设计开发的就业岗位，建立电子信息工程技术专业核心课程，培养学生电子设备检验、电子产品维修的能力。包括PCB设计及应用、电子装联技术及应用、传感器与检测技术、智能应用系统集成与维护、单片机技术及应用、智能电子产品检测与维修、嵌入式技术及应用</w:t>
      </w:r>
      <w:r>
        <w:rPr>
          <w:rFonts w:hint="eastAsia" w:ascii="仿宋_GB2312" w:hAnsi="仿宋_GB2312" w:eastAsia="仿宋_GB2312" w:cs="仿宋_GB2312"/>
          <w:spacing w:val="-4"/>
          <w:sz w:val="32"/>
          <w:szCs w:val="32"/>
          <w:highlight w:val="none"/>
        </w:rPr>
        <w:t>等课程。</w:t>
      </w:r>
    </w:p>
    <w:p w14:paraId="0FFBF4D0">
      <w:pPr>
        <w:overflowPunct w:val="0"/>
        <w:adjustRightInd w:val="0"/>
        <w:spacing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表4专业核心课课程目标、主要教学内容与要求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377"/>
        <w:gridCol w:w="2864"/>
        <w:gridCol w:w="2958"/>
      </w:tblGrid>
      <w:tr w14:paraId="7A6B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5" w:type="dxa"/>
            <w:vAlign w:val="center"/>
          </w:tcPr>
          <w:p w14:paraId="35ED283F">
            <w:pPr>
              <w:spacing w:after="0" w:line="360" w:lineRule="exact"/>
              <w:jc w:val="center"/>
              <w:rPr>
                <w:rFonts w:hint="eastAsia" w:ascii="仿宋_GB2312" w:hAnsi="仿宋_GB2312" w:eastAsia="仿宋_GB2312" w:cs="仿宋_GB2312"/>
                <w:kern w:val="0"/>
                <w:sz w:val="24"/>
                <w:szCs w:val="20"/>
                <w:highlight w:val="none"/>
              </w:rPr>
            </w:pPr>
            <w:bookmarkStart w:id="13" w:name="_Toc90734991"/>
            <w:r>
              <w:rPr>
                <w:rFonts w:hint="eastAsia" w:ascii="仿宋_GB2312" w:hAnsi="仿宋_GB2312" w:eastAsia="仿宋_GB2312" w:cs="仿宋_GB2312"/>
                <w:kern w:val="0"/>
                <w:sz w:val="24"/>
                <w:szCs w:val="20"/>
                <w:highlight w:val="none"/>
              </w:rPr>
              <w:t>序号</w:t>
            </w:r>
          </w:p>
        </w:tc>
        <w:tc>
          <w:tcPr>
            <w:tcW w:w="775" w:type="dxa"/>
            <w:vAlign w:val="center"/>
          </w:tcPr>
          <w:p w14:paraId="40E7BA36">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课程名称</w:t>
            </w:r>
          </w:p>
        </w:tc>
        <w:tc>
          <w:tcPr>
            <w:tcW w:w="3377" w:type="dxa"/>
            <w:vAlign w:val="center"/>
          </w:tcPr>
          <w:p w14:paraId="647F4D3A">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课程目标</w:t>
            </w:r>
          </w:p>
        </w:tc>
        <w:tc>
          <w:tcPr>
            <w:tcW w:w="2864" w:type="dxa"/>
            <w:vAlign w:val="center"/>
          </w:tcPr>
          <w:p w14:paraId="56CF9484">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主要教学内容</w:t>
            </w:r>
          </w:p>
        </w:tc>
        <w:tc>
          <w:tcPr>
            <w:tcW w:w="2958" w:type="dxa"/>
            <w:vAlign w:val="center"/>
          </w:tcPr>
          <w:p w14:paraId="72488775">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highlight w:val="none"/>
              </w:rPr>
              <w:t>教学要求</w:t>
            </w:r>
          </w:p>
        </w:tc>
      </w:tr>
      <w:tr w14:paraId="41751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DBAB869">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w:t>
            </w:r>
          </w:p>
        </w:tc>
        <w:tc>
          <w:tcPr>
            <w:tcW w:w="775" w:type="dxa"/>
            <w:vAlign w:val="center"/>
          </w:tcPr>
          <w:p w14:paraId="5006C0A1">
            <w:pPr>
              <w:spacing w:after="0" w:line="360" w:lineRule="exact"/>
              <w:jc w:val="lef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PCB设计及应用</w:t>
            </w:r>
          </w:p>
        </w:tc>
        <w:tc>
          <w:tcPr>
            <w:tcW w:w="3377" w:type="dxa"/>
          </w:tcPr>
          <w:p w14:paraId="03EFE5AD">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：理解电子CAD的基本概念、发展历程及在电子设计中的核心作用。</w:t>
            </w:r>
            <w:r>
              <w:rPr>
                <w:rFonts w:ascii="仿宋_GB2312" w:hAnsi="仿宋_GB2312" w:eastAsia="仿宋_GB2312" w:cs="仿宋_GB2312"/>
                <w:kern w:val="0"/>
                <w:sz w:val="24"/>
                <w:szCs w:val="20"/>
                <w:highlight w:val="none"/>
              </w:rPr>
              <w:t>掌握主流PCB设计软件的界面操作、功能模块及使用流程。掌握电路原理图设计规范，包括元器件符号绘制、电气连接规则及原理图审核标准。掌握印制电路板（PCB）设计基础，包括元器件封装设计、布局布线原则、信号完整性基础。了解单、双面板的设计特点及整机电路PCB设计的基本流程与行业标准。</w:t>
            </w:r>
          </w:p>
          <w:p w14:paraId="6417B644">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：能熟练使用软件完成电路原理图的绘制、检查与优化。</w:t>
            </w:r>
            <w:r>
              <w:rPr>
                <w:rFonts w:ascii="仿宋_GB2312" w:hAnsi="仿宋_GB2312" w:eastAsia="仿宋_GB2312" w:cs="仿宋_GB2312"/>
                <w:kern w:val="0"/>
                <w:sz w:val="24"/>
                <w:szCs w:val="20"/>
                <w:highlight w:val="none"/>
              </w:rPr>
              <w:t>能独立设计常用元器件的封装，根据电路需求完成PCB布局与布线设计。能对单、双面板电路进行分析，识别设计中的常见问题</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并提出改进方案。能结合产品需求，运用PCB设计软件完成简单电子产品的整机电路设计与初步验证。</w:t>
            </w:r>
          </w:p>
          <w:p w14:paraId="2D7D6B01">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：养成“规范绘图、精准设计”的工作习惯，严格遵循电子设计行业标准与流程。</w:t>
            </w:r>
            <w:r>
              <w:rPr>
                <w:rFonts w:ascii="仿宋_GB2312" w:hAnsi="仿宋_GB2312" w:eastAsia="仿宋_GB2312" w:cs="仿宋_GB2312"/>
                <w:kern w:val="0"/>
                <w:sz w:val="24"/>
                <w:szCs w:val="20"/>
                <w:highlight w:val="none"/>
              </w:rPr>
              <w:t>培养分析电路设计问题、优化设计方案的逻辑思维能力与创新意识。提升在小组协作中沟通需求、分工配合完成复杂PCB设计项目的团队协作能力。</w:t>
            </w:r>
          </w:p>
          <w:p w14:paraId="53B96668">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通过高精度PCB设计实训，培养学生对技术细节的极致追求和严谨的工程态度。</w:t>
            </w:r>
            <w:r>
              <w:rPr>
                <w:rFonts w:ascii="仿宋_GB2312" w:hAnsi="仿宋_GB2312" w:eastAsia="仿宋_GB2312" w:cs="仿宋_GB2312"/>
                <w:kern w:val="0"/>
                <w:sz w:val="24"/>
                <w:szCs w:val="20"/>
                <w:highlight w:val="none"/>
              </w:rPr>
              <w:t>结合国产PCB设计软件发展案例，激发学生对本土技术创新的关注与科技报国的责任感。强调电路设计中的安全规范，树立“技术安全为先”的职业操守。</w:t>
            </w:r>
          </w:p>
        </w:tc>
        <w:tc>
          <w:tcPr>
            <w:tcW w:w="2864" w:type="dxa"/>
          </w:tcPr>
          <w:p w14:paraId="55F75097">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电路原理图识图、绘图能力，元器件符号和封装绘制能力，电子产品原理图设计能力，电子产品印制电路板图设计能力，整机电路单、双面板分析和初步设计能力，以及软件使用能力</w:t>
            </w:r>
          </w:p>
        </w:tc>
        <w:tc>
          <w:tcPr>
            <w:tcW w:w="2958" w:type="dxa"/>
          </w:tcPr>
          <w:p w14:paraId="489EFDC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知识掌握‌：学生需了解电子CAD的基本概念、发展历程及主要功能，掌握AltiumDesigner等常用软件的操作方法。</w:t>
            </w:r>
          </w:p>
          <w:p w14:paraId="7344CB17">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‌技能培养‌：培养学生运用电子CAD软件进行电子电路设计和绘图的能力，包括电路原理图设计、元器件符号和封装绘制、印制电路板图设计等。</w:t>
            </w:r>
          </w:p>
          <w:p w14:paraId="46D5317C">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‌能力提升‌：通过项目实践，提高学生的分析问题、解决问题能力，培养创新意识和团队协作精神。</w:t>
            </w:r>
          </w:p>
          <w:p w14:paraId="2181FBD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‌职业素养‌：引导学生了解行业标准与规范，培养良好的职业道德和严谨的工作作风。</w:t>
            </w:r>
          </w:p>
          <w:p w14:paraId="5C4CB5B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教学方法‌：采用“讲解+演示+实践”的教学模式，利用多媒体教学资源，组织小组讨论和合作实践，确保教学效果</w:t>
            </w:r>
          </w:p>
        </w:tc>
      </w:tr>
      <w:tr w14:paraId="26E1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5AC9F2">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2</w:t>
            </w:r>
          </w:p>
        </w:tc>
        <w:tc>
          <w:tcPr>
            <w:tcW w:w="775" w:type="dxa"/>
            <w:vAlign w:val="center"/>
          </w:tcPr>
          <w:p w14:paraId="10BDE1EF">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电子装联技术及应用</w:t>
            </w:r>
          </w:p>
        </w:tc>
        <w:tc>
          <w:tcPr>
            <w:tcW w:w="3377" w:type="dxa"/>
          </w:tcPr>
          <w:p w14:paraId="7C7C6D4C">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了解电子装联技术的发展历程、现状及未来趋势。掌握电子装联的基本概念、工艺流程和质量要求。掌握电子装联常用的工具和设备。掌握电子元件识别与检测。掌握电子元件的性能参数和检测方法，能够使用万用表、示波器等仪器对元件进行检测和筛选。理解焊接的基本原理和分类，掌握手工焊和自动化焊接技术。掌握电子组装工艺，整机装配的工艺方法和质量控制。能对简单的电子装联进行设计、调试。</w:t>
            </w:r>
          </w:p>
          <w:p w14:paraId="02A6C8E1">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精准识别、检测常用电子元器件的性能参数、封装形式，判断其是否符合使用要求。熟练掌握电子装联核心工艺，如焊膏印刷、贴片、焊接、检测、返修等操作，严格遵循电子装联工艺的基本流程和操作规范。借助专业工具，完成电子产品的测试与调试，定位并解决装联过程中的工艺问题。依据产品需求，进行电路板装联工艺制程设计，能运用品管分析手法分析工艺缺陷，提出并实施持续改善方案。结合现代电子产品可制造性设计规范，参与电子装联组件验收，确保设计与生产工艺适配。精通电路板装联品质检测标准，运用检测设备开展缺陷检测、返修，保障产品质量。</w:t>
            </w:r>
          </w:p>
          <w:p w14:paraId="7F831673">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w:t>
            </w:r>
            <w:bookmarkStart w:id="14" w:name="_Toc362186431"/>
            <w:bookmarkStart w:id="15" w:name="_Toc362185967"/>
            <w:bookmarkStart w:id="16" w:name="_Toc362188489"/>
            <w:bookmarkStart w:id="17" w:name="_Toc362186278"/>
            <w:bookmarkStart w:id="18" w:name="_Toc362020403"/>
            <w:bookmarkStart w:id="19" w:name="_Toc362020466"/>
            <w:bookmarkStart w:id="20" w:name="_Toc362358933"/>
            <w:bookmarkStart w:id="21" w:name="_Toc362019011"/>
            <w:bookmarkStart w:id="22" w:name="_Toc362068515"/>
            <w:bookmarkStart w:id="23" w:name="_Toc362268822"/>
            <w:r>
              <w:rPr>
                <w:rFonts w:hint="eastAsia" w:ascii="仿宋_GB2312" w:hAnsi="仿宋_GB2312" w:eastAsia="仿宋_GB2312" w:cs="仿宋_GB2312"/>
                <w:kern w:val="0"/>
                <w:sz w:val="24"/>
                <w:szCs w:val="20"/>
                <w:highlight w:val="none"/>
              </w:rPr>
              <w:t>培养良好的职业道德观念。培养尊重科学，实事求是，勇于创新的精神。养成科学严谨、认真负责的工作态度。</w:t>
            </w:r>
            <w:bookmarkEnd w:id="14"/>
            <w:bookmarkEnd w:id="15"/>
            <w:bookmarkEnd w:id="16"/>
            <w:bookmarkEnd w:id="17"/>
            <w:bookmarkEnd w:id="18"/>
            <w:bookmarkEnd w:id="19"/>
            <w:bookmarkEnd w:id="20"/>
            <w:bookmarkEnd w:id="21"/>
            <w:bookmarkEnd w:id="22"/>
            <w:bookmarkEnd w:id="23"/>
          </w:p>
          <w:p w14:paraId="7E75AF40">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通过元器件检测、电路焊接等高精度实操训练，让学生认识到技术操作中严谨细致的重要性，树立对技术的敬畏之心，养成精益求精的学习习惯。树立正确的技术应用观念，引导学生将技术用于推动社会进步与保障民生，抵制不当技术应用。强化职业道德意识模拟企业生产环境，通过遵守安全规程、严守质量标准等实训要求，培养学生诚实守信、爱岗敬业、规范操作的职业操守。</w:t>
            </w:r>
          </w:p>
        </w:tc>
        <w:tc>
          <w:tcPr>
            <w:tcW w:w="2864" w:type="dxa"/>
          </w:tcPr>
          <w:p w14:paraId="4CBB5E6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电子装联基础知识：介绍电子装联技术的发展历程、现状及未来趋势；讲解电子装联的基本概念、工艺流程和质量要求；介绍电子装联常用的工具和设备，如电烙铁、镊子、锡膏印刷机、贴片机等。</w:t>
            </w:r>
          </w:p>
          <w:p w14:paraId="5C1DCC1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电子元件识别与检测：学习各类电子元件的识别方法，包括电阻、电容、电感、二极管、三极管、集成电路等；掌握电子元件的性能参数和检测方法，能够使用万用表、示波器等仪器对元件进行检测和筛选。</w:t>
            </w:r>
          </w:p>
          <w:p w14:paraId="4A7388B6">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焊接技术：详细讲解焊接的基本原理和分类，如锡铅焊接、无铅焊接等；介绍手工焊接技术，包括电烙铁的使用方法、焊接步骤、焊接技巧和质量控制等；同时介绍自动化焊接技术，如波峰焊、回流焊的工艺原理、设备操作和工艺参数调整。</w:t>
            </w:r>
          </w:p>
          <w:p w14:paraId="2FB5991D">
            <w:pPr>
              <w:spacing w:after="0" w:line="36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电子组装工艺：学习电子元件的安装方法，包括插件安装、表面贴装等；讲解电子组件的组装流程和工艺要求，如线缆连接、接插件安装、屏蔽处理等；介绍整机装配的工艺方法和质量控制，包括机箱组装、面板安装、内部布线等。</w:t>
            </w:r>
          </w:p>
        </w:tc>
        <w:tc>
          <w:tcPr>
            <w:tcW w:w="2958" w:type="dxa"/>
          </w:tcPr>
          <w:p w14:paraId="265A9765">
            <w:pPr>
              <w:spacing w:after="24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应具备一定的电路基础、电子技术基础和计算机基础知识，以便更好地理解和掌握课程内容；在课程学习过程中，学生需要认真听讲、积极思考，按时完成教师布置的作业和实验任务；注重实践操作，严格遵守实验室的安全规定和操作规程，养成良好的实验习惯和职业素养；积极参加课程讨论和小组活动，培养团队合作精神和沟通能力。教师应具备扎实的电子装联技术专业知识和丰富的教学经验，能够熟练掌握课程内容和教学方法；在教学过程中，教师要注重理论与实践相结合，通过案例分析、实验演示、现场指导等方式，帮助学生更好地理解和掌握课程知识和技能；要关注学生的学习情况和反馈意见，及时调整教学进度和教学方法，满足不同学生的学习需求；同时，教师要注重培养学生的创新能力和实践能力，鼓励学生在实践中探索和创新。课程需要配备相应的教学资源，如多媒体教室、电子装联实验室、实验设备和仪器、教材、参考书籍、网络资源等。实验室应具备完善的电子装联设备和工具，如锡膏印刷机、贴片机、回流焊炉、波峰焊机、电烙铁、万用表、示波器等，以满足学生的实践操作需求。同时，学校还应提供丰富的教材和参考书籍，以及相关的网络资源，方便学生自主学习和查阅资料。</w:t>
            </w:r>
          </w:p>
        </w:tc>
      </w:tr>
      <w:tr w14:paraId="6D1B7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F52DDA5">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3</w:t>
            </w:r>
          </w:p>
        </w:tc>
        <w:tc>
          <w:tcPr>
            <w:tcW w:w="775" w:type="dxa"/>
            <w:vAlign w:val="center"/>
          </w:tcPr>
          <w:p w14:paraId="0BD28F72">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传感器与检测技术</w:t>
            </w:r>
          </w:p>
        </w:tc>
        <w:tc>
          <w:tcPr>
            <w:tcW w:w="3377" w:type="dxa"/>
          </w:tcPr>
          <w:p w14:paraId="61FDA09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理解检测技术的基本概念、传感器的定义、分类及在现代测控系统中的作用。掌握传感器的基本特性及误差理论与数据处理方法。掌握电阻式、电容式、电感式、压电式等常用传感器的工作原理、结构及应用场景。了解电测系统中的抗干扰技术及传感器选型的基本原则。</w:t>
            </w:r>
          </w:p>
          <w:p w14:paraId="7DECF865">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能根据测试需求选择合适的传感器类型及测量方法。能使用万用表、示波器等仪器对传感器性能参数进行检测与校准。能分析检测系统的误差来源，运用数据处理方法优化测量结果，提高检测精度。能设计简单的传感器应用电路，解决实际测控场景中的基础检测问题。</w:t>
            </w:r>
          </w:p>
          <w:p w14:paraId="6709B83F">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养成“实事求是、数据说话”的科学学风，对待检测结果严谨求实，杜绝数据造假。培养针对复杂测控需求，综合运用传感器知识与检测技术解决问题的工程思维。提升在团队项目中分工采集数据、协作分析结果的沟通与协作能力。</w:t>
            </w:r>
          </w:p>
          <w:p w14:paraId="0BD6F05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ascii="仿宋_GB2312" w:hAnsi="仿宋_GB2312" w:eastAsia="仿宋_GB2312" w:cs="仿宋_GB2312"/>
                <w:kern w:val="0"/>
                <w:sz w:val="24"/>
                <w:szCs w:val="20"/>
                <w:highlight w:val="none"/>
              </w:rPr>
              <w:t>通过传感器在智慧农业、环境监测等民生领域的应用案例，引导学生树立“技术为民”的应用理念。结合我国自主研发传感器在航天、医疗等领域的突破，激发民族自豪感与自主创新意识。强调检测数据的真实性与可靠性，培养学生坚守职业底线、诚信执业的道德品质。</w:t>
            </w:r>
          </w:p>
        </w:tc>
        <w:tc>
          <w:tcPr>
            <w:tcW w:w="2864" w:type="dxa"/>
          </w:tcPr>
          <w:p w14:paraId="1186EF25">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涵盖传感器工作原理、特性、应用及检测技术，旨在培养学生掌握传感器技术与应用能力</w:t>
            </w:r>
          </w:p>
        </w:tc>
        <w:tc>
          <w:tcPr>
            <w:tcW w:w="2958" w:type="dxa"/>
          </w:tcPr>
          <w:p w14:paraId="55CAC6D1">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要求学生掌握检测技术的基本概念、传感器的基本特性以及误差理论知识，学会误差分析与数据处理的方法，掌握各种传感器的原理、结构及相关检测方法，了解电测技术中的抗干扰问题。</w:t>
            </w:r>
          </w:p>
          <w:p w14:paraId="3350750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‌培养学生根据具体测试对象、测试要求、测试环境选择合适测量原理和测量方法的能力，能够对检测系统的性能进行分析，对测得的数据进行处理，并能设计测试系统的抗干扰措施。</w:t>
            </w:r>
          </w:p>
          <w:p w14:paraId="4BDE7D8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w:t>
            </w:r>
          </w:p>
        </w:tc>
      </w:tr>
      <w:tr w14:paraId="5DF05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D8EC524">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4</w:t>
            </w:r>
          </w:p>
        </w:tc>
        <w:tc>
          <w:tcPr>
            <w:tcW w:w="775" w:type="dxa"/>
            <w:vAlign w:val="center"/>
          </w:tcPr>
          <w:p w14:paraId="799E8235">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智能应用系统集成与维护</w:t>
            </w:r>
          </w:p>
        </w:tc>
        <w:tc>
          <w:tcPr>
            <w:tcW w:w="3377" w:type="dxa"/>
          </w:tcPr>
          <w:p w14:paraId="42E9D55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：理解智能应用系统的定义、组成结构及典型应用领域。</w:t>
            </w:r>
            <w:r>
              <w:rPr>
                <w:rFonts w:ascii="仿宋_GB2312" w:hAnsi="仿宋_GB2312" w:eastAsia="仿宋_GB2312" w:cs="仿宋_GB2312"/>
                <w:kern w:val="0"/>
                <w:sz w:val="24"/>
                <w:szCs w:val="20"/>
                <w:highlight w:val="none"/>
              </w:rPr>
              <w:t>掌握智能硬件设备的工作原理、接口标准及通信协议。了解智能系统常用软件的基本功能及集成方法。掌握智能应用系统集成的流程及维护的核心技术。</w:t>
            </w:r>
          </w:p>
          <w:p w14:paraId="040F383F">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：能根据应用场景需求，完成智能应用系统的初步规划与硬件设备选型。</w:t>
            </w:r>
            <w:r>
              <w:rPr>
                <w:rFonts w:ascii="仿宋_GB2312" w:hAnsi="仿宋_GB2312" w:eastAsia="仿宋_GB2312" w:cs="仿宋_GB2312"/>
                <w:kern w:val="0"/>
                <w:sz w:val="24"/>
                <w:szCs w:val="20"/>
                <w:highlight w:val="none"/>
              </w:rPr>
              <w:t>能进行智能硬件的安装、调试及软件系统的部署与配置，实现设备间的协同工作。能运用调试工具定位系统集成中的常见问题</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并提出解决方案。</w:t>
            </w:r>
          </w:p>
          <w:p w14:paraId="20C3A69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能制定智能系统的日常维护策略，完成设备保养、软件升级及数据备份与恢复。</w:t>
            </w:r>
          </w:p>
          <w:p w14:paraId="32D6DBBD">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：培养从系统全局出发分析问题的思维方式，提升综合协调硬件、软件与网络资源的能力。</w:t>
            </w:r>
            <w:r>
              <w:rPr>
                <w:rFonts w:ascii="仿宋_GB2312" w:hAnsi="仿宋_GB2312" w:eastAsia="仿宋_GB2312" w:cs="仿宋_GB2312"/>
                <w:kern w:val="0"/>
                <w:sz w:val="24"/>
                <w:szCs w:val="20"/>
                <w:highlight w:val="none"/>
              </w:rPr>
              <w:t>养成“预防为主、快速响应”的维护意识，对待系统故障主动排查、及时处理。提升在跨专业团队中协作推进项目的沟通与协调能力。</w:t>
            </w:r>
          </w:p>
          <w:p w14:paraId="621950EE">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通过智能系统在养老、医疗等公益领域的应用案例，引导学生认识技术的社会价值，树立“技术服务民生”的理念。</w:t>
            </w:r>
            <w:r>
              <w:rPr>
                <w:rFonts w:ascii="仿宋_GB2312" w:hAnsi="仿宋_GB2312" w:eastAsia="仿宋_GB2312" w:cs="仿宋_GB2312"/>
                <w:kern w:val="0"/>
                <w:sz w:val="24"/>
                <w:szCs w:val="20"/>
                <w:highlight w:val="none"/>
              </w:rPr>
              <w:t>结合国产智能系统的发展成果，增强学生对本土技术的认同感与产业自信。强调系统集成中的标准化与规范化，培养学生遵守行业准则、追求工程质量的职业操守。</w:t>
            </w:r>
          </w:p>
          <w:p w14:paraId="27EAEA51">
            <w:pPr>
              <w:spacing w:after="0" w:line="320" w:lineRule="exact"/>
              <w:rPr>
                <w:rFonts w:hint="eastAsia" w:ascii="仿宋_GB2312" w:hAnsi="仿宋_GB2312" w:eastAsia="仿宋_GB2312" w:cs="仿宋_GB2312"/>
                <w:kern w:val="0"/>
                <w:sz w:val="24"/>
                <w:szCs w:val="20"/>
                <w:highlight w:val="none"/>
              </w:rPr>
            </w:pPr>
          </w:p>
        </w:tc>
        <w:tc>
          <w:tcPr>
            <w:tcW w:w="2864" w:type="dxa"/>
          </w:tcPr>
          <w:p w14:paraId="147B9CF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智能应用系统基础：介绍智能应用系统的概念、组成结构、分类和应用领域；讲解智能应用系统的发展历程、现状和未来趋势；介绍智能应用系统集成与维护的基本流程和方法。</w:t>
            </w:r>
          </w:p>
          <w:p w14:paraId="518777E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智能硬件设备：学习各类智能硬件设备的工作原理、性能参数和应用场景，如传感器、执行器、控制器、智能终端等；掌握智能硬件设备的选型、安装和调试方法；了解智能硬件设备的接口标准和通信协议。</w:t>
            </w:r>
          </w:p>
          <w:p w14:paraId="5CB2705C">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软件系统与开发：讲解智能应用系统中常用的操作系统、数据库管理系统和中间件等软件的安装、配置和管理；学习智能应用系统的软件开发技术，如编程语言、开发框架、API接口等；掌握软件系统的测试方法和质量控制。</w:t>
            </w:r>
          </w:p>
          <w:p w14:paraId="3701F4AF">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系统集成技术：详细讲解智能应用系统集成的方法和流程，包括系统规划、设计、设备选型、布线施工、系统调试等；学习系统集成中的数据融合、接口对接和协同工作等技术；通过实际案例分析，让学生了解系统集成过程中的常见问题和解决方法。</w:t>
            </w:r>
          </w:p>
          <w:p w14:paraId="06AF6F4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系统维护与管理：介绍智能应用系统的维护策略和方法，包括设备维护、软件升级、数据备份与恢复等；讲解系统故障诊断和排除的方法和技巧，通过实际操作让学生掌握常见故障的诊断和处理能力；学习系统性能优化的方法和技术，提高系统的稳定性和运行效率。</w:t>
            </w:r>
          </w:p>
        </w:tc>
        <w:tc>
          <w:tcPr>
            <w:tcW w:w="2958" w:type="dxa"/>
          </w:tcPr>
          <w:p w14:paraId="21F83BEB">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要求：学生应具备一定的计算机基础、电子技术基础和网络知识，以便更好地理解和掌握课程内容；在课程学习过程中，学生需要认真听讲、积极思考，按时完成教师布置的作业和实验任务；注重实践操作，严格遵守实验室的安全规定和操作规程，养成良好的实验习惯和职业素养；积极参加课程讨论和小组活动，培养团队合作精神和沟通能力。</w:t>
            </w:r>
          </w:p>
          <w:p w14:paraId="01AFC9B6">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师要求：教师应具备扎实的智能应用系统集成与维护专业知识和丰富的教学经验，能够熟练掌握课程内容和教学方法；在教学过程中，教师要注重理论与实践相结合，通过案例分析、实验演示、现场指导等方式，帮助学生更好地理解和掌握课程知识和技能；要关注学生的学习情况和反馈意见，及时调整教学进度和教学方法，满足不同学生的学习需求；同时，教师要注重培养学生的创新能力和实践能力，鼓励学生在实践中探索和创新。</w:t>
            </w:r>
          </w:p>
          <w:p w14:paraId="567CB084">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学资源要求：课程需要配备相应的教学资源，如多媒体教室、智能应用系统实验室、实验设备和仪器、教材、参考书籍、网络资源等。实验室应具备完善的智能硬件设备、软件系统和通信网络等实验环境，以满足学生的实践操作需求。同时，学校还应提供丰富的教材和参考书籍，以及相关的网络资源，方便学生自主学习和查阅资料。</w:t>
            </w:r>
          </w:p>
        </w:tc>
      </w:tr>
      <w:tr w14:paraId="781BE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AD58837">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5</w:t>
            </w:r>
          </w:p>
        </w:tc>
        <w:tc>
          <w:tcPr>
            <w:tcW w:w="775" w:type="dxa"/>
            <w:vAlign w:val="center"/>
          </w:tcPr>
          <w:p w14:paraId="22BDB10E">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单片机技术及应用</w:t>
            </w:r>
          </w:p>
        </w:tc>
        <w:tc>
          <w:tcPr>
            <w:tcW w:w="3377" w:type="dxa"/>
          </w:tcPr>
          <w:p w14:paraId="4528C27F">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：理解单片机的定义、组成结构及工作原理。</w:t>
            </w:r>
            <w:r>
              <w:rPr>
                <w:rFonts w:ascii="仿宋_GB2312" w:hAnsi="仿宋_GB2312" w:eastAsia="仿宋_GB2312" w:cs="仿宋_GB2312"/>
                <w:kern w:val="0"/>
                <w:sz w:val="24"/>
                <w:szCs w:val="20"/>
                <w:highlight w:val="none"/>
              </w:rPr>
              <w:t>掌握单片机指令系统的基本格式、寻址方式及常用指令的编程应用。掌握单片机中断系统、定时器</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计数器、串口通信的工作机制及配置方法。了解单片机模数（A/D）、数模（D/A）转换的原理及存储器扩展技术。</w:t>
            </w:r>
          </w:p>
          <w:p w14:paraId="782D6A36">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：能使用C语言或汇编语言编写单片机应用程序，实现基本I/O控制、中断响应等功能。</w:t>
            </w:r>
            <w:r>
              <w:rPr>
                <w:rFonts w:ascii="仿宋_GB2312" w:hAnsi="仿宋_GB2312" w:eastAsia="仿宋_GB2312" w:cs="仿宋_GB2312"/>
                <w:kern w:val="0"/>
                <w:sz w:val="24"/>
                <w:szCs w:val="20"/>
                <w:highlight w:val="none"/>
              </w:rPr>
              <w:t>能搭建单片机最小系统，完成外设的接口电路设计与调试。能运用仿真软件或开发工具对单片机程序进行调试，定位并解决逻辑错误与硬件故障。能设计简单的单片机应用系统</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并完成功能验证。</w:t>
            </w:r>
          </w:p>
          <w:p w14:paraId="479C88E8">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：养成“代码规范、逻辑清晰”的编程习惯，注重程序的可读性与可维护性。</w:t>
            </w:r>
            <w:r>
              <w:rPr>
                <w:rFonts w:ascii="仿宋_GB2312" w:hAnsi="仿宋_GB2312" w:eastAsia="仿宋_GB2312" w:cs="仿宋_GB2312"/>
                <w:kern w:val="0"/>
                <w:sz w:val="24"/>
                <w:szCs w:val="20"/>
                <w:highlight w:val="none"/>
              </w:rPr>
              <w:t>培养软硬件协同设计的工程意识，能综合考虑硬件限制与软件功能实现需求。提升针对实际问题，运用单片机技术创新解决方案的思维与实践能力。</w:t>
            </w:r>
          </w:p>
          <w:p w14:paraId="33FB542C">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通过单片机在工业控制、智能家居等领域的国产化应用案例，激发学生科技报国的使命感。</w:t>
            </w:r>
            <w:r>
              <w:rPr>
                <w:rFonts w:ascii="仿宋_GB2312" w:hAnsi="仿宋_GB2312" w:eastAsia="仿宋_GB2312" w:cs="仿宋_GB2312"/>
                <w:kern w:val="0"/>
                <w:sz w:val="24"/>
                <w:szCs w:val="20"/>
                <w:highlight w:val="none"/>
              </w:rPr>
              <w:t>强调编程与硬件调试中的严谨性，培养学生对技术的敬畏之心。鼓励学生对传统单片机功能进行优化改进，培养突破常规、勇于探索的创新精神。</w:t>
            </w:r>
          </w:p>
        </w:tc>
        <w:tc>
          <w:tcPr>
            <w:tcW w:w="2864" w:type="dxa"/>
          </w:tcPr>
          <w:p w14:paraId="4AD1C50D">
            <w:pPr>
              <w:spacing w:after="0" w:line="36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单片机的基础知识，I/0端口，中断系统；定时器系统，串口通信；模数、数模转换的使用；存储器扩展</w:t>
            </w:r>
          </w:p>
        </w:tc>
        <w:tc>
          <w:tcPr>
            <w:tcW w:w="2958" w:type="dxa"/>
          </w:tcPr>
          <w:p w14:paraId="04146E19">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单片机原理与接口技术这门课的教学要求主要包括以下几点：</w:t>
            </w:r>
          </w:p>
          <w:p w14:paraId="1BF83294">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‌知识掌握‌：学生需掌握单片机的基本原理、组成结构、指令系统及编程方法，了解单片机的接口技术和应用实例。</w:t>
            </w:r>
          </w:p>
          <w:p w14:paraId="63371C84">
            <w:pPr>
              <w:overflowPunct w:val="0"/>
              <w:adjustRightInd w:val="0"/>
              <w:spacing w:after="0" w:line="360" w:lineRule="exact"/>
              <w:outlineLvl w:val="0"/>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通过实验教学，培养学生单片机软硬件协同设计的能力，包括单片机应用系统的开发与设计、程序调试、故障分析等技能。</w:t>
            </w:r>
          </w:p>
          <w:p w14:paraId="5AABF2C2">
            <w:pPr>
              <w:spacing w:after="24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注重培养学生的工程全局意识、分工协作的团队意识，以及刻苦钻研、求真务实、探索创新的工程素养。采用理论教学与实验教学相结合的方式，让学生在理解理论知识的基础上，通过实际操作加深理解，提升应用能力。</w:t>
            </w:r>
          </w:p>
        </w:tc>
      </w:tr>
      <w:tr w14:paraId="5D1E1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4C91615">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6</w:t>
            </w:r>
          </w:p>
        </w:tc>
        <w:tc>
          <w:tcPr>
            <w:tcW w:w="775" w:type="dxa"/>
            <w:vAlign w:val="center"/>
          </w:tcPr>
          <w:p w14:paraId="4DAD3A76">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智能电子产品检测与维护</w:t>
            </w:r>
          </w:p>
        </w:tc>
        <w:tc>
          <w:tcPr>
            <w:tcW w:w="3377" w:type="dxa"/>
          </w:tcPr>
          <w:p w14:paraId="1D30479E">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：理解智能电子产品的定义、分类及硬件、软件组成结构。</w:t>
            </w:r>
            <w:r>
              <w:rPr>
                <w:rFonts w:ascii="仿宋_GB2312" w:hAnsi="仿宋_GB2312" w:eastAsia="仿宋_GB2312" w:cs="仿宋_GB2312"/>
                <w:kern w:val="0"/>
                <w:sz w:val="24"/>
                <w:szCs w:val="20"/>
                <w:highlight w:val="none"/>
              </w:rPr>
              <w:t>掌握万用表、示波器、逻辑分析仪等常用检测仪器的工作原理及操作规范。掌握智能电子产品的性能检测指标及检测流程。了解智能产品常见故障类型及维护技术。</w:t>
            </w:r>
          </w:p>
          <w:p w14:paraId="49571D44">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：能根据智能产品类型选择合适的检测工具，完成电气参数测试与功能验证。</w:t>
            </w:r>
            <w:r>
              <w:rPr>
                <w:rFonts w:ascii="仿宋_GB2312" w:hAnsi="仿宋_GB2312" w:eastAsia="仿宋_GB2312" w:cs="仿宋_GB2312"/>
                <w:kern w:val="0"/>
                <w:sz w:val="24"/>
                <w:szCs w:val="20"/>
                <w:highlight w:val="none"/>
              </w:rPr>
              <w:t>能运用故障诊断方法</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定位产品常见故障点。能独立完成简单的硬件维修与软件维护。能制定智能电子产品的日常保养计划，编写维护报告并提出性能优化建议。</w:t>
            </w:r>
          </w:p>
          <w:p w14:paraId="7772D152">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：养成“安全操作、规范检测”的职业习惯，严格遵守仪器使用规程与维修流程。</w:t>
            </w:r>
            <w:r>
              <w:rPr>
                <w:rFonts w:ascii="仿宋_GB2312" w:hAnsi="仿宋_GB2312" w:eastAsia="仿宋_GB2312" w:cs="仿宋_GB2312"/>
                <w:kern w:val="0"/>
                <w:sz w:val="24"/>
                <w:szCs w:val="20"/>
                <w:highlight w:val="none"/>
              </w:rPr>
              <w:t>培养对产品质量的责任意识，对待检测数据与维修结果认真负责、一丝不苟。提升以用户需求为导向，提供高效、可靠维护服务的服务意识与沟通能力。</w:t>
            </w:r>
          </w:p>
          <w:p w14:paraId="69B3AA8A">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通过保障智能产品安全性能的检测实践，引导学生树立“质量为先、用户至上”的职业道德。</w:t>
            </w:r>
            <w:r>
              <w:rPr>
                <w:rFonts w:ascii="仿宋_GB2312" w:hAnsi="仿宋_GB2312" w:eastAsia="仿宋_GB2312" w:cs="仿宋_GB2312"/>
                <w:kern w:val="0"/>
                <w:sz w:val="24"/>
                <w:szCs w:val="20"/>
                <w:highlight w:val="none"/>
              </w:rPr>
              <w:t>结合国产智能产品的质量提升案例，增强民族品牌自信。强调维修过程中的诚信原则，培养学生诚实守信的职业操守。</w:t>
            </w:r>
          </w:p>
          <w:p w14:paraId="7D5EEF6C">
            <w:pPr>
              <w:spacing w:after="0" w:line="320" w:lineRule="exact"/>
              <w:rPr>
                <w:rFonts w:hint="eastAsia" w:ascii="仿宋_GB2312" w:hAnsi="仿宋_GB2312" w:eastAsia="仿宋_GB2312" w:cs="仿宋_GB2312"/>
                <w:kern w:val="0"/>
                <w:sz w:val="24"/>
                <w:szCs w:val="20"/>
                <w:highlight w:val="none"/>
              </w:rPr>
            </w:pPr>
          </w:p>
        </w:tc>
        <w:tc>
          <w:tcPr>
            <w:tcW w:w="2864" w:type="dxa"/>
          </w:tcPr>
          <w:p w14:paraId="47663F5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智能电子产品基础</w:t>
            </w:r>
          </w:p>
          <w:p w14:paraId="5837C32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智能电子产品的概念、分类、发展现状与趋势。</w:t>
            </w:r>
          </w:p>
          <w:p w14:paraId="53040F4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智能电子产品的硬件组成，包括芯片、传感器、执行器、存储设备等。</w:t>
            </w:r>
          </w:p>
          <w:p w14:paraId="27562CA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智能电子产品的软件系统，如操作系统、应用程序、驱动程序等。</w:t>
            </w:r>
          </w:p>
          <w:p w14:paraId="4280F88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检测工具与仪器</w:t>
            </w:r>
          </w:p>
          <w:p w14:paraId="5D2C65F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万用表、示波器、逻辑分析仪等常用电子测量仪器的使用方法。</w:t>
            </w:r>
          </w:p>
          <w:p w14:paraId="312D959C">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专业检测设备，如智能电子产品综合测试仪、射频测试仪等的操作与应用。</w:t>
            </w:r>
          </w:p>
          <w:p w14:paraId="0598158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检测工具的选择、校准与维护。</w:t>
            </w:r>
          </w:p>
          <w:p w14:paraId="2CB4904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检测技术与方法</w:t>
            </w:r>
          </w:p>
          <w:p w14:paraId="2DC7453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智能电子产品的性能检测，包括电气性能、功能性能、通信性能等方面的测试。</w:t>
            </w:r>
          </w:p>
          <w:p w14:paraId="7429FE4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故障诊断方法，如直观检查法、信号注入法、对比法、替换法等。</w:t>
            </w:r>
          </w:p>
          <w:p w14:paraId="4EA96F5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基于软件的检测技术，如软件调试工具的使用、日志分析等。</w:t>
            </w:r>
          </w:p>
          <w:p w14:paraId="412C897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检测流程与规范，包括检测前的准备、检测步骤、数据记录与分析。</w:t>
            </w:r>
          </w:p>
          <w:p w14:paraId="7BF990F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维护技术与方法</w:t>
            </w:r>
          </w:p>
          <w:p w14:paraId="665C8A8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智能电子产品的日常维护，包括清洁、保养、电池管理等。</w:t>
            </w:r>
          </w:p>
          <w:p w14:paraId="582A87C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硬件维修技术，如元器件的更换、电路板的焊接与修复。</w:t>
            </w:r>
          </w:p>
          <w:p w14:paraId="317C072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软件维护与升级，包括操作系统更新、应用程序升级、驱动程序安装等。</w:t>
            </w:r>
          </w:p>
          <w:p w14:paraId="443BE6F7">
            <w:pPr>
              <w:spacing w:after="0" w:line="36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维护后的测试与验证，确保产品恢复正常运行。</w:t>
            </w:r>
          </w:p>
          <w:p w14:paraId="606DA141">
            <w:pPr>
              <w:spacing w:after="0" w:line="360" w:lineRule="exact"/>
              <w:rPr>
                <w:rFonts w:hint="eastAsia" w:ascii="仿宋_GB2312" w:hAnsi="仿宋_GB2312" w:eastAsia="仿宋_GB2312" w:cs="仿宋_GB2312"/>
                <w:kern w:val="0"/>
                <w:sz w:val="24"/>
                <w:szCs w:val="20"/>
                <w:highlight w:val="none"/>
              </w:rPr>
            </w:pPr>
          </w:p>
          <w:p w14:paraId="4751493C">
            <w:pPr>
              <w:spacing w:after="0" w:line="360" w:lineRule="exact"/>
              <w:rPr>
                <w:rFonts w:hint="eastAsia" w:ascii="仿宋_GB2312" w:hAnsi="仿宋_GB2312" w:eastAsia="仿宋_GB2312" w:cs="仿宋_GB2312"/>
                <w:kern w:val="0"/>
                <w:sz w:val="24"/>
                <w:szCs w:val="20"/>
                <w:highlight w:val="none"/>
              </w:rPr>
            </w:pPr>
          </w:p>
        </w:tc>
        <w:tc>
          <w:tcPr>
            <w:tcW w:w="2958" w:type="dxa"/>
          </w:tcPr>
          <w:p w14:paraId="44535A9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学生要求</w:t>
            </w:r>
          </w:p>
          <w:p w14:paraId="7DFD81B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具备一定的电子技术、计算机技术和通信技术等基础知识。认真听讲，积极参与课堂讨论和实践操作，按时完成课程作业和实验任务。严格遵守实验室的安全规定和操作规程，爱护实验设备和仪器。注重实践能力的培养，在实践中不断提高自己的检测与维护技能，培养独立思考和解决问题的能力。</w:t>
            </w:r>
          </w:p>
          <w:p w14:paraId="51DB09F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教师要求</w:t>
            </w:r>
          </w:p>
          <w:p w14:paraId="1FD8AD5D">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具备扎实的智能电子产品检测与维护专业知识和丰富的教学经验。精心设计教学内容和教学方法，注重理论与实践相结合，通过案例分析、实验演示等方式帮助学生理解和掌握课程知识。</w:t>
            </w:r>
          </w:p>
          <w:p w14:paraId="671E458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关注学生的学习情况和反馈意见，及时调整教学进度和教学方法，满足不同学生的学习需求。指导学生进行实践操作，培养学生的实践能力和创新精神，注重学生职业素养的培养。</w:t>
            </w:r>
          </w:p>
          <w:p w14:paraId="2E64F681">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教学资源要求</w:t>
            </w:r>
          </w:p>
          <w:p w14:paraId="397E4A5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配备多媒体教室，用于理论教学和演示教学。建设专门的智能电子产品检测与维护实验室，配备充足的实验设备和仪器，包括各种智能电子产品、检测工具、维修设备等。提供丰富的教材、参考书籍、网络资源等，方便学生自主学习和查阅资料。</w:t>
            </w:r>
          </w:p>
          <w:p w14:paraId="4C383A1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建立实训基地或与相关企业合作，为学生提供实习和实践机会，让学生在实际工作环境中提高专业技能。</w:t>
            </w:r>
          </w:p>
        </w:tc>
      </w:tr>
      <w:tr w14:paraId="630F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4BF502B">
            <w:pPr>
              <w:overflowPunct w:val="0"/>
              <w:adjustRightInd w:val="0"/>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7</w:t>
            </w:r>
          </w:p>
        </w:tc>
        <w:tc>
          <w:tcPr>
            <w:tcW w:w="775" w:type="dxa"/>
            <w:vAlign w:val="center"/>
          </w:tcPr>
          <w:p w14:paraId="5463C36F">
            <w:pPr>
              <w:spacing w:after="0" w:line="36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嵌入式技术及应用</w:t>
            </w:r>
          </w:p>
        </w:tc>
        <w:tc>
          <w:tcPr>
            <w:tcW w:w="3377" w:type="dxa"/>
          </w:tcPr>
          <w:p w14:paraId="56600A7E">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：理解嵌入式系统的定义、架构及典型应用场景。掌握ARM处理器内核结构、指令系统及存储体系。熟悉嵌入式外设接口的工作原理与配置方法。理解嵌入式操作系统的任务调度、内存管理及中断处理机制。</w:t>
            </w:r>
          </w:p>
          <w:p w14:paraId="610C751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：能使用软件完成嵌入式电路板设计与调试。掌握嵌入式C语言编程，能实现外设驱动开发。能基于嵌入式操作系统完成多任务程序设计与调试。能运用调试工具定位并解决嵌入式系统故障。</w:t>
            </w:r>
          </w:p>
          <w:p w14:paraId="0499352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：养成“代码规范、逻辑严谨”的开发习惯，严格遵循嵌入式开发流程。培养跨学科协作能力，能与硬件工程师、产品经理协同完成项目。树立“绿色开发”意识，关注嵌入式系统低功耗设计与环保材料应用。</w:t>
            </w:r>
          </w:p>
          <w:p w14:paraId="23DA8A99">
            <w:pPr>
              <w:spacing w:after="0" w:line="320" w:lineRule="exact"/>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培养严谨的工程实践态度。</w:t>
            </w:r>
            <w:r>
              <w:rPr>
                <w:rFonts w:ascii="仿宋_GB2312" w:hAnsi="仿宋_GB2312" w:eastAsia="仿宋_GB2312" w:cs="仿宋_GB2312"/>
                <w:kern w:val="0"/>
                <w:sz w:val="24"/>
                <w:szCs w:val="20"/>
                <w:highlight w:val="none"/>
              </w:rPr>
              <w:t>培养前沿探索与全球视野</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关注嵌入式技术与人工智能、物联网的融合趋势</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激发科技报国的使命感引入我国在嵌入式技术领域的自主创新成果</w:t>
            </w:r>
            <w:r>
              <w:rPr>
                <w:rFonts w:hint="eastAsia" w:ascii="仿宋_GB2312" w:hAnsi="仿宋_GB2312" w:eastAsia="仿宋_GB2312" w:cs="仿宋_GB2312"/>
                <w:kern w:val="0"/>
                <w:sz w:val="24"/>
                <w:szCs w:val="20"/>
                <w:highlight w:val="none"/>
              </w:rPr>
              <w:t>。</w:t>
            </w:r>
          </w:p>
          <w:p w14:paraId="1045D1C7">
            <w:pPr>
              <w:spacing w:after="0" w:line="360" w:lineRule="exact"/>
              <w:rPr>
                <w:rFonts w:hint="eastAsia" w:ascii="仿宋_GB2312" w:hAnsi="仿宋_GB2312" w:eastAsia="仿宋_GB2312" w:cs="仿宋_GB2312"/>
                <w:kern w:val="0"/>
                <w:sz w:val="24"/>
                <w:szCs w:val="20"/>
                <w:highlight w:val="none"/>
              </w:rPr>
            </w:pPr>
          </w:p>
        </w:tc>
        <w:tc>
          <w:tcPr>
            <w:tcW w:w="2864" w:type="dxa"/>
          </w:tcPr>
          <w:p w14:paraId="6FC941D1">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嵌入式系统基础</w:t>
            </w:r>
          </w:p>
          <w:p w14:paraId="6571C20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嵌入式系统的概念、特点、分类和应用领域。嵌入式系统的发展历程、现状和未来趋势。嵌入式系统的组成结构，包括硬件平台和软件系统。</w:t>
            </w:r>
          </w:p>
          <w:p w14:paraId="557E041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嵌入式硬件基础</w:t>
            </w:r>
          </w:p>
          <w:p w14:paraId="451B061D">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嵌入式处理器的体系结构、工作原理和选型。存储器系统，包括Flash、SDRAM等的原理与应用。接口电路设计，如GPIO、UART、SPI、I2C等接口的原理与使用。硬件开发工具的使用，如示波器、逻辑分析仪等。</w:t>
            </w:r>
          </w:p>
          <w:p w14:paraId="4C260B8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嵌入式软件开发基础</w:t>
            </w:r>
          </w:p>
          <w:p w14:paraId="145F7869">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编程语言，如C、C++等在嵌入式系统中的应用。嵌入式Linux操作系统基础，包括常用命令、文件系统、进程管理等。开发环境的搭建，如交叉编译工具链的安装与配置。</w:t>
            </w:r>
          </w:p>
          <w:p w14:paraId="6C490DE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Makefile的编写与使用，实现项目的自动化编译。</w:t>
            </w:r>
          </w:p>
          <w:p w14:paraId="3388CDD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嵌入式应用开发</w:t>
            </w:r>
          </w:p>
          <w:p w14:paraId="274D1521">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基于Linux的应用程序开发，如标准I/O编程、文件I/O编程、多任务编程、进程间通信等。嵌入式图形界面开发，如使用Qt等框架进行界面设计。设备驱动程序开发，了解驱动程序的架构和开发方法。嵌入式系统的网络编程，实现网络通信功能。</w:t>
            </w:r>
          </w:p>
        </w:tc>
        <w:tc>
          <w:tcPr>
            <w:tcW w:w="2958" w:type="dxa"/>
          </w:tcPr>
          <w:p w14:paraId="17B291C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学生要求</w:t>
            </w:r>
          </w:p>
          <w:p w14:paraId="30AEF8C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具备一定的计算机基础、电子技术基础和编程语言基础，如掌握C语言编程。</w:t>
            </w:r>
          </w:p>
          <w:p w14:paraId="4ABE66C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认真学习课程理论知识，积极参与课堂讨论和互动，按时完成教师布置的作业。重视实践环节，在实验和课程设计中，严格遵守实验室的安全规定和操作规程，独立完成实验任务，提高自己的实践动手能力。培养自主学习能力和创新思维，主动查阅相关资料，了解嵌入式技术的最新发展动态，积极参与课外科技活动和项目实践。</w:t>
            </w:r>
          </w:p>
          <w:p w14:paraId="2EBECD4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教师要求</w:t>
            </w:r>
          </w:p>
          <w:p w14:paraId="78FD847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教师应具备扎实的嵌入式技术专业知识和丰富的教学经验，熟悉嵌入式系统的硬件设计和软件开发流程。</w:t>
            </w:r>
          </w:p>
          <w:p w14:paraId="5D7FF6A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精心设计教学内容和教学方法，采用案例教学、项目驱动等教学方法，激发学生的学习兴趣和积极性，提高教学效果。加强实践教学指导，引导学生掌握实验技能和项目开发方法，培养学生的工程实践能力和创新能力。关注学生的学习情况和反馈意见，及时调整教学进度和教学方法，满足不同学生的学习需求。</w:t>
            </w:r>
          </w:p>
          <w:p w14:paraId="7D5EE99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教学资源要求</w:t>
            </w:r>
          </w:p>
          <w:p w14:paraId="66FDFF3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配备多媒体教室，用于理论教学和演示教学，展示嵌入式系统的硬件结构、软件代码和实验演示等内容。建设嵌入式实验室，配备充足的实验设备和开发平台，如嵌入式开发板、传感器模块、实验箱等，满足学生的实践教学需求。提供丰富的教材、参考书籍、网络资源等，方便学生自主学习和查阅资料，了解嵌入式技术的相关知识和最新发展动态。建立校企合作基地，为学生提供实习和实践机会，让学生在实际工作环境中了解嵌入式技术的应用，提高学生的就业竞争力。</w:t>
            </w:r>
          </w:p>
        </w:tc>
      </w:tr>
    </w:tbl>
    <w:p w14:paraId="6BFBEA89">
      <w:pPr>
        <w:adjustRightInd w:val="0"/>
        <w:snapToGrid w:val="0"/>
        <w:spacing w:after="0" w:line="500" w:lineRule="exact"/>
        <w:ind w:firstLine="320" w:firstLineChars="1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3.专业拓展课程</w:t>
      </w:r>
      <w:bookmarkEnd w:id="13"/>
    </w:p>
    <w:p w14:paraId="5EA18CC3">
      <w:pPr>
        <w:adjustRightInd w:val="0"/>
        <w:snapToGrid w:val="0"/>
        <w:spacing w:after="0" w:line="500" w:lineRule="exact"/>
        <w:ind w:firstLine="320" w:firstLineChars="1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拓展课程是按照岗位迁移，根据电子技术行业发展的趋势，依据企业用人需求调研，企业对电子应用型人才等方面日益增加的需求，建立了电子信息工程技术专业拓展课，并将辅修方向课程纳入其中。由SMT技术、微组装技术、集成电路制造工艺、电子产品生产管理、射频技术、短距离无线通信、无线传感器网络、FPGA技术及应用、无人机控制技术、移动应用开发、网络云化技术及应用、机器人控制技术、工业互联网实施与运维、电子信息专业英语等课程构成专业拓展课。</w:t>
      </w:r>
    </w:p>
    <w:p w14:paraId="53A1B87D">
      <w:pPr>
        <w:overflowPunct w:val="0"/>
        <w:adjustRightInd w:val="0"/>
        <w:spacing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课课程目标、主要教学内容与要求</w:t>
      </w:r>
    </w:p>
    <w:tbl>
      <w:tblPr>
        <w:tblStyle w:val="8"/>
        <w:tblW w:w="10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818"/>
        <w:gridCol w:w="2928"/>
        <w:gridCol w:w="3400"/>
        <w:gridCol w:w="2359"/>
      </w:tblGrid>
      <w:tr w14:paraId="7BA4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0C779F46">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序号</w:t>
            </w:r>
          </w:p>
        </w:tc>
        <w:tc>
          <w:tcPr>
            <w:tcW w:w="818" w:type="dxa"/>
            <w:vAlign w:val="center"/>
          </w:tcPr>
          <w:p w14:paraId="6235F79A">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课程名称</w:t>
            </w:r>
          </w:p>
        </w:tc>
        <w:tc>
          <w:tcPr>
            <w:tcW w:w="2928" w:type="dxa"/>
            <w:vAlign w:val="center"/>
          </w:tcPr>
          <w:p w14:paraId="5CA4A20D">
            <w:pPr>
              <w:spacing w:after="0" w:line="320" w:lineRule="exact"/>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课程教学目标</w:t>
            </w:r>
          </w:p>
        </w:tc>
        <w:tc>
          <w:tcPr>
            <w:tcW w:w="3400" w:type="dxa"/>
            <w:vAlign w:val="center"/>
          </w:tcPr>
          <w:p w14:paraId="6B921A83">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主要教学内容</w:t>
            </w:r>
          </w:p>
        </w:tc>
        <w:tc>
          <w:tcPr>
            <w:tcW w:w="2359" w:type="dxa"/>
            <w:vAlign w:val="center"/>
          </w:tcPr>
          <w:p w14:paraId="7B5074CC">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教学要求</w:t>
            </w:r>
          </w:p>
        </w:tc>
      </w:tr>
      <w:tr w14:paraId="48B71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0113E235">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w:t>
            </w:r>
          </w:p>
        </w:tc>
        <w:tc>
          <w:tcPr>
            <w:tcW w:w="818" w:type="dxa"/>
            <w:vAlign w:val="center"/>
          </w:tcPr>
          <w:p w14:paraId="03A52790">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SMT技术</w:t>
            </w:r>
          </w:p>
        </w:tc>
        <w:tc>
          <w:tcPr>
            <w:tcW w:w="2928" w:type="dxa"/>
          </w:tcPr>
          <w:p w14:paraId="49560EF1">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：掌握SMT基础理论（元件、PCB知识）、完整工艺流程（印刷－贴装－焊接－检测）及设备操作原理；了解行业发展趋势。</w:t>
            </w:r>
          </w:p>
          <w:p w14:paraId="7C2B3D40">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：能独立操作焊膏印刷机、贴片机等设备，设置工艺参数；运用AOI、X射线检测设备排查缺陷，完成不良品返修；具备SMT生产质量问题分析与优化能力。</w:t>
            </w:r>
          </w:p>
          <w:p w14:paraId="5820F84D">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：培养严谨的工艺操作习惯与安全生产意识；提升团队协作效率，适应电子制造流水线作业节奏。</w:t>
            </w:r>
          </w:p>
          <w:p w14:paraId="2DACBDDA">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结合SMT技术在高端电子设备（如通信基站、医疗仪器）中的应用，强调“工匠精神”，引导学生树立科技报国、助力电子制造业自主可控的责任意识。</w:t>
            </w:r>
          </w:p>
        </w:tc>
        <w:tc>
          <w:tcPr>
            <w:tcW w:w="3400" w:type="dxa"/>
          </w:tcPr>
          <w:p w14:paraId="33722FF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SMT概述：介绍SMT的定义、特点、发展历程以及在电子制造业中的地位和作用。</w:t>
            </w:r>
          </w:p>
          <w:p w14:paraId="544C4E2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电子元件知识：讲解常见SMT元件的类型、封装形式、识别方法及性能参数，如贴片电阻、电容、电感、芯片等。</w:t>
            </w:r>
          </w:p>
          <w:p w14:paraId="34EC1AF6">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PCB知识：包括PCB的结构、材质、设计规范以及与SMT工艺的兼容性。</w:t>
            </w:r>
          </w:p>
          <w:p w14:paraId="07B55AC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焊膏印刷：学习焊膏的特性、印刷设备的操作、印刷工艺参数的设置以及印刷质量的控制。</w:t>
            </w:r>
          </w:p>
          <w:p w14:paraId="56BCBB8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元件贴装：掌握贴片机的工作原理、编程方法、元件供料系统以及贴装精度的控制。</w:t>
            </w:r>
          </w:p>
          <w:p w14:paraId="46680BCC">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回流焊接：了解回流焊的原理、设备结构、温度曲线的设置与优化以及焊接质量的评估。</w:t>
            </w:r>
          </w:p>
          <w:p w14:paraId="575C4CBF">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检测与返修：学习使用各种检测设备，如自动光学检测（AOI）、X射线检测等进行质量检测，以及对不良品的返修方法。</w:t>
            </w:r>
          </w:p>
        </w:tc>
        <w:tc>
          <w:tcPr>
            <w:tcW w:w="2359" w:type="dxa"/>
          </w:tcPr>
          <w:p w14:paraId="7832E6B1">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学生基础要求</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具备一定的电子技术基础，了解电路原理、电子元件等相关知识。掌握基本的计算机操作技能，因为SMT设备的编程和控制通常需要通过计算机进行。</w:t>
            </w:r>
          </w:p>
          <w:p w14:paraId="6F72800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学习态度要求</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认真对待理论学习，理解SMT技术的基本原理和工艺流程，为实践操作打下坚实的基础。积极参与实践操作，严格遵守实验室的安全规定和操作规程，注重培养自己的动手能力和实际操作经验。</w:t>
            </w:r>
          </w:p>
        </w:tc>
      </w:tr>
      <w:tr w14:paraId="32432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62288EE8">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2</w:t>
            </w:r>
          </w:p>
        </w:tc>
        <w:tc>
          <w:tcPr>
            <w:tcW w:w="818" w:type="dxa"/>
            <w:vAlign w:val="center"/>
          </w:tcPr>
          <w:p w14:paraId="5921A6A2">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微组装技术</w:t>
            </w:r>
          </w:p>
        </w:tc>
        <w:tc>
          <w:tcPr>
            <w:tcW w:w="2928" w:type="dxa"/>
          </w:tcPr>
          <w:p w14:paraId="79EC4FFA">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：理解微组装技术的概念、标准及发展趋势；掌握核心材料（芯片、基板）特性、关键工艺（粘片、键合、封装）及设备（键合机、检测仪）原理；了解微组装设计与可靠性评估方法。</w:t>
            </w:r>
          </w:p>
          <w:p w14:paraId="38392B0A">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：能完成芯片贴装、引线键合等基础操作；使用显微镜、电子探针等仪器检测微组装产品质量；参与微组装结构设计与简单应用案例的方案制定。</w:t>
            </w:r>
          </w:p>
          <w:p w14:paraId="00120026">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：养成精细化操作习惯，提升对微尺度工艺的专注力；培养基于标准规范开展工作的严谨性，增强创新设计思维。</w:t>
            </w:r>
          </w:p>
          <w:p w14:paraId="5D6D3112">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通过微组装技术在航空航天、集成电路等“卡脖子”领域的应用案例，激发学生攻坚克难的科研热情，树立突破技术壁垒、服务国家高端制造的理想。</w:t>
            </w:r>
          </w:p>
        </w:tc>
        <w:tc>
          <w:tcPr>
            <w:tcW w:w="3400" w:type="dxa"/>
          </w:tcPr>
          <w:p w14:paraId="7934040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微组装技术基础</w:t>
            </w:r>
          </w:p>
          <w:p w14:paraId="392866F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微组装技术的发展历程、现状和趋势。微组装技术的基本概念、特点和优势。微组装技术相关的标准和规范。</w:t>
            </w:r>
          </w:p>
          <w:p w14:paraId="12DEF35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微组装材料与工艺</w:t>
            </w:r>
          </w:p>
          <w:p w14:paraId="7A503E4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常用材料，如芯片、基板、封装材料、连接材料等的性能和应用。芯片贴装工艺，包括粘片、键合等技术的原理和操作方法。基板制造工艺，如多层陶瓷基板、薄膜基板的制作流程和工艺要点。封装工艺，如气密性封装、非气密性封装的类型和特点。</w:t>
            </w:r>
          </w:p>
          <w:p w14:paraId="179B15D9">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微组装设备与仪器</w:t>
            </w:r>
          </w:p>
          <w:p w14:paraId="0188E45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微组装设备，如自动贴片机、键合机、封装机等的工作原理和操作方法。检测与测试仪器，如显微镜、X射线检测仪、电子探针等的功能和使用。</w:t>
            </w:r>
          </w:p>
          <w:p w14:paraId="3C520DFE">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微组装设计与应用</w:t>
            </w:r>
          </w:p>
          <w:p w14:paraId="6FBEA831">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微组装结构设计，包括芯片布局、布线设计、热设计等。</w:t>
            </w:r>
          </w:p>
          <w:p w14:paraId="65FC76A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微组装技术在不同领域的应用案例分析。微组装产品的可靠性设计与评估。</w:t>
            </w:r>
          </w:p>
        </w:tc>
        <w:tc>
          <w:tcPr>
            <w:tcW w:w="2359" w:type="dxa"/>
          </w:tcPr>
          <w:p w14:paraId="74328BF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学生基础要求具备电子技术、材料科学、计算机基础等相关学科的基础知识。掌握一定的电路原理、半导体物理等知识。</w:t>
            </w:r>
          </w:p>
          <w:p w14:paraId="298E55AD">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学习态度要求</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认真学习课程理论知识，积极参与课堂讨论和案例分析。重视实践教学环节，严格遵守实验室的规章制度，认真完成实验任务。</w:t>
            </w:r>
          </w:p>
        </w:tc>
      </w:tr>
      <w:tr w14:paraId="7B3C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43045D4D">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3</w:t>
            </w:r>
          </w:p>
        </w:tc>
        <w:tc>
          <w:tcPr>
            <w:tcW w:w="818" w:type="dxa"/>
            <w:vAlign w:val="center"/>
          </w:tcPr>
          <w:p w14:paraId="2E99E8DA">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集成电路制造工艺</w:t>
            </w:r>
          </w:p>
        </w:tc>
        <w:tc>
          <w:tcPr>
            <w:tcW w:w="2928" w:type="dxa"/>
          </w:tcPr>
          <w:p w14:paraId="2E9504F9">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：掌握半导体材料特性、集成电路核心工艺（氧化、光刻、刻蚀、掺杂、薄膜沉积）原理；理解CMOS工艺集成流程与封装技术（引脚封装、BGA）对芯片性能的影响。</w:t>
            </w:r>
          </w:p>
          <w:p w14:paraId="675A21C9">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：能分析光刻分辨率、刻蚀工艺参数对芯片质量的影响；运用CVD/PVD技术原理判断薄膜沉积质量；具备集成电路制造工艺问题初步诊断能力。</w:t>
            </w:r>
          </w:p>
          <w:p w14:paraId="6D23EF7E">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：培养对精密制造工艺的敬畏心与细节把控能力；建立“工艺－性能－可靠性”的系统思维，提升工程问题逻辑分析素养。</w:t>
            </w:r>
          </w:p>
          <w:p w14:paraId="048C8C63">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结合我国集成电路产业发展现状，对比国际先进工艺，引导学生认识核心技术自主的重要性，树立投身芯片制造领域、打破国外技术垄断的使命感。</w:t>
            </w:r>
          </w:p>
        </w:tc>
        <w:tc>
          <w:tcPr>
            <w:tcW w:w="3400" w:type="dxa"/>
          </w:tcPr>
          <w:p w14:paraId="464E102D">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集成电路制造工艺基础</w:t>
            </w:r>
          </w:p>
          <w:p w14:paraId="7B750F7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半导体材料的特性和制备，如硅、锗等。集成电路制造中的基本工艺步骤，如氧化、光刻、刻蚀、扩散、离子注入等。</w:t>
            </w:r>
          </w:p>
          <w:p w14:paraId="6610CA7D">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光刻工艺</w:t>
            </w:r>
            <w:r>
              <w:rPr>
                <w:rFonts w:hint="eastAsia" w:ascii="仿宋_GB2312" w:hAnsi="仿宋_GB2312" w:eastAsia="仿宋_GB2312" w:cs="仿宋_GB2312"/>
                <w:kern w:val="0"/>
                <w:sz w:val="24"/>
                <w:szCs w:val="20"/>
                <w:highlight w:val="none"/>
              </w:rPr>
              <w:t>：</w:t>
            </w:r>
          </w:p>
          <w:p w14:paraId="254B387C">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光刻的基本原理和光刻设备。光刻胶的特性和使用。光刻工艺的分辨率和精度控制。</w:t>
            </w:r>
          </w:p>
          <w:p w14:paraId="480D766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刻蚀工艺</w:t>
            </w:r>
            <w:r>
              <w:rPr>
                <w:rFonts w:hint="eastAsia" w:ascii="仿宋_GB2312" w:hAnsi="仿宋_GB2312" w:eastAsia="仿宋_GB2312" w:cs="仿宋_GB2312"/>
                <w:kern w:val="0"/>
                <w:sz w:val="24"/>
                <w:szCs w:val="20"/>
                <w:highlight w:val="none"/>
              </w:rPr>
              <w:t>：</w:t>
            </w:r>
          </w:p>
          <w:p w14:paraId="3994E70C">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干法刻蚀和湿法刻蚀的原理和工艺特点。刻蚀设备的结构和操作。刻蚀工艺的选择和优化。</w:t>
            </w:r>
          </w:p>
          <w:p w14:paraId="1E79ACB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薄膜沉积工艺</w:t>
            </w:r>
            <w:r>
              <w:rPr>
                <w:rFonts w:hint="eastAsia" w:ascii="仿宋_GB2312" w:hAnsi="仿宋_GB2312" w:eastAsia="仿宋_GB2312" w:cs="仿宋_GB2312"/>
                <w:kern w:val="0"/>
                <w:sz w:val="24"/>
                <w:szCs w:val="20"/>
                <w:highlight w:val="none"/>
              </w:rPr>
              <w:t>：</w:t>
            </w:r>
          </w:p>
          <w:p w14:paraId="318A367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化学气相沉积（CVD）、物理气相沉积（PVD）等薄膜沉积技术的原理和应用。薄膜的特性和质量控制。不同薄膜在集成电路中的作用。</w:t>
            </w:r>
          </w:p>
          <w:p w14:paraId="7196BA18">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掺杂工艺</w:t>
            </w:r>
            <w:r>
              <w:rPr>
                <w:rFonts w:hint="eastAsia" w:ascii="仿宋_GB2312" w:hAnsi="仿宋_GB2312" w:eastAsia="仿宋_GB2312" w:cs="仿宋_GB2312"/>
                <w:kern w:val="0"/>
                <w:sz w:val="24"/>
                <w:szCs w:val="20"/>
                <w:highlight w:val="none"/>
              </w:rPr>
              <w:t>：</w:t>
            </w:r>
          </w:p>
          <w:p w14:paraId="3D75118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扩散和离子注入的原理、工艺过程和设备。掺杂浓度和分布的控制。掺杂对半导体器件性能的影响。</w:t>
            </w:r>
          </w:p>
          <w:p w14:paraId="7F3C0E19">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工艺集成与封装</w:t>
            </w:r>
            <w:r>
              <w:rPr>
                <w:rFonts w:hint="eastAsia" w:ascii="仿宋_GB2312" w:hAnsi="仿宋_GB2312" w:eastAsia="仿宋_GB2312" w:cs="仿宋_GB2312"/>
                <w:kern w:val="0"/>
                <w:sz w:val="24"/>
                <w:szCs w:val="20"/>
                <w:highlight w:val="none"/>
              </w:rPr>
              <w:t>：</w:t>
            </w:r>
          </w:p>
          <w:p w14:paraId="00A914E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CMOS工艺集成的流程和关键技术。集成电路封装的类型和工艺，如引脚封装、球栅阵列封装等。封装对集成电路性能和可靠性的影响</w:t>
            </w:r>
          </w:p>
        </w:tc>
        <w:tc>
          <w:tcPr>
            <w:tcW w:w="2359" w:type="dxa"/>
          </w:tcPr>
          <w:p w14:paraId="1BB31F56">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学生基础要求</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具备电路分析、模拟电子技术、数字电子技术等电子类专业基础课程的知识。掌握半导体物理、半导体器件等相关课程的基本理论。</w:t>
            </w:r>
          </w:p>
          <w:p w14:paraId="12D3BB7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学习态度要求</w:t>
            </w:r>
            <w:r>
              <w:rPr>
                <w:rFonts w:hint="eastAsia" w:ascii="仿宋_GB2312" w:hAnsi="仿宋_GB2312" w:eastAsia="仿宋_GB2312" w:cs="仿宋_GB2312"/>
                <w:kern w:val="0"/>
                <w:sz w:val="24"/>
                <w:szCs w:val="20"/>
                <w:highlight w:val="none"/>
              </w:rPr>
              <w:t>：</w:t>
            </w:r>
            <w:r>
              <w:rPr>
                <w:rFonts w:ascii="仿宋_GB2312" w:hAnsi="仿宋_GB2312" w:eastAsia="仿宋_GB2312" w:cs="仿宋_GB2312"/>
                <w:kern w:val="0"/>
                <w:sz w:val="24"/>
                <w:szCs w:val="20"/>
                <w:highlight w:val="none"/>
              </w:rPr>
              <w:t>认真学习课程理论知识，积极参与课堂讨论和案例分析。重视实践教学环节，严格遵守实验室的规章制度，认真完成实验任务。</w:t>
            </w:r>
          </w:p>
        </w:tc>
      </w:tr>
      <w:tr w14:paraId="739F0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7E68B7C7">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4</w:t>
            </w:r>
          </w:p>
        </w:tc>
        <w:tc>
          <w:tcPr>
            <w:tcW w:w="818" w:type="dxa"/>
            <w:vAlign w:val="center"/>
          </w:tcPr>
          <w:p w14:paraId="37DF753A">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电子产品生产管理</w:t>
            </w:r>
          </w:p>
        </w:tc>
        <w:tc>
          <w:tcPr>
            <w:tcW w:w="2928" w:type="dxa"/>
          </w:tcPr>
          <w:p w14:paraId="3F828DD6">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：掌握电子产品生产组织模式、工艺管理流程、技术文件（设计/工艺文件）编制规范；熟悉ISO 9000、3C认证、IECEE-CB体系等质量与认证标准。</w:t>
            </w:r>
          </w:p>
          <w:p w14:paraId="72270984">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：能制定简单电子产品的生产工艺方案，编制成套技术文件；运用质量管理标准排查生产环节隐患；通过案例分析优化电子整机装配、调试流程。</w:t>
            </w:r>
          </w:p>
          <w:p w14:paraId="679773CB">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：培养全局化的生产管理思维与标准化工作意识；提升跨环节协调能力（如工艺、质检、采购），适应企业生产运营节奏。</w:t>
            </w:r>
          </w:p>
          <w:p w14:paraId="0830320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以“质量强国”理念为核心，结合我国电子产品从“制造”到“智造”的转型案例，强调合规生产与责任担当，引导学生树立产业升级中的主人翁意识。</w:t>
            </w:r>
          </w:p>
        </w:tc>
        <w:tc>
          <w:tcPr>
            <w:tcW w:w="3400" w:type="dxa"/>
          </w:tcPr>
          <w:p w14:paraId="4C622BA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涵盖电子产品生产制造的组织形式，分析电子产品特性、生产制造的基本要求，讲解生产组织模式与标准化知识；深入探讨生产工艺及其管理，包含工艺制定、管理工作的具体内容；介绍电子产品技术文件，如设计文件与工艺文件的分类、编号规则、成套性要求及编制方法；还涉及产品认证相关知识，如ISO 9000质量管理标准、ISO 14000环境标准、3C强制认证以及IECEE-CB体系等。此外，通过案例分析与实际项目，强化学生对电子整机装配工艺、表面组装工艺、调试与检验环节的理解与操作能力。</w:t>
            </w:r>
          </w:p>
        </w:tc>
        <w:tc>
          <w:tcPr>
            <w:tcW w:w="2359" w:type="dxa"/>
          </w:tcPr>
          <w:p w14:paraId="1C2E7CF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w:t>
            </w:r>
            <w:r>
              <w:rPr>
                <w:rFonts w:hint="eastAsia" w:ascii="仿宋_GB2312" w:hAnsi="仿宋_GB2312" w:eastAsia="仿宋_GB2312" w:cs="仿宋_GB2312"/>
                <w:kern w:val="0"/>
                <w:sz w:val="24"/>
                <w:szCs w:val="20"/>
                <w:highlight w:val="none"/>
                <w:lang w:eastAsia="zh-CN"/>
              </w:rPr>
              <w:t>须具备</w:t>
            </w:r>
            <w:r>
              <w:rPr>
                <w:rFonts w:ascii="仿宋_GB2312" w:hAnsi="仿宋_GB2312" w:eastAsia="仿宋_GB2312" w:cs="仿宋_GB2312"/>
                <w:kern w:val="0"/>
                <w:sz w:val="24"/>
                <w:szCs w:val="20"/>
                <w:highlight w:val="none"/>
              </w:rPr>
              <w:t>电子技术、计算机基础等相关知识，以更好地理解课程内容。在学习过程中，要认真对待理论知识学习，积极参与课堂讨论与案例分析，提升理论分析能力。同时，高度重视实践教学环节，严格遵循实验室和企业实习的规章制度，完成各项实践任务，增强动手能力与解决实际问题的能力。考核将采用多元化方式，综合考量学生的平时成绩、实践操作能力、考试成绩等，全面评估学生对课程知识的掌握与运用程度。</w:t>
            </w:r>
          </w:p>
        </w:tc>
      </w:tr>
      <w:tr w14:paraId="40CB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0" w:hRule="atLeast"/>
          <w:jc w:val="center"/>
        </w:trPr>
        <w:tc>
          <w:tcPr>
            <w:tcW w:w="624" w:type="dxa"/>
            <w:vAlign w:val="center"/>
          </w:tcPr>
          <w:p w14:paraId="1816A949">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5</w:t>
            </w:r>
          </w:p>
        </w:tc>
        <w:tc>
          <w:tcPr>
            <w:tcW w:w="818" w:type="dxa"/>
            <w:vAlign w:val="center"/>
          </w:tcPr>
          <w:p w14:paraId="79F223C9">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射频技术</w:t>
            </w:r>
          </w:p>
        </w:tc>
        <w:tc>
          <w:tcPr>
            <w:tcW w:w="2928" w:type="dxa"/>
          </w:tcPr>
          <w:p w14:paraId="3003FD92">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：掌握射频频段划分、信号特性；理解射频器件（天线、滤波器、放大器）原理与选型标准；熟悉射频电路（收发器、混频器）设计流程及系统（通信、雷达）架构。</w:t>
            </w:r>
          </w:p>
          <w:p w14:paraId="49B86823">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：能完成射频器件性能参数测试；使用仿真工具设计简单射频电路；参与射频系统方案论证与实验验证，撰写完整实验报告。</w:t>
            </w:r>
          </w:p>
          <w:p w14:paraId="6FB569B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：培养射频系统设计的工程思维与实验数据严谨分析习惯；提升跨学科整合能力（结合通信、电路知识），增强技术创新意识。</w:t>
            </w:r>
          </w:p>
          <w:p w14:paraId="2AB61722">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通过射频技术在5G通信、卫星导航等国家战略领域的应用，展现技术对国家信息基础设施建设的支撑作用，引导学生树立科技服务民生、助力数字中国建设的信念。</w:t>
            </w:r>
          </w:p>
        </w:tc>
        <w:tc>
          <w:tcPr>
            <w:tcW w:w="3400" w:type="dxa"/>
          </w:tcPr>
          <w:p w14:paraId="0AFFC6E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围绕射频技术展开，开篇讲解射频基本概念，包括射频频段划分、信号特性等基础知识。随后深入探讨射频器件，如天线、滤波器、放大器等，分析其原理、性能指标与选型要点。在电路设计方面，介绍射频收发器、混频器等关键电路，讲解设计流程与仿真方法。此外，课程还涵盖射频系统设计，从整体架构出发，阐述通信、雷达等典型系统的组成与设计思路。并融入实验教学，让学生通过实际操作，巩固理论知识，锻炼动手能力，完成从理论到实践的转化。</w:t>
            </w:r>
          </w:p>
        </w:tc>
        <w:tc>
          <w:tcPr>
            <w:tcW w:w="2359" w:type="dxa"/>
          </w:tcPr>
          <w:p w14:paraId="1BDC9AA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论学习阶段，学生需按时参与课堂教学，认真听讲、做好笔记，积极参与课堂互动与讨论。课后主动完成教师布置的作业，通过阅读教材、查阅文献等方式加深对知识点的理解。实验环节，学生要提前预习实验内容，熟悉实验步骤与仪器设备的使用方法，实验过程中严格遵守操作规程，独立完成实验任务，认真记录实验数据，撰写实验报告。在课程项目中，以团队协作的方式，综合运用所学知识，完成从方案设计到系统实现的全过程，锻炼团队协作、沟通交流与解决实际问题的能力，课程结束时需达到规定的考核标准。</w:t>
            </w:r>
          </w:p>
        </w:tc>
      </w:tr>
      <w:tr w14:paraId="5F2FE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6E476528">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6</w:t>
            </w:r>
          </w:p>
        </w:tc>
        <w:tc>
          <w:tcPr>
            <w:tcW w:w="818" w:type="dxa"/>
            <w:vAlign w:val="center"/>
          </w:tcPr>
          <w:p w14:paraId="62BB07BF">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短距离无线通信</w:t>
            </w:r>
          </w:p>
        </w:tc>
        <w:tc>
          <w:tcPr>
            <w:tcW w:w="2928" w:type="dxa"/>
          </w:tcPr>
          <w:p w14:paraId="14BA1AB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：掌握短距离无线通信核心技术（蓝牙、ZigBee、Wi-Fi）原理、协议（802.11、通用访问配置文件）及应用场景；了解领域前沿发展趋势（如低功耗蓝牙）。</w:t>
            </w:r>
          </w:p>
          <w:p w14:paraId="59642615">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：能独立完成短距离无线通信模块的硬件选型与软件开发；实现智能家居节点、移动设备数据交互等项目开发；具备技术方案对比与问题排查能力。</w:t>
            </w:r>
          </w:p>
          <w:p w14:paraId="75650A6B">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：提升团队协作开发能力（分工完成硬件设计、软件编程）；培养基于用户需求优化通信方案的创新思维，增强工程实践素养。</w:t>
            </w:r>
          </w:p>
          <w:p w14:paraId="18B68469">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结合短距离无线通信技术在智慧医疗、工业物联网中的民生应用，强调技术普惠价值，引导学生树立“科技为民”的设计理念，助力社会数字化转型。</w:t>
            </w:r>
          </w:p>
        </w:tc>
        <w:tc>
          <w:tcPr>
            <w:tcW w:w="3400" w:type="dxa"/>
          </w:tcPr>
          <w:p w14:paraId="6BA83019">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围绕短距离无线通信展开多维度教学。开篇讲解短距离无线通信的基本概念、发展历程与应用场景，建立宏观认知。继而深入剖析蓝牙、ZigBee、Wi-Fi等主流技术的工作原理，包括信号调制解调、信道访问机制等。同时介绍相关通信协议，如蓝牙的通用访问配置文件、Wi-Fi的802.11协议族。实践环节安排学生进行短距离无线通信模块的硬件设计与软件开发，通过完成诸如智能家居节点通信、移动设备数据交互等项目，提升学生的动手能力与工程素养。此外，课程还会探讨短距离无线通信领域的前沿技术与发展趋势，拓宽学生的技术视野</w:t>
            </w:r>
          </w:p>
        </w:tc>
        <w:tc>
          <w:tcPr>
            <w:tcW w:w="2359" w:type="dxa"/>
          </w:tcPr>
          <w:p w14:paraId="15796020">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论学习方面，要求学生按时参与课堂教学，认真完成指定教材与文献的阅读，积极参与课堂讨论，掌握短距离无线通信的理论知识，能够准确阐述相关技术原理与协议要点。实验环节，学生需独立完成各项实验任务，严格遵循实验规范，认真记录实验数据并撰写实验报告，锻炼实践操作与问题解决能力。课程考核将采用多样化形式，涵盖理论考试、实验报告、项目设计等，综合评定学生对知识的掌握程度与应用能力。学生应树立团队合作意识，在小组项目中发挥自身优势，协同完成开发任务，提升沟通协作与项目管理能力。</w:t>
            </w:r>
          </w:p>
        </w:tc>
      </w:tr>
      <w:tr w14:paraId="6D6C4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788A016C">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7</w:t>
            </w:r>
          </w:p>
        </w:tc>
        <w:tc>
          <w:tcPr>
            <w:tcW w:w="818" w:type="dxa"/>
            <w:vAlign w:val="center"/>
          </w:tcPr>
          <w:p w14:paraId="51D1A49B">
            <w:pPr>
              <w:spacing w:after="0" w:line="320" w:lineRule="exact"/>
              <w:jc w:val="center"/>
              <w:rPr>
                <w:rFonts w:hint="eastAsia" w:ascii="仿宋_GB2312" w:hAnsi="仿宋_GB2312" w:eastAsia="仿宋_GB2312" w:cs="仿宋_GB2312"/>
                <w:kern w:val="0"/>
                <w:sz w:val="24"/>
                <w:szCs w:val="20"/>
                <w:highlight w:val="none"/>
                <w:lang w:eastAsia="zh-CN"/>
              </w:rPr>
            </w:pPr>
            <w:r>
              <w:rPr>
                <w:rFonts w:hint="eastAsia" w:ascii="仿宋_GB2312" w:hAnsi="仿宋_GB2312" w:eastAsia="仿宋_GB2312" w:cs="仿宋_GB2312"/>
                <w:kern w:val="0"/>
                <w:sz w:val="24"/>
                <w:szCs w:val="20"/>
                <w:highlight w:val="none"/>
              </w:rPr>
              <w:t>无线传感器</w:t>
            </w:r>
            <w:r>
              <w:rPr>
                <w:rFonts w:hint="eastAsia" w:ascii="仿宋_GB2312" w:hAnsi="仿宋_GB2312" w:eastAsia="仿宋_GB2312" w:cs="仿宋_GB2312"/>
                <w:kern w:val="0"/>
                <w:sz w:val="24"/>
                <w:szCs w:val="20"/>
                <w:highlight w:val="none"/>
                <w:lang w:eastAsia="zh-CN"/>
              </w:rPr>
              <w:t>网络</w:t>
            </w:r>
          </w:p>
        </w:tc>
        <w:tc>
          <w:tcPr>
            <w:tcW w:w="2928" w:type="dxa"/>
          </w:tcPr>
          <w:p w14:paraId="56D8E717">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：掌握无线传感器网络（WSN）结构、关键技术（定位、时间同步、数据融合）及各层通信协议（物理层、MAC层）；了解WSN在环境监测、工业自动化等领域的应用设计方法。</w:t>
            </w:r>
          </w:p>
          <w:p w14:paraId="5B84737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：能完成传感器节点的硬件选型与软件编程（如ZigBee协议栈应用）；实现WSN组网部署与数据采集、处理；具备WSN系统性能优化与问题诊断能力。</w:t>
            </w:r>
          </w:p>
          <w:p w14:paraId="7839963E">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：培养系统化的网络设计思维与数据驱动的问题分析习惯；提升自主学习能力，主动追踪WSN领域新技术（如低功耗广域网）。</w:t>
            </w:r>
          </w:p>
          <w:p w14:paraId="6000996D">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通过WSN在生态监测、灾害预警等公益领域的应用案例，传递“科技守护家园”的理念，引导学生将技术应用与社会需求结合，树立责任意识。</w:t>
            </w:r>
          </w:p>
        </w:tc>
        <w:tc>
          <w:tcPr>
            <w:tcW w:w="3400" w:type="dxa"/>
          </w:tcPr>
          <w:p w14:paraId="4AC6BB1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程主要涵盖无线传感器网络的发展历程、基本结构、关键性能指标和关键技术等基础知识。深入讲解网络通信协议，包括物理层、MAC层、网络层等各层协议的原理和实现机制。介绍传感器节点的硬件设计、软件编程以及组网技术，如ZigBee协议栈的结构与应用。还会涉及到无线传感器网络的定位技术、时间同步技术、数据融合与处理技术等36。此外，课程将结合实际应用案例，让学生了解无线传感器网络在环境监测、智能家居、工业自动化等领域的应用场景和设计方法。</w:t>
            </w:r>
          </w:p>
        </w:tc>
        <w:tc>
          <w:tcPr>
            <w:tcW w:w="2359" w:type="dxa"/>
          </w:tcPr>
          <w:p w14:paraId="74B7E9C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需要具备电子技术、计算机技术、通信技术等相关专业的基础知识，以便更好地理解和掌握无线传感器网络的专业知识。在课程学习过程中，要求学生认真听讲，积极参与课堂讨论和互动，按时完成课后作业和实验任务。学生应深入理解课程中的基本概念、原理和技术，掌握无线传感器网络的设计方法和开发流程，能够独立进行传感器节点的硬件选型、软件编程和网络部署，并通过实验和课程设计等实践环节，提高自己的动手能力和解决实际问题的能力。同时，鼓励学生自主学习和探索，了解无线传感器网络领域的最新研究成果和发展趋势，培养创新思维和能力。</w:t>
            </w:r>
          </w:p>
        </w:tc>
      </w:tr>
      <w:tr w14:paraId="621B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4E2BE29F">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8</w:t>
            </w:r>
          </w:p>
        </w:tc>
        <w:tc>
          <w:tcPr>
            <w:tcW w:w="818" w:type="dxa"/>
            <w:vAlign w:val="center"/>
          </w:tcPr>
          <w:p w14:paraId="0A844EFA">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FPGA技术及应用</w:t>
            </w:r>
          </w:p>
        </w:tc>
        <w:tc>
          <w:tcPr>
            <w:tcW w:w="2928" w:type="dxa"/>
          </w:tcPr>
          <w:p w14:paraId="30A17446">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：掌握FPGA体系结构（可编程逻辑单元、互连资源）、设计流程（需求分析-代码输入-Verilog/VHDL-仿真-时序分析）；了解FPGA在AI、物联网等领域的应用场景。</w:t>
            </w:r>
          </w:p>
          <w:p w14:paraId="0452CB11">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：能使用FPGA开发工具（如Vivado）完成简单逻辑电路、数字信号处理模块设计；实现接口电路开发与功能仿真、时序优化；具备FPGA项目调试与问题解决能力。</w:t>
            </w:r>
          </w:p>
          <w:p w14:paraId="509A28C7">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：培养硬件描述语言的规范编程习惯与逻辑思维能力；提升创新设计素养，能结合需求尝试差异化技术方案。</w:t>
            </w:r>
          </w:p>
          <w:p w14:paraId="26E2CEF2">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结合FPGA在工业控制、航空航天等关键领域的自主可控需求，强调核心技术自主研发的重要性，激发学生攻克技术难题、助力我国高端芯片设计产业发展的热情。</w:t>
            </w:r>
          </w:p>
        </w:tc>
        <w:tc>
          <w:tcPr>
            <w:tcW w:w="3400" w:type="dxa"/>
          </w:tcPr>
          <w:p w14:paraId="056F1094">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FPGA技术的基础理论和实际应用两大方面。首先，介绍FPGA的基本概念、发展历程、体系结构和工作原理，包括可编程逻辑单元、互连资源和I/O接口等关键组成部分。接着深入讲解FPGA的设计流程，从需求分析、设计输入（如硬件描述语言Verilog或VHDL）、综合、布局布线到功能仿真和时序分析。在实践环节，通过具体的实验项目，如简单逻辑电路设计、数字信号处理模块设计、接口电路设计等，让学生亲身体验FPGA的开发过程，掌握常用的开发工具和调试技巧。此外，还会介绍FPGA在物联网、人工智能、图像处理等前沿领域的应用案例，拓宽学生的视野。</w:t>
            </w:r>
          </w:p>
        </w:tc>
        <w:tc>
          <w:tcPr>
            <w:tcW w:w="2359" w:type="dxa"/>
          </w:tcPr>
          <w:p w14:paraId="2844243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需要具备一定的数字电路和计算机基础知识，熟悉数字逻辑设计的基本原理和方法。在课程学习过程中，要求学生认真听讲，积极参与课堂讨论和实践操作，按时完成课程作业和实验任务。对于理论知识部分，学生应深入理解并掌握FPGA技术的核心概念和原理，能够准确运用硬件描述语言进行电路设计和建模。在实践方面，学生需熟练使用FPGA开发工具，独立完成从设计到实现的全过程，并能够对设计结果进行有效</w:t>
            </w:r>
            <w:r>
              <w:rPr>
                <w:rFonts w:hint="eastAsia" w:ascii="仿宋_GB2312" w:hAnsi="仿宋_GB2312" w:eastAsia="仿宋_GB2312" w:cs="仿宋_GB2312"/>
                <w:kern w:val="0"/>
                <w:sz w:val="24"/>
                <w:szCs w:val="20"/>
                <w:highlight w:val="none"/>
              </w:rPr>
              <w:t>地</w:t>
            </w:r>
            <w:r>
              <w:rPr>
                <w:rFonts w:ascii="仿宋_GB2312" w:hAnsi="仿宋_GB2312" w:eastAsia="仿宋_GB2312" w:cs="仿宋_GB2312"/>
                <w:kern w:val="0"/>
                <w:sz w:val="24"/>
                <w:szCs w:val="20"/>
                <w:highlight w:val="none"/>
              </w:rPr>
              <w:t>测试和优化。鼓励学生在课程项目中发挥创新思维，尝试不同的设计方案和技术应用。课程结束时，学生将通过理论考试和实践考核来检验对FPGA技术及应用的掌握程度，考核合格方可取得相应学分。</w:t>
            </w:r>
          </w:p>
        </w:tc>
      </w:tr>
      <w:tr w14:paraId="1F37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00D11624">
            <w:pPr>
              <w:spacing w:after="0" w:line="320" w:lineRule="exact"/>
              <w:jc w:val="center"/>
              <w:rPr>
                <w:rFonts w:hint="eastAsia" w:ascii="仿宋_GB2312" w:hAnsi="仿宋_GB2312" w:eastAsia="仿宋_GB2312" w:cs="仿宋_GB2312"/>
                <w:kern w:val="0"/>
                <w:sz w:val="24"/>
                <w:szCs w:val="20"/>
                <w:highlight w:val="none"/>
              </w:rPr>
            </w:pPr>
          </w:p>
          <w:p w14:paraId="3060EEB6">
            <w:pPr>
              <w:spacing w:after="0" w:line="320" w:lineRule="exact"/>
              <w:jc w:val="center"/>
              <w:rPr>
                <w:rFonts w:hint="eastAsia" w:ascii="仿宋_GB2312" w:hAnsi="仿宋_GB2312" w:eastAsia="仿宋_GB2312" w:cs="仿宋_GB2312"/>
                <w:kern w:val="0"/>
                <w:sz w:val="24"/>
                <w:szCs w:val="20"/>
                <w:highlight w:val="none"/>
              </w:rPr>
            </w:pPr>
          </w:p>
          <w:p w14:paraId="3D61B46F">
            <w:pPr>
              <w:spacing w:after="0" w:line="320" w:lineRule="exact"/>
              <w:jc w:val="center"/>
              <w:rPr>
                <w:rFonts w:hint="eastAsia" w:ascii="仿宋_GB2312" w:hAnsi="仿宋_GB2312" w:eastAsia="仿宋_GB2312" w:cs="仿宋_GB2312"/>
                <w:kern w:val="0"/>
                <w:sz w:val="24"/>
                <w:szCs w:val="20"/>
                <w:highlight w:val="none"/>
              </w:rPr>
            </w:pPr>
          </w:p>
          <w:p w14:paraId="364B6461">
            <w:pPr>
              <w:spacing w:after="0" w:line="320" w:lineRule="exact"/>
              <w:jc w:val="center"/>
              <w:rPr>
                <w:rFonts w:hint="eastAsia" w:ascii="仿宋_GB2312" w:hAnsi="仿宋_GB2312" w:eastAsia="仿宋_GB2312" w:cs="仿宋_GB2312"/>
                <w:kern w:val="0"/>
                <w:sz w:val="24"/>
                <w:szCs w:val="20"/>
                <w:highlight w:val="none"/>
              </w:rPr>
            </w:pPr>
          </w:p>
          <w:p w14:paraId="707E5C35">
            <w:pPr>
              <w:spacing w:after="0" w:line="320" w:lineRule="exact"/>
              <w:jc w:val="center"/>
              <w:rPr>
                <w:rFonts w:hint="eastAsia" w:ascii="仿宋_GB2312" w:hAnsi="仿宋_GB2312" w:eastAsia="仿宋_GB2312" w:cs="仿宋_GB2312"/>
                <w:kern w:val="0"/>
                <w:sz w:val="24"/>
                <w:szCs w:val="20"/>
                <w:highlight w:val="none"/>
              </w:rPr>
            </w:pPr>
          </w:p>
          <w:p w14:paraId="3B7A0CDE">
            <w:pPr>
              <w:spacing w:after="0" w:line="320" w:lineRule="exact"/>
              <w:jc w:val="center"/>
              <w:rPr>
                <w:rFonts w:hint="eastAsia" w:ascii="仿宋_GB2312" w:hAnsi="仿宋_GB2312" w:eastAsia="仿宋_GB2312" w:cs="仿宋_GB2312"/>
                <w:kern w:val="0"/>
                <w:sz w:val="24"/>
                <w:szCs w:val="20"/>
                <w:highlight w:val="none"/>
              </w:rPr>
            </w:pPr>
          </w:p>
          <w:p w14:paraId="11C09F05">
            <w:pPr>
              <w:spacing w:after="0" w:line="320" w:lineRule="exact"/>
              <w:jc w:val="center"/>
              <w:rPr>
                <w:rFonts w:hint="eastAsia" w:ascii="仿宋_GB2312" w:hAnsi="仿宋_GB2312" w:eastAsia="仿宋_GB2312" w:cs="仿宋_GB2312"/>
                <w:kern w:val="0"/>
                <w:sz w:val="24"/>
                <w:szCs w:val="20"/>
                <w:highlight w:val="none"/>
              </w:rPr>
            </w:pPr>
          </w:p>
          <w:p w14:paraId="22B1D2FE">
            <w:pPr>
              <w:spacing w:after="0" w:line="320" w:lineRule="exact"/>
              <w:jc w:val="center"/>
              <w:rPr>
                <w:rFonts w:hint="eastAsia" w:ascii="仿宋_GB2312" w:hAnsi="仿宋_GB2312" w:eastAsia="仿宋_GB2312" w:cs="仿宋_GB2312"/>
                <w:kern w:val="0"/>
                <w:sz w:val="24"/>
                <w:szCs w:val="20"/>
                <w:highlight w:val="none"/>
              </w:rPr>
            </w:pPr>
          </w:p>
          <w:p w14:paraId="108D84AE">
            <w:pPr>
              <w:spacing w:after="0" w:line="320" w:lineRule="exact"/>
              <w:jc w:val="center"/>
              <w:rPr>
                <w:rFonts w:hint="eastAsia" w:ascii="仿宋_GB2312" w:hAnsi="仿宋_GB2312" w:eastAsia="仿宋_GB2312" w:cs="仿宋_GB2312"/>
                <w:kern w:val="0"/>
                <w:sz w:val="24"/>
                <w:szCs w:val="20"/>
                <w:highlight w:val="none"/>
              </w:rPr>
            </w:pPr>
          </w:p>
          <w:p w14:paraId="53C62224">
            <w:pPr>
              <w:spacing w:after="0" w:line="320" w:lineRule="exact"/>
              <w:jc w:val="center"/>
              <w:rPr>
                <w:rFonts w:hint="eastAsia" w:ascii="仿宋_GB2312" w:hAnsi="仿宋_GB2312" w:eastAsia="仿宋_GB2312" w:cs="仿宋_GB2312"/>
                <w:kern w:val="0"/>
                <w:sz w:val="24"/>
                <w:szCs w:val="20"/>
                <w:highlight w:val="none"/>
              </w:rPr>
            </w:pPr>
          </w:p>
          <w:p w14:paraId="002D9A36">
            <w:pPr>
              <w:spacing w:after="0" w:line="320" w:lineRule="exact"/>
              <w:jc w:val="center"/>
              <w:rPr>
                <w:rFonts w:hint="eastAsia" w:ascii="仿宋_GB2312" w:hAnsi="仿宋_GB2312" w:eastAsia="仿宋_GB2312" w:cs="仿宋_GB2312"/>
                <w:kern w:val="0"/>
                <w:sz w:val="24"/>
                <w:szCs w:val="20"/>
                <w:highlight w:val="none"/>
              </w:rPr>
            </w:pPr>
          </w:p>
          <w:p w14:paraId="7C8171DD">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9</w:t>
            </w:r>
          </w:p>
        </w:tc>
        <w:tc>
          <w:tcPr>
            <w:tcW w:w="818" w:type="dxa"/>
            <w:vAlign w:val="center"/>
          </w:tcPr>
          <w:p w14:paraId="7FEF8F24">
            <w:pPr>
              <w:spacing w:after="0" w:line="320" w:lineRule="exact"/>
              <w:jc w:val="center"/>
              <w:rPr>
                <w:rFonts w:hint="eastAsia" w:ascii="仿宋_GB2312" w:hAnsi="仿宋_GB2312" w:eastAsia="仿宋_GB2312" w:cs="仿宋_GB2312"/>
                <w:kern w:val="0"/>
                <w:sz w:val="24"/>
                <w:szCs w:val="20"/>
                <w:highlight w:val="none"/>
              </w:rPr>
            </w:pPr>
          </w:p>
          <w:p w14:paraId="29C4C8A8">
            <w:pPr>
              <w:spacing w:after="0" w:line="320" w:lineRule="exact"/>
              <w:jc w:val="center"/>
              <w:rPr>
                <w:rFonts w:hint="eastAsia" w:ascii="仿宋_GB2312" w:hAnsi="仿宋_GB2312" w:eastAsia="仿宋_GB2312" w:cs="仿宋_GB2312"/>
                <w:kern w:val="0"/>
                <w:sz w:val="24"/>
                <w:szCs w:val="20"/>
                <w:highlight w:val="none"/>
              </w:rPr>
            </w:pPr>
          </w:p>
          <w:p w14:paraId="3C7DF777">
            <w:pPr>
              <w:spacing w:after="0" w:line="320" w:lineRule="exact"/>
              <w:jc w:val="center"/>
              <w:rPr>
                <w:rFonts w:hint="eastAsia" w:ascii="仿宋_GB2312" w:hAnsi="仿宋_GB2312" w:eastAsia="仿宋_GB2312" w:cs="仿宋_GB2312"/>
                <w:kern w:val="0"/>
                <w:sz w:val="24"/>
                <w:szCs w:val="20"/>
                <w:highlight w:val="none"/>
              </w:rPr>
            </w:pPr>
          </w:p>
          <w:p w14:paraId="72C0A1D9">
            <w:pPr>
              <w:spacing w:after="0" w:line="320" w:lineRule="exact"/>
              <w:jc w:val="center"/>
              <w:rPr>
                <w:rFonts w:hint="eastAsia" w:ascii="仿宋_GB2312" w:hAnsi="仿宋_GB2312" w:eastAsia="仿宋_GB2312" w:cs="仿宋_GB2312"/>
                <w:kern w:val="0"/>
                <w:sz w:val="24"/>
                <w:szCs w:val="20"/>
                <w:highlight w:val="none"/>
              </w:rPr>
            </w:pPr>
          </w:p>
          <w:p w14:paraId="6807C3E1">
            <w:pPr>
              <w:spacing w:after="0" w:line="320" w:lineRule="exact"/>
              <w:jc w:val="center"/>
              <w:rPr>
                <w:rFonts w:hint="eastAsia" w:ascii="仿宋_GB2312" w:hAnsi="仿宋_GB2312" w:eastAsia="仿宋_GB2312" w:cs="仿宋_GB2312"/>
                <w:kern w:val="0"/>
                <w:sz w:val="24"/>
                <w:szCs w:val="20"/>
                <w:highlight w:val="none"/>
              </w:rPr>
            </w:pPr>
          </w:p>
          <w:p w14:paraId="500DCE20">
            <w:pPr>
              <w:spacing w:after="0" w:line="320" w:lineRule="exact"/>
              <w:jc w:val="center"/>
              <w:rPr>
                <w:rFonts w:hint="eastAsia" w:ascii="仿宋_GB2312" w:hAnsi="仿宋_GB2312" w:eastAsia="仿宋_GB2312" w:cs="仿宋_GB2312"/>
                <w:kern w:val="0"/>
                <w:sz w:val="24"/>
                <w:szCs w:val="20"/>
                <w:highlight w:val="none"/>
              </w:rPr>
            </w:pPr>
          </w:p>
          <w:p w14:paraId="6DA5EB67">
            <w:pPr>
              <w:spacing w:after="0" w:line="320" w:lineRule="exact"/>
              <w:jc w:val="center"/>
              <w:rPr>
                <w:rFonts w:hint="eastAsia" w:ascii="仿宋_GB2312" w:hAnsi="仿宋_GB2312" w:eastAsia="仿宋_GB2312" w:cs="仿宋_GB2312"/>
                <w:kern w:val="0"/>
                <w:sz w:val="24"/>
                <w:szCs w:val="20"/>
                <w:highlight w:val="none"/>
              </w:rPr>
            </w:pPr>
          </w:p>
          <w:p w14:paraId="37817EDF">
            <w:pPr>
              <w:spacing w:after="0" w:line="320" w:lineRule="exact"/>
              <w:jc w:val="center"/>
              <w:rPr>
                <w:rFonts w:hint="eastAsia" w:ascii="仿宋_GB2312" w:hAnsi="仿宋_GB2312" w:eastAsia="仿宋_GB2312" w:cs="仿宋_GB2312"/>
                <w:kern w:val="0"/>
                <w:sz w:val="24"/>
                <w:szCs w:val="20"/>
                <w:highlight w:val="none"/>
              </w:rPr>
            </w:pPr>
          </w:p>
          <w:p w14:paraId="0C05A17B">
            <w:pPr>
              <w:spacing w:after="0" w:line="320" w:lineRule="exact"/>
              <w:jc w:val="center"/>
              <w:rPr>
                <w:rFonts w:hint="eastAsia" w:ascii="仿宋_GB2312" w:hAnsi="仿宋_GB2312" w:eastAsia="仿宋_GB2312" w:cs="仿宋_GB2312"/>
                <w:kern w:val="0"/>
                <w:sz w:val="24"/>
                <w:szCs w:val="20"/>
                <w:highlight w:val="none"/>
              </w:rPr>
            </w:pPr>
          </w:p>
          <w:p w14:paraId="3A15E143">
            <w:pPr>
              <w:spacing w:after="0" w:line="320" w:lineRule="exact"/>
              <w:jc w:val="center"/>
              <w:rPr>
                <w:rFonts w:hint="eastAsia" w:ascii="仿宋_GB2312" w:hAnsi="仿宋_GB2312" w:eastAsia="仿宋_GB2312" w:cs="仿宋_GB2312"/>
                <w:kern w:val="0"/>
                <w:sz w:val="24"/>
                <w:szCs w:val="20"/>
                <w:highlight w:val="none"/>
              </w:rPr>
            </w:pPr>
          </w:p>
          <w:p w14:paraId="3C6AF92E">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无人机控制技术</w:t>
            </w:r>
          </w:p>
        </w:tc>
        <w:tc>
          <w:tcPr>
            <w:tcW w:w="2928" w:type="dxa"/>
          </w:tcPr>
          <w:p w14:paraId="25E355E2">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：掌握无人机组成、分类及飞行控制系统架构（传感器、控制器）；理解无人机运动学/动力学模型、核心控制算法（PID、自适应控制）及导航、避障技术原理。</w:t>
            </w:r>
          </w:p>
          <w:p w14:paraId="1CDA5640">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：能熟练操作无人机模拟系统与实际设备，完成姿态控制、路径规划；运用PID算法调试无人机飞行参数；具备无人机飞行故障初步诊断与处理能力。</w:t>
            </w:r>
          </w:p>
          <w:p w14:paraId="4A3B1F1F">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：培养严谨的飞行操作规范意识与风险预判能力；提升基于数学模型解决工程问题的思维，增强技术实践创新素养。</w:t>
            </w:r>
          </w:p>
          <w:p w14:paraId="670A601D">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通过无人机在农业植保、国土测绘、应急救援等领域的应用，展现技术对国家农业现代化、防灾减灾的支撑作用，引导学生树立“科技赋能行业”的责任担当。</w:t>
            </w:r>
          </w:p>
        </w:tc>
        <w:tc>
          <w:tcPr>
            <w:tcW w:w="3400" w:type="dxa"/>
          </w:tcPr>
          <w:p w14:paraId="207DE505">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课程内容涵盖无人机控制技术的多个关键方面。首先介绍无人机的基本组成、分类以及发展历程，使学生对无人机有全面</w:t>
            </w:r>
            <w:r>
              <w:rPr>
                <w:rFonts w:hint="eastAsia" w:ascii="仿宋_GB2312" w:hAnsi="仿宋_GB2312" w:eastAsia="仿宋_GB2312" w:cs="仿宋_GB2312"/>
                <w:kern w:val="0"/>
                <w:sz w:val="24"/>
                <w:szCs w:val="20"/>
                <w:highlight w:val="none"/>
              </w:rPr>
              <w:t>地</w:t>
            </w:r>
            <w:r>
              <w:rPr>
                <w:rFonts w:ascii="仿宋_GB2312" w:hAnsi="仿宋_GB2312" w:eastAsia="仿宋_GB2312" w:cs="仿宋_GB2312"/>
                <w:kern w:val="0"/>
                <w:sz w:val="24"/>
                <w:szCs w:val="20"/>
                <w:highlight w:val="none"/>
              </w:rPr>
              <w:t>认识。深入讲解飞行控制系统的架构，包括传感器（如陀螺仪、加速度计等）的原理与应用，以及控制器的设计与实现。详细阐述无人机的运动学和动力学模型，为控制算法的学习提供理论基础。课程还将介绍常见的控制算法，如PID控制、自适应控制等，并通过仿真实验和实际操作让学生掌握算法的运用。此外，会涉及无人机的导航技术、姿态控制、路径规划以及避障等内容，使学生了解无人机控制的完整流程和关键技术点。</w:t>
            </w:r>
          </w:p>
        </w:tc>
        <w:tc>
          <w:tcPr>
            <w:tcW w:w="2359" w:type="dxa"/>
          </w:tcPr>
          <w:p w14:paraId="6A9DE203">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确保学生能够有效掌握无人机控制技术，本课程对学生提出了明确要求。在知识储备方面，学生应具备一定的数学基础，包括高等数学、线性代数和自动控制原理等相关知识，以便理解课程中的理论和算法。在实践操作上，学生需积极参与实验课程，认真完成各项实验任务，熟练掌握无人机的模拟操控和实际飞行操作技能。在学习态度上，要求学生保持严谨认真的态度，按时完成课程作业和项目任务，积极参与课堂讨论和小组协作学习。同时，鼓励学生自主学习和探索，阅读相关文献和研究资料，拓宽知识面，提升对无人机控制技术的理解和应用能力。</w:t>
            </w:r>
          </w:p>
        </w:tc>
      </w:tr>
      <w:tr w14:paraId="1422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0" w:hRule="atLeast"/>
          <w:jc w:val="center"/>
        </w:trPr>
        <w:tc>
          <w:tcPr>
            <w:tcW w:w="624" w:type="dxa"/>
            <w:vAlign w:val="center"/>
          </w:tcPr>
          <w:p w14:paraId="121676E6">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10</w:t>
            </w:r>
          </w:p>
        </w:tc>
        <w:tc>
          <w:tcPr>
            <w:tcW w:w="818" w:type="dxa"/>
            <w:vAlign w:val="center"/>
          </w:tcPr>
          <w:p w14:paraId="3994D426">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移动应用开发</w:t>
            </w:r>
          </w:p>
        </w:tc>
        <w:tc>
          <w:tcPr>
            <w:tcW w:w="2928" w:type="dxa"/>
          </w:tcPr>
          <w:p w14:paraId="13606A12">
            <w:pPr>
              <w:spacing w:after="0" w:line="320" w:lineRule="exact"/>
              <w:jc w:val="lef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：掌握移动OS（Android/iOS）特性、开发语言</w:t>
            </w:r>
            <w:r>
              <w:rPr>
                <w:rFonts w:hint="eastAsia" w:ascii="仿宋_GB2312" w:eastAsia="仿宋_GB2312"/>
                <w:spacing w:val="-17"/>
                <w:kern w:val="0"/>
                <w:sz w:val="24"/>
                <w:highlight w:val="none"/>
              </w:rPr>
              <w:t>（Java/Kotlin/Swift）</w:t>
            </w:r>
            <w:r>
              <w:rPr>
                <w:rFonts w:hint="eastAsia" w:ascii="仿宋_GB2312" w:eastAsia="仿宋_GB2312"/>
                <w:kern w:val="0"/>
                <w:sz w:val="24"/>
                <w:highlight w:val="none"/>
              </w:rPr>
              <w:t>及框架（Jetpack/UIKit）；理解移动应用设计（界面、架构）、数据存储、网络通信及测试优化方法。</w:t>
            </w:r>
          </w:p>
          <w:p w14:paraId="3F60C10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：能独立完成移动应用界面设计与功能模块开发（如登录、数据展示）；实现数据存储（本地/云端）与网络交互；完成应用测试、调试与性能优化，输出完整项目成果。</w:t>
            </w:r>
          </w:p>
          <w:p w14:paraId="51120B77">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：培养用户需求导向的设计思维与规范化的代码编写习惯；提升团队协作开发能力（分工设计、开发、测试），增强快速迭代的项目管理意识。</w:t>
            </w:r>
          </w:p>
          <w:p w14:paraId="25C97D0C">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结合我国移动互联网产业（如政务APP、公益应用）的发展成果，强调技术的社会价值，引导学生开发符合民生需求的应用，树立“科技服务大众”的理念。</w:t>
            </w:r>
          </w:p>
        </w:tc>
        <w:tc>
          <w:tcPr>
            <w:tcW w:w="3400" w:type="dxa"/>
          </w:tcPr>
          <w:p w14:paraId="0C3BE17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本课程内容丰富多样且循序渐进。首先，会介绍移动应用开发的行业背景、发展趋势以及常见的移动操作系统（如Android和iOS）。接着深入讲解移动应用开发所需的编程语言，如Java、Kotlin（针对Android）和Swift（针对iOS），包括语法基础、数据结构和算法等。在掌握编程语言后，课程会涵盖移动应用的界面设计原则和方法，使用相关工具进行界面布局和交互设计。随后是移动应用开发框架的学习，如Android的Jetpack组件和iOS的UIKit等，通过实际项目案例，让学生学习如何进行应用的架构设计、功能模块开发、数据存储与管理、网络通信等。课程还会涉及应用的测试与调试，包括单元测试、集成测试和性能优化等方面的知识，最后引导学生完成完整的移动应用项目开发，并进行项目展示与评估。</w:t>
            </w:r>
          </w:p>
        </w:tc>
        <w:tc>
          <w:tcPr>
            <w:tcW w:w="2359" w:type="dxa"/>
          </w:tcPr>
          <w:p w14:paraId="69ED9CB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确保学生能够有效掌握移动应用开发知识和技能，本课程对学生提出以下要求。在知识储备方面，学生需要具备一定的计算机基础知识，包括操作系统、计算机网络等，同时对至少一种编程语言有初步了解。在学习态度上，学生应积极主动，按时完成课程作业和实验任务，认真参与课堂讨论和项目实践。在技能培养方面，要求学生熟练掌握移动应用开发工具的使用，能够按照规范进行代码编写和文档撰写。在团队协作中，要具备良好的沟通能力和团队合作精神，积极参与小组项目，充分发挥自己的优势，共同完成项目目标。此外，鼓励学生关注行业动态和新技术发展，不断拓展自己的知识面和技能，以适应快速变化的移动应用开发领域。</w:t>
            </w:r>
          </w:p>
        </w:tc>
      </w:tr>
      <w:tr w14:paraId="37625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4" w:hRule="atLeast"/>
          <w:jc w:val="center"/>
        </w:trPr>
        <w:tc>
          <w:tcPr>
            <w:tcW w:w="624" w:type="dxa"/>
            <w:vAlign w:val="center"/>
          </w:tcPr>
          <w:p w14:paraId="24F8E496">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11</w:t>
            </w:r>
          </w:p>
        </w:tc>
        <w:tc>
          <w:tcPr>
            <w:tcW w:w="818" w:type="dxa"/>
            <w:vAlign w:val="center"/>
          </w:tcPr>
          <w:p w14:paraId="62FB805D">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网络云化技术及应用</w:t>
            </w:r>
          </w:p>
        </w:tc>
        <w:tc>
          <w:tcPr>
            <w:tcW w:w="2928" w:type="dxa"/>
          </w:tcPr>
          <w:p w14:paraId="372B76E3">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：掌握网络云化概念、云计算基础（云分类、IaaS/PaaS/SaaS）；理解SDN/NFV核心原理、架构及云化网络安全防护策略；了解行业应用案例（电信、互联网）。</w:t>
            </w:r>
          </w:p>
          <w:p w14:paraId="5AFE77AF">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：能基于云服务模式设计简单网络云化方案；使用实验平台完成SDN拓扑搭建与NFV功能部署；具备云化网络安全风险识别与基础防护能力。</w:t>
            </w:r>
          </w:p>
          <w:p w14:paraId="4E6B0353">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：培养虚拟化、模块化的网络设计思维；提升对新技术（SDN/NFV）的学习适应能力，增强网络安全防护意识。</w:t>
            </w:r>
          </w:p>
          <w:p w14:paraId="2A444CE2">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结合网络云化技术在我国数字新基建（如算力网络、智慧城市）中的应用，强调技术对国家信息化建设的支撑作用，引导学生树立投身数字经济发展的使命感。</w:t>
            </w:r>
          </w:p>
        </w:tc>
        <w:tc>
          <w:tcPr>
            <w:tcW w:w="3400" w:type="dxa"/>
          </w:tcPr>
          <w:p w14:paraId="37B7A3D6">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网络云化技术的多个方面。首先，介绍网络云化的基本概念、发展历程和行业背景，让学生对网络云化有宏观的认识。接着，深入讲解云计算的基础理论，包括云的分类（公有云、私有云、混合云等）、云服务模式（IaaS、PaaS、SaaS）等。重点阐述网络云化的关键技术，如软件定义网络（SDN）、网络功能虚拟化（NFV）的原理、架构和应用场景。还会涉及云化网络的安全问题，包括数据安全、网络安全防护策略等。此外，通过实际案例分析，展示网络云化技术在电信、互联网、企业等不同行业的具体应用，让学生了解如何将理论知识应用到实际项目中。</w:t>
            </w:r>
          </w:p>
        </w:tc>
        <w:tc>
          <w:tcPr>
            <w:tcW w:w="2359" w:type="dxa"/>
          </w:tcPr>
          <w:p w14:paraId="3EC5BBB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在本课程的学习过程中，需满足以下要求。在知识储备方面，应具备一定的计算机网络基础知识，了解网络体系结构和常见的网络协议。在学习态度上，要积极主动，按时完成课程布置的各项任务，包括阅读教材、观看教学视频、完成作业等。课堂上要认真听讲，积极参与讨论和互动，提出自己的疑问和见解。在实践操作方面，学生需熟练掌握相关的实验工具和平台，按照实验指导书完成网络云化技术的实验操作，提升动手实践能力。</w:t>
            </w:r>
          </w:p>
        </w:tc>
      </w:tr>
      <w:tr w14:paraId="0E50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75EAF949">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12</w:t>
            </w:r>
          </w:p>
        </w:tc>
        <w:tc>
          <w:tcPr>
            <w:tcW w:w="818" w:type="dxa"/>
            <w:vAlign w:val="center"/>
          </w:tcPr>
          <w:p w14:paraId="4A89666B">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机器人控制技术</w:t>
            </w:r>
          </w:p>
        </w:tc>
        <w:tc>
          <w:tcPr>
            <w:tcW w:w="2928" w:type="dxa"/>
          </w:tcPr>
          <w:p w14:paraId="1B951084">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：掌握机器人结构、分类及运动学（正/逆解）、动力学原理；理解机器人经典控制（位置/速度/力控制）与智能控制（模糊、神经网络）策略；了解传感器技术与控制系统软硬件架构。</w:t>
            </w:r>
          </w:p>
          <w:p w14:paraId="30353F86">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：能求解机器人运动学方程，确定末端执行器姿态；运用PID算法调试机器人位置控制参数；使用传感器获取机器人状态信息，完成简单控制任务。</w:t>
            </w:r>
          </w:p>
          <w:p w14:paraId="4774B0D5">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：培养基于数学模型分析机器人控制问题的逻辑思维；提升实验操作的严谨性与数据处理能力，增强跨学科（机械、控制、传感）整合素养。</w:t>
            </w:r>
          </w:p>
          <w:p w14:paraId="61035EC5">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通过机器人技术在工业自动化、医疗康复等领域的应用，展现我国制造业“智改数转”成果，引导学生树立助力我国从“制造大国”向“制造强国”转型的理想。</w:t>
            </w:r>
          </w:p>
        </w:tc>
        <w:tc>
          <w:tcPr>
            <w:tcW w:w="3400" w:type="dxa"/>
          </w:tcPr>
          <w:p w14:paraId="4560DE2B">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机器人控制技术的多个关键方面。首先介绍机器人的基本结构和分类，为后续学习打下基础。深入讲解机器人运动学，包括正运动学和逆运动学的求解，以确定机器人末端执行器的位置和姿态。剖析机器人动力学，研究机器人运动与受力之间的关系，推导动力学方程。重点阐述机器人的位置控制、速度控制和力控制等经典控制策略，以及现代先进的智能控制方法，如模糊控制、神经网络控制等。此外，还会涉及机器人传感器技术，了解如何利用传感器获取机器人的状态信息，以及机器人控制系统的硬件组成和软件架构，通过实际案例分析和实验操作，让学生将理论知识应用到实践中。</w:t>
            </w:r>
          </w:p>
        </w:tc>
        <w:tc>
          <w:tcPr>
            <w:tcW w:w="2359" w:type="dxa"/>
          </w:tcPr>
          <w:p w14:paraId="16249757">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学生在学习本课程时，</w:t>
            </w:r>
            <w:r>
              <w:rPr>
                <w:rFonts w:hint="eastAsia" w:ascii="仿宋_GB2312" w:hAnsi="仿宋_GB2312" w:eastAsia="仿宋_GB2312" w:cs="仿宋_GB2312"/>
                <w:kern w:val="0"/>
                <w:sz w:val="24"/>
                <w:szCs w:val="20"/>
                <w:highlight w:val="none"/>
                <w:lang w:eastAsia="zh-CN"/>
              </w:rPr>
              <w:t>须具备</w:t>
            </w:r>
            <w:r>
              <w:rPr>
                <w:rFonts w:ascii="仿宋_GB2312" w:hAnsi="仿宋_GB2312" w:eastAsia="仿宋_GB2312" w:cs="仿宋_GB2312"/>
                <w:kern w:val="0"/>
                <w:sz w:val="24"/>
                <w:szCs w:val="20"/>
                <w:highlight w:val="none"/>
              </w:rPr>
              <w:t>一定的数学基础，包括高等数学、线性代数和概率论等知识，以便理解机器人控制技术中的相关理论和算法。要求学生按时参加课堂学习，积极参与课堂讨论和互动，认真做好笔记。课后要及时完成布置的作业，通过作业加深对知识点的理解和掌握。在实验环节，学生需严格遵守实验室的规章制度，认真操作实验设备，记录实验数据，撰写实验报告，提高实践操作能力和数据分析能力。</w:t>
            </w:r>
          </w:p>
        </w:tc>
      </w:tr>
      <w:tr w14:paraId="4420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49F3AACD">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13</w:t>
            </w:r>
          </w:p>
        </w:tc>
        <w:tc>
          <w:tcPr>
            <w:tcW w:w="818" w:type="dxa"/>
            <w:vAlign w:val="center"/>
          </w:tcPr>
          <w:p w14:paraId="7DDD6A69">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工业互联网实施与运维</w:t>
            </w:r>
          </w:p>
        </w:tc>
        <w:tc>
          <w:tcPr>
            <w:tcW w:w="2928" w:type="dxa"/>
          </w:tcPr>
          <w:p w14:paraId="5F6FD69A">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：掌握工业互联网体系架构、关键技术（物联网、大数据、AI）；理解实施流程（规划－设计－集成－测试）与运维管理（巡检、故障修复、安全防护）规范。</w:t>
            </w:r>
          </w:p>
          <w:p w14:paraId="3FCA0E4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：能参与工业互联网项目需求分析与方案设计；使用工具完成设备联网与系统调试；具备工业互联网系统日常运维、故障诊断与性能优化能力。</w:t>
            </w:r>
          </w:p>
          <w:p w14:paraId="3094E567">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：培养工业场景下的系统思维与问题解决能力；提升标准化运维意识与安全防护素养，适应工业现场复杂工作环境。</w:t>
            </w:r>
          </w:p>
          <w:p w14:paraId="7C0964AE">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结合工业互联网对传统制造业升级的推动作用（如智能工厂、柔性生产），强调“产业报国”理念，引导学生认识技术对国家工业竞争力提升的核心价值，树立服务实体经济的意识。</w:t>
            </w:r>
          </w:p>
        </w:tc>
        <w:tc>
          <w:tcPr>
            <w:tcW w:w="3400" w:type="dxa"/>
          </w:tcPr>
          <w:p w14:paraId="261624BF">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工业互联网基础理论，包括工业互联网的发展历程、体系架构、关键技术（如物联网、大数据、人工智能等）；工业互联网实施流程，从项目规划、需求分析、方案设计到设备联网、系统集成与测试；工业互联网运维管理，涉及日常巡检、故障诊断与修复、性能优化、安全防护等。此外，还会引入实际工业案例分析与实践项目，让学生在真实场景中应用所学知识，提升解决实际问题的能力。</w:t>
            </w:r>
          </w:p>
        </w:tc>
        <w:tc>
          <w:tcPr>
            <w:tcW w:w="2359" w:type="dxa"/>
          </w:tcPr>
          <w:p w14:paraId="0AFCC2B2">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学生在学习本课程前，</w:t>
            </w:r>
            <w:r>
              <w:rPr>
                <w:rFonts w:hint="eastAsia" w:ascii="仿宋_GB2312" w:hAnsi="仿宋_GB2312" w:eastAsia="仿宋_GB2312" w:cs="仿宋_GB2312"/>
                <w:kern w:val="0"/>
                <w:sz w:val="24"/>
                <w:szCs w:val="20"/>
                <w:highlight w:val="none"/>
                <w:lang w:eastAsia="zh-CN"/>
              </w:rPr>
              <w:t>须具备</w:t>
            </w:r>
            <w:r>
              <w:rPr>
                <w:rFonts w:ascii="仿宋_GB2312" w:hAnsi="仿宋_GB2312" w:eastAsia="仿宋_GB2312" w:cs="仿宋_GB2312"/>
                <w:kern w:val="0"/>
                <w:sz w:val="24"/>
                <w:szCs w:val="20"/>
                <w:highlight w:val="none"/>
              </w:rPr>
              <w:t>一定的计算机基础知识、工业自动化相关知识以及网络通信基础。课程学习过程中，要求学生积极参与课堂讨论、实验操作和实践项目，按时完成作业与课程任务。在理论知识方面，需理解并掌握工业互联网的基本概念、技术原理和实施运维流程；在实践技能上，能够熟练运用相关工具和平台进行工业互联网系统的部署、调试与维护，具备分析和解决实际问题的能力。课程考核将综合考虑理论考试、实践操作表现以及项目作业完成质量。</w:t>
            </w:r>
          </w:p>
        </w:tc>
      </w:tr>
      <w:tr w14:paraId="68785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Align w:val="center"/>
          </w:tcPr>
          <w:p w14:paraId="59F25805">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14</w:t>
            </w:r>
          </w:p>
        </w:tc>
        <w:tc>
          <w:tcPr>
            <w:tcW w:w="818" w:type="dxa"/>
            <w:vAlign w:val="center"/>
          </w:tcPr>
          <w:p w14:paraId="40C6FB37">
            <w:pPr>
              <w:spacing w:after="0" w:line="320" w:lineRule="exact"/>
              <w:jc w:val="center"/>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电子信息专业英语</w:t>
            </w:r>
          </w:p>
        </w:tc>
        <w:tc>
          <w:tcPr>
            <w:tcW w:w="2928" w:type="dxa"/>
          </w:tcPr>
          <w:p w14:paraId="28BD68BC">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知识目标</w:t>
            </w:r>
            <w:r>
              <w:rPr>
                <w:rFonts w:hint="eastAsia" w:ascii="仿宋_GB2312" w:eastAsia="仿宋_GB2312"/>
                <w:kern w:val="0"/>
                <w:sz w:val="24"/>
                <w:highlight w:val="none"/>
              </w:rPr>
              <w:t>：熟练掌握电子信息领域核心词汇（电路、通信、计算机）；理解专业文献（论文、技术手册、专利）结构与表达逻辑；掌握科技英语写作（摘要、实验报告）与口语交流规范。</w:t>
            </w:r>
          </w:p>
          <w:p w14:paraId="4ED9A03D">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能力目标</w:t>
            </w:r>
            <w:r>
              <w:rPr>
                <w:rFonts w:hint="eastAsia" w:ascii="仿宋_GB2312" w:eastAsia="仿宋_GB2312"/>
                <w:kern w:val="0"/>
                <w:sz w:val="24"/>
                <w:highlight w:val="none"/>
              </w:rPr>
              <w:t>：能流畅阅读英文专业文献，提炼核心观点；按规范撰写英文实验报告、技术摘要；在国际学术交流、商务洽谈场景中，用英语清晰表达专业观点。</w:t>
            </w:r>
          </w:p>
          <w:p w14:paraId="6D03455F">
            <w:pPr>
              <w:spacing w:after="0" w:line="320" w:lineRule="exact"/>
              <w:rPr>
                <w:rFonts w:ascii="仿宋_GB2312" w:eastAsia="仿宋_GB2312"/>
                <w:kern w:val="0"/>
                <w:sz w:val="24"/>
                <w:highlight w:val="none"/>
              </w:rPr>
            </w:pPr>
            <w:r>
              <w:rPr>
                <w:rFonts w:hint="eastAsia" w:ascii="仿宋_GB2312" w:eastAsia="仿宋_GB2312"/>
                <w:b/>
                <w:bCs/>
                <w:kern w:val="0"/>
                <w:sz w:val="24"/>
                <w:highlight w:val="none"/>
              </w:rPr>
              <w:t>素质目标</w:t>
            </w:r>
            <w:r>
              <w:rPr>
                <w:rFonts w:hint="eastAsia" w:ascii="仿宋_GB2312" w:eastAsia="仿宋_GB2312"/>
                <w:kern w:val="0"/>
                <w:sz w:val="24"/>
                <w:highlight w:val="none"/>
              </w:rPr>
              <w:t>：培养自主查阅国际文献的学习能力；提升跨文化专业沟通素养，增强国际视野与学术交流自信。</w:t>
            </w:r>
          </w:p>
          <w:p w14:paraId="345A3298">
            <w:pPr>
              <w:spacing w:after="0" w:line="320" w:lineRule="exact"/>
              <w:rPr>
                <w:rFonts w:hint="eastAsia" w:ascii="仿宋_GB2312" w:hAnsi="仿宋_GB2312" w:eastAsia="仿宋_GB2312" w:cs="仿宋_GB2312"/>
                <w:kern w:val="0"/>
                <w:sz w:val="24"/>
                <w:highlight w:val="none"/>
              </w:rPr>
            </w:pPr>
            <w:r>
              <w:rPr>
                <w:rFonts w:hint="eastAsia" w:ascii="仿宋_GB2312" w:eastAsia="仿宋_GB2312"/>
                <w:b/>
                <w:bCs/>
                <w:kern w:val="0"/>
                <w:sz w:val="24"/>
                <w:highlight w:val="none"/>
              </w:rPr>
              <w:t>课程思政育人目标：</w:t>
            </w:r>
            <w:r>
              <w:rPr>
                <w:rFonts w:hint="eastAsia" w:ascii="仿宋_GB2312" w:eastAsia="仿宋_GB2312"/>
                <w:kern w:val="0"/>
                <w:sz w:val="24"/>
                <w:highlight w:val="none"/>
              </w:rPr>
              <w:t>通过解读国际顶尖电子信息期刊论文、技术标准，引导学生理性看待中外技术差距，树立“师夷长技以自强”的学习态度，培养用英语传播我国电子信息领域创新成果的能力。</w:t>
            </w:r>
          </w:p>
        </w:tc>
        <w:tc>
          <w:tcPr>
            <w:tcW w:w="3400" w:type="dxa"/>
          </w:tcPr>
          <w:p w14:paraId="1C6F915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课程内容涵盖电子信息专业英语的多个重要方面。首先，深入讲解电子信息领域的基础专业词汇，包括电路、信号处理、通信原理、计算机科学等核心学科的常用术语，通过例句和语境帮助学生理解和记忆。其次，剖析各类专业英语文献的结构和特点，如学术论文、技术手册、专利说明书等，进行针对性</w:t>
            </w:r>
            <w:r>
              <w:rPr>
                <w:rFonts w:hint="eastAsia" w:ascii="仿宋_GB2312" w:hAnsi="仿宋_GB2312" w:eastAsia="仿宋_GB2312" w:cs="仿宋_GB2312"/>
                <w:kern w:val="0"/>
                <w:sz w:val="24"/>
                <w:szCs w:val="20"/>
                <w:highlight w:val="none"/>
              </w:rPr>
              <w:t>地</w:t>
            </w:r>
            <w:r>
              <w:rPr>
                <w:rFonts w:ascii="仿宋_GB2312" w:hAnsi="仿宋_GB2312" w:eastAsia="仿宋_GB2312" w:cs="仿宋_GB2312"/>
                <w:kern w:val="0"/>
                <w:sz w:val="24"/>
                <w:szCs w:val="20"/>
                <w:highlight w:val="none"/>
              </w:rPr>
              <w:t>阅读训练，提升学生的文献解读能力。再者，安排专业英语写作课程，指导学生掌握科技论文写作规范、摘要撰写技巧、实验报告的格式和语言表达等。另外，设置口语交流环节，模拟国际学术会议、商务洽谈等场景，锻炼学生的口语表达和听力理解能力，使学生能够在实际交流中运用所学专业英语知识。</w:t>
            </w:r>
          </w:p>
        </w:tc>
        <w:tc>
          <w:tcPr>
            <w:tcW w:w="2359" w:type="dxa"/>
          </w:tcPr>
          <w:p w14:paraId="32CAD2AA">
            <w:pPr>
              <w:spacing w:after="0" w:line="320" w:lineRule="exact"/>
              <w:rPr>
                <w:rFonts w:hint="eastAsia" w:ascii="仿宋_GB2312" w:hAnsi="仿宋_GB2312" w:eastAsia="仿宋_GB2312" w:cs="仿宋_GB2312"/>
                <w:kern w:val="0"/>
                <w:sz w:val="24"/>
                <w:szCs w:val="20"/>
                <w:highlight w:val="none"/>
              </w:rPr>
            </w:pPr>
            <w:r>
              <w:rPr>
                <w:rFonts w:ascii="仿宋_GB2312" w:hAnsi="仿宋_GB2312" w:eastAsia="仿宋_GB2312" w:cs="仿宋_GB2312"/>
                <w:kern w:val="0"/>
                <w:sz w:val="24"/>
                <w:szCs w:val="20"/>
                <w:highlight w:val="none"/>
              </w:rPr>
              <w:t>学生在本课程的学习过程中需达到以下要求。在知识掌握方面，要求熟练掌握课程所涉及的专业英语词汇，能够准确运用在阅读、写作和口语表达中。阅读方面，能够流畅阅读电子信息专业的英文文献，理解其核心内容，并能对文献进行总结和分析。写作上，严格按照科技英语写作规范完成各类作业，如实验报告、学术论文等，语言表达准确、逻辑清晰。口语交流时，需积极参与课堂互动，能够用英语进行专业话题的讨论和交流，发音准确，表达流利。此外，学生应按时完成课后作业和阅读任务，积极参与小组讨论和实践活动，培养自主学习和团队合作的能力。</w:t>
            </w:r>
          </w:p>
        </w:tc>
      </w:tr>
    </w:tbl>
    <w:p w14:paraId="1C24C76F">
      <w:pPr>
        <w:adjustRightInd w:val="0"/>
        <w:snapToGri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4.实践性教学环节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由初级维修电工实训、</w:t>
      </w:r>
      <w:bookmarkStart w:id="24" w:name="OLE_LINK5"/>
      <w:r>
        <w:rPr>
          <w:rFonts w:hint="eastAsia" w:ascii="仿宋_GB2312" w:hAnsi="仿宋_GB2312" w:eastAsia="仿宋_GB2312" w:cs="仿宋_GB2312"/>
          <w:sz w:val="32"/>
          <w:szCs w:val="32"/>
          <w:highlight w:val="none"/>
        </w:rPr>
        <w:t>中级维修电工实训、毕业设计、岗位实习</w:t>
      </w:r>
      <w:bookmarkEnd w:id="24"/>
      <w:r>
        <w:rPr>
          <w:rFonts w:hint="eastAsia" w:ascii="仿宋_GB2312" w:hAnsi="仿宋_GB2312" w:eastAsia="仿宋_GB2312" w:cs="仿宋_GB2312"/>
          <w:sz w:val="32"/>
          <w:szCs w:val="32"/>
          <w:highlight w:val="none"/>
        </w:rPr>
        <w:t>构成实践性教学环节。</w:t>
      </w:r>
    </w:p>
    <w:p w14:paraId="3C73F596">
      <w:pPr>
        <w:overflowPunct w:val="0"/>
        <w:adjustRightInd w:val="0"/>
        <w:spacing w:after="0"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表6实践性教学环节课程目标、主要教学内容与要求</w:t>
      </w:r>
    </w:p>
    <w:tbl>
      <w:tblPr>
        <w:tblStyle w:val="8"/>
        <w:tblW w:w="1040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788"/>
        <w:gridCol w:w="3514"/>
        <w:gridCol w:w="2804"/>
        <w:gridCol w:w="2582"/>
      </w:tblGrid>
      <w:tr w14:paraId="09952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585B82F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序号</w:t>
            </w:r>
          </w:p>
        </w:tc>
        <w:tc>
          <w:tcPr>
            <w:tcW w:w="788" w:type="dxa"/>
            <w:vAlign w:val="center"/>
          </w:tcPr>
          <w:p w14:paraId="6768A6E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课程名称</w:t>
            </w:r>
          </w:p>
        </w:tc>
        <w:tc>
          <w:tcPr>
            <w:tcW w:w="3514" w:type="dxa"/>
            <w:vAlign w:val="center"/>
          </w:tcPr>
          <w:p w14:paraId="386362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课程目标</w:t>
            </w:r>
          </w:p>
        </w:tc>
        <w:tc>
          <w:tcPr>
            <w:tcW w:w="2804" w:type="dxa"/>
            <w:vAlign w:val="center"/>
          </w:tcPr>
          <w:p w14:paraId="2D9C13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主要教学内容</w:t>
            </w:r>
          </w:p>
        </w:tc>
        <w:tc>
          <w:tcPr>
            <w:tcW w:w="2582" w:type="dxa"/>
            <w:vAlign w:val="center"/>
          </w:tcPr>
          <w:p w14:paraId="025C239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教学要求</w:t>
            </w:r>
          </w:p>
        </w:tc>
      </w:tr>
      <w:tr w14:paraId="2490E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426B4A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788" w:type="dxa"/>
            <w:vAlign w:val="center"/>
          </w:tcPr>
          <w:p w14:paraId="42B14C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初级维修电工实训</w:t>
            </w:r>
          </w:p>
        </w:tc>
        <w:tc>
          <w:tcPr>
            <w:tcW w:w="3514" w:type="dxa"/>
          </w:tcPr>
          <w:p w14:paraId="25CC7C3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：掌握电工安全操作规程、电路基础原理，理解常用电气设备结构与工作原理，熟悉电工工具与仪器仪表使用规范。</w:t>
            </w:r>
          </w:p>
          <w:p w14:paraId="54BE86C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：能规范使用电工工具与万用表等仪器，独立完成照明电路、电动机控制电路安装调试，具备电气元件检测与简单故障排查能力。</w:t>
            </w:r>
          </w:p>
          <w:p w14:paraId="402F942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：培养安全第一的操作意识与规范的实操习惯，提升动手能力与问题解决素养，养成细致的实训记录与反思习惯。</w:t>
            </w:r>
          </w:p>
          <w:p w14:paraId="5605C88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结合电工行业安全事故案例，强调 “安全责任重于泰山”；通过规范操作训练，传递严谨务实的职业精神与工匠精神。</w:t>
            </w:r>
          </w:p>
        </w:tc>
        <w:tc>
          <w:tcPr>
            <w:tcW w:w="2804" w:type="dxa"/>
          </w:tcPr>
          <w:p w14:paraId="0F47110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ascii="仿宋_GB2312" w:hAnsi="仿宋_GB2312" w:eastAsia="仿宋_GB2312" w:cs="仿宋_GB2312"/>
                <w:sz w:val="24"/>
                <w:highlight w:val="none"/>
              </w:rPr>
              <w:t>内容紧密围绕初级维修电工所需的技能展开。首先介绍电工安全知识和操作规程，确保学生具备基本的安全意识。理论知识涵盖电路基础原理、电磁学基本知识、常用电气设备的结构与工作原理。实践操作包括常用电工工具（如电工刀、螺丝刀、钳子等）和仪器仪表（如万用表、钳形电流表等）的使用练习；进行简单照明电路、电动机控制电路的安装与调试；学习识别和检测电气元件（如电阻、电容、开关等）的好坏；模拟常见电路故障进行排查与修复训练等内容。</w:t>
            </w:r>
          </w:p>
        </w:tc>
        <w:tc>
          <w:tcPr>
            <w:tcW w:w="2582" w:type="dxa"/>
          </w:tcPr>
          <w:p w14:paraId="45299BB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ascii="仿宋_GB2312" w:hAnsi="仿宋_GB2312" w:eastAsia="仿宋_GB2312" w:cs="仿宋_GB2312"/>
                <w:sz w:val="24"/>
                <w:highlight w:val="none"/>
              </w:rPr>
              <w:t>学生需按时出勤，认真遵守实训课堂纪律和安全操作规程，未经允许不得随意动用实训设备和工具。在理论学习环节，要做好笔记，积极思考，主动提问，深刻理解电工基础理论知识。实践操作时，严格按照步骤进行，规范使用工具和仪器仪表，注重操作细节，确保操作过程安全无误。认真记录操作过程和实验数据，独立完成实训报告，对实训内容进行总结和反思。在团队协作项目中，要积极参与讨论和分工合作，发挥自身优势，共同完成实训任务。若在实训过程中遇到问题，应及时向教师请教，不得擅自处理，以保证实训顺利进行和自身及设备安全。</w:t>
            </w:r>
          </w:p>
        </w:tc>
      </w:tr>
      <w:tr w14:paraId="37A1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4157FB5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788" w:type="dxa"/>
            <w:vAlign w:val="center"/>
          </w:tcPr>
          <w:p w14:paraId="4E9B005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中级维修电工实训</w:t>
            </w:r>
          </w:p>
        </w:tc>
        <w:tc>
          <w:tcPr>
            <w:tcW w:w="3514" w:type="dxa"/>
          </w:tcPr>
          <w:p w14:paraId="3C39DE6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知识目标</w:t>
            </w:r>
            <w:r>
              <w:rPr>
                <w:rFonts w:hint="eastAsia" w:ascii="仿宋_GB2312" w:hAnsi="仿宋_GB2312" w:eastAsia="仿宋_GB2312" w:cs="仿宋_GB2312"/>
                <w:kern w:val="0"/>
                <w:sz w:val="24"/>
                <w:highlight w:val="none"/>
              </w:rPr>
              <w:t>：深入掌握电气安全进阶知识、PLC 基础理论与编程方法，理解电动机复杂控制线路（正反转、星三角启动等）原理，熟悉机床电气、配电柜维护要点。</w:t>
            </w:r>
          </w:p>
          <w:p w14:paraId="0783C02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能力目标</w:t>
            </w:r>
            <w:r>
              <w:rPr>
                <w:rFonts w:hint="eastAsia" w:ascii="仿宋_GB2312" w:hAnsi="仿宋_GB2312" w:eastAsia="仿宋_GB2312" w:cs="仿宋_GB2312"/>
                <w:kern w:val="0"/>
                <w:sz w:val="24"/>
                <w:highlight w:val="none"/>
              </w:rPr>
              <w:t>：能精准使用兆欧表等仪器，独立完成复杂电气控制线路安装调试、PLC 程序编写与调试，具备典型电气设备故障检修能力。</w:t>
            </w:r>
          </w:p>
          <w:p w14:paraId="176EDF7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素质目标</w:t>
            </w:r>
            <w:r>
              <w:rPr>
                <w:rFonts w:hint="eastAsia" w:ascii="仿宋_GB2312" w:hAnsi="仿宋_GB2312" w:eastAsia="仿宋_GB2312" w:cs="仿宋_GB2312"/>
                <w:kern w:val="0"/>
                <w:sz w:val="24"/>
                <w:highlight w:val="none"/>
              </w:rPr>
              <w:t>：培养复杂问题分析与系统解决能力，提升团队协作中的技术沟通素养，养成精益求精的设备维护习惯。</w:t>
            </w:r>
          </w:p>
          <w:p w14:paraId="4BBA385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kern w:val="0"/>
                <w:sz w:val="24"/>
                <w:highlight w:val="none"/>
              </w:rPr>
              <w:t>课程思政育人目标：</w:t>
            </w:r>
            <w:r>
              <w:rPr>
                <w:rFonts w:hint="eastAsia" w:ascii="仿宋_GB2312" w:hAnsi="仿宋_GB2312" w:eastAsia="仿宋_GB2312" w:cs="仿宋_GB2312"/>
                <w:kern w:val="0"/>
                <w:sz w:val="24"/>
                <w:highlight w:val="none"/>
              </w:rPr>
              <w:t>结合我国工业自动化设备自主研发案例，强调技术技能对产业升级的支撑作用，激发学生立足岗位、服务工业发展的职业理想。</w:t>
            </w:r>
          </w:p>
        </w:tc>
        <w:tc>
          <w:tcPr>
            <w:tcW w:w="2804" w:type="dxa"/>
          </w:tcPr>
          <w:p w14:paraId="1A3F34C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lang w:eastAsia="zh-CN"/>
              </w:rPr>
            </w:pPr>
            <w:r>
              <w:rPr>
                <w:rFonts w:ascii="仿宋_GB2312" w:hAnsi="仿宋_GB2312" w:eastAsia="仿宋_GB2312" w:cs="仿宋_GB2312"/>
                <w:sz w:val="24"/>
                <w:highlight w:val="none"/>
              </w:rPr>
              <w:t>中级维修电工实训课程内容丰富且实用，紧密围绕实际工作需求展开。涵盖了电气安全知识的深度讲解与严格实操规范训练，确保学生具备扎实的安全意识和操作能力。深入剖析常用电工工具、仪器仪表（如万用表、兆欧表、钳形电流表等）的精准使用方法和精细维护要点。系统学习电气控制线路（如电动机正反转控制、星三角降压启动控制、多地控制等）的原理、细致安装调试步骤和高效故障排除技巧。详细介绍 PLC（可编程逻辑控制器）的基础理论、编程方法以及在实际工业控制中的广泛应用。此外，还包括典型电气设备（如机床电气、配电柜等）的全面安装、精心调试、定期维护和及时故障检修等实训项目，</w:t>
            </w:r>
            <w:r>
              <w:rPr>
                <w:rFonts w:hint="eastAsia" w:ascii="仿宋_GB2312" w:hAnsi="仿宋_GB2312" w:eastAsia="仿宋_GB2312" w:cs="仿宋_GB2312"/>
                <w:sz w:val="24"/>
                <w:highlight w:val="none"/>
                <w:lang w:eastAsia="zh-CN"/>
              </w:rPr>
              <w:t xml:space="preserve">让学生在实践中积累工作经验。 </w:t>
            </w:r>
          </w:p>
        </w:tc>
        <w:tc>
          <w:tcPr>
            <w:tcW w:w="2582" w:type="dxa"/>
          </w:tcPr>
          <w:p w14:paraId="5213072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ascii="仿宋_GB2312" w:hAnsi="仿宋_GB2312" w:eastAsia="仿宋_GB2312" w:cs="仿宋_GB2312"/>
                <w:sz w:val="24"/>
                <w:highlight w:val="none"/>
              </w:rPr>
              <w:t>学生在参与中级维修电工实训课程时，需严格遵守多项要求。在思想态度上，高度重视安全问题，时刻严格遵守实训室的各项安全规章制度，规范操作流程，杜绝任何安全事故的发生。积极主动地参与实训项目，全身心投入到实践操作中，遇到问题时勤于思考、勇于尝试，不断提升自身的动手能力和解决问题的能力。在知识技能方面，熟练掌握课程所涉及的专业理论知识，能够灵活且准确地运用所学知识指导实践操作。认真完成每一个实训任务，确保操作规范、结果准确，并详细记录实训过程和结果，按时提交高质量的实训报告。在团队协作方面，积极与团队成员进行沟通交流，密切配合，共同完成团队任务，培养良好的团队合作精神和沟通能力。尊重教师和其他同学，保持实训室的整洁和设备的完好，爱护公共财物。</w:t>
            </w:r>
          </w:p>
        </w:tc>
      </w:tr>
      <w:tr w14:paraId="362D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15B649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788" w:type="dxa"/>
            <w:vAlign w:val="center"/>
          </w:tcPr>
          <w:p w14:paraId="40FC38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毕业设计</w:t>
            </w:r>
          </w:p>
        </w:tc>
        <w:tc>
          <w:tcPr>
            <w:tcW w:w="3514" w:type="dxa"/>
          </w:tcPr>
          <w:p w14:paraId="683A1FE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：1.掌握所选课题相关的专业理论知识、技术标准及研究方法。2.</w:t>
            </w:r>
            <w:r>
              <w:rPr>
                <w:rFonts w:ascii="仿宋_GB2312" w:hAnsi="仿宋_GB2312" w:eastAsia="仿宋_GB2312" w:cs="仿宋_GB2312"/>
                <w:kern w:val="0"/>
                <w:sz w:val="24"/>
                <w:szCs w:val="20"/>
                <w:highlight w:val="none"/>
              </w:rPr>
              <w:t>理解毕业设计（论文）的结构规范、学术写作要求及知识产权保护相关规定。</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了解课题所属领域的技术现状、发展趋势及实际应用中的核心问题。</w:t>
            </w:r>
          </w:p>
          <w:p w14:paraId="5C59F16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：1.能独立分析课题需求，制定合理的研究或设计方案并进行可行性论证。2.</w:t>
            </w:r>
            <w:r>
              <w:rPr>
                <w:rFonts w:ascii="仿宋_GB2312" w:hAnsi="仿宋_GB2312" w:eastAsia="仿宋_GB2312" w:cs="仿宋_GB2312"/>
                <w:kern w:val="0"/>
                <w:sz w:val="24"/>
                <w:szCs w:val="20"/>
                <w:highlight w:val="none"/>
              </w:rPr>
              <w:t>能运用专业技能开展实践研究，收集并分析数据以验证方案有效性。</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能规范撰写毕业设计（论文），清晰呈现研究过程、结果及创新点，完成答辩汇报。</w:t>
            </w:r>
          </w:p>
          <w:p w14:paraId="1AC8EDB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：1.养成严谨的科研态度，对待研究数据与结论实事求是，杜绝学术不端行为。2.</w:t>
            </w:r>
            <w:r>
              <w:rPr>
                <w:rFonts w:ascii="仿宋_GB2312" w:hAnsi="仿宋_GB2312" w:eastAsia="仿宋_GB2312" w:cs="仿宋_GB2312"/>
                <w:kern w:val="0"/>
                <w:sz w:val="24"/>
                <w:szCs w:val="20"/>
                <w:highlight w:val="none"/>
              </w:rPr>
              <w:t>培养独立思考、自主解决复杂问题的能力，形成“发现问题 —分析问题—解决问题”的思维闭环。</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提升对研究成果负责的责任意识，注重成果的实用性与社会价值。</w:t>
            </w:r>
          </w:p>
          <w:p w14:paraId="1145536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1.强调毕业设计中的学术诚信，培养学生坚守学术道德的底线思维。2.</w:t>
            </w:r>
            <w:r>
              <w:rPr>
                <w:rFonts w:ascii="仿宋_GB2312" w:hAnsi="仿宋_GB2312" w:eastAsia="仿宋_GB2312" w:cs="仿宋_GB2312"/>
                <w:kern w:val="0"/>
                <w:sz w:val="24"/>
                <w:szCs w:val="20"/>
                <w:highlight w:val="none"/>
              </w:rPr>
              <w:t>鼓励选题结合社会需求，引导学生树立“学以致用、服务社会”的理念。</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通过攻克课题难点的过程，培养学生迎难而上、持之以恒的钻研精神。</w:t>
            </w:r>
          </w:p>
        </w:tc>
        <w:tc>
          <w:tcPr>
            <w:tcW w:w="2804" w:type="dxa"/>
          </w:tcPr>
          <w:p w14:paraId="3375B87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从选题的内容上可以分为理论型毕业设计（论文）和应用型毕业设计（论文）两大类</w:t>
            </w:r>
          </w:p>
        </w:tc>
        <w:tc>
          <w:tcPr>
            <w:tcW w:w="2582" w:type="dxa"/>
          </w:tcPr>
          <w:p w14:paraId="7AB684C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shd w:val="clear" w:color="auto" w:fill="FFFFFF"/>
              </w:rPr>
            </w:pPr>
            <w:r>
              <w:rPr>
                <w:rFonts w:hint="eastAsia" w:ascii="仿宋_GB2312" w:hAnsi="仿宋_GB2312" w:eastAsia="仿宋_GB2312" w:cs="仿宋_GB2312"/>
                <w:kern w:val="0"/>
                <w:sz w:val="24"/>
                <w:highlight w:val="none"/>
                <w:shd w:val="clear" w:color="auto" w:fill="FFFFFF"/>
              </w:rPr>
              <w:t>实习目标</w:t>
            </w: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：旨在使学生深入了解专业领域，增进理论与实践的联系，为学习专业课做准备，并检查和锻炼学生的实际应用能力。</w:t>
            </w:r>
          </w:p>
          <w:p w14:paraId="7910D7C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shd w:val="clear" w:color="auto" w:fill="FFFFFF"/>
              </w:rPr>
            </w:pP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实习方式与程序</w:t>
            </w: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：通常采用分散实习方式，学生需自行联系实习单位，并在实习过程中与校内指导教师保持联系。</w:t>
            </w:r>
          </w:p>
          <w:p w14:paraId="5197E76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shd w:val="clear" w:color="auto" w:fill="FFFFFF"/>
              </w:rPr>
            </w:pP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时间安排</w:t>
            </w: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：实习时间一般为1周，具体安排可能因学校或专业而异。</w:t>
            </w:r>
          </w:p>
          <w:p w14:paraId="2CBB09F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highlight w:val="none"/>
                <w:shd w:val="clear" w:color="auto" w:fill="FFFFFF"/>
              </w:rPr>
            </w:pP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考核要求</w:t>
            </w: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：实习结束后，学生需要提交多份材料，包括实习报告等，以评定实习成绩。</w:t>
            </w:r>
          </w:p>
          <w:p w14:paraId="1656DEF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实习成绩评定</w:t>
            </w:r>
            <w:r>
              <w:rPr>
                <w:rFonts w:ascii="Courier New" w:hAnsi="Courier New" w:eastAsia="仿宋_GB2312" w:cs="Courier New"/>
                <w:kern w:val="0"/>
                <w:sz w:val="24"/>
                <w:highlight w:val="none"/>
                <w:shd w:val="clear" w:color="auto" w:fill="FFFFFF"/>
              </w:rPr>
              <w:t>‌</w:t>
            </w:r>
            <w:r>
              <w:rPr>
                <w:rFonts w:hint="eastAsia" w:ascii="仿宋_GB2312" w:hAnsi="仿宋_GB2312" w:eastAsia="仿宋_GB2312" w:cs="仿宋_GB2312"/>
                <w:kern w:val="0"/>
                <w:sz w:val="24"/>
                <w:highlight w:val="none"/>
                <w:shd w:val="clear" w:color="auto" w:fill="FFFFFF"/>
              </w:rPr>
              <w:t>：根据实习单位鉴定、实习表现等综合评定，实行百分制</w:t>
            </w:r>
          </w:p>
        </w:tc>
      </w:tr>
      <w:tr w14:paraId="775C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0573D53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788" w:type="dxa"/>
            <w:vAlign w:val="center"/>
          </w:tcPr>
          <w:p w14:paraId="66B5A76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3514" w:type="dxa"/>
          </w:tcPr>
          <w:p w14:paraId="7BAF218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知识目标</w:t>
            </w:r>
            <w:r>
              <w:rPr>
                <w:rFonts w:hint="eastAsia" w:ascii="仿宋_GB2312" w:hAnsi="仿宋_GB2312" w:eastAsia="仿宋_GB2312" w:cs="仿宋_GB2312"/>
                <w:kern w:val="0"/>
                <w:sz w:val="24"/>
                <w:szCs w:val="20"/>
                <w:highlight w:val="none"/>
              </w:rPr>
              <w:t>：1.掌握实习岗位相关的专业技术知识。</w:t>
            </w:r>
          </w:p>
          <w:p w14:paraId="2AF7ACD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kern w:val="0"/>
                <w:sz w:val="24"/>
                <w:szCs w:val="20"/>
                <w:highlight w:val="none"/>
              </w:rPr>
              <w:t>2.</w:t>
            </w:r>
            <w:r>
              <w:rPr>
                <w:rFonts w:ascii="仿宋_GB2312" w:hAnsi="仿宋_GB2312" w:eastAsia="仿宋_GB2312" w:cs="仿宋_GB2312"/>
                <w:kern w:val="0"/>
                <w:sz w:val="24"/>
                <w:szCs w:val="20"/>
                <w:highlight w:val="none"/>
              </w:rPr>
              <w:t>理解行业相关的法律法规、职业安全规范及企业管理制度。</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了解岗位所属领域的技术应用现状、岗位需求及职业发展路径。</w:t>
            </w:r>
          </w:p>
          <w:p w14:paraId="41C9826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能力目标</w:t>
            </w:r>
            <w:r>
              <w:rPr>
                <w:rFonts w:hint="eastAsia" w:ascii="仿宋_GB2312" w:hAnsi="仿宋_GB2312" w:eastAsia="仿宋_GB2312" w:cs="仿宋_GB2312"/>
                <w:kern w:val="0"/>
                <w:sz w:val="24"/>
                <w:szCs w:val="20"/>
                <w:highlight w:val="none"/>
              </w:rPr>
              <w:t>：1.能熟练完成岗位实际操作任务，达到岗位技能要求。2.</w:t>
            </w:r>
            <w:r>
              <w:rPr>
                <w:rFonts w:ascii="仿宋_GB2312" w:hAnsi="仿宋_GB2312" w:eastAsia="仿宋_GB2312" w:cs="仿宋_GB2312"/>
                <w:kern w:val="0"/>
                <w:sz w:val="24"/>
                <w:szCs w:val="20"/>
                <w:highlight w:val="none"/>
              </w:rPr>
              <w:t>能运用专业知识解决实习中遇到的实际问题，提出合理化改进建议。</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能与同事、领导有效沟通协作，融入团队并高效完成团队分配的任务。</w:t>
            </w:r>
          </w:p>
          <w:p w14:paraId="7C7E51F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kern w:val="0"/>
                <w:sz w:val="24"/>
                <w:szCs w:val="20"/>
                <w:highlight w:val="none"/>
              </w:rPr>
            </w:pPr>
            <w:r>
              <w:rPr>
                <w:rFonts w:hint="eastAsia" w:ascii="仿宋_GB2312" w:hAnsi="仿宋_GB2312" w:eastAsia="仿宋_GB2312" w:cs="仿宋_GB2312"/>
                <w:b/>
                <w:bCs/>
                <w:kern w:val="0"/>
                <w:sz w:val="24"/>
                <w:szCs w:val="20"/>
                <w:highlight w:val="none"/>
              </w:rPr>
              <w:t>素质目标</w:t>
            </w:r>
            <w:r>
              <w:rPr>
                <w:rFonts w:hint="eastAsia" w:ascii="仿宋_GB2312" w:hAnsi="仿宋_GB2312" w:eastAsia="仿宋_GB2312" w:cs="仿宋_GB2312"/>
                <w:kern w:val="0"/>
                <w:sz w:val="24"/>
                <w:szCs w:val="20"/>
                <w:highlight w:val="none"/>
              </w:rPr>
              <w:t>：1.养成“爱岗敬业、踏实肯干”的职业态度，对待工作认真负责、积极主动。2.</w:t>
            </w:r>
            <w:r>
              <w:rPr>
                <w:rFonts w:ascii="仿宋_GB2312" w:hAnsi="仿宋_GB2312" w:eastAsia="仿宋_GB2312" w:cs="仿宋_GB2312"/>
                <w:kern w:val="0"/>
                <w:sz w:val="24"/>
                <w:szCs w:val="20"/>
                <w:highlight w:val="none"/>
              </w:rPr>
              <w:t>培养适应企业环境的能力，快速学习岗位新知识、新技能，提升职业适应性。</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树立终身学习意识，认识到持续提升专业能力对职业发展的重要性。</w:t>
            </w:r>
          </w:p>
          <w:p w14:paraId="72490D9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kern w:val="0"/>
                <w:sz w:val="24"/>
                <w:szCs w:val="20"/>
                <w:highlight w:val="none"/>
              </w:rPr>
              <w:t>课程思政育人目标：</w:t>
            </w:r>
            <w:r>
              <w:rPr>
                <w:rFonts w:hint="eastAsia" w:ascii="仿宋_GB2312" w:hAnsi="仿宋_GB2312" w:eastAsia="仿宋_GB2312" w:cs="仿宋_GB2312"/>
                <w:kern w:val="0"/>
                <w:sz w:val="24"/>
                <w:szCs w:val="20"/>
                <w:highlight w:val="none"/>
              </w:rPr>
              <w:t>1.通过岗位实践中的责任担当，培养学生的职业责任感。2.</w:t>
            </w:r>
            <w:r>
              <w:rPr>
                <w:rFonts w:ascii="仿宋_GB2312" w:hAnsi="仿宋_GB2312" w:eastAsia="仿宋_GB2312" w:cs="仿宋_GB2312"/>
                <w:kern w:val="0"/>
                <w:sz w:val="24"/>
                <w:szCs w:val="20"/>
                <w:highlight w:val="none"/>
              </w:rPr>
              <w:t>强调遵守企业规章制度与行业规范，引导学生树立“诚信守规、廉洁从业”的职业道德。</w:t>
            </w:r>
            <w:r>
              <w:rPr>
                <w:rFonts w:hint="eastAsia" w:ascii="仿宋_GB2312" w:hAnsi="仿宋_GB2312" w:eastAsia="仿宋_GB2312" w:cs="仿宋_GB2312"/>
                <w:kern w:val="0"/>
                <w:sz w:val="24"/>
                <w:szCs w:val="20"/>
                <w:highlight w:val="none"/>
              </w:rPr>
              <w:t>3.</w:t>
            </w:r>
            <w:r>
              <w:rPr>
                <w:rFonts w:ascii="仿宋_GB2312" w:hAnsi="仿宋_GB2312" w:eastAsia="仿宋_GB2312" w:cs="仿宋_GB2312"/>
                <w:kern w:val="0"/>
                <w:sz w:val="24"/>
                <w:szCs w:val="20"/>
                <w:highlight w:val="none"/>
              </w:rPr>
              <w:t>结合实习中对企业发展的观察，激发学生立足岗位、为行业发展贡献力量的奋斗精神。</w:t>
            </w:r>
          </w:p>
        </w:tc>
        <w:tc>
          <w:tcPr>
            <w:tcW w:w="2804" w:type="dxa"/>
          </w:tcPr>
          <w:p w14:paraId="49E3ACD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学生根据自己的职业规划和具体情况，可以选择生产技术、维修技术、产品测试等岗位，参与企业的相关岗位的具体工作，查缺补漏，强化和完善自己的知识体系。</w:t>
            </w:r>
          </w:p>
        </w:tc>
        <w:tc>
          <w:tcPr>
            <w:tcW w:w="2582" w:type="dxa"/>
          </w:tcPr>
          <w:p w14:paraId="59BB488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知识掌握</w:t>
            </w:r>
            <w:r>
              <w:rPr>
                <w:rFonts w:ascii="Courier New" w:hAnsi="Courier New" w:eastAsia="仿宋_GB2312" w:cs="Courier New"/>
                <w:sz w:val="24"/>
                <w:highlight w:val="none"/>
              </w:rPr>
              <w:t>‌</w:t>
            </w:r>
            <w:r>
              <w:rPr>
                <w:rFonts w:hint="eastAsia" w:ascii="仿宋_GB2312" w:hAnsi="仿宋_GB2312" w:eastAsia="仿宋_GB2312" w:cs="仿宋_GB2312"/>
                <w:sz w:val="24"/>
                <w:highlight w:val="none"/>
              </w:rPr>
              <w:t>：要求学生将所学专业知识与实习岗位实际工作相结合，深化对专业知识的理解。</w:t>
            </w:r>
          </w:p>
          <w:p w14:paraId="5AA561F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实践能力</w:t>
            </w:r>
            <w:r>
              <w:rPr>
                <w:rFonts w:ascii="Courier New" w:hAnsi="Courier New" w:eastAsia="仿宋_GB2312" w:cs="Courier New"/>
                <w:sz w:val="24"/>
                <w:highlight w:val="none"/>
              </w:rPr>
              <w:t>‌</w:t>
            </w:r>
            <w:r>
              <w:rPr>
                <w:rFonts w:hint="eastAsia" w:ascii="仿宋_GB2312" w:hAnsi="仿宋_GB2312" w:eastAsia="仿宋_GB2312" w:cs="仿宋_GB2312"/>
                <w:sz w:val="24"/>
                <w:highlight w:val="none"/>
              </w:rPr>
              <w:t>：通过实习，培养学生的实际操作能力、问题解决能力和团队协作能力，使其能够胜任实习岗位的工作。职业素养</w:t>
            </w:r>
            <w:r>
              <w:rPr>
                <w:rFonts w:ascii="Courier New" w:hAnsi="Courier New" w:eastAsia="仿宋_GB2312" w:cs="Courier New"/>
                <w:sz w:val="24"/>
                <w:highlight w:val="none"/>
              </w:rPr>
              <w:t>‌</w:t>
            </w:r>
            <w:r>
              <w:rPr>
                <w:rFonts w:hint="eastAsia" w:ascii="仿宋_GB2312" w:hAnsi="仿宋_GB2312" w:eastAsia="仿宋_GB2312" w:cs="仿宋_GB2312"/>
                <w:sz w:val="24"/>
                <w:highlight w:val="none"/>
              </w:rPr>
              <w:t>：强调职业道德、工作态度和责任心的培养，使学生具备良好的职业素养，为未来的职业发展奠定基础。实习报告</w:t>
            </w:r>
            <w:r>
              <w:rPr>
                <w:rFonts w:ascii="Courier New" w:hAnsi="Courier New" w:eastAsia="仿宋_GB2312" w:cs="Courier New"/>
                <w:sz w:val="24"/>
                <w:highlight w:val="none"/>
              </w:rPr>
              <w:t>‌</w:t>
            </w:r>
            <w:r>
              <w:rPr>
                <w:rFonts w:hint="eastAsia" w:ascii="仿宋_GB2312" w:hAnsi="仿宋_GB2312" w:eastAsia="仿宋_GB2312" w:cs="仿宋_GB2312"/>
                <w:sz w:val="24"/>
                <w:highlight w:val="none"/>
              </w:rPr>
              <w:t>：要求学生撰写实习报告，总结实习经历、收获和反思，以检验实习成果并提升书面表达能力。考核与评价</w:t>
            </w:r>
            <w:r>
              <w:rPr>
                <w:rFonts w:ascii="Courier New" w:hAnsi="Courier New" w:eastAsia="仿宋_GB2312" w:cs="Courier New"/>
                <w:sz w:val="24"/>
                <w:highlight w:val="none"/>
              </w:rPr>
              <w:t>‌</w:t>
            </w:r>
            <w:r>
              <w:rPr>
                <w:rFonts w:hint="eastAsia" w:ascii="仿宋_GB2312" w:hAnsi="仿宋_GB2312" w:eastAsia="仿宋_GB2312" w:cs="仿宋_GB2312"/>
                <w:sz w:val="24"/>
                <w:highlight w:val="none"/>
              </w:rPr>
              <w:t>：通过实习单位评价、指导教师考核和学生自评等多种方式，全面评估学生的实习表现，确保实习教学质量</w:t>
            </w:r>
          </w:p>
        </w:tc>
      </w:tr>
    </w:tbl>
    <w:p w14:paraId="296DF7BD">
      <w:pPr>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（三）第二课堂素质教育课</w:t>
      </w:r>
    </w:p>
    <w:p w14:paraId="06E285F2">
      <w:pPr>
        <w:overflowPunct w:val="0"/>
        <w:adjustRightInd w:val="0"/>
        <w:spacing w:after="0" w:line="52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第二课堂素质教育课包括思想成长、实践实习、创新创业、志愿公益、文体活动、工作履历、专业技能特长等其他各类课程及活动。</w:t>
      </w:r>
    </w:p>
    <w:p w14:paraId="4F60173E">
      <w:pPr>
        <w:overflowPunct w:val="0"/>
        <w:adjustRightInd w:val="0"/>
        <w:spacing w:after="0" w:line="520" w:lineRule="exact"/>
        <w:jc w:val="center"/>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35EF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65" w:type="dxa"/>
            <w:vAlign w:val="center"/>
          </w:tcPr>
          <w:p w14:paraId="089B1C4B">
            <w:pPr>
              <w:overflowPunct w:val="0"/>
              <w:adjustRightInd w:val="0"/>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模块</w:t>
            </w:r>
          </w:p>
        </w:tc>
        <w:tc>
          <w:tcPr>
            <w:tcW w:w="3573" w:type="dxa"/>
            <w:vAlign w:val="center"/>
          </w:tcPr>
          <w:p w14:paraId="3DD9CE09">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内容</w:t>
            </w:r>
          </w:p>
        </w:tc>
        <w:tc>
          <w:tcPr>
            <w:tcW w:w="880" w:type="dxa"/>
            <w:vAlign w:val="center"/>
          </w:tcPr>
          <w:p w14:paraId="190EB5DD">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性质</w:t>
            </w:r>
          </w:p>
        </w:tc>
        <w:tc>
          <w:tcPr>
            <w:tcW w:w="1013" w:type="dxa"/>
            <w:vAlign w:val="center"/>
          </w:tcPr>
          <w:p w14:paraId="43B388A6">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组织者</w:t>
            </w:r>
          </w:p>
        </w:tc>
        <w:tc>
          <w:tcPr>
            <w:tcW w:w="1040" w:type="dxa"/>
            <w:vAlign w:val="center"/>
          </w:tcPr>
          <w:p w14:paraId="1508290A">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认定者</w:t>
            </w:r>
          </w:p>
        </w:tc>
        <w:tc>
          <w:tcPr>
            <w:tcW w:w="1236" w:type="dxa"/>
            <w:vAlign w:val="center"/>
          </w:tcPr>
          <w:p w14:paraId="2D5EF689">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计分标准</w:t>
            </w:r>
          </w:p>
        </w:tc>
        <w:tc>
          <w:tcPr>
            <w:tcW w:w="1236" w:type="dxa"/>
            <w:vAlign w:val="center"/>
          </w:tcPr>
          <w:p w14:paraId="0C733B18">
            <w:pPr>
              <w:spacing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备注</w:t>
            </w:r>
          </w:p>
        </w:tc>
      </w:tr>
      <w:tr w14:paraId="53412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1265" w:type="dxa"/>
            <w:vAlign w:val="center"/>
          </w:tcPr>
          <w:p w14:paraId="173E67F4">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思想成长</w:t>
            </w:r>
          </w:p>
        </w:tc>
        <w:tc>
          <w:tcPr>
            <w:tcW w:w="3573" w:type="dxa"/>
            <w:vAlign w:val="center"/>
          </w:tcPr>
          <w:p w14:paraId="37467CEA">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1.思想政治教育主题讲座、形势与政策报告会</w:t>
            </w:r>
          </w:p>
          <w:p w14:paraId="39E9F0C7">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2.爱国主义教育活动</w:t>
            </w:r>
          </w:p>
          <w:p w14:paraId="06AEC536">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3.党团组织生活</w:t>
            </w:r>
          </w:p>
          <w:p w14:paraId="30F80505">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4.党团培训 </w:t>
            </w:r>
          </w:p>
          <w:p w14:paraId="449626CD">
            <w:pPr>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5.青年大学习</w:t>
            </w:r>
          </w:p>
        </w:tc>
        <w:tc>
          <w:tcPr>
            <w:tcW w:w="880" w:type="dxa"/>
            <w:vAlign w:val="center"/>
          </w:tcPr>
          <w:p w14:paraId="0D6620C1">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189B8183">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491240D4">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71DB219B">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restart"/>
            <w:vAlign w:val="center"/>
          </w:tcPr>
          <w:p w14:paraId="0E80E3DD">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第二课堂成绩由网络管理系 统（到梦 空间）实 时记录，学生在大一、 大二期间积分达60分及以上，可获4学分。</w:t>
            </w:r>
          </w:p>
        </w:tc>
      </w:tr>
      <w:tr w14:paraId="14478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jc w:val="center"/>
        </w:trPr>
        <w:tc>
          <w:tcPr>
            <w:tcW w:w="1265" w:type="dxa"/>
            <w:vAlign w:val="center"/>
          </w:tcPr>
          <w:p w14:paraId="36F178CC">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实践实习</w:t>
            </w:r>
          </w:p>
        </w:tc>
        <w:tc>
          <w:tcPr>
            <w:tcW w:w="3573" w:type="dxa"/>
            <w:vAlign w:val="center"/>
          </w:tcPr>
          <w:p w14:paraId="66EED14E">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1.暑期“三下乡”社会实践活动 2.寒暑假“返家乡”实践活动 </w:t>
            </w:r>
          </w:p>
          <w:p w14:paraId="5BABC941">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3.企业见习实践 </w:t>
            </w:r>
          </w:p>
          <w:p w14:paraId="397D3DAA">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4.上级、校院交予专项工作项目实践活动含兼挂职锻炼 </w:t>
            </w:r>
          </w:p>
          <w:p w14:paraId="1282526C">
            <w:pPr>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5.新闻宣传报道被学校、学院采用或转发 </w:t>
            </w:r>
          </w:p>
          <w:p w14:paraId="7BB72881">
            <w:pPr>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6.晨读</w:t>
            </w:r>
          </w:p>
          <w:p w14:paraId="30278906">
            <w:pPr>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7.劳动精神、劳模精神、工匠精神专题教育 </w:t>
            </w:r>
          </w:p>
          <w:p w14:paraId="4D30E2FA">
            <w:pPr>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8.实践活动的相关荣誉</w:t>
            </w:r>
          </w:p>
        </w:tc>
        <w:tc>
          <w:tcPr>
            <w:tcW w:w="880" w:type="dxa"/>
            <w:vAlign w:val="center"/>
          </w:tcPr>
          <w:p w14:paraId="63DC5992">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14F2BC18">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426B7B47">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5F7B05FB">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5A82E1C3">
            <w:pPr>
              <w:overflowPunct w:val="0"/>
              <w:adjustRightInd w:val="0"/>
              <w:spacing w:after="0" w:line="240" w:lineRule="atLeast"/>
              <w:jc w:val="center"/>
              <w:rPr>
                <w:rFonts w:hint="eastAsia" w:ascii="仿宋_GB2312" w:hAnsi="仿宋_GB2312" w:eastAsia="仿宋_GB2312" w:cs="仿宋_GB2312"/>
                <w:sz w:val="24"/>
                <w:highlight w:val="none"/>
              </w:rPr>
            </w:pPr>
          </w:p>
        </w:tc>
      </w:tr>
      <w:tr w14:paraId="3072C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jc w:val="center"/>
        </w:trPr>
        <w:tc>
          <w:tcPr>
            <w:tcW w:w="1265" w:type="dxa"/>
            <w:vAlign w:val="center"/>
          </w:tcPr>
          <w:p w14:paraId="44A0CC27">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创新创业</w:t>
            </w:r>
          </w:p>
        </w:tc>
        <w:tc>
          <w:tcPr>
            <w:tcW w:w="3573" w:type="dxa"/>
            <w:vAlign w:val="center"/>
          </w:tcPr>
          <w:p w14:paraId="059DD4A0">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1.发表文章、出版专著 </w:t>
            </w:r>
          </w:p>
          <w:p w14:paraId="3B516FC4">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2.发明专利 </w:t>
            </w:r>
          </w:p>
          <w:p w14:paraId="675B31D5">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3.创新创业项目竞赛 </w:t>
            </w:r>
          </w:p>
          <w:p w14:paraId="2A41008C">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4.创新创业项目培训 </w:t>
            </w:r>
          </w:p>
          <w:p w14:paraId="7AB162E9">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5.创新创业课程、讲座 </w:t>
            </w:r>
          </w:p>
          <w:p w14:paraId="5C5DD293">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6.自主创业</w:t>
            </w:r>
          </w:p>
        </w:tc>
        <w:tc>
          <w:tcPr>
            <w:tcW w:w="880" w:type="dxa"/>
            <w:vAlign w:val="center"/>
          </w:tcPr>
          <w:p w14:paraId="3245C3C3">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438F7723">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67C78207">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0C8C5FD6">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401A7EB2">
            <w:pPr>
              <w:overflowPunct w:val="0"/>
              <w:adjustRightInd w:val="0"/>
              <w:spacing w:after="0" w:line="240" w:lineRule="atLeast"/>
              <w:jc w:val="center"/>
              <w:rPr>
                <w:rFonts w:hint="eastAsia" w:ascii="仿宋_GB2312" w:hAnsi="仿宋_GB2312" w:eastAsia="仿宋_GB2312" w:cs="仿宋_GB2312"/>
                <w:sz w:val="24"/>
                <w:highlight w:val="none"/>
              </w:rPr>
            </w:pPr>
          </w:p>
        </w:tc>
      </w:tr>
      <w:tr w14:paraId="30F14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FF60096">
            <w:pPr>
              <w:overflowPunct w:val="0"/>
              <w:adjustRightInd w:val="0"/>
              <w:spacing w:after="0" w:line="240" w:lineRule="atLeast"/>
              <w:jc w:val="left"/>
              <w:rPr>
                <w:rFonts w:hint="eastAsia" w:ascii="仿宋_GB2312" w:hAnsi="仿宋_GB2312" w:eastAsia="仿宋_GB2312" w:cs="仿宋_GB2312"/>
                <w:sz w:val="24"/>
                <w:highlight w:val="none"/>
              </w:rPr>
            </w:pPr>
          </w:p>
          <w:p w14:paraId="73126795">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志愿公益</w:t>
            </w:r>
          </w:p>
        </w:tc>
        <w:tc>
          <w:tcPr>
            <w:tcW w:w="3573" w:type="dxa"/>
            <w:vAlign w:val="center"/>
          </w:tcPr>
          <w:p w14:paraId="179E9311">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1.校级、学院、社团、班级等学生组织开展的志愿服务活动 </w:t>
            </w:r>
          </w:p>
          <w:p w14:paraId="2EECC304">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2.无偿献血活动 </w:t>
            </w:r>
          </w:p>
          <w:p w14:paraId="55CF4903">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3.捐献造血干细胞 </w:t>
            </w:r>
          </w:p>
          <w:p w14:paraId="351294D9">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4.相关公益类宣传讲座、报告会等志愿服务表彰</w:t>
            </w:r>
          </w:p>
          <w:p w14:paraId="132C8DC8">
            <w:pPr>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5.公益劳动 </w:t>
            </w:r>
          </w:p>
        </w:tc>
        <w:tc>
          <w:tcPr>
            <w:tcW w:w="880" w:type="dxa"/>
            <w:vAlign w:val="center"/>
          </w:tcPr>
          <w:p w14:paraId="7827BC8B">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01C7863D">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40FBADDD">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0FD5E259">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028D412D">
            <w:pPr>
              <w:overflowPunct w:val="0"/>
              <w:adjustRightInd w:val="0"/>
              <w:spacing w:after="0" w:line="240" w:lineRule="atLeast"/>
              <w:jc w:val="center"/>
              <w:rPr>
                <w:rFonts w:hint="eastAsia" w:ascii="仿宋_GB2312" w:hAnsi="仿宋_GB2312" w:eastAsia="仿宋_GB2312" w:cs="仿宋_GB2312"/>
                <w:sz w:val="24"/>
                <w:highlight w:val="none"/>
              </w:rPr>
            </w:pPr>
          </w:p>
        </w:tc>
      </w:tr>
      <w:tr w14:paraId="1B99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165F9DD">
            <w:pPr>
              <w:overflowPunct w:val="0"/>
              <w:adjustRightInd w:val="0"/>
              <w:spacing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 xml:space="preserve">文体活动 </w:t>
            </w:r>
          </w:p>
        </w:tc>
        <w:tc>
          <w:tcPr>
            <w:tcW w:w="3573" w:type="dxa"/>
            <w:vAlign w:val="center"/>
          </w:tcPr>
          <w:p w14:paraId="56DFADBE">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1.文艺竞赛 </w:t>
            </w:r>
          </w:p>
          <w:p w14:paraId="588AD33D">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2.体育竞赛 </w:t>
            </w:r>
          </w:p>
          <w:p w14:paraId="7E86E6D8">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3.文艺演出 </w:t>
            </w:r>
          </w:p>
          <w:p w14:paraId="20FFE3D1">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4.体育活动 </w:t>
            </w:r>
          </w:p>
          <w:p w14:paraId="3B8564A6">
            <w:pPr>
              <w:overflowPunct w:val="0"/>
              <w:adjustRightInd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5.文体讲座</w:t>
            </w:r>
          </w:p>
        </w:tc>
        <w:tc>
          <w:tcPr>
            <w:tcW w:w="880" w:type="dxa"/>
            <w:vAlign w:val="center"/>
          </w:tcPr>
          <w:p w14:paraId="3972495F">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61DEDB63">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6DCE7B02">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15187951">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32DF9F5E">
            <w:pPr>
              <w:overflowPunct w:val="0"/>
              <w:adjustRightInd w:val="0"/>
              <w:spacing w:after="0" w:line="240" w:lineRule="atLeast"/>
              <w:jc w:val="center"/>
              <w:rPr>
                <w:rFonts w:hint="eastAsia" w:ascii="仿宋_GB2312" w:hAnsi="仿宋_GB2312" w:eastAsia="仿宋_GB2312" w:cs="仿宋_GB2312"/>
                <w:sz w:val="24"/>
                <w:highlight w:val="none"/>
              </w:rPr>
            </w:pPr>
          </w:p>
        </w:tc>
      </w:tr>
      <w:tr w14:paraId="7ED2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D5EF6E4">
            <w:pPr>
              <w:overflowPunct w:val="0"/>
              <w:adjustRightInd w:val="0"/>
              <w:spacing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 xml:space="preserve">工作履历 </w:t>
            </w:r>
          </w:p>
        </w:tc>
        <w:tc>
          <w:tcPr>
            <w:tcW w:w="3573" w:type="dxa"/>
            <w:vAlign w:val="center"/>
          </w:tcPr>
          <w:p w14:paraId="4C929AD8">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1.团学干部任职</w:t>
            </w:r>
          </w:p>
          <w:p w14:paraId="73687CE1">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2.团学先进个人</w:t>
            </w:r>
          </w:p>
          <w:p w14:paraId="4463AFAE">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3.勤工俭学</w:t>
            </w:r>
          </w:p>
          <w:p w14:paraId="567DADE6">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4.社会任职 </w:t>
            </w:r>
          </w:p>
          <w:p w14:paraId="5764BA46">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5.退伍军人</w:t>
            </w:r>
          </w:p>
          <w:p w14:paraId="2C3DD8F0">
            <w:pPr>
              <w:overflowPunct w:val="0"/>
              <w:adjustRightInd w:val="0"/>
              <w:spacing w:after="0" w:line="240" w:lineRule="atLeast"/>
              <w:jc w:val="left"/>
              <w:rPr>
                <w:rFonts w:hint="eastAsia" w:ascii="仿宋_GB2312" w:hAnsi="仿宋_GB2312" w:eastAsia="仿宋_GB2312" w:cs="仿宋_GB2312"/>
                <w:sz w:val="24"/>
                <w:highlight w:val="none"/>
              </w:rPr>
            </w:pPr>
          </w:p>
        </w:tc>
        <w:tc>
          <w:tcPr>
            <w:tcW w:w="880" w:type="dxa"/>
            <w:vAlign w:val="center"/>
          </w:tcPr>
          <w:p w14:paraId="56D668AD">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0D1C3376">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066FC451">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2FF87898">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75AE3780">
            <w:pPr>
              <w:overflowPunct w:val="0"/>
              <w:adjustRightInd w:val="0"/>
              <w:spacing w:after="0" w:line="240" w:lineRule="atLeast"/>
              <w:jc w:val="center"/>
              <w:rPr>
                <w:rFonts w:hint="eastAsia" w:ascii="仿宋_GB2312" w:hAnsi="仿宋_GB2312" w:eastAsia="仿宋_GB2312" w:cs="仿宋_GB2312"/>
                <w:sz w:val="24"/>
                <w:highlight w:val="none"/>
              </w:rPr>
            </w:pPr>
          </w:p>
        </w:tc>
      </w:tr>
      <w:tr w14:paraId="33480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F60C824">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技能特长 </w:t>
            </w:r>
          </w:p>
        </w:tc>
        <w:tc>
          <w:tcPr>
            <w:tcW w:w="3573" w:type="dxa"/>
            <w:vAlign w:val="center"/>
          </w:tcPr>
          <w:p w14:paraId="31281855">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1.职业资格证书 </w:t>
            </w:r>
          </w:p>
          <w:p w14:paraId="6A61C54D">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2.职业技能证书 </w:t>
            </w:r>
          </w:p>
          <w:p w14:paraId="0924AA20">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3.机动车驾驶证</w:t>
            </w:r>
          </w:p>
          <w:p w14:paraId="3BE6D80A">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4.从业人员上岗资格证 </w:t>
            </w:r>
          </w:p>
          <w:p w14:paraId="633456DB">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5.技能比赛获奖</w:t>
            </w:r>
          </w:p>
        </w:tc>
        <w:tc>
          <w:tcPr>
            <w:tcW w:w="880" w:type="dxa"/>
            <w:vAlign w:val="center"/>
          </w:tcPr>
          <w:p w14:paraId="3BF9BC54">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5262333E">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55BD774C">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2B263A7B">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009D1518">
            <w:pPr>
              <w:overflowPunct w:val="0"/>
              <w:adjustRightInd w:val="0"/>
              <w:spacing w:after="0" w:line="240" w:lineRule="atLeast"/>
              <w:jc w:val="center"/>
              <w:rPr>
                <w:rFonts w:hint="eastAsia" w:ascii="仿宋_GB2312" w:hAnsi="仿宋_GB2312" w:eastAsia="仿宋_GB2312" w:cs="仿宋_GB2312"/>
                <w:sz w:val="24"/>
                <w:highlight w:val="none"/>
              </w:rPr>
            </w:pPr>
          </w:p>
        </w:tc>
      </w:tr>
      <w:tr w14:paraId="20E4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1265" w:type="dxa"/>
            <w:vAlign w:val="center"/>
          </w:tcPr>
          <w:p w14:paraId="60EFB46B">
            <w:pPr>
              <w:overflowPunct w:val="0"/>
              <w:adjustRightInd w:val="0"/>
              <w:spacing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其他</w:t>
            </w:r>
          </w:p>
        </w:tc>
        <w:tc>
          <w:tcPr>
            <w:tcW w:w="3573" w:type="dxa"/>
            <w:vAlign w:val="center"/>
          </w:tcPr>
          <w:p w14:paraId="3AB1F3A0">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1.其他证书（社会职业类证书） </w:t>
            </w:r>
          </w:p>
          <w:p w14:paraId="2383FD33">
            <w:pPr>
              <w:overflowPunct w:val="0"/>
              <w:adjustRightInd w:val="0"/>
              <w:spacing w:after="0" w:line="24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2.校内各单位其他类型活动 </w:t>
            </w:r>
          </w:p>
          <w:p w14:paraId="58A252B5">
            <w:pPr>
              <w:overflowPunct w:val="0"/>
              <w:adjustRightInd w:val="0"/>
              <w:spacing w:after="0" w:line="24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3.升旗仪式工作人员</w:t>
            </w:r>
          </w:p>
        </w:tc>
        <w:tc>
          <w:tcPr>
            <w:tcW w:w="880" w:type="dxa"/>
            <w:vAlign w:val="center"/>
          </w:tcPr>
          <w:p w14:paraId="315263B4">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自选</w:t>
            </w:r>
          </w:p>
        </w:tc>
        <w:tc>
          <w:tcPr>
            <w:tcW w:w="1013" w:type="dxa"/>
            <w:vAlign w:val="center"/>
          </w:tcPr>
          <w:p w14:paraId="63CCA05A">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活动组 织单位</w:t>
            </w:r>
          </w:p>
        </w:tc>
        <w:tc>
          <w:tcPr>
            <w:tcW w:w="1040" w:type="dxa"/>
            <w:vAlign w:val="center"/>
          </w:tcPr>
          <w:p w14:paraId="5E5A48B1">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校团委</w:t>
            </w:r>
          </w:p>
        </w:tc>
        <w:tc>
          <w:tcPr>
            <w:tcW w:w="1236" w:type="dxa"/>
            <w:vAlign w:val="center"/>
          </w:tcPr>
          <w:p w14:paraId="4D043CD9">
            <w:pPr>
              <w:overflowPunct w:val="0"/>
              <w:adjustRightInd w:val="0"/>
              <w:spacing w:after="0" w:line="240" w:lineRule="atLeas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“第二课堂成绩单”活动各模块计分标准</w:t>
            </w:r>
          </w:p>
        </w:tc>
        <w:tc>
          <w:tcPr>
            <w:tcW w:w="1236" w:type="dxa"/>
            <w:vMerge w:val="continue"/>
            <w:vAlign w:val="center"/>
          </w:tcPr>
          <w:p w14:paraId="1BD340EE">
            <w:pPr>
              <w:overflowPunct w:val="0"/>
              <w:adjustRightInd w:val="0"/>
              <w:spacing w:after="0" w:line="240" w:lineRule="atLeast"/>
              <w:jc w:val="center"/>
              <w:rPr>
                <w:rFonts w:hint="eastAsia" w:ascii="仿宋_GB2312" w:hAnsi="仿宋_GB2312" w:eastAsia="仿宋_GB2312" w:cs="仿宋_GB2312"/>
                <w:sz w:val="24"/>
                <w:highlight w:val="none"/>
              </w:rPr>
            </w:pPr>
          </w:p>
        </w:tc>
      </w:tr>
    </w:tbl>
    <w:p w14:paraId="4F5ABDA5">
      <w:pPr>
        <w:overflowPunct w:val="0"/>
        <w:adjustRightInd w:val="0"/>
        <w:spacing w:after="0" w:line="520" w:lineRule="exact"/>
        <w:ind w:firstLine="640" w:firstLineChars="200"/>
        <w:outlineLvl w:val="0"/>
        <w:rPr>
          <w:rFonts w:hint="eastAsia" w:ascii="黑体" w:hAnsi="黑体" w:eastAsia="黑体"/>
          <w:sz w:val="32"/>
          <w:szCs w:val="32"/>
          <w:highlight w:val="none"/>
        </w:rPr>
      </w:pPr>
      <w:r>
        <w:rPr>
          <w:rFonts w:hint="eastAsia" w:ascii="黑体" w:hAnsi="黑体" w:eastAsia="黑体"/>
          <w:sz w:val="32"/>
          <w:szCs w:val="32"/>
          <w:highlight w:val="none"/>
        </w:rPr>
        <w:t>八</w:t>
      </w:r>
      <w:r>
        <w:rPr>
          <w:rFonts w:ascii="黑体" w:hAnsi="黑体" w:eastAsia="黑体"/>
          <w:sz w:val="32"/>
          <w:szCs w:val="32"/>
          <w:highlight w:val="none"/>
        </w:rPr>
        <w:t>、教学进程总体安排</w:t>
      </w:r>
    </w:p>
    <w:p w14:paraId="5656457B">
      <w:pPr>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 xml:space="preserve">（一）教学环节分配表 </w:t>
      </w:r>
    </w:p>
    <w:p w14:paraId="48B61F6E">
      <w:pPr>
        <w:spacing w:after="0" w:line="52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教学周数分配表每学期总周数合计应为20周，各学期教学周数应与教学计划进程表一致，军训、入学教育、考试环节、实习开展、毕业设计、社会实践及毕业教育等，学期合计周数为20周。</w:t>
      </w:r>
    </w:p>
    <w:p w14:paraId="21BACF88">
      <w:pPr>
        <w:spacing w:after="0" w:line="520" w:lineRule="exact"/>
        <w:ind w:firstLine="640" w:firstLineChars="20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 教育活动时间分配表（单位：周）</w:t>
      </w:r>
    </w:p>
    <w:tbl>
      <w:tblPr>
        <w:tblStyle w:val="8"/>
        <w:tblW w:w="511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4"/>
        <w:gridCol w:w="1229"/>
        <w:gridCol w:w="1109"/>
        <w:gridCol w:w="1106"/>
        <w:gridCol w:w="1108"/>
        <w:gridCol w:w="1106"/>
        <w:gridCol w:w="1112"/>
      </w:tblGrid>
      <w:tr w14:paraId="00D1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8" w:type="pct"/>
            <w:vMerge w:val="restart"/>
            <w:shd w:val="clear" w:color="auto" w:fill="auto"/>
            <w:vAlign w:val="top"/>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635BF0D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Times New Roman" w:hAnsi="Times New Roman" w:eastAsia="仿宋_GB2312" w:cs="仿宋_GB2312"/>
                <w:color w:val="auto"/>
                <w:sz w:val="24"/>
                <w:szCs w:val="24"/>
                <w:highlight w:val="none"/>
              </w:rPr>
            </w:pPr>
          </w:p>
          <w:p w14:paraId="4ECB8D1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val="en-US" w:eastAsia="zh-CN"/>
              </w:rPr>
              <w:t>项目</w:t>
            </w:r>
          </w:p>
          <w:p w14:paraId="62CEAAA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周数</w:t>
            </w:r>
          </w:p>
          <w:p w14:paraId="119E496F">
            <w:pPr>
              <w:keepNext w:val="0"/>
              <w:keepLines w:val="0"/>
              <w:pageBreakBefore w:val="0"/>
              <w:widowControl w:val="0"/>
              <w:kinsoku/>
              <w:wordWrap/>
              <w:overflowPunct/>
              <w:topLinePunct w:val="0"/>
              <w:autoSpaceDE/>
              <w:autoSpaceDN/>
              <w:bidi w:val="0"/>
              <w:adjustRightInd/>
              <w:snapToGrid/>
              <w:spacing w:after="0" w:line="32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内容</w:t>
            </w:r>
          </w:p>
          <w:p w14:paraId="2A0DD81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Times New Roman" w:hAnsi="Times New Roman" w:eastAsia="仿宋_GB2312" w:cs="仿宋_GB2312"/>
                <w:color w:val="auto"/>
                <w:sz w:val="24"/>
                <w:szCs w:val="24"/>
                <w:highlight w:val="none"/>
                <w:lang w:val="en-US" w:eastAsia="zh-CN"/>
              </w:rPr>
            </w:pPr>
          </w:p>
          <w:p w14:paraId="2F481259">
            <w:pPr>
              <w:keepNext w:val="0"/>
              <w:keepLines w:val="0"/>
              <w:pageBreakBefore w:val="0"/>
              <w:widowControl w:val="0"/>
              <w:kinsoku/>
              <w:wordWrap/>
              <w:overflowPunct/>
              <w:topLinePunct w:val="0"/>
              <w:autoSpaceDE/>
              <w:autoSpaceDN/>
              <w:bidi w:val="0"/>
              <w:adjustRightInd/>
              <w:snapToGrid/>
              <w:spacing w:after="0" w:line="32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周数</w:t>
            </w:r>
          </w:p>
          <w:p w14:paraId="6C0EDEC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学年</w:t>
            </w:r>
          </w:p>
        </w:tc>
        <w:tc>
          <w:tcPr>
            <w:tcW w:w="1229" w:type="pct"/>
            <w:gridSpan w:val="2"/>
            <w:vAlign w:val="center"/>
          </w:tcPr>
          <w:p w14:paraId="2C4910D2">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w:t>
            </w:r>
          </w:p>
        </w:tc>
        <w:tc>
          <w:tcPr>
            <w:tcW w:w="1164" w:type="pct"/>
            <w:gridSpan w:val="2"/>
            <w:vAlign w:val="center"/>
          </w:tcPr>
          <w:p w14:paraId="1B698C0F">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w:t>
            </w:r>
          </w:p>
        </w:tc>
        <w:tc>
          <w:tcPr>
            <w:tcW w:w="1166" w:type="pct"/>
            <w:gridSpan w:val="2"/>
            <w:vAlign w:val="center"/>
          </w:tcPr>
          <w:p w14:paraId="5B15DBC7">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w:t>
            </w:r>
          </w:p>
        </w:tc>
      </w:tr>
      <w:tr w14:paraId="3E78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8" w:type="pct"/>
            <w:vMerge w:val="continue"/>
          </w:tcPr>
          <w:p w14:paraId="0054CC16">
            <w:pPr>
              <w:spacing w:after="0" w:line="240" w:lineRule="auto"/>
              <w:rPr>
                <w:rFonts w:hint="eastAsia" w:ascii="仿宋_GB2312" w:hAnsi="仿宋_GB2312" w:eastAsia="仿宋_GB2312" w:cs="仿宋_GB2312"/>
                <w:sz w:val="24"/>
                <w:highlight w:val="none"/>
              </w:rPr>
            </w:pPr>
          </w:p>
        </w:tc>
        <w:tc>
          <w:tcPr>
            <w:tcW w:w="646" w:type="pct"/>
            <w:vAlign w:val="center"/>
          </w:tcPr>
          <w:p w14:paraId="0B56D1AD">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583" w:type="pct"/>
            <w:vAlign w:val="center"/>
          </w:tcPr>
          <w:p w14:paraId="43DE311F">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581" w:type="pct"/>
            <w:vAlign w:val="center"/>
          </w:tcPr>
          <w:p w14:paraId="473AEDB4">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582" w:type="pct"/>
            <w:vAlign w:val="center"/>
          </w:tcPr>
          <w:p w14:paraId="589B2CEA">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581" w:type="pct"/>
            <w:vAlign w:val="center"/>
          </w:tcPr>
          <w:p w14:paraId="70BB4AED">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w:t>
            </w:r>
          </w:p>
        </w:tc>
        <w:tc>
          <w:tcPr>
            <w:tcW w:w="584" w:type="pct"/>
            <w:vAlign w:val="center"/>
          </w:tcPr>
          <w:p w14:paraId="0082A60D">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w:t>
            </w:r>
          </w:p>
        </w:tc>
      </w:tr>
      <w:tr w14:paraId="2012E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8" w:type="pct"/>
            <w:vAlign w:val="center"/>
          </w:tcPr>
          <w:p w14:paraId="4A105CE8">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课堂教学</w:t>
            </w:r>
          </w:p>
        </w:tc>
        <w:tc>
          <w:tcPr>
            <w:tcW w:w="646" w:type="pct"/>
            <w:vAlign w:val="center"/>
          </w:tcPr>
          <w:p w14:paraId="64409044">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3" w:type="pct"/>
            <w:vAlign w:val="center"/>
          </w:tcPr>
          <w:p w14:paraId="0C8EE3B8">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1" w:type="pct"/>
            <w:vAlign w:val="center"/>
          </w:tcPr>
          <w:p w14:paraId="6917D9E7">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2" w:type="pct"/>
            <w:vAlign w:val="center"/>
          </w:tcPr>
          <w:p w14:paraId="083C0EC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1" w:type="pct"/>
            <w:vAlign w:val="center"/>
          </w:tcPr>
          <w:p w14:paraId="7B6E16C8">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4" w:type="pct"/>
            <w:vAlign w:val="center"/>
          </w:tcPr>
          <w:p w14:paraId="26D07B0F">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r>
      <w:tr w14:paraId="1AB7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6E419E5C">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考试</w:t>
            </w:r>
          </w:p>
        </w:tc>
        <w:tc>
          <w:tcPr>
            <w:tcW w:w="646" w:type="pct"/>
            <w:vAlign w:val="center"/>
          </w:tcPr>
          <w:p w14:paraId="66415E24">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c>
          <w:tcPr>
            <w:tcW w:w="583" w:type="pct"/>
            <w:vAlign w:val="center"/>
          </w:tcPr>
          <w:p w14:paraId="5A821208">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c>
          <w:tcPr>
            <w:tcW w:w="581" w:type="pct"/>
            <w:vAlign w:val="center"/>
          </w:tcPr>
          <w:p w14:paraId="150BC91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c>
          <w:tcPr>
            <w:tcW w:w="582" w:type="pct"/>
            <w:vAlign w:val="center"/>
          </w:tcPr>
          <w:p w14:paraId="2F721987">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c>
          <w:tcPr>
            <w:tcW w:w="581" w:type="pct"/>
            <w:vAlign w:val="center"/>
          </w:tcPr>
          <w:p w14:paraId="4C0F12A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c>
          <w:tcPr>
            <w:tcW w:w="584" w:type="pct"/>
            <w:vAlign w:val="center"/>
          </w:tcPr>
          <w:p w14:paraId="5D938B6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19-20</w:t>
            </w:r>
          </w:p>
        </w:tc>
      </w:tr>
      <w:tr w14:paraId="17024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4E8B8E93">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军训</w:t>
            </w:r>
          </w:p>
        </w:tc>
        <w:tc>
          <w:tcPr>
            <w:tcW w:w="646" w:type="pct"/>
            <w:vAlign w:val="center"/>
          </w:tcPr>
          <w:p w14:paraId="25697285">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w:t>
            </w:r>
          </w:p>
        </w:tc>
        <w:tc>
          <w:tcPr>
            <w:tcW w:w="583" w:type="pct"/>
            <w:vAlign w:val="center"/>
          </w:tcPr>
          <w:p w14:paraId="5A49898E">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5F9E39F7">
            <w:pPr>
              <w:spacing w:after="0" w:line="240" w:lineRule="auto"/>
              <w:jc w:val="center"/>
              <w:rPr>
                <w:rFonts w:hint="eastAsia" w:ascii="仿宋_GB2312" w:hAnsi="仿宋_GB2312" w:eastAsia="仿宋_GB2312" w:cs="仿宋_GB2312"/>
                <w:sz w:val="24"/>
                <w:highlight w:val="none"/>
              </w:rPr>
            </w:pPr>
          </w:p>
        </w:tc>
        <w:tc>
          <w:tcPr>
            <w:tcW w:w="582" w:type="pct"/>
            <w:vAlign w:val="center"/>
          </w:tcPr>
          <w:p w14:paraId="7A3C21DF">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0E8B5723">
            <w:pPr>
              <w:spacing w:after="0" w:line="240" w:lineRule="auto"/>
              <w:jc w:val="center"/>
              <w:rPr>
                <w:rFonts w:hint="eastAsia" w:ascii="仿宋_GB2312" w:hAnsi="仿宋_GB2312" w:eastAsia="仿宋_GB2312" w:cs="仿宋_GB2312"/>
                <w:sz w:val="24"/>
                <w:highlight w:val="none"/>
              </w:rPr>
            </w:pPr>
          </w:p>
        </w:tc>
        <w:tc>
          <w:tcPr>
            <w:tcW w:w="584" w:type="pct"/>
            <w:vAlign w:val="center"/>
          </w:tcPr>
          <w:p w14:paraId="53E611F2">
            <w:pPr>
              <w:spacing w:after="0" w:line="240" w:lineRule="auto"/>
              <w:jc w:val="center"/>
              <w:rPr>
                <w:rFonts w:hint="eastAsia" w:ascii="仿宋_GB2312" w:hAnsi="仿宋_GB2312" w:eastAsia="仿宋_GB2312" w:cs="仿宋_GB2312"/>
                <w:sz w:val="24"/>
                <w:highlight w:val="none"/>
              </w:rPr>
            </w:pPr>
          </w:p>
        </w:tc>
      </w:tr>
      <w:tr w14:paraId="53F9E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592E67B8">
            <w:pPr>
              <w:spacing w:after="0" w:line="24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入学教育</w:t>
            </w:r>
          </w:p>
        </w:tc>
        <w:tc>
          <w:tcPr>
            <w:tcW w:w="646" w:type="pct"/>
            <w:vAlign w:val="center"/>
          </w:tcPr>
          <w:p w14:paraId="40478510">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3-8</w:t>
            </w:r>
          </w:p>
        </w:tc>
        <w:tc>
          <w:tcPr>
            <w:tcW w:w="583" w:type="pct"/>
            <w:vAlign w:val="center"/>
          </w:tcPr>
          <w:p w14:paraId="14257BE3">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63E49AB7">
            <w:pPr>
              <w:spacing w:after="0" w:line="240" w:lineRule="auto"/>
              <w:jc w:val="center"/>
              <w:rPr>
                <w:rFonts w:hint="eastAsia" w:ascii="仿宋_GB2312" w:hAnsi="仿宋_GB2312" w:eastAsia="仿宋_GB2312" w:cs="仿宋_GB2312"/>
                <w:sz w:val="24"/>
                <w:highlight w:val="none"/>
              </w:rPr>
            </w:pPr>
          </w:p>
        </w:tc>
        <w:tc>
          <w:tcPr>
            <w:tcW w:w="582" w:type="pct"/>
            <w:vAlign w:val="center"/>
          </w:tcPr>
          <w:p w14:paraId="3DBEB916">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13258288">
            <w:pPr>
              <w:spacing w:after="0" w:line="240" w:lineRule="auto"/>
              <w:jc w:val="center"/>
              <w:rPr>
                <w:rFonts w:hint="eastAsia" w:ascii="仿宋_GB2312" w:hAnsi="仿宋_GB2312" w:eastAsia="仿宋_GB2312" w:cs="仿宋_GB2312"/>
                <w:sz w:val="24"/>
                <w:highlight w:val="none"/>
              </w:rPr>
            </w:pPr>
          </w:p>
        </w:tc>
        <w:tc>
          <w:tcPr>
            <w:tcW w:w="584" w:type="pct"/>
            <w:vAlign w:val="center"/>
          </w:tcPr>
          <w:p w14:paraId="69B0023A">
            <w:pPr>
              <w:spacing w:after="0" w:line="240" w:lineRule="auto"/>
              <w:jc w:val="center"/>
              <w:rPr>
                <w:rFonts w:hint="eastAsia" w:ascii="仿宋_GB2312" w:hAnsi="仿宋_GB2312" w:eastAsia="仿宋_GB2312" w:cs="仿宋_GB2312"/>
                <w:sz w:val="24"/>
                <w:highlight w:val="none"/>
              </w:rPr>
            </w:pPr>
          </w:p>
        </w:tc>
      </w:tr>
      <w:tr w14:paraId="6C2F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438" w:type="pct"/>
            <w:vAlign w:val="center"/>
          </w:tcPr>
          <w:p w14:paraId="08F1111E">
            <w:pPr>
              <w:spacing w:after="0" w:line="24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毕业设计</w:t>
            </w:r>
          </w:p>
        </w:tc>
        <w:tc>
          <w:tcPr>
            <w:tcW w:w="646" w:type="pct"/>
            <w:vAlign w:val="center"/>
          </w:tcPr>
          <w:p w14:paraId="7A1DEB6C">
            <w:pPr>
              <w:spacing w:after="0" w:line="240" w:lineRule="auto"/>
              <w:jc w:val="center"/>
              <w:rPr>
                <w:rFonts w:hint="eastAsia" w:ascii="仿宋_GB2312" w:hAnsi="仿宋_GB2312" w:eastAsia="仿宋_GB2312" w:cs="仿宋_GB2312"/>
                <w:sz w:val="24"/>
                <w:highlight w:val="none"/>
              </w:rPr>
            </w:pPr>
          </w:p>
        </w:tc>
        <w:tc>
          <w:tcPr>
            <w:tcW w:w="583" w:type="pct"/>
            <w:vAlign w:val="center"/>
          </w:tcPr>
          <w:p w14:paraId="63810336">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3A6A8515">
            <w:pPr>
              <w:spacing w:after="0" w:line="240" w:lineRule="auto"/>
              <w:jc w:val="center"/>
              <w:rPr>
                <w:rFonts w:hint="eastAsia" w:ascii="仿宋_GB2312" w:hAnsi="仿宋_GB2312" w:eastAsia="仿宋_GB2312" w:cs="仿宋_GB2312"/>
                <w:sz w:val="24"/>
                <w:highlight w:val="none"/>
              </w:rPr>
            </w:pPr>
          </w:p>
        </w:tc>
        <w:tc>
          <w:tcPr>
            <w:tcW w:w="582" w:type="pct"/>
            <w:vAlign w:val="center"/>
          </w:tcPr>
          <w:p w14:paraId="76CCBF0D">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24B25C34">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c>
          <w:tcPr>
            <w:tcW w:w="584" w:type="pct"/>
            <w:vAlign w:val="center"/>
          </w:tcPr>
          <w:p w14:paraId="74D41C58">
            <w:pPr>
              <w:spacing w:after="0" w:line="240" w:lineRule="auto"/>
              <w:jc w:val="center"/>
              <w:rPr>
                <w:rFonts w:hint="eastAsia" w:ascii="仿宋_GB2312" w:hAnsi="仿宋_GB2312" w:eastAsia="仿宋_GB2312" w:cs="仿宋_GB2312"/>
                <w:sz w:val="24"/>
                <w:highlight w:val="none"/>
              </w:rPr>
            </w:pPr>
          </w:p>
        </w:tc>
      </w:tr>
      <w:tr w14:paraId="33C9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27C2EA15">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岗位实习</w:t>
            </w:r>
          </w:p>
        </w:tc>
        <w:tc>
          <w:tcPr>
            <w:tcW w:w="646" w:type="pct"/>
            <w:vAlign w:val="center"/>
          </w:tcPr>
          <w:p w14:paraId="12155BDE">
            <w:pPr>
              <w:spacing w:after="0" w:line="240" w:lineRule="auto"/>
              <w:jc w:val="center"/>
              <w:rPr>
                <w:rFonts w:hint="eastAsia" w:ascii="仿宋_GB2312" w:hAnsi="仿宋_GB2312" w:eastAsia="仿宋_GB2312" w:cs="仿宋_GB2312"/>
                <w:sz w:val="24"/>
                <w:highlight w:val="none"/>
              </w:rPr>
            </w:pPr>
          </w:p>
        </w:tc>
        <w:tc>
          <w:tcPr>
            <w:tcW w:w="583" w:type="pct"/>
            <w:vAlign w:val="center"/>
          </w:tcPr>
          <w:p w14:paraId="2EBD963D">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300E1DE7">
            <w:pPr>
              <w:spacing w:after="0" w:line="240" w:lineRule="auto"/>
              <w:jc w:val="center"/>
              <w:rPr>
                <w:rFonts w:hint="eastAsia" w:ascii="仿宋_GB2312" w:hAnsi="仿宋_GB2312" w:eastAsia="仿宋_GB2312" w:cs="仿宋_GB2312"/>
                <w:sz w:val="24"/>
                <w:highlight w:val="none"/>
              </w:rPr>
            </w:pPr>
          </w:p>
        </w:tc>
        <w:tc>
          <w:tcPr>
            <w:tcW w:w="582" w:type="pct"/>
            <w:vAlign w:val="center"/>
          </w:tcPr>
          <w:p w14:paraId="55965D75">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63AEC77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4" w:type="pct"/>
            <w:vAlign w:val="center"/>
          </w:tcPr>
          <w:p w14:paraId="691FF25C">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1-18</w:t>
            </w:r>
          </w:p>
        </w:tc>
      </w:tr>
      <w:tr w14:paraId="2542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776DF376">
            <w:pPr>
              <w:spacing w:after="0" w:line="24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社会实践</w:t>
            </w:r>
          </w:p>
        </w:tc>
        <w:tc>
          <w:tcPr>
            <w:tcW w:w="646" w:type="pct"/>
            <w:vAlign w:val="center"/>
          </w:tcPr>
          <w:p w14:paraId="49153FA9">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3" w:type="pct"/>
            <w:vAlign w:val="center"/>
          </w:tcPr>
          <w:p w14:paraId="2C36A68C">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1" w:type="pct"/>
            <w:vAlign w:val="center"/>
          </w:tcPr>
          <w:p w14:paraId="11093F23">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2" w:type="pct"/>
            <w:vAlign w:val="center"/>
          </w:tcPr>
          <w:p w14:paraId="78E9B300">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1" w:type="pct"/>
            <w:vAlign w:val="center"/>
          </w:tcPr>
          <w:p w14:paraId="094EADF9">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c>
          <w:tcPr>
            <w:tcW w:w="584" w:type="pct"/>
            <w:vAlign w:val="center"/>
          </w:tcPr>
          <w:p w14:paraId="1E4BF9A0">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1-20</w:t>
            </w:r>
          </w:p>
        </w:tc>
      </w:tr>
      <w:tr w14:paraId="1596F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33CF5B19">
            <w:pPr>
              <w:spacing w:after="0" w:line="24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毕业教育</w:t>
            </w:r>
          </w:p>
        </w:tc>
        <w:tc>
          <w:tcPr>
            <w:tcW w:w="646" w:type="pct"/>
            <w:vAlign w:val="center"/>
          </w:tcPr>
          <w:p w14:paraId="4ECA39B1">
            <w:pPr>
              <w:spacing w:after="0" w:line="240" w:lineRule="auto"/>
              <w:jc w:val="center"/>
              <w:rPr>
                <w:rFonts w:hint="eastAsia" w:ascii="仿宋_GB2312" w:hAnsi="仿宋_GB2312" w:eastAsia="仿宋_GB2312" w:cs="仿宋_GB2312"/>
                <w:sz w:val="24"/>
                <w:highlight w:val="none"/>
              </w:rPr>
            </w:pPr>
          </w:p>
        </w:tc>
        <w:tc>
          <w:tcPr>
            <w:tcW w:w="583" w:type="pct"/>
            <w:vAlign w:val="center"/>
          </w:tcPr>
          <w:p w14:paraId="56098982">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1808191B">
            <w:pPr>
              <w:spacing w:after="0" w:line="240" w:lineRule="auto"/>
              <w:jc w:val="center"/>
              <w:rPr>
                <w:rFonts w:hint="eastAsia" w:ascii="仿宋_GB2312" w:hAnsi="仿宋_GB2312" w:eastAsia="仿宋_GB2312" w:cs="仿宋_GB2312"/>
                <w:sz w:val="24"/>
                <w:highlight w:val="none"/>
              </w:rPr>
            </w:pPr>
          </w:p>
        </w:tc>
        <w:tc>
          <w:tcPr>
            <w:tcW w:w="582" w:type="pct"/>
            <w:vAlign w:val="center"/>
          </w:tcPr>
          <w:p w14:paraId="4175C6D4">
            <w:pPr>
              <w:spacing w:after="0" w:line="240" w:lineRule="auto"/>
              <w:jc w:val="center"/>
              <w:rPr>
                <w:rFonts w:hint="eastAsia" w:ascii="仿宋_GB2312" w:hAnsi="仿宋_GB2312" w:eastAsia="仿宋_GB2312" w:cs="仿宋_GB2312"/>
                <w:sz w:val="24"/>
                <w:highlight w:val="none"/>
              </w:rPr>
            </w:pPr>
          </w:p>
        </w:tc>
        <w:tc>
          <w:tcPr>
            <w:tcW w:w="581" w:type="pct"/>
            <w:vAlign w:val="center"/>
          </w:tcPr>
          <w:p w14:paraId="7147E905">
            <w:pPr>
              <w:spacing w:after="0" w:line="240" w:lineRule="auto"/>
              <w:jc w:val="center"/>
              <w:rPr>
                <w:rFonts w:hint="eastAsia" w:ascii="仿宋_GB2312" w:hAnsi="仿宋_GB2312" w:eastAsia="仿宋_GB2312" w:cs="仿宋_GB2312"/>
                <w:sz w:val="24"/>
                <w:highlight w:val="none"/>
              </w:rPr>
            </w:pPr>
          </w:p>
        </w:tc>
        <w:tc>
          <w:tcPr>
            <w:tcW w:w="584" w:type="pct"/>
            <w:vAlign w:val="center"/>
          </w:tcPr>
          <w:p w14:paraId="0025D3C3">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18-19</w:t>
            </w:r>
          </w:p>
        </w:tc>
      </w:tr>
      <w:tr w14:paraId="56D5A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14:paraId="154FE04D">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color w:val="000000"/>
                <w:sz w:val="24"/>
                <w:highlight w:val="none"/>
              </w:rPr>
              <w:t>学期教学总周数</w:t>
            </w:r>
          </w:p>
        </w:tc>
        <w:tc>
          <w:tcPr>
            <w:tcW w:w="646" w:type="pct"/>
            <w:vAlign w:val="center"/>
          </w:tcPr>
          <w:p w14:paraId="23AED4FF">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c>
          <w:tcPr>
            <w:tcW w:w="583" w:type="pct"/>
            <w:vAlign w:val="center"/>
          </w:tcPr>
          <w:p w14:paraId="18B1657B">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c>
          <w:tcPr>
            <w:tcW w:w="581" w:type="pct"/>
            <w:vAlign w:val="center"/>
          </w:tcPr>
          <w:p w14:paraId="513D85B5">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c>
          <w:tcPr>
            <w:tcW w:w="582" w:type="pct"/>
            <w:vAlign w:val="center"/>
          </w:tcPr>
          <w:p w14:paraId="6E6556CE">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c>
          <w:tcPr>
            <w:tcW w:w="581" w:type="pct"/>
            <w:vAlign w:val="center"/>
          </w:tcPr>
          <w:p w14:paraId="11F36D86">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c>
          <w:tcPr>
            <w:tcW w:w="584" w:type="pct"/>
            <w:vAlign w:val="center"/>
          </w:tcPr>
          <w:p w14:paraId="46EE7EEC">
            <w:pPr>
              <w:spacing w:after="0" w:line="24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20周</w:t>
            </w:r>
          </w:p>
        </w:tc>
      </w:tr>
    </w:tbl>
    <w:p w14:paraId="0C55F1A9">
      <w:pPr>
        <w:spacing w:after="0" w:line="520" w:lineRule="exact"/>
        <w:ind w:firstLine="640" w:firstLineChars="200"/>
        <w:rPr>
          <w:rFonts w:hint="eastAsia" w:ascii="楷体" w:hAnsi="楷体" w:eastAsia="楷体" w:cs="楷体"/>
          <w:bCs/>
          <w:sz w:val="32"/>
          <w:szCs w:val="32"/>
          <w:highlight w:val="none"/>
        </w:rPr>
      </w:pPr>
      <w:r>
        <w:rPr>
          <w:rFonts w:hint="eastAsia" w:ascii="楷体" w:hAnsi="楷体" w:eastAsia="楷体" w:cs="楷体"/>
          <w:sz w:val="32"/>
          <w:szCs w:val="32"/>
          <w:highlight w:val="none"/>
        </w:rPr>
        <w:t>（二）</w:t>
      </w:r>
      <w:r>
        <w:rPr>
          <w:rFonts w:hint="eastAsia" w:ascii="楷体" w:hAnsi="楷体" w:eastAsia="楷体" w:cs="楷体"/>
          <w:bCs/>
          <w:sz w:val="32"/>
          <w:szCs w:val="32"/>
          <w:highlight w:val="none"/>
        </w:rPr>
        <w:t>课程结构与学时、学分分配</w:t>
      </w:r>
    </w:p>
    <w:p w14:paraId="798D2116">
      <w:pPr>
        <w:spacing w:after="0" w:line="520" w:lineRule="exact"/>
        <w:ind w:firstLine="640" w:firstLineChars="200"/>
        <w:rPr>
          <w:rFonts w:hint="eastAsia" w:ascii="仿宋_GB2312" w:hAnsi="仿宋_GB2312" w:eastAsia="仿宋_GB2312" w:cs="仿宋_GB2312"/>
          <w:bCs/>
          <w:sz w:val="32"/>
          <w:szCs w:val="32"/>
          <w:highlight w:val="none"/>
        </w:rPr>
      </w:pPr>
      <w:r>
        <w:rPr>
          <w:rFonts w:hint="eastAsia" w:ascii="仿宋_GB2312" w:hAnsi="仿宋_GB2312" w:eastAsia="仿宋_GB2312" w:cs="仿宋_GB2312"/>
          <w:sz w:val="32"/>
          <w:szCs w:val="32"/>
          <w:highlight w:val="none"/>
        </w:rPr>
        <w:t>本专业教学总学时为2638学时。其中理论教学1228学时，占46.55%；实践教学1410学时，占53.45%，其中岗位实习累计时间6个月。公共基础课922学时，占34.95%；选修课288学时，占10.</w:t>
      </w:r>
      <w:r>
        <w:rPr>
          <w:rFonts w:hint="eastAsia" w:ascii="仿宋_GB2312" w:hAnsi="仿宋_GB2312" w:eastAsia="仿宋_GB2312" w:cs="仿宋_GB2312"/>
          <w:sz w:val="32"/>
          <w:szCs w:val="32"/>
          <w:highlight w:val="none"/>
          <w:lang w:val="en-US" w:eastAsia="zh-CN"/>
        </w:rPr>
        <w:t>92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Cs/>
          <w:sz w:val="32"/>
          <w:szCs w:val="32"/>
          <w:highlight w:val="none"/>
        </w:rPr>
        <w:t xml:space="preserve">  </w:t>
      </w:r>
    </w:p>
    <w:p w14:paraId="15E191F8">
      <w:pPr>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 xml:space="preserve">         </w:t>
      </w:r>
      <w:bookmarkStart w:id="26" w:name="_GoBack"/>
      <w:bookmarkEnd w:id="26"/>
    </w:p>
    <w:p w14:paraId="2599196D">
      <w:pPr>
        <w:spacing w:after="0" w:line="520" w:lineRule="exact"/>
        <w:jc w:val="center"/>
        <w:rPr>
          <w:rFonts w:hint="eastAsia" w:ascii="仿宋_GB2312" w:hAnsi="仿宋_GB2312" w:eastAsia="仿宋_GB2312" w:cs="仿宋_GB2312"/>
          <w:spacing w:val="-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pacing w:val="-2"/>
          <w:sz w:val="32"/>
          <w:szCs w:val="32"/>
          <w:highlight w:val="none"/>
        </w:rPr>
        <w:t>课程学时、学分分配表</w:t>
      </w:r>
    </w:p>
    <w:tbl>
      <w:tblPr>
        <w:tblStyle w:val="7"/>
        <w:tblW w:w="10627" w:type="dxa"/>
        <w:jc w:val="center"/>
        <w:tblLayout w:type="fixed"/>
        <w:tblCellMar>
          <w:top w:w="0" w:type="dxa"/>
          <w:left w:w="108" w:type="dxa"/>
          <w:bottom w:w="0" w:type="dxa"/>
          <w:right w:w="108" w:type="dxa"/>
        </w:tblCellMar>
      </w:tblPr>
      <w:tblGrid>
        <w:gridCol w:w="1021"/>
        <w:gridCol w:w="1968"/>
        <w:gridCol w:w="872"/>
        <w:gridCol w:w="718"/>
        <w:gridCol w:w="1118"/>
        <w:gridCol w:w="896"/>
        <w:gridCol w:w="759"/>
        <w:gridCol w:w="1261"/>
        <w:gridCol w:w="750"/>
        <w:gridCol w:w="1264"/>
      </w:tblGrid>
      <w:tr w14:paraId="02332486">
        <w:tblPrEx>
          <w:tblCellMar>
            <w:top w:w="0" w:type="dxa"/>
            <w:left w:w="108" w:type="dxa"/>
            <w:bottom w:w="0" w:type="dxa"/>
            <w:right w:w="108" w:type="dxa"/>
          </w:tblCellMar>
        </w:tblPrEx>
        <w:trPr>
          <w:trHeight w:val="240" w:hRule="atLeast"/>
          <w:jc w:val="center"/>
        </w:trPr>
        <w:tc>
          <w:tcPr>
            <w:tcW w:w="2989"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0092B629">
            <w:pPr>
              <w:widowControl/>
              <w:spacing w:after="0"/>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课程类别</w:t>
            </w:r>
          </w:p>
        </w:tc>
        <w:tc>
          <w:tcPr>
            <w:tcW w:w="872" w:type="dxa"/>
            <w:vMerge w:val="restart"/>
            <w:tcBorders>
              <w:top w:val="single" w:color="000000" w:sz="4" w:space="0"/>
              <w:left w:val="single" w:color="000000" w:sz="4" w:space="0"/>
              <w:bottom w:val="single" w:color="000000" w:sz="4" w:space="0"/>
              <w:right w:val="single" w:color="000000" w:sz="4" w:space="0"/>
            </w:tcBorders>
            <w:vAlign w:val="center"/>
          </w:tcPr>
          <w:p w14:paraId="318AFA84">
            <w:pPr>
              <w:widowControl/>
              <w:spacing w:after="0"/>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noWrap/>
            <w:vAlign w:val="center"/>
          </w:tcPr>
          <w:p w14:paraId="7CA1AF8D">
            <w:pPr>
              <w:widowControl/>
              <w:spacing w:after="0"/>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vAlign w:val="center"/>
          </w:tcPr>
          <w:p w14:paraId="630F9B5D">
            <w:pPr>
              <w:widowControl/>
              <w:spacing w:after="0" w:line="24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noWrap/>
            <w:vAlign w:val="center"/>
          </w:tcPr>
          <w:p w14:paraId="20E1F2E3">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 xml:space="preserve">                         学时</w:t>
            </w:r>
          </w:p>
        </w:tc>
      </w:tr>
      <w:tr w14:paraId="13F676FA">
        <w:tblPrEx>
          <w:tblCellMar>
            <w:top w:w="0" w:type="dxa"/>
            <w:left w:w="108" w:type="dxa"/>
            <w:bottom w:w="0" w:type="dxa"/>
            <w:right w:w="108" w:type="dxa"/>
          </w:tblCellMar>
        </w:tblPrEx>
        <w:trPr>
          <w:trHeight w:val="240" w:hRule="atLeast"/>
          <w:jc w:val="center"/>
        </w:trPr>
        <w:tc>
          <w:tcPr>
            <w:tcW w:w="298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0D1BD6DB">
            <w:pPr>
              <w:widowControl/>
              <w:spacing w:after="0"/>
              <w:jc w:val="center"/>
              <w:rPr>
                <w:rFonts w:hint="eastAsia" w:ascii="仿宋_GB2312" w:hAnsi="仿宋_GB2312" w:eastAsia="仿宋_GB2312" w:cs="仿宋_GB2312"/>
                <w:color w:val="000000"/>
                <w:sz w:val="24"/>
                <w:highlight w:val="none"/>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42D7E16C">
            <w:pPr>
              <w:widowControl/>
              <w:spacing w:after="0"/>
              <w:jc w:val="center"/>
              <w:rPr>
                <w:rFonts w:hint="eastAsia" w:ascii="仿宋_GB2312" w:hAnsi="仿宋_GB2312" w:eastAsia="仿宋_GB2312" w:cs="仿宋_GB2312"/>
                <w:color w:val="000000"/>
                <w:sz w:val="24"/>
                <w:highlight w:val="none"/>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71AC8EEE">
            <w:pPr>
              <w:widowControl/>
              <w:spacing w:after="0"/>
              <w:rPr>
                <w:rFonts w:hint="eastAsia" w:ascii="仿宋_GB2312" w:hAnsi="仿宋_GB2312" w:eastAsia="仿宋_GB2312" w:cs="仿宋_GB2312"/>
                <w:color w:val="000000"/>
                <w:sz w:val="24"/>
                <w:highlight w:val="none"/>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1ED9CE63">
            <w:pPr>
              <w:widowControl/>
              <w:spacing w:after="0" w:line="240" w:lineRule="atLeast"/>
              <w:jc w:val="center"/>
              <w:rPr>
                <w:rFonts w:hint="eastAsia" w:ascii="仿宋_GB2312" w:hAnsi="仿宋_GB2312" w:eastAsia="仿宋_GB2312" w:cs="仿宋_GB2312"/>
                <w:color w:val="000000"/>
                <w:sz w:val="24"/>
                <w:highlight w:val="none"/>
              </w:rPr>
            </w:pPr>
          </w:p>
        </w:tc>
        <w:tc>
          <w:tcPr>
            <w:tcW w:w="896" w:type="dxa"/>
            <w:vMerge w:val="restart"/>
            <w:tcBorders>
              <w:top w:val="single" w:color="000000" w:sz="4" w:space="0"/>
              <w:left w:val="single" w:color="000000" w:sz="4" w:space="0"/>
              <w:bottom w:val="single" w:color="000000" w:sz="4" w:space="0"/>
              <w:right w:val="single" w:color="000000" w:sz="4" w:space="0"/>
            </w:tcBorders>
            <w:noWrap/>
            <w:vAlign w:val="center"/>
          </w:tcPr>
          <w:p w14:paraId="1A54AEE5">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合计</w:t>
            </w:r>
          </w:p>
        </w:tc>
        <w:tc>
          <w:tcPr>
            <w:tcW w:w="2020" w:type="dxa"/>
            <w:gridSpan w:val="2"/>
            <w:tcBorders>
              <w:top w:val="single" w:color="000000" w:sz="4" w:space="0"/>
              <w:left w:val="single" w:color="000000" w:sz="4" w:space="0"/>
              <w:bottom w:val="single" w:color="000000" w:sz="4" w:space="0"/>
              <w:right w:val="single" w:color="000000" w:sz="4" w:space="0"/>
            </w:tcBorders>
            <w:noWrap/>
            <w:vAlign w:val="center"/>
          </w:tcPr>
          <w:p w14:paraId="49186747">
            <w:pPr>
              <w:widowControl/>
              <w:spacing w:after="0" w:line="24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noWrap/>
            <w:vAlign w:val="center"/>
          </w:tcPr>
          <w:p w14:paraId="0AF64123">
            <w:pPr>
              <w:widowControl/>
              <w:spacing w:after="0" w:line="240" w:lineRule="atLeas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实践教学</w:t>
            </w:r>
          </w:p>
        </w:tc>
      </w:tr>
      <w:tr w14:paraId="67A8284E">
        <w:tblPrEx>
          <w:tblCellMar>
            <w:top w:w="0" w:type="dxa"/>
            <w:left w:w="108" w:type="dxa"/>
            <w:bottom w:w="0" w:type="dxa"/>
            <w:right w:w="108" w:type="dxa"/>
          </w:tblCellMar>
        </w:tblPrEx>
        <w:trPr>
          <w:trHeight w:val="770" w:hRule="atLeast"/>
          <w:jc w:val="center"/>
        </w:trPr>
        <w:tc>
          <w:tcPr>
            <w:tcW w:w="298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7156EC80">
            <w:pPr>
              <w:widowControl/>
              <w:spacing w:after="0"/>
              <w:jc w:val="center"/>
              <w:rPr>
                <w:rFonts w:hint="eastAsia" w:ascii="仿宋_GB2312" w:hAnsi="仿宋_GB2312" w:eastAsia="仿宋_GB2312" w:cs="仿宋_GB2312"/>
                <w:color w:val="000000"/>
                <w:sz w:val="24"/>
                <w:highlight w:val="none"/>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14:paraId="53BD9BAA">
            <w:pPr>
              <w:widowControl/>
              <w:spacing w:after="0"/>
              <w:jc w:val="center"/>
              <w:rPr>
                <w:rFonts w:hint="eastAsia" w:ascii="仿宋_GB2312" w:hAnsi="仿宋_GB2312" w:eastAsia="仿宋_GB2312" w:cs="仿宋_GB2312"/>
                <w:color w:val="000000"/>
                <w:sz w:val="24"/>
                <w:highlight w:val="none"/>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1C4559A9">
            <w:pPr>
              <w:widowControl/>
              <w:spacing w:after="0"/>
              <w:rPr>
                <w:rFonts w:hint="eastAsia" w:ascii="仿宋_GB2312" w:hAnsi="仿宋_GB2312" w:eastAsia="仿宋_GB2312" w:cs="仿宋_GB2312"/>
                <w:color w:val="000000"/>
                <w:sz w:val="24"/>
                <w:highlight w:val="none"/>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7472496E">
            <w:pPr>
              <w:widowControl/>
              <w:spacing w:after="0" w:line="240" w:lineRule="atLeast"/>
              <w:jc w:val="center"/>
              <w:rPr>
                <w:rFonts w:hint="eastAsia" w:ascii="仿宋_GB2312" w:hAnsi="仿宋_GB2312" w:eastAsia="仿宋_GB2312" w:cs="仿宋_GB2312"/>
                <w:color w:val="000000"/>
                <w:sz w:val="24"/>
                <w:highlight w:val="none"/>
              </w:rPr>
            </w:pPr>
          </w:p>
        </w:tc>
        <w:tc>
          <w:tcPr>
            <w:tcW w:w="896" w:type="dxa"/>
            <w:vMerge w:val="continue"/>
            <w:tcBorders>
              <w:top w:val="single" w:color="000000" w:sz="4" w:space="0"/>
              <w:left w:val="single" w:color="000000" w:sz="4" w:space="0"/>
              <w:bottom w:val="single" w:color="000000" w:sz="4" w:space="0"/>
              <w:right w:val="single" w:color="000000" w:sz="4" w:space="0"/>
            </w:tcBorders>
            <w:noWrap/>
            <w:vAlign w:val="center"/>
          </w:tcPr>
          <w:p w14:paraId="52006D96">
            <w:pPr>
              <w:widowControl/>
              <w:spacing w:after="0" w:line="240" w:lineRule="atLeast"/>
              <w:rPr>
                <w:rFonts w:hint="eastAsia" w:ascii="仿宋_GB2312" w:hAnsi="仿宋_GB2312" w:eastAsia="仿宋_GB2312" w:cs="仿宋_GB2312"/>
                <w:color w:val="000000"/>
                <w:sz w:val="24"/>
                <w:highlight w:val="none"/>
              </w:rPr>
            </w:pP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642EA91">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学时</w:t>
            </w:r>
          </w:p>
        </w:tc>
        <w:tc>
          <w:tcPr>
            <w:tcW w:w="1261" w:type="dxa"/>
            <w:tcBorders>
              <w:top w:val="single" w:color="000000" w:sz="4" w:space="0"/>
              <w:left w:val="single" w:color="000000" w:sz="4" w:space="0"/>
              <w:bottom w:val="single" w:color="000000" w:sz="4" w:space="0"/>
              <w:right w:val="single" w:color="000000" w:sz="4" w:space="0"/>
            </w:tcBorders>
            <w:vAlign w:val="center"/>
          </w:tcPr>
          <w:p w14:paraId="00135D19">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1A19250">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学时</w:t>
            </w:r>
          </w:p>
        </w:tc>
        <w:tc>
          <w:tcPr>
            <w:tcW w:w="1264" w:type="dxa"/>
            <w:tcBorders>
              <w:top w:val="single" w:color="000000" w:sz="4" w:space="0"/>
              <w:left w:val="single" w:color="000000" w:sz="4" w:space="0"/>
              <w:bottom w:val="single" w:color="000000" w:sz="4" w:space="0"/>
              <w:right w:val="single" w:color="000000" w:sz="4" w:space="0"/>
            </w:tcBorders>
            <w:vAlign w:val="center"/>
          </w:tcPr>
          <w:p w14:paraId="3479BB0A">
            <w:pPr>
              <w:widowControl/>
              <w:spacing w:after="0" w:line="240" w:lineRule="atLeas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占专业总学时比例（%）</w:t>
            </w:r>
          </w:p>
        </w:tc>
      </w:tr>
      <w:tr w14:paraId="3365CAB2">
        <w:tblPrEx>
          <w:tblCellMar>
            <w:top w:w="0" w:type="dxa"/>
            <w:left w:w="108" w:type="dxa"/>
            <w:bottom w:w="0" w:type="dxa"/>
            <w:right w:w="108" w:type="dxa"/>
          </w:tblCellMar>
        </w:tblPrEx>
        <w:trPr>
          <w:trHeight w:val="240" w:hRule="atLeast"/>
          <w:jc w:val="center"/>
        </w:trPr>
        <w:tc>
          <w:tcPr>
            <w:tcW w:w="2989"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2C75C7EF">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公共基础课</w:t>
            </w: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1A923A32">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781882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2FD83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29.79%</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72CE9C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EF9F1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vAlign w:val="center"/>
          </w:tcPr>
          <w:p w14:paraId="7F528D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17.21%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0F2920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696041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12.89%</w:t>
            </w:r>
          </w:p>
        </w:tc>
      </w:tr>
      <w:tr w14:paraId="6F42BCCE">
        <w:tblPrEx>
          <w:tblCellMar>
            <w:top w:w="0" w:type="dxa"/>
            <w:left w:w="108" w:type="dxa"/>
            <w:bottom w:w="0" w:type="dxa"/>
            <w:right w:w="108" w:type="dxa"/>
          </w:tblCellMar>
        </w:tblPrEx>
        <w:trPr>
          <w:trHeight w:val="240" w:hRule="atLeast"/>
          <w:jc w:val="center"/>
        </w:trPr>
        <w:tc>
          <w:tcPr>
            <w:tcW w:w="298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3D888092">
            <w:pPr>
              <w:widowControl/>
              <w:spacing w:after="0" w:line="240" w:lineRule="auto"/>
              <w:jc w:val="center"/>
              <w:rPr>
                <w:rFonts w:hint="eastAsia" w:ascii="仿宋_GB2312" w:hAnsi="仿宋_GB2312" w:eastAsia="仿宋_GB2312" w:cs="仿宋_GB2312"/>
                <w:color w:val="000000"/>
                <w:sz w:val="24"/>
                <w:highlight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125239F0">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610F006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778CE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5.67%</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40281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429570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vAlign w:val="center"/>
          </w:tcPr>
          <w:p w14:paraId="0A60D2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3FD38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580DF4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1.82%</w:t>
            </w:r>
          </w:p>
        </w:tc>
      </w:tr>
      <w:tr w14:paraId="1F9876A4">
        <w:tblPrEx>
          <w:tblCellMar>
            <w:top w:w="0" w:type="dxa"/>
            <w:left w:w="108" w:type="dxa"/>
            <w:bottom w:w="0" w:type="dxa"/>
            <w:right w:w="108" w:type="dxa"/>
          </w:tblCellMar>
        </w:tblPrEx>
        <w:trPr>
          <w:trHeight w:val="240" w:hRule="atLeast"/>
          <w:jc w:val="center"/>
        </w:trPr>
        <w:tc>
          <w:tcPr>
            <w:tcW w:w="298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34DA5FBA">
            <w:pPr>
              <w:widowControl/>
              <w:spacing w:after="0" w:line="240" w:lineRule="auto"/>
              <w:jc w:val="center"/>
              <w:rPr>
                <w:rFonts w:hint="eastAsia" w:ascii="仿宋_GB2312" w:hAnsi="仿宋_GB2312" w:eastAsia="仿宋_GB2312" w:cs="仿宋_GB2312"/>
                <w:color w:val="000000"/>
                <w:sz w:val="24"/>
                <w:highlight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60CCDB76">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1AE7FD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499319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35.46%</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25AE68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76804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vAlign w:val="center"/>
          </w:tcPr>
          <w:p w14:paraId="19C4D9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20.24%</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F04CD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7C89DF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14.71%</w:t>
            </w:r>
          </w:p>
        </w:tc>
      </w:tr>
      <w:tr w14:paraId="29519A81">
        <w:tblPrEx>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vAlign w:val="center"/>
          </w:tcPr>
          <w:p w14:paraId="29B35489">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专业课</w:t>
            </w:r>
          </w:p>
        </w:tc>
        <w:tc>
          <w:tcPr>
            <w:tcW w:w="1968" w:type="dxa"/>
            <w:tcBorders>
              <w:top w:val="single" w:color="000000" w:sz="4" w:space="0"/>
              <w:left w:val="single" w:color="000000" w:sz="4" w:space="0"/>
              <w:bottom w:val="single" w:color="000000" w:sz="4" w:space="0"/>
              <w:right w:val="single" w:color="000000" w:sz="4" w:space="0"/>
            </w:tcBorders>
            <w:vAlign w:val="center"/>
          </w:tcPr>
          <w:p w14:paraId="6B5B3FC9">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专业基础课</w:t>
            </w: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42765917">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C4C6B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4E6404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19.86%</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F6FDD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504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0D8314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272</w:t>
            </w:r>
          </w:p>
        </w:tc>
        <w:tc>
          <w:tcPr>
            <w:tcW w:w="1261" w:type="dxa"/>
            <w:tcBorders>
              <w:top w:val="single" w:color="000000" w:sz="4" w:space="0"/>
              <w:left w:val="single" w:color="000000" w:sz="4" w:space="0"/>
              <w:bottom w:val="single" w:color="000000" w:sz="4" w:space="0"/>
              <w:right w:val="single" w:color="000000" w:sz="4" w:space="0"/>
            </w:tcBorders>
            <w:vAlign w:val="center"/>
          </w:tcPr>
          <w:p w14:paraId="3F7E8A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10.31%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9FD6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232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304533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8.79%</w:t>
            </w:r>
          </w:p>
        </w:tc>
      </w:tr>
      <w:tr w14:paraId="4D2FA057">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0CF91615">
            <w:pPr>
              <w:widowControl/>
              <w:spacing w:after="0" w:line="240" w:lineRule="auto"/>
              <w:jc w:val="center"/>
              <w:rPr>
                <w:rFonts w:hint="eastAsia" w:ascii="仿宋_GB2312" w:hAnsi="仿宋_GB2312" w:eastAsia="仿宋_GB2312" w:cs="仿宋_GB2312"/>
                <w:color w:val="000000"/>
                <w:sz w:val="24"/>
                <w:highlight w:val="none"/>
              </w:rPr>
            </w:pPr>
          </w:p>
        </w:tc>
        <w:tc>
          <w:tcPr>
            <w:tcW w:w="1968" w:type="dxa"/>
            <w:tcBorders>
              <w:top w:val="single" w:color="000000" w:sz="4" w:space="0"/>
              <w:left w:val="single" w:color="000000" w:sz="4" w:space="0"/>
              <w:bottom w:val="single" w:color="000000" w:sz="4" w:space="0"/>
              <w:right w:val="single" w:color="000000" w:sz="4" w:space="0"/>
            </w:tcBorders>
            <w:vAlign w:val="center"/>
          </w:tcPr>
          <w:p w14:paraId="3D493EEB">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专业核心课</w:t>
            </w: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137161EE">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F6DAAE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C0F75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18.44%</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3A2EF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468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73EF3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242</w:t>
            </w:r>
          </w:p>
        </w:tc>
        <w:tc>
          <w:tcPr>
            <w:tcW w:w="1261" w:type="dxa"/>
            <w:tcBorders>
              <w:top w:val="single" w:color="000000" w:sz="4" w:space="0"/>
              <w:left w:val="single" w:color="000000" w:sz="4" w:space="0"/>
              <w:bottom w:val="single" w:color="000000" w:sz="4" w:space="0"/>
              <w:right w:val="single" w:color="000000" w:sz="4" w:space="0"/>
            </w:tcBorders>
            <w:vAlign w:val="center"/>
          </w:tcPr>
          <w:p w14:paraId="706D63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9.17%</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D4911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226</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513390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8.57%</w:t>
            </w:r>
          </w:p>
        </w:tc>
      </w:tr>
      <w:tr w14:paraId="54F824EA">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6543F8A3">
            <w:pPr>
              <w:widowControl/>
              <w:spacing w:after="0" w:line="240" w:lineRule="auto"/>
              <w:jc w:val="center"/>
              <w:rPr>
                <w:rFonts w:hint="eastAsia" w:ascii="仿宋_GB2312" w:hAnsi="仿宋_GB2312" w:eastAsia="仿宋_GB2312" w:cs="仿宋_GB2312"/>
                <w:color w:val="000000"/>
                <w:sz w:val="24"/>
                <w:highlight w:val="none"/>
              </w:rPr>
            </w:pPr>
          </w:p>
        </w:tc>
        <w:tc>
          <w:tcPr>
            <w:tcW w:w="1968" w:type="dxa"/>
            <w:tcBorders>
              <w:top w:val="single" w:color="000000" w:sz="4" w:space="0"/>
              <w:left w:val="single" w:color="000000" w:sz="4" w:space="0"/>
              <w:bottom w:val="single" w:color="000000" w:sz="4" w:space="0"/>
              <w:right w:val="single" w:color="000000" w:sz="4" w:space="0"/>
            </w:tcBorders>
            <w:vAlign w:val="center"/>
          </w:tcPr>
          <w:p w14:paraId="266C3A06">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专业拓展课</w:t>
            </w:r>
          </w:p>
        </w:tc>
        <w:tc>
          <w:tcPr>
            <w:tcW w:w="872" w:type="dxa"/>
            <w:tcBorders>
              <w:top w:val="single" w:color="000000" w:sz="4" w:space="0"/>
              <w:left w:val="single" w:color="000000" w:sz="4" w:space="0"/>
              <w:bottom w:val="single" w:color="000000" w:sz="4" w:space="0"/>
              <w:right w:val="single" w:color="000000" w:sz="4" w:space="0"/>
            </w:tcBorders>
            <w:noWrap/>
            <w:vAlign w:val="center"/>
          </w:tcPr>
          <w:p w14:paraId="6BC168D3">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4E25DB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863DC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7.09%</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651CF9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160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CB8F5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160</w:t>
            </w:r>
          </w:p>
        </w:tc>
        <w:tc>
          <w:tcPr>
            <w:tcW w:w="1261" w:type="dxa"/>
            <w:tcBorders>
              <w:top w:val="single" w:color="000000" w:sz="4" w:space="0"/>
              <w:left w:val="single" w:color="000000" w:sz="4" w:space="0"/>
              <w:bottom w:val="single" w:color="000000" w:sz="4" w:space="0"/>
              <w:right w:val="single" w:color="000000" w:sz="4" w:space="0"/>
            </w:tcBorders>
            <w:vAlign w:val="center"/>
          </w:tcPr>
          <w:p w14:paraId="5EC28C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6.07%</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E6AF0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58975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0.00%</w:t>
            </w:r>
          </w:p>
        </w:tc>
      </w:tr>
      <w:tr w14:paraId="17BEDD70">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28FB907D">
            <w:pPr>
              <w:widowControl/>
              <w:spacing w:after="0" w:line="240" w:lineRule="auto"/>
              <w:jc w:val="center"/>
              <w:textAlignment w:val="center"/>
              <w:rPr>
                <w:rFonts w:hint="eastAsia" w:ascii="仿宋_GB2312" w:hAnsi="仿宋_GB2312" w:eastAsia="仿宋_GB2312" w:cs="仿宋_GB2312"/>
                <w:color w:val="000000"/>
                <w:kern w:val="0"/>
                <w:sz w:val="24"/>
                <w:highlight w:val="none"/>
                <w:lang w:bidi="ar"/>
              </w:rPr>
            </w:pPr>
          </w:p>
        </w:tc>
        <w:tc>
          <w:tcPr>
            <w:tcW w:w="1968" w:type="dxa"/>
            <w:tcBorders>
              <w:top w:val="single" w:color="000000" w:sz="4" w:space="0"/>
              <w:left w:val="single" w:color="000000" w:sz="4" w:space="0"/>
              <w:bottom w:val="single" w:color="000000" w:sz="4" w:space="0"/>
              <w:right w:val="single" w:color="000000" w:sz="4" w:space="0"/>
            </w:tcBorders>
            <w:vAlign w:val="center"/>
          </w:tcPr>
          <w:p w14:paraId="54C4228F">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实践</w:t>
            </w:r>
            <w:r>
              <w:rPr>
                <w:rFonts w:hint="eastAsia" w:ascii="仿宋_GB2312" w:hAnsi="仿宋_GB2312" w:eastAsia="仿宋_GB2312" w:cs="仿宋_GB2312"/>
                <w:color w:val="000000"/>
                <w:sz w:val="24"/>
                <w:highlight w:val="none"/>
                <w:lang w:val="en-US" w:eastAsia="zh-CN"/>
              </w:rPr>
              <w:t>性</w:t>
            </w:r>
            <w:r>
              <w:rPr>
                <w:rFonts w:hint="eastAsia" w:ascii="仿宋_GB2312" w:hAnsi="仿宋_GB2312" w:eastAsia="仿宋_GB2312" w:cs="仿宋_GB2312"/>
                <w:color w:val="000000"/>
                <w:sz w:val="24"/>
                <w:highlight w:val="none"/>
              </w:rPr>
              <w:t>教学环节</w:t>
            </w:r>
          </w:p>
        </w:tc>
        <w:tc>
          <w:tcPr>
            <w:tcW w:w="872" w:type="dxa"/>
            <w:tcBorders>
              <w:top w:val="single" w:color="000000" w:sz="4" w:space="0"/>
              <w:left w:val="single" w:color="000000" w:sz="4" w:space="0"/>
              <w:bottom w:val="single" w:color="000000" w:sz="4" w:space="0"/>
              <w:right w:val="single" w:color="000000" w:sz="4" w:space="0"/>
            </w:tcBorders>
            <w:vAlign w:val="center"/>
          </w:tcPr>
          <w:p w14:paraId="3677F328">
            <w:pPr>
              <w:widowControl/>
              <w:spacing w:after="0" w:line="240" w:lineRule="auto"/>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仿宋_GB2312" w:eastAsia="仿宋_GB2312" w:cs="仿宋_GB2312"/>
                <w:color w:val="000000"/>
                <w:kern w:val="0"/>
                <w:sz w:val="24"/>
                <w:highlight w:val="none"/>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71FED80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27</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8BAD9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19.15%</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536327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584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113FA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vAlign w:val="center"/>
          </w:tcPr>
          <w:p w14:paraId="701D62D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81F7E5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564</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382F9A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21.38%</w:t>
            </w:r>
          </w:p>
        </w:tc>
      </w:tr>
      <w:tr w14:paraId="5DC1C2B1">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vAlign w:val="center"/>
          </w:tcPr>
          <w:p w14:paraId="2DBB3D31">
            <w:pPr>
              <w:widowControl/>
              <w:spacing w:after="0" w:line="240" w:lineRule="auto"/>
              <w:jc w:val="center"/>
              <w:textAlignment w:val="center"/>
              <w:rPr>
                <w:rFonts w:hint="eastAsia" w:ascii="仿宋_GB2312" w:hAnsi="仿宋_GB2312" w:eastAsia="仿宋_GB2312" w:cs="仿宋_GB2312"/>
                <w:color w:val="000000"/>
                <w:kern w:val="0"/>
                <w:sz w:val="24"/>
                <w:highlight w:val="none"/>
                <w:lang w:bidi="ar"/>
              </w:rPr>
            </w:pPr>
          </w:p>
        </w:tc>
        <w:tc>
          <w:tcPr>
            <w:tcW w:w="2840" w:type="dxa"/>
            <w:gridSpan w:val="2"/>
            <w:tcBorders>
              <w:top w:val="single" w:color="000000" w:sz="4" w:space="0"/>
              <w:left w:val="single" w:color="000000" w:sz="4" w:space="0"/>
              <w:bottom w:val="single" w:color="000000" w:sz="4" w:space="0"/>
              <w:right w:val="single" w:color="000000" w:sz="4" w:space="0"/>
            </w:tcBorders>
            <w:vAlign w:val="center"/>
          </w:tcPr>
          <w:p w14:paraId="2ECACA58">
            <w:pPr>
              <w:widowControl/>
              <w:spacing w:after="0" w:line="240" w:lineRule="auto"/>
              <w:jc w:val="center"/>
              <w:textAlignment w:val="center"/>
              <w:rPr>
                <w:rFonts w:hint="eastAsia" w:ascii="仿宋_GB2312" w:hAnsi="仿宋_GB2312" w:eastAsia="仿宋_GB2312" w:cs="仿宋_GB2312"/>
                <w:color w:val="000000"/>
                <w:kern w:val="0"/>
                <w:sz w:val="24"/>
                <w:highlight w:val="none"/>
                <w:lang w:bidi="ar"/>
              </w:rPr>
            </w:pPr>
            <w:r>
              <w:rPr>
                <w:rFonts w:hint="eastAsia" w:ascii="仿宋_GB2312" w:hAnsi="仿宋_GB2312" w:eastAsia="仿宋_GB2312" w:cs="仿宋_GB2312"/>
                <w:color w:val="000000"/>
                <w:kern w:val="0"/>
                <w:sz w:val="24"/>
                <w:highlight w:val="none"/>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09B6BF7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91</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95FD5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64.54%</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7E176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1716</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88155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694</w:t>
            </w:r>
          </w:p>
        </w:tc>
        <w:tc>
          <w:tcPr>
            <w:tcW w:w="1261" w:type="dxa"/>
            <w:tcBorders>
              <w:top w:val="single" w:color="000000" w:sz="4" w:space="0"/>
              <w:left w:val="single" w:color="000000" w:sz="4" w:space="0"/>
              <w:bottom w:val="single" w:color="000000" w:sz="4" w:space="0"/>
              <w:right w:val="single" w:color="000000" w:sz="4" w:space="0"/>
            </w:tcBorders>
            <w:vAlign w:val="center"/>
          </w:tcPr>
          <w:p w14:paraId="5BC09C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26.31%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8224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1022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61E4D8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38.74%</w:t>
            </w:r>
          </w:p>
        </w:tc>
      </w:tr>
      <w:tr w14:paraId="104EE4F6">
        <w:tblPrEx>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noWrap/>
            <w:vAlign w:val="center"/>
          </w:tcPr>
          <w:p w14:paraId="32699DED">
            <w:pPr>
              <w:widowControl/>
              <w:spacing w:after="0" w:line="240" w:lineRule="auto"/>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kern w:val="0"/>
                <w:sz w:val="24"/>
                <w:highlight w:val="none"/>
                <w:lang w:bidi="ar"/>
              </w:rPr>
              <w:t>合计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1B3854D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141</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7B28B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5DFF9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2638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05F81D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1228</w:t>
            </w:r>
          </w:p>
        </w:tc>
        <w:tc>
          <w:tcPr>
            <w:tcW w:w="1261" w:type="dxa"/>
            <w:tcBorders>
              <w:top w:val="single" w:color="000000" w:sz="4" w:space="0"/>
              <w:left w:val="single" w:color="000000" w:sz="4" w:space="0"/>
              <w:bottom w:val="single" w:color="000000" w:sz="4" w:space="0"/>
              <w:right w:val="single" w:color="000000" w:sz="4" w:space="0"/>
            </w:tcBorders>
            <w:vAlign w:val="center"/>
          </w:tcPr>
          <w:p w14:paraId="0374582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46.55%</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6F115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1410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0D07FC5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宋体" w:eastAsia="仿宋_GB2312" w:cs="仿宋_GB2312"/>
                <w:i w:val="0"/>
                <w:iCs w:val="0"/>
                <w:color w:val="000000"/>
                <w:kern w:val="0"/>
                <w:sz w:val="24"/>
                <w:szCs w:val="24"/>
                <w:u w:val="none"/>
                <w:lang w:val="en-US" w:eastAsia="zh-CN" w:bidi="ar"/>
              </w:rPr>
              <w:t>53.45%</w:t>
            </w:r>
          </w:p>
        </w:tc>
      </w:tr>
    </w:tbl>
    <w:p w14:paraId="4D63880B">
      <w:pPr>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（三）教学计划进程</w:t>
      </w:r>
    </w:p>
    <w:p w14:paraId="23C30F6C">
      <w:pPr>
        <w:pStyle w:val="6"/>
        <w:shd w:val="clear" w:color="auto" w:fill="FFFFFF"/>
        <w:spacing w:before="0" w:beforeAutospacing="0" w:afterAutospacing="0" w:line="520" w:lineRule="exact"/>
        <w:jc w:val="center"/>
        <w:rPr>
          <w:rFonts w:hint="eastAsia" w:ascii="楷体" w:hAnsi="楷体" w:eastAsia="楷体" w:cs="楷体"/>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shd w:val="clear" w:color="auto" w:fill="FFFFFF"/>
          <w:lang w:bidi="ar"/>
        </w:rPr>
        <w:t>教学计划进程安排表</w:t>
      </w:r>
    </w:p>
    <w:tbl>
      <w:tblPr>
        <w:tblStyle w:val="7"/>
        <w:tblW w:w="10633" w:type="dxa"/>
        <w:tblInd w:w="-794" w:type="dxa"/>
        <w:tblLayout w:type="fixed"/>
        <w:tblCellMar>
          <w:top w:w="0" w:type="dxa"/>
          <w:left w:w="0" w:type="dxa"/>
          <w:bottom w:w="0" w:type="dxa"/>
          <w:right w:w="0" w:type="dxa"/>
        </w:tblCellMar>
      </w:tblPr>
      <w:tblGrid>
        <w:gridCol w:w="516"/>
        <w:gridCol w:w="550"/>
        <w:gridCol w:w="417"/>
        <w:gridCol w:w="583"/>
        <w:gridCol w:w="1386"/>
        <w:gridCol w:w="1895"/>
        <w:gridCol w:w="690"/>
        <w:gridCol w:w="690"/>
        <w:gridCol w:w="690"/>
        <w:gridCol w:w="690"/>
        <w:gridCol w:w="359"/>
        <w:gridCol w:w="267"/>
        <w:gridCol w:w="300"/>
        <w:gridCol w:w="333"/>
        <w:gridCol w:w="350"/>
        <w:gridCol w:w="367"/>
        <w:gridCol w:w="550"/>
      </w:tblGrid>
      <w:tr w14:paraId="141A1480">
        <w:tblPrEx>
          <w:tblCellMar>
            <w:top w:w="0" w:type="dxa"/>
            <w:left w:w="0" w:type="dxa"/>
            <w:bottom w:w="0" w:type="dxa"/>
            <w:right w:w="0" w:type="dxa"/>
          </w:tblCellMar>
        </w:tblPrEx>
        <w:trPr>
          <w:trHeight w:val="312" w:hRule="atLeast"/>
        </w:trPr>
        <w:tc>
          <w:tcPr>
            <w:tcW w:w="1483"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0EFB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 xml:space="preserve">   课程类型</w:t>
            </w:r>
          </w:p>
        </w:tc>
        <w:tc>
          <w:tcPr>
            <w:tcW w:w="58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75AD7A3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序号</w:t>
            </w:r>
          </w:p>
        </w:tc>
        <w:tc>
          <w:tcPr>
            <w:tcW w:w="1386"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659C43D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课程代码</w:t>
            </w:r>
          </w:p>
        </w:tc>
        <w:tc>
          <w:tcPr>
            <w:tcW w:w="189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092E2A4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课程名称</w:t>
            </w:r>
          </w:p>
        </w:tc>
        <w:tc>
          <w:tcPr>
            <w:tcW w:w="69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72BC73A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学分</w:t>
            </w:r>
          </w:p>
        </w:tc>
        <w:tc>
          <w:tcPr>
            <w:tcW w:w="2070" w:type="dxa"/>
            <w:gridSpan w:val="3"/>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71D7E0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教学学时数</w:t>
            </w:r>
          </w:p>
        </w:tc>
        <w:tc>
          <w:tcPr>
            <w:tcW w:w="1976" w:type="dxa"/>
            <w:gridSpan w:val="6"/>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6A886E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开课学期和周学时</w:t>
            </w:r>
          </w:p>
        </w:tc>
        <w:tc>
          <w:tcPr>
            <w:tcW w:w="55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14:paraId="05442F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考核类型</w:t>
            </w:r>
          </w:p>
        </w:tc>
      </w:tr>
      <w:tr w14:paraId="33DC0075">
        <w:tblPrEx>
          <w:tblCellMar>
            <w:top w:w="0" w:type="dxa"/>
            <w:left w:w="0" w:type="dxa"/>
            <w:bottom w:w="0" w:type="dxa"/>
            <w:right w:w="0" w:type="dxa"/>
          </w:tblCellMar>
        </w:tblPrEx>
        <w:trPr>
          <w:trHeight w:val="328" w:hRule="atLeast"/>
        </w:trPr>
        <w:tc>
          <w:tcPr>
            <w:tcW w:w="1483"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5E79F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3E5FE4D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1386"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19D42B8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189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7EE00F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69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3DDDE51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070" w:type="dxa"/>
            <w:gridSpan w:val="3"/>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1FA5ECF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1976" w:type="dxa"/>
            <w:gridSpan w:val="6"/>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1E6A4B4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3C98CC1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661CDA68">
        <w:tblPrEx>
          <w:tblCellMar>
            <w:top w:w="0" w:type="dxa"/>
            <w:left w:w="0" w:type="dxa"/>
            <w:bottom w:w="0" w:type="dxa"/>
            <w:right w:w="0" w:type="dxa"/>
          </w:tblCellMar>
        </w:tblPrEx>
        <w:trPr>
          <w:trHeight w:val="841" w:hRule="atLeast"/>
        </w:trPr>
        <w:tc>
          <w:tcPr>
            <w:tcW w:w="1483"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F20F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1396AD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1386"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095AD5C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189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0C555A8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69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14:paraId="202434D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690" w:type="dxa"/>
            <w:tcBorders>
              <w:top w:val="nil"/>
              <w:left w:val="nil"/>
              <w:bottom w:val="nil"/>
              <w:right w:val="single" w:color="000000" w:sz="8" w:space="0"/>
            </w:tcBorders>
            <w:tcMar>
              <w:top w:w="15" w:type="dxa"/>
              <w:left w:w="15" w:type="dxa"/>
              <w:right w:w="15" w:type="dxa"/>
            </w:tcMar>
            <w:vAlign w:val="center"/>
          </w:tcPr>
          <w:p w14:paraId="35A631D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合计</w:t>
            </w:r>
          </w:p>
        </w:tc>
        <w:tc>
          <w:tcPr>
            <w:tcW w:w="690" w:type="dxa"/>
            <w:tcBorders>
              <w:top w:val="nil"/>
              <w:left w:val="nil"/>
              <w:bottom w:val="nil"/>
              <w:right w:val="single" w:color="000000" w:sz="8" w:space="0"/>
            </w:tcBorders>
            <w:tcMar>
              <w:top w:w="15" w:type="dxa"/>
              <w:left w:w="15" w:type="dxa"/>
              <w:right w:w="15" w:type="dxa"/>
            </w:tcMar>
            <w:vAlign w:val="center"/>
          </w:tcPr>
          <w:p w14:paraId="6D87AA0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理论学时</w:t>
            </w:r>
          </w:p>
        </w:tc>
        <w:tc>
          <w:tcPr>
            <w:tcW w:w="690" w:type="dxa"/>
            <w:tcBorders>
              <w:top w:val="nil"/>
              <w:left w:val="nil"/>
              <w:bottom w:val="nil"/>
              <w:right w:val="single" w:color="000000" w:sz="8" w:space="0"/>
            </w:tcBorders>
            <w:tcMar>
              <w:top w:w="15" w:type="dxa"/>
              <w:left w:w="15" w:type="dxa"/>
              <w:right w:w="15" w:type="dxa"/>
            </w:tcMar>
            <w:vAlign w:val="center"/>
          </w:tcPr>
          <w:p w14:paraId="7D623D4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实践学时</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2C87C9F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一</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48C666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二</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4E3B061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三</w:t>
            </w: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2DDC3C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四</w:t>
            </w: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4CE5A7A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五</w:t>
            </w: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20991C3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六</w:t>
            </w: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4E744B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4B118778">
        <w:tblPrEx>
          <w:tblCellMar>
            <w:top w:w="0" w:type="dxa"/>
            <w:left w:w="0" w:type="dxa"/>
            <w:bottom w:w="0" w:type="dxa"/>
            <w:right w:w="0" w:type="dxa"/>
          </w:tblCellMar>
        </w:tblPrEx>
        <w:trPr>
          <w:trHeight w:val="397" w:hRule="atLeast"/>
        </w:trPr>
        <w:tc>
          <w:tcPr>
            <w:tcW w:w="1066" w:type="dxa"/>
            <w:gridSpan w:val="2"/>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14:paraId="4AFCD88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公共基础课</w:t>
            </w:r>
          </w:p>
        </w:tc>
        <w:tc>
          <w:tcPr>
            <w:tcW w:w="4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D127E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必修</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2D3B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F3E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1B410101101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DF7D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思想道德与法治</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E69A0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5F75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FB1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1F9B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4A9A846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78EBDF1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03A6B1B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243B8BD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3A75984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43EEF58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AA878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218AEEA3">
        <w:tblPrEx>
          <w:tblCellMar>
            <w:top w:w="0" w:type="dxa"/>
            <w:left w:w="0" w:type="dxa"/>
            <w:bottom w:w="0" w:type="dxa"/>
            <w:right w:w="0" w:type="dxa"/>
          </w:tblCellMar>
        </w:tblPrEx>
        <w:trPr>
          <w:trHeight w:val="512"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2013D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7A7D1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7674D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B3D94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1A410101102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4EC8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形势与政策</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2867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57020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B8FB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079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tcBorders>
              <w:top w:val="nil"/>
              <w:left w:val="nil"/>
              <w:bottom w:val="single" w:color="000000" w:sz="8" w:space="0"/>
              <w:right w:val="single" w:color="000000" w:sz="8" w:space="0"/>
            </w:tcBorders>
            <w:tcMar>
              <w:top w:w="15" w:type="dxa"/>
              <w:left w:w="15" w:type="dxa"/>
              <w:right w:w="15" w:type="dxa"/>
            </w:tcMar>
            <w:vAlign w:val="center"/>
          </w:tcPr>
          <w:p w14:paraId="55C19AF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1到4学期开课，每学期8学时。</w:t>
            </w: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7E2441F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E962508">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E9B0CD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0AAEA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49918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7BC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1A410101103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E242E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国家安全教育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8D558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B5256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BA02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8FD6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74EBBD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7A2E405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0BB3341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5BD8776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5522240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3A8E5DC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46149CD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46E8710">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255CEA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45D4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EB47B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EA8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1A410101104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12D79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军事理论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6C8C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5C2F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9E3F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DD0B8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01800E3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2228D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381524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78BF7D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2C1803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0FA6FC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898BE2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429EB346">
        <w:tblPrEx>
          <w:tblCellMar>
            <w:top w:w="0" w:type="dxa"/>
            <w:left w:w="0" w:type="dxa"/>
            <w:bottom w:w="0" w:type="dxa"/>
            <w:right w:w="0" w:type="dxa"/>
          </w:tblCellMar>
        </w:tblPrEx>
        <w:trPr>
          <w:trHeight w:val="555"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0E7ABEA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1C05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FA53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E345B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1C410101105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93472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军训</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1208F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27CB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112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384A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4AE4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112</w:t>
            </w:r>
          </w:p>
        </w:tc>
        <w:tc>
          <w:tcPr>
            <w:tcW w:w="1976" w:type="dxa"/>
            <w:gridSpan w:val="6"/>
            <w:tcBorders>
              <w:top w:val="nil"/>
              <w:left w:val="nil"/>
              <w:bottom w:val="single" w:color="000000" w:sz="8" w:space="0"/>
              <w:right w:val="single" w:color="000000" w:sz="8" w:space="0"/>
            </w:tcBorders>
            <w:tcMar>
              <w:top w:w="15" w:type="dxa"/>
              <w:left w:w="15" w:type="dxa"/>
              <w:right w:w="15" w:type="dxa"/>
            </w:tcMar>
            <w:vAlign w:val="center"/>
          </w:tcPr>
          <w:p w14:paraId="269EFE6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第1学期，实际训练时间不少于14天</w:t>
            </w: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49D9CD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1D1EC1B5">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54CB03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AA984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C9167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05283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1B410101106</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10B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计算机基础</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29EB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7C571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4DC5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AC15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566F115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D4DC0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7588E5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7B43161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3BFB396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4C506BF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E78FE4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8D46AAC">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435525D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D714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397FA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F04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1B410101107</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E6BC7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高等数学</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1B5B6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DADB2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00122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B7F21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013032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0E761F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77F77CF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2308221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65E052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22DE8BB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B41EA4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3FF6BF64">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453680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9A0BD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063CD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252BC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1B410101108</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657AA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大学英语</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5CDBD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16DE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0E2C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CA0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24</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FDFF8E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5BD8355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3E11579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563859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118B01D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06E3705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10432C8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69478D7C">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067E9BA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9339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A84E6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9</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96EC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1C410101109</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4E31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大学体育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43730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8D4F4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1D7D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53BD8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108</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C37B1F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8B7F4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680069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6CA135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109E695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0B3EA89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7D093F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319E4606">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5BC794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F3BF5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8506E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7297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1B410101110</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1259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大学生职业发展与就业指导</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4F9F5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36C9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3B21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A6CD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B39F8E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566EAB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02788B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4FA33CD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57C46E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28815EF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06C9A2A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3D3BB7D7">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1A1FA4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38290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2D7F9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11</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043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1B410101111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97FC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大学生心理健康教育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65436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B8AA0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E2CA3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E4294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94E88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356BDEB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0FED3BF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7D1865B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685CB1C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66CA5FF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7BFC5A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0CB6732">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DF4363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6E6A7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07D27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FB71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1C410101112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925F3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劳动教育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CFC4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5DCB3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9DF3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D37FF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D8E96F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CF55DC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nil"/>
              <w:right w:val="nil"/>
            </w:tcBorders>
            <w:noWrap/>
            <w:tcMar>
              <w:top w:w="15" w:type="dxa"/>
              <w:left w:w="15" w:type="dxa"/>
              <w:right w:w="15" w:type="dxa"/>
            </w:tcMar>
            <w:vAlign w:val="center"/>
          </w:tcPr>
          <w:p w14:paraId="5DBEA8B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1552A0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0EDEAE9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527353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FA9F9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4C030072">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6B6F7C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4C878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95B37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13</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607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1B410101113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7444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毛泽东思想和中国特色社会主义理论体系概论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9380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B317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0489D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A481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D4EF9A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1C2345E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14:paraId="5934D9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126D6B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291134F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61C47A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24D564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0F8F8063">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1DC0B9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E8DF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D457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14</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2637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1B410101114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8AC6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创新创业教育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788D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5D170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2C9CD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1295A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5359F7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1259056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nil"/>
              <w:right w:val="nil"/>
            </w:tcBorders>
            <w:noWrap/>
            <w:tcMar>
              <w:top w:w="15" w:type="dxa"/>
              <w:left w:w="15" w:type="dxa"/>
              <w:right w:w="15" w:type="dxa"/>
            </w:tcMar>
            <w:vAlign w:val="center"/>
          </w:tcPr>
          <w:p w14:paraId="5321A19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27408A2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6B9F4F2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1D4CB2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110103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2F5D5D1">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ED06DF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CCBE1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1018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15</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C9B3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1B410101115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70E97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习近平新时代中国特色社会主义思想概论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32153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935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7529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A335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7A469AB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4EEF957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14:paraId="0FF364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1889F5D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0425391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14D537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CB20E0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148BBF2B">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9ED3B8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4FA5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选修</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F6F85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A085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2F38E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中国民俗剪纸技法</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B702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5482B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91F9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CFE4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24</w:t>
            </w:r>
          </w:p>
        </w:tc>
        <w:tc>
          <w:tcPr>
            <w:tcW w:w="1976" w:type="dxa"/>
            <w:gridSpan w:val="6"/>
            <w:vMerge w:val="restart"/>
            <w:tcBorders>
              <w:top w:val="nil"/>
              <w:left w:val="nil"/>
              <w:bottom w:val="single" w:color="000000" w:sz="8" w:space="0"/>
              <w:right w:val="single" w:color="000000" w:sz="8" w:space="0"/>
            </w:tcBorders>
            <w:tcMar>
              <w:top w:w="15" w:type="dxa"/>
              <w:left w:w="15" w:type="dxa"/>
              <w:right w:w="15" w:type="dxa"/>
            </w:tcMar>
            <w:vAlign w:val="center"/>
          </w:tcPr>
          <w:p w14:paraId="3F744DB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公共选修课最低学分要求为8学分，其中要求2个学分为思政选修课学分。</w:t>
            </w: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90C6D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793FC93E">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BFF5F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4688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F172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550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EB34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影视与鉴赏</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662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62B0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6BB7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64DF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24</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84436B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168F0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1F8EB3BB">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270C466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C05A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4482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D447D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99931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中华优秀传统文化</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C0C3F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A8435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F9C0C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2197F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2024FE9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AEC2CF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1811EF99">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D0057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E91D3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92EA2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9DD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8D34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中国共产党简史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D08F5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58C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BF46B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C5BA8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5B4BCAD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4901383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BB1A257">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4D0138E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E134B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13F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ED69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77746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改革开放简史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DFA7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CF53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EB00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200BC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609FC0A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AFD459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D7A15D1">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1C3DFA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69AB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368C0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5BDD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1B410101206</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1D776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中华人民共和国简史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83B30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7333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12A2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2E721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235433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CE66CD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D986A1B">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00B079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5BF03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147E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49DCB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1B410101207</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EA7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社会主义发展简史</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2D49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4361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8566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A330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0E80B4C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2D5904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367B1D7">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2FC00A7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C83E1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73850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91269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1B410101208</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96AB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中华民族共同体概论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1285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691A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0F0AE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B84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E93DA1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4FCEB5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C555AB2">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42E035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2A339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B822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9</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D6F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1B410101210</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C5B8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语文</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58386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C00B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66C65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E9143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0414E38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B1E5AD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CF3D9F8">
        <w:tblPrEx>
          <w:tblCellMar>
            <w:top w:w="0" w:type="dxa"/>
            <w:left w:w="0" w:type="dxa"/>
            <w:bottom w:w="0" w:type="dxa"/>
            <w:right w:w="0" w:type="dxa"/>
          </w:tblCellMar>
        </w:tblPrEx>
        <w:trPr>
          <w:trHeight w:val="397"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A6FAAF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40DE4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7CFE8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w:t>
            </w:r>
          </w:p>
        </w:tc>
        <w:tc>
          <w:tcPr>
            <w:tcW w:w="1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9D641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宋体" w:eastAsia="仿宋_GB2312" w:cs="仿宋_GB2312"/>
                <w:i w:val="0"/>
                <w:iCs w:val="0"/>
                <w:color w:val="auto"/>
                <w:kern w:val="0"/>
                <w:sz w:val="18"/>
                <w:szCs w:val="18"/>
                <w:u w:val="none"/>
                <w:lang w:val="en-US" w:eastAsia="zh-CN" w:bidi="ar"/>
              </w:rPr>
              <w:t>1B410101211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E55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物理</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9BDFE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51C52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77191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AAC1F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72216B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01463C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3AAB4FBC">
        <w:tblPrEx>
          <w:tblCellMar>
            <w:top w:w="0" w:type="dxa"/>
            <w:left w:w="0" w:type="dxa"/>
            <w:bottom w:w="0" w:type="dxa"/>
            <w:right w:w="0" w:type="dxa"/>
          </w:tblCellMar>
        </w:tblPrEx>
        <w:trPr>
          <w:trHeight w:val="384"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E898F8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281"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544E7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公共必修课程学分、学时小计</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5A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070FE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794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AD02F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454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B3890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340</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1A79A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53624C0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43D2CD8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367876F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373CA32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459D27C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1CC6B26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5C1E024C">
        <w:tblPrEx>
          <w:tblCellMar>
            <w:top w:w="0" w:type="dxa"/>
            <w:left w:w="0" w:type="dxa"/>
            <w:bottom w:w="0" w:type="dxa"/>
            <w:right w:w="0" w:type="dxa"/>
          </w:tblCellMar>
        </w:tblPrEx>
        <w:trPr>
          <w:trHeight w:val="384"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0F612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281"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D5512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公共必修课程学分、学时占比</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3AA63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29.79%</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2A824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30.10%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4726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17.21%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201D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12.89%</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8E652B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4AA6A8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0E44B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6A2D8DC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17B55E6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412D494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58F750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5C407F96">
        <w:tblPrEx>
          <w:tblCellMar>
            <w:top w:w="0" w:type="dxa"/>
            <w:left w:w="0" w:type="dxa"/>
            <w:bottom w:w="0" w:type="dxa"/>
            <w:right w:w="0" w:type="dxa"/>
          </w:tblCellMar>
        </w:tblPrEx>
        <w:trPr>
          <w:trHeight w:val="384"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77AD242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281"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F3B40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公共选修课程学分、学时小计</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E1BB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1E02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2275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57876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48</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7B4D7F8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210737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5883B70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0D8E809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051B42E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4987F0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87B1B1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4B7369BB">
        <w:tblPrEx>
          <w:tblCellMar>
            <w:top w:w="0" w:type="dxa"/>
            <w:left w:w="0" w:type="dxa"/>
            <w:bottom w:w="0" w:type="dxa"/>
            <w:right w:w="0" w:type="dxa"/>
          </w:tblCellMar>
        </w:tblPrEx>
        <w:trPr>
          <w:trHeight w:val="384" w:hRule="atLeast"/>
        </w:trPr>
        <w:tc>
          <w:tcPr>
            <w:tcW w:w="1066" w:type="dxa"/>
            <w:gridSpan w:val="2"/>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0C3EA4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281"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4BFC9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公共选修课程学分、学时占比</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3F7E9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5.67%</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9D3A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4.85%</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AB9F9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3.03%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8C1E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1.82%</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65FD995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7004543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6E2077B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697F387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3FB168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5373E4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7A2980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655B3816">
        <w:tblPrEx>
          <w:tblCellMar>
            <w:top w:w="0" w:type="dxa"/>
            <w:left w:w="0" w:type="dxa"/>
            <w:bottom w:w="0" w:type="dxa"/>
            <w:right w:w="0" w:type="dxa"/>
          </w:tblCellMar>
        </w:tblPrEx>
        <w:trPr>
          <w:trHeight w:val="397" w:hRule="atLeast"/>
        </w:trPr>
        <w:tc>
          <w:tcPr>
            <w:tcW w:w="516" w:type="dxa"/>
            <w:vMerge w:val="restart"/>
            <w:tcBorders>
              <w:top w:val="nil"/>
              <w:left w:val="single" w:color="000000" w:sz="8" w:space="0"/>
              <w:right w:val="single" w:color="000000" w:sz="8" w:space="0"/>
            </w:tcBorders>
            <w:tcMar>
              <w:top w:w="15" w:type="dxa"/>
              <w:left w:w="15" w:type="dxa"/>
              <w:right w:w="15" w:type="dxa"/>
            </w:tcMar>
            <w:vAlign w:val="center"/>
          </w:tcPr>
          <w:p w14:paraId="2029ED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2BE5817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557A901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DA3337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0857A6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w:t>
            </w:r>
          </w:p>
          <w:p w14:paraId="4EA2B13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业</w:t>
            </w:r>
          </w:p>
          <w:p w14:paraId="1F982EF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课</w:t>
            </w:r>
          </w:p>
          <w:p w14:paraId="4466CFE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0F264D3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0E2CEC6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195B452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3A13E14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5148AA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restart"/>
            <w:tcBorders>
              <w:top w:val="nil"/>
              <w:left w:val="nil"/>
              <w:bottom w:val="single" w:color="000000" w:sz="8" w:space="0"/>
              <w:right w:val="nil"/>
            </w:tcBorders>
            <w:tcMar>
              <w:top w:w="15" w:type="dxa"/>
              <w:left w:w="15" w:type="dxa"/>
              <w:right w:w="15" w:type="dxa"/>
            </w:tcMar>
            <w:vAlign w:val="center"/>
          </w:tcPr>
          <w:p w14:paraId="64CB7D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专业基础课</w:t>
            </w:r>
          </w:p>
        </w:tc>
        <w:tc>
          <w:tcPr>
            <w:tcW w:w="4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4965A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必修</w:t>
            </w: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24B88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BE25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3B460306302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B2B7D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C语言程序设计</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E7BE9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7153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24B8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4003D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9EB17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AB6998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44C9F7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47F5A7C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7F58209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38A258C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616F1B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488617F6">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1FC6E3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33868A8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2F9B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52759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4732B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9CED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电路基础</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32F29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C1E61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07D63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CFB99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716E013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FE9DDC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D745DB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0BB6964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0DE7A50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63FC469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DAB667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03AA6A11">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01160A8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43B984A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2BC29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DBA2A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6B7B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A9CC9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电子工程制图</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45879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B3DA9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62BB2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72E56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3788F7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1672C07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74AE07C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7C09F81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7BB3119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2DD2A69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F2140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183499BF">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E09B0F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7461AC4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8233F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53962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B206B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002BE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模拟电子技术</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C546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DEE05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8AD20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67FF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552A6CB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A215E1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7EB8F5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2113004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05B4AE4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4B04924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421D9C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6FA67314">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1BEBDF9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3B19681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22BEC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E5748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FA224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A8771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数字电子技术</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311D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9C62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8D4F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14729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5DE23D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6EA546F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2DB288C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3AA0DAE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4F80D38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30A82BB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1F854A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390AE414">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3D7A76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62AD82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93471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0B042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6284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3B510101306</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4548A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通信与网络技术</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8F5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39E66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1EC3D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E3FE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3AEEEA9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7CF3B2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34862BA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02DD99B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182E8DB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78424D9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3D599B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65B13A84">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61D0D51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2F7C22E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80459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C7357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ABCF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3B510101307</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26AF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智能系统导论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F123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82120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E0743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6AF92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0C2A148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20194F8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46C61A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3D4120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0D44525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6C4BEBA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075E73B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531ED195">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3BDD00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restart"/>
            <w:tcBorders>
              <w:top w:val="nil"/>
              <w:left w:val="nil"/>
              <w:bottom w:val="single" w:color="000000" w:sz="8" w:space="0"/>
              <w:right w:val="nil"/>
            </w:tcBorders>
            <w:tcMar>
              <w:top w:w="15" w:type="dxa"/>
              <w:left w:w="15" w:type="dxa"/>
              <w:right w:w="15" w:type="dxa"/>
            </w:tcMar>
            <w:vAlign w:val="center"/>
          </w:tcPr>
          <w:p w14:paraId="08FAB52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专业核心课</w:t>
            </w:r>
          </w:p>
        </w:tc>
        <w:tc>
          <w:tcPr>
            <w:tcW w:w="4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AE419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必修</w:t>
            </w: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654FE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1EC4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713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PCB设计及应用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1462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795CF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96523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0CBC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C2E1CA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11917EB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1496B32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3CC4370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7C31C4E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734D10A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26B50E1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18CEDBE7">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F0D8D4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51B9D3F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5ABA7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0F7C3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4D68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FD030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电子装联技术及应用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E6AF5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D30F4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E2A78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789ED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5747D56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CB2796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772795D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7CA7F0B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44FDD2D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13C3C10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4D6AE57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4C6EDB70">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83B39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0F9E902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DEC5D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FA6D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4B6D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4811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传感技术及应用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C2290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3B65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324F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18</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D30D9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18</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635857A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186585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7BD2796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486C028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67A2F8E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48372E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1CB040F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4E660580">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0CBB709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351B3A8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8B238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B800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DCF3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25ADB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智能应用系统集成与维护</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F7C2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FABCA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874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688D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0A25C9E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452163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4CDA47F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43B8B68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1203219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09DC812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BEEB39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50972CFD">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7CB0F3C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4A47C8F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9DE75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8F5DE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F044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3DD0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单片机技术及应用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5E64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B3B2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BA304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0050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2388770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3C25009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2666FCD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22FF6E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5501263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72C4304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7761A29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447BC386">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7562CE6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1D031D0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7CC4C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985C6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7D9B7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3B510101406</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7490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智能电子产品检测与维修</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80CA9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4323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43DA7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40</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DC5B7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903683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EC8962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7D2807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2E45EC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4FB895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54DF4F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646B49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27B36222">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6389202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750765C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AEDCD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2123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0A2B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3B510101407</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07295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嵌入式技术及应用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5DA03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BF641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86D5A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2B7A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43916F2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342CCB2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2EC0C9E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152E2A6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1ACFF18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4F1B06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93E69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考试</w:t>
            </w:r>
          </w:p>
        </w:tc>
      </w:tr>
      <w:tr w14:paraId="6E2B5B24">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3B67AB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restart"/>
            <w:tcBorders>
              <w:top w:val="nil"/>
              <w:left w:val="nil"/>
              <w:bottom w:val="single" w:color="000000" w:sz="8" w:space="0"/>
              <w:right w:val="nil"/>
            </w:tcBorders>
            <w:tcMar>
              <w:top w:w="15" w:type="dxa"/>
              <w:left w:w="15" w:type="dxa"/>
              <w:right w:w="15" w:type="dxa"/>
            </w:tcMar>
            <w:vAlign w:val="center"/>
          </w:tcPr>
          <w:p w14:paraId="326B6B8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3059AE6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B5CC66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7BC01F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7D9A3C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501C75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2FB1AF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77EB7E0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42D000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0AB3BF25">
            <w:pPr>
              <w:keepNext w:val="0"/>
              <w:keepLines w:val="0"/>
              <w:pageBreakBefore w:val="0"/>
              <w:widowControl/>
              <w:kinsoku/>
              <w:wordWrap/>
              <w:overflowPunct/>
              <w:topLinePunct w:val="0"/>
              <w:autoSpaceDE/>
              <w:autoSpaceDN/>
              <w:bidi w:val="0"/>
              <w:adjustRightInd/>
              <w:snapToGrid/>
              <w:spacing w:after="0" w:line="240" w:lineRule="exact"/>
              <w:jc w:val="both"/>
              <w:textAlignment w:val="center"/>
              <w:rPr>
                <w:rFonts w:hint="eastAsia" w:ascii="仿宋_GB2312" w:hAnsi="仿宋_GB2312" w:eastAsia="仿宋_GB2312" w:cs="仿宋_GB2312"/>
                <w:color w:val="auto"/>
                <w:kern w:val="0"/>
                <w:sz w:val="20"/>
                <w:szCs w:val="20"/>
                <w:highlight w:val="none"/>
                <w:lang w:bidi="ar"/>
              </w:rPr>
            </w:pPr>
          </w:p>
          <w:p w14:paraId="38D5A4B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专业拓展课</w:t>
            </w:r>
          </w:p>
        </w:tc>
        <w:tc>
          <w:tcPr>
            <w:tcW w:w="41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5D6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85E40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866D7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B6DFB5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3A1476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29EE0CE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750D053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5A9A70D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2E8F1B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3385BD8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p w14:paraId="6D3E50B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选修</w:t>
            </w: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5A34E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720EC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3A510101501</w:t>
            </w:r>
          </w:p>
        </w:tc>
        <w:tc>
          <w:tcPr>
            <w:tcW w:w="18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AC2C0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SMT技术</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6D291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9CF38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5308E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5760E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restart"/>
            <w:tcBorders>
              <w:top w:val="nil"/>
              <w:left w:val="nil"/>
              <w:bottom w:val="single" w:color="000000" w:sz="8" w:space="0"/>
              <w:right w:val="single" w:color="000000" w:sz="8" w:space="0"/>
            </w:tcBorders>
            <w:tcMar>
              <w:top w:w="15" w:type="dxa"/>
              <w:left w:w="15" w:type="dxa"/>
              <w:right w:w="15" w:type="dxa"/>
            </w:tcMar>
            <w:vAlign w:val="center"/>
          </w:tcPr>
          <w:p w14:paraId="6AB19F8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专业拓展课最低学分要求为10学分</w:t>
            </w: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3EB40B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776D81D">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D73855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2ADF500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2677B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6F1C4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828B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3A510101502</w:t>
            </w:r>
          </w:p>
        </w:tc>
        <w:tc>
          <w:tcPr>
            <w:tcW w:w="18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43E3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微组装技术</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22FF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7216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59D40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07C2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4960692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17BD21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50ECDE2B">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2149619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266E21E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FFDE5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22B01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9C1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3A510101503</w:t>
            </w:r>
          </w:p>
        </w:tc>
        <w:tc>
          <w:tcPr>
            <w:tcW w:w="18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5CE5F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集成电路制造工艺</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D44B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8F29F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C1F6A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74B6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58CFBB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307762A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5FF2532">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B726D3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7495D7C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98A4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DE2D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1C84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3A510101504</w:t>
            </w:r>
          </w:p>
        </w:tc>
        <w:tc>
          <w:tcPr>
            <w:tcW w:w="18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48011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电子产品生产管理</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A3BAB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3B1A4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F24A9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A8A8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472B9EF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2808B53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568D91D5">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CD25A4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2BCBC68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6268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78E8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846E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3A510101505</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B3D5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射频技术</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C9D5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FD819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7D424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A5E8D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227D75B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197F882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726180B0">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4E0102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6FCE0A3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11EE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72694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476D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3A510101506</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28A8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短距离无线通信</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4F5F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F48D2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9E4B1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9811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2EA47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7A6B712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C371875">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63F150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1CAC79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70DD6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BED2E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6FF17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3A510101507</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E85E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eastAsia="zh-CN" w:bidi="ar"/>
              </w:rPr>
            </w:pPr>
            <w:r>
              <w:rPr>
                <w:rFonts w:hint="eastAsia" w:ascii="仿宋_GB2312" w:hAnsi="仿宋_GB2312" w:eastAsia="仿宋_GB2312" w:cs="仿宋_GB2312"/>
                <w:color w:val="auto"/>
                <w:kern w:val="0"/>
                <w:sz w:val="20"/>
                <w:szCs w:val="20"/>
                <w:highlight w:val="none"/>
                <w:lang w:bidi="ar"/>
              </w:rPr>
              <w:t>无线传感器</w:t>
            </w:r>
            <w:r>
              <w:rPr>
                <w:rFonts w:hint="eastAsia" w:ascii="仿宋_GB2312" w:hAnsi="仿宋_GB2312" w:eastAsia="仿宋_GB2312" w:cs="仿宋_GB2312"/>
                <w:color w:val="auto"/>
                <w:kern w:val="0"/>
                <w:sz w:val="20"/>
                <w:szCs w:val="20"/>
                <w:highlight w:val="none"/>
                <w:lang w:eastAsia="zh-CN" w:bidi="ar"/>
              </w:rPr>
              <w:t>网络</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5F0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99E7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352B2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9068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415E152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19B2C4C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E56098F">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E98CD2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404BD02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4070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9E89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1C0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3A510101508</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0F39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FPGA技术及应用</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32954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3674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2872A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2E4F4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777B0C9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684DD8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9D9C359">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1426415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7DED8FE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2BF3E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7D0AD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9</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67A8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3A510101509</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1FD0E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无人机控制技术</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627EF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90673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B316E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4B9E1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0908A8D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44A015D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115A7A2C">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D4984D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5CC9940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9AB93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DA8F5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EB457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3A510101510</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C907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移动应用开发</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3A59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8DC9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A9720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E6A5D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54B3E71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15A3D8B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5ED389D">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06CE89F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49A8263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A4986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00BB8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11</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B59E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3A510101511</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79888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网络云化技术及应用</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9994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BACA9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7BD6A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67ACF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50FB130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0AE91C8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6D778F40">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7A201C0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6A0484C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8E44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59EF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6F00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3A510101512</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2D12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机器人控制技术</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D6267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9D35C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10596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AF4AA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FAE4A5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67FE2A5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70C7BF2F">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30966F3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412EB9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91C99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CDDEC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13</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AF68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3A510101513</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30402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工业互联网实施与运维</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CFBB1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A4ECC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35359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8DE5E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DCB4FA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3307986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7E467F78">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3A9D203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nil"/>
              <w:bottom w:val="single" w:color="000000" w:sz="8" w:space="0"/>
              <w:right w:val="nil"/>
            </w:tcBorders>
            <w:tcMar>
              <w:top w:w="15" w:type="dxa"/>
              <w:left w:w="15" w:type="dxa"/>
              <w:right w:w="15" w:type="dxa"/>
            </w:tcMar>
            <w:vAlign w:val="center"/>
          </w:tcPr>
          <w:p w14:paraId="7B3FAF6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C8E47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37FD9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14</w:t>
            </w:r>
          </w:p>
        </w:tc>
        <w:tc>
          <w:tcPr>
            <w:tcW w:w="13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5DED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i w:val="0"/>
                <w:iCs w:val="0"/>
                <w:color w:val="auto"/>
                <w:kern w:val="0"/>
                <w:sz w:val="20"/>
                <w:szCs w:val="20"/>
                <w:u w:val="none"/>
                <w:lang w:val="en-US" w:eastAsia="zh-CN" w:bidi="ar"/>
              </w:rPr>
              <w:t>3A510101514</w:t>
            </w:r>
          </w:p>
        </w:tc>
        <w:tc>
          <w:tcPr>
            <w:tcW w:w="1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8C72A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电子信息专业英语</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65A88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00AB2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F3EC8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32</w:t>
            </w:r>
          </w:p>
        </w:tc>
        <w:tc>
          <w:tcPr>
            <w:tcW w:w="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E9374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1976" w:type="dxa"/>
            <w:gridSpan w:val="6"/>
            <w:vMerge w:val="continue"/>
            <w:tcBorders>
              <w:top w:val="nil"/>
              <w:left w:val="nil"/>
              <w:bottom w:val="single" w:color="000000" w:sz="8" w:space="0"/>
              <w:right w:val="single" w:color="000000" w:sz="8" w:space="0"/>
            </w:tcBorders>
            <w:tcMar>
              <w:top w:w="15" w:type="dxa"/>
              <w:left w:w="15" w:type="dxa"/>
              <w:right w:w="15" w:type="dxa"/>
            </w:tcMar>
            <w:vAlign w:val="center"/>
          </w:tcPr>
          <w:p w14:paraId="36EF7B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08469A8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57C1CB73">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436739F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restart"/>
            <w:tcBorders>
              <w:top w:val="nil"/>
              <w:left w:val="single" w:color="000000" w:sz="8" w:space="0"/>
              <w:bottom w:val="single" w:color="000000" w:sz="8" w:space="0"/>
              <w:right w:val="nil"/>
            </w:tcBorders>
            <w:tcMar>
              <w:top w:w="15" w:type="dxa"/>
              <w:left w:w="15" w:type="dxa"/>
              <w:right w:w="15" w:type="dxa"/>
            </w:tcMar>
            <w:vAlign w:val="center"/>
          </w:tcPr>
          <w:p w14:paraId="1470D62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实践</w:t>
            </w:r>
            <w:r>
              <w:rPr>
                <w:rFonts w:hint="eastAsia" w:ascii="仿宋_GB2312" w:hAnsi="仿宋_GB2312" w:eastAsia="仿宋_GB2312" w:cs="仿宋_GB2312"/>
                <w:color w:val="auto"/>
                <w:kern w:val="0"/>
                <w:sz w:val="20"/>
                <w:szCs w:val="20"/>
                <w:highlight w:val="none"/>
                <w:lang w:val="en-US" w:eastAsia="zh-CN" w:bidi="ar"/>
              </w:rPr>
              <w:t>性</w:t>
            </w:r>
            <w:r>
              <w:rPr>
                <w:rFonts w:hint="eastAsia" w:ascii="仿宋_GB2312" w:hAnsi="仿宋_GB2312" w:eastAsia="仿宋_GB2312" w:cs="仿宋_GB2312"/>
                <w:color w:val="auto"/>
                <w:kern w:val="0"/>
                <w:sz w:val="20"/>
                <w:szCs w:val="20"/>
                <w:highlight w:val="none"/>
                <w:lang w:bidi="ar"/>
              </w:rPr>
              <w:t>教学环节</w:t>
            </w:r>
          </w:p>
        </w:tc>
        <w:tc>
          <w:tcPr>
            <w:tcW w:w="417" w:type="dxa"/>
            <w:vMerge w:val="restart"/>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76698F5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必修</w:t>
            </w:r>
          </w:p>
        </w:tc>
        <w:tc>
          <w:tcPr>
            <w:tcW w:w="583" w:type="dxa"/>
            <w:tcBorders>
              <w:top w:val="nil"/>
              <w:left w:val="nil"/>
              <w:bottom w:val="single" w:color="000000" w:sz="8" w:space="0"/>
              <w:right w:val="single" w:color="000000" w:sz="8" w:space="0"/>
            </w:tcBorders>
            <w:noWrap/>
            <w:tcMar>
              <w:top w:w="15" w:type="dxa"/>
              <w:left w:w="15" w:type="dxa"/>
              <w:right w:w="15" w:type="dxa"/>
            </w:tcMar>
            <w:vAlign w:val="center"/>
          </w:tcPr>
          <w:p w14:paraId="1B47AF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w:t>
            </w:r>
          </w:p>
        </w:tc>
        <w:tc>
          <w:tcPr>
            <w:tcW w:w="1386"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A425C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3C460306601</w:t>
            </w:r>
          </w:p>
        </w:tc>
        <w:tc>
          <w:tcPr>
            <w:tcW w:w="1895" w:type="dxa"/>
            <w:tcBorders>
              <w:top w:val="nil"/>
              <w:left w:val="nil"/>
              <w:bottom w:val="single" w:color="000000" w:sz="8" w:space="0"/>
              <w:right w:val="single" w:color="000000" w:sz="8" w:space="0"/>
            </w:tcBorders>
            <w:tcMar>
              <w:top w:w="15" w:type="dxa"/>
              <w:left w:w="15" w:type="dxa"/>
              <w:right w:w="15" w:type="dxa"/>
            </w:tcMar>
            <w:vAlign w:val="center"/>
          </w:tcPr>
          <w:p w14:paraId="173A3D8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初级维修电工实训</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283BD96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20E1611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7953D71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68D9D62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6D1F712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27B3D7F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609DD5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1B54A83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tcMar>
              <w:top w:w="15" w:type="dxa"/>
              <w:left w:w="15" w:type="dxa"/>
              <w:right w:w="15" w:type="dxa"/>
            </w:tcMar>
            <w:vAlign w:val="center"/>
          </w:tcPr>
          <w:p w14:paraId="05B0E55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tcMar>
              <w:top w:w="15" w:type="dxa"/>
              <w:left w:w="15" w:type="dxa"/>
              <w:right w:w="15" w:type="dxa"/>
            </w:tcMar>
            <w:vAlign w:val="center"/>
          </w:tcPr>
          <w:p w14:paraId="1FD6558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13AB19A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03A989FF">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533105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single" w:color="000000" w:sz="8" w:space="0"/>
              <w:bottom w:val="single" w:color="000000" w:sz="8" w:space="0"/>
              <w:right w:val="nil"/>
            </w:tcBorders>
            <w:tcMar>
              <w:top w:w="15" w:type="dxa"/>
              <w:left w:w="15" w:type="dxa"/>
              <w:right w:w="15" w:type="dxa"/>
            </w:tcMar>
            <w:vAlign w:val="center"/>
          </w:tcPr>
          <w:p w14:paraId="287D9EA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0A1A46E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nil"/>
              <w:left w:val="nil"/>
              <w:bottom w:val="single" w:color="000000" w:sz="8" w:space="0"/>
              <w:right w:val="single" w:color="000000" w:sz="8" w:space="0"/>
            </w:tcBorders>
            <w:noWrap/>
            <w:tcMar>
              <w:top w:w="15" w:type="dxa"/>
              <w:left w:w="15" w:type="dxa"/>
              <w:right w:w="15" w:type="dxa"/>
            </w:tcMar>
            <w:vAlign w:val="center"/>
          </w:tcPr>
          <w:p w14:paraId="7A0982C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1386"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E65DCD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3C460306602</w:t>
            </w:r>
          </w:p>
        </w:tc>
        <w:tc>
          <w:tcPr>
            <w:tcW w:w="1895" w:type="dxa"/>
            <w:tcBorders>
              <w:top w:val="nil"/>
              <w:left w:val="nil"/>
              <w:bottom w:val="single" w:color="000000" w:sz="8" w:space="0"/>
              <w:right w:val="single" w:color="000000" w:sz="8" w:space="0"/>
            </w:tcBorders>
            <w:tcMar>
              <w:top w:w="15" w:type="dxa"/>
              <w:left w:w="15" w:type="dxa"/>
              <w:right w:w="15" w:type="dxa"/>
            </w:tcMar>
            <w:vAlign w:val="center"/>
          </w:tcPr>
          <w:p w14:paraId="5652DA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中级维修电工实训</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29C4592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3F1393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7C13243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0F13F05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36</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5362164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5E8FA7D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18D3DAB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w:t>
            </w: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3CBB29F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53803E8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53F90A5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3BED4B6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73149BF3">
        <w:tblPrEx>
          <w:tblCellMar>
            <w:top w:w="0" w:type="dxa"/>
            <w:left w:w="0" w:type="dxa"/>
            <w:bottom w:w="0" w:type="dxa"/>
            <w:right w:w="0" w:type="dxa"/>
          </w:tblCellMar>
        </w:tblPrEx>
        <w:trPr>
          <w:trHeight w:val="397" w:hRule="atLeast"/>
        </w:trPr>
        <w:tc>
          <w:tcPr>
            <w:tcW w:w="516" w:type="dxa"/>
            <w:vMerge w:val="continue"/>
            <w:tcBorders>
              <w:left w:val="single" w:color="000000" w:sz="8" w:space="0"/>
              <w:right w:val="single" w:color="000000" w:sz="8" w:space="0"/>
            </w:tcBorders>
            <w:tcMar>
              <w:top w:w="15" w:type="dxa"/>
              <w:left w:w="15" w:type="dxa"/>
              <w:right w:w="15" w:type="dxa"/>
            </w:tcMar>
            <w:vAlign w:val="center"/>
          </w:tcPr>
          <w:p w14:paraId="6E0A772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single" w:color="000000" w:sz="8" w:space="0"/>
              <w:bottom w:val="single" w:color="000000" w:sz="8" w:space="0"/>
              <w:right w:val="nil"/>
            </w:tcBorders>
            <w:tcMar>
              <w:top w:w="15" w:type="dxa"/>
              <w:left w:w="15" w:type="dxa"/>
              <w:right w:w="15" w:type="dxa"/>
            </w:tcMar>
            <w:vAlign w:val="center"/>
          </w:tcPr>
          <w:p w14:paraId="45FFBF7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065005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nil"/>
              <w:left w:val="nil"/>
              <w:bottom w:val="single" w:color="000000" w:sz="8" w:space="0"/>
              <w:right w:val="single" w:color="000000" w:sz="8" w:space="0"/>
            </w:tcBorders>
            <w:noWrap/>
            <w:tcMar>
              <w:top w:w="15" w:type="dxa"/>
              <w:left w:w="15" w:type="dxa"/>
              <w:right w:w="15" w:type="dxa"/>
            </w:tcMar>
            <w:vAlign w:val="center"/>
          </w:tcPr>
          <w:p w14:paraId="18FB21F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w:t>
            </w:r>
          </w:p>
        </w:tc>
        <w:tc>
          <w:tcPr>
            <w:tcW w:w="1386" w:type="dxa"/>
            <w:tcBorders>
              <w:top w:val="nil"/>
              <w:left w:val="nil"/>
              <w:bottom w:val="single" w:color="000000" w:sz="8" w:space="0"/>
              <w:right w:val="nil"/>
            </w:tcBorders>
            <w:tcMar>
              <w:top w:w="15" w:type="dxa"/>
              <w:left w:w="15" w:type="dxa"/>
              <w:right w:w="15" w:type="dxa"/>
            </w:tcMar>
            <w:vAlign w:val="center"/>
          </w:tcPr>
          <w:p w14:paraId="29F117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89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04541A1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毕业设计</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01E87BB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615B9AD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52F013A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226A211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60</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0F6EC15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677C8FB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3105BCA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5CF7DF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2E7CA50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20</w:t>
            </w: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1C10535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C95B58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2A87B481">
        <w:tblPrEx>
          <w:tblCellMar>
            <w:top w:w="0" w:type="dxa"/>
            <w:left w:w="0" w:type="dxa"/>
            <w:bottom w:w="0" w:type="dxa"/>
            <w:right w:w="0" w:type="dxa"/>
          </w:tblCellMar>
        </w:tblPrEx>
        <w:trPr>
          <w:trHeight w:val="397" w:hRule="atLeast"/>
        </w:trPr>
        <w:tc>
          <w:tcPr>
            <w:tcW w:w="516" w:type="dxa"/>
            <w:vMerge w:val="continue"/>
            <w:tcBorders>
              <w:left w:val="single" w:color="000000" w:sz="8" w:space="0"/>
              <w:bottom w:val="single" w:color="000000" w:sz="8" w:space="0"/>
              <w:right w:val="single" w:color="000000" w:sz="8" w:space="0"/>
            </w:tcBorders>
            <w:tcMar>
              <w:top w:w="15" w:type="dxa"/>
              <w:left w:w="15" w:type="dxa"/>
              <w:right w:w="15" w:type="dxa"/>
            </w:tcMar>
            <w:vAlign w:val="center"/>
          </w:tcPr>
          <w:p w14:paraId="4464D2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vMerge w:val="continue"/>
            <w:tcBorders>
              <w:top w:val="nil"/>
              <w:left w:val="single" w:color="000000" w:sz="8" w:space="0"/>
              <w:bottom w:val="single" w:color="000000" w:sz="8" w:space="0"/>
              <w:right w:val="nil"/>
            </w:tcBorders>
            <w:tcMar>
              <w:top w:w="15" w:type="dxa"/>
              <w:left w:w="15" w:type="dxa"/>
              <w:right w:w="15" w:type="dxa"/>
            </w:tcMar>
            <w:vAlign w:val="center"/>
          </w:tcPr>
          <w:p w14:paraId="5F26C1B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17" w:type="dxa"/>
            <w:vMerge w:val="continue"/>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27D873F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83" w:type="dxa"/>
            <w:tcBorders>
              <w:top w:val="nil"/>
              <w:left w:val="nil"/>
              <w:bottom w:val="single" w:color="000000" w:sz="8" w:space="0"/>
              <w:right w:val="single" w:color="000000" w:sz="8" w:space="0"/>
            </w:tcBorders>
            <w:noWrap/>
            <w:tcMar>
              <w:top w:w="15" w:type="dxa"/>
              <w:left w:w="15" w:type="dxa"/>
              <w:right w:w="15" w:type="dxa"/>
            </w:tcMar>
            <w:vAlign w:val="center"/>
          </w:tcPr>
          <w:p w14:paraId="25EAD85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w:t>
            </w:r>
          </w:p>
        </w:tc>
        <w:tc>
          <w:tcPr>
            <w:tcW w:w="1386" w:type="dxa"/>
            <w:tcBorders>
              <w:top w:val="nil"/>
              <w:left w:val="nil"/>
              <w:bottom w:val="single" w:color="000000" w:sz="8" w:space="0"/>
              <w:right w:val="nil"/>
            </w:tcBorders>
            <w:tcMar>
              <w:top w:w="15" w:type="dxa"/>
              <w:left w:w="15" w:type="dxa"/>
              <w:right w:w="15" w:type="dxa"/>
            </w:tcMar>
            <w:vAlign w:val="center"/>
          </w:tcPr>
          <w:p w14:paraId="3FB2E0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89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B60EF7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岗位实习</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377E22F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18</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417FCBE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432</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4B63186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08B5ABD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432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11F348A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0F67F79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99FA9F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tcMar>
              <w:top w:w="15" w:type="dxa"/>
              <w:left w:w="15" w:type="dxa"/>
              <w:right w:w="15" w:type="dxa"/>
            </w:tcMar>
            <w:vAlign w:val="center"/>
          </w:tcPr>
          <w:p w14:paraId="0F68AB2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607BD66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71BAA11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color w:val="auto"/>
                <w:kern w:val="0"/>
                <w:sz w:val="20"/>
                <w:szCs w:val="20"/>
                <w:highlight w:val="none"/>
                <w:lang w:val="en-US" w:eastAsia="zh-CN" w:bidi="ar"/>
              </w:rPr>
            </w:pPr>
            <w:r>
              <w:rPr>
                <w:rFonts w:hint="eastAsia" w:ascii="仿宋_GB2312" w:hAnsi="仿宋_GB2312" w:eastAsia="仿宋_GB2312" w:cs="仿宋_GB2312"/>
                <w:color w:val="auto"/>
                <w:kern w:val="0"/>
                <w:sz w:val="20"/>
                <w:szCs w:val="20"/>
                <w:highlight w:val="none"/>
                <w:lang w:val="en-US" w:eastAsia="zh-CN" w:bidi="ar"/>
              </w:rPr>
              <w:t>18</w:t>
            </w:r>
          </w:p>
        </w:tc>
        <w:tc>
          <w:tcPr>
            <w:tcW w:w="550" w:type="dxa"/>
            <w:tcBorders>
              <w:top w:val="nil"/>
              <w:left w:val="nil"/>
              <w:bottom w:val="single" w:color="000000" w:sz="8" w:space="0"/>
              <w:right w:val="single" w:color="000000" w:sz="8" w:space="0"/>
            </w:tcBorders>
            <w:tcMar>
              <w:top w:w="15" w:type="dxa"/>
              <w:left w:w="15" w:type="dxa"/>
              <w:right w:w="15" w:type="dxa"/>
            </w:tcMar>
            <w:vAlign w:val="center"/>
          </w:tcPr>
          <w:p w14:paraId="503A039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考查</w:t>
            </w:r>
          </w:p>
        </w:tc>
      </w:tr>
      <w:tr w14:paraId="3F1E7645">
        <w:tblPrEx>
          <w:tblCellMar>
            <w:top w:w="0" w:type="dxa"/>
            <w:left w:w="0" w:type="dxa"/>
            <w:bottom w:w="0" w:type="dxa"/>
            <w:right w:w="0" w:type="dxa"/>
          </w:tblCellMar>
        </w:tblPrEx>
        <w:trPr>
          <w:trHeight w:val="330" w:hRule="atLeast"/>
        </w:trPr>
        <w:tc>
          <w:tcPr>
            <w:tcW w:w="51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73376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831" w:type="dxa"/>
            <w:gridSpan w:val="5"/>
            <w:tcBorders>
              <w:top w:val="nil"/>
              <w:left w:val="nil"/>
              <w:bottom w:val="single" w:color="000000" w:sz="8" w:space="0"/>
              <w:right w:val="single" w:color="000000" w:sz="8" w:space="0"/>
            </w:tcBorders>
            <w:tcMar>
              <w:top w:w="15" w:type="dxa"/>
              <w:left w:w="15" w:type="dxa"/>
              <w:right w:w="15" w:type="dxa"/>
            </w:tcMar>
            <w:vAlign w:val="center"/>
          </w:tcPr>
          <w:p w14:paraId="7D7D093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专业必修课程学分、学时小计</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2BB79A4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81</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32A67D1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1556</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3E00CE9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534</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672E853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1022</w:t>
            </w:r>
          </w:p>
        </w:tc>
        <w:tc>
          <w:tcPr>
            <w:tcW w:w="359" w:type="dxa"/>
            <w:tcBorders>
              <w:top w:val="nil"/>
              <w:left w:val="nil"/>
              <w:bottom w:val="single" w:color="000000" w:sz="8" w:space="0"/>
              <w:right w:val="single" w:color="000000" w:sz="8" w:space="0"/>
            </w:tcBorders>
            <w:tcMar>
              <w:top w:w="15" w:type="dxa"/>
              <w:left w:w="15" w:type="dxa"/>
              <w:right w:w="15" w:type="dxa"/>
            </w:tcMar>
            <w:vAlign w:val="center"/>
          </w:tcPr>
          <w:p w14:paraId="3D6C231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tcMar>
              <w:top w:w="15" w:type="dxa"/>
              <w:left w:w="15" w:type="dxa"/>
              <w:right w:w="15" w:type="dxa"/>
            </w:tcMar>
            <w:vAlign w:val="center"/>
          </w:tcPr>
          <w:p w14:paraId="113B8B8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tcMar>
              <w:top w:w="15" w:type="dxa"/>
              <w:left w:w="15" w:type="dxa"/>
              <w:right w:w="15" w:type="dxa"/>
            </w:tcMar>
            <w:vAlign w:val="center"/>
          </w:tcPr>
          <w:p w14:paraId="504F150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03781B3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4A4A243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77B53BC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32BF1AF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7BFD4DA9">
        <w:tblPrEx>
          <w:tblCellMar>
            <w:top w:w="0" w:type="dxa"/>
            <w:left w:w="0" w:type="dxa"/>
            <w:bottom w:w="0" w:type="dxa"/>
            <w:right w:w="0" w:type="dxa"/>
          </w:tblCellMar>
        </w:tblPrEx>
        <w:trPr>
          <w:trHeight w:val="300" w:hRule="atLeast"/>
        </w:trPr>
        <w:tc>
          <w:tcPr>
            <w:tcW w:w="51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222BE2E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831" w:type="dxa"/>
            <w:gridSpan w:val="5"/>
            <w:tcBorders>
              <w:top w:val="nil"/>
              <w:left w:val="nil"/>
              <w:bottom w:val="single" w:color="000000" w:sz="8" w:space="0"/>
              <w:right w:val="single" w:color="000000" w:sz="8" w:space="0"/>
            </w:tcBorders>
            <w:tcMar>
              <w:top w:w="15" w:type="dxa"/>
              <w:left w:w="15" w:type="dxa"/>
              <w:right w:w="15" w:type="dxa"/>
            </w:tcMar>
            <w:vAlign w:val="center"/>
          </w:tcPr>
          <w:p w14:paraId="756ED84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专业必修课程学分、学时占比</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53A20FA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57.45%</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02D3AED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58.98%</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7199CBA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20.24%</w:t>
            </w:r>
          </w:p>
        </w:tc>
        <w:tc>
          <w:tcPr>
            <w:tcW w:w="690" w:type="dxa"/>
            <w:tcBorders>
              <w:top w:val="nil"/>
              <w:left w:val="nil"/>
              <w:bottom w:val="single" w:color="000000" w:sz="8" w:space="0"/>
              <w:right w:val="single" w:color="000000" w:sz="8" w:space="0"/>
            </w:tcBorders>
            <w:tcMar>
              <w:top w:w="15" w:type="dxa"/>
              <w:left w:w="15" w:type="dxa"/>
              <w:right w:w="15" w:type="dxa"/>
            </w:tcMar>
            <w:vAlign w:val="center"/>
          </w:tcPr>
          <w:p w14:paraId="29876C4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38.74%</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6A1FC8E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2F2C67F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54BA6DC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17C2C21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27593F4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25E7DBF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5C69EEA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3479ACF1">
        <w:tblPrEx>
          <w:tblCellMar>
            <w:top w:w="0" w:type="dxa"/>
            <w:left w:w="0" w:type="dxa"/>
            <w:bottom w:w="0" w:type="dxa"/>
            <w:right w:w="0" w:type="dxa"/>
          </w:tblCellMar>
        </w:tblPrEx>
        <w:trPr>
          <w:trHeight w:val="330" w:hRule="atLeast"/>
        </w:trPr>
        <w:tc>
          <w:tcPr>
            <w:tcW w:w="51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586E26B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831" w:type="dxa"/>
            <w:gridSpan w:val="5"/>
            <w:tcBorders>
              <w:top w:val="nil"/>
              <w:left w:val="nil"/>
              <w:bottom w:val="single" w:color="000000" w:sz="8" w:space="0"/>
              <w:right w:val="single" w:color="000000" w:sz="8" w:space="0"/>
            </w:tcBorders>
            <w:tcMar>
              <w:top w:w="15" w:type="dxa"/>
              <w:left w:w="15" w:type="dxa"/>
              <w:right w:w="15" w:type="dxa"/>
            </w:tcMar>
            <w:vAlign w:val="center"/>
          </w:tcPr>
          <w:p w14:paraId="61AC534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专业拓展课程学分、学时小计</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134531C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5FD5AEC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5581E79C">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160</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5AC53A5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05E365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77A6E57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72E0999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540EC0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7C959C8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35B2F96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49EF30D5">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032ADFE4">
        <w:tblPrEx>
          <w:tblCellMar>
            <w:top w:w="0" w:type="dxa"/>
            <w:left w:w="0" w:type="dxa"/>
            <w:bottom w:w="0" w:type="dxa"/>
            <w:right w:w="0" w:type="dxa"/>
          </w:tblCellMar>
        </w:tblPrEx>
        <w:trPr>
          <w:trHeight w:val="300" w:hRule="atLeast"/>
        </w:trPr>
        <w:tc>
          <w:tcPr>
            <w:tcW w:w="51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14:paraId="407AEF63">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4831" w:type="dxa"/>
            <w:gridSpan w:val="5"/>
            <w:tcBorders>
              <w:top w:val="nil"/>
              <w:left w:val="nil"/>
              <w:bottom w:val="single" w:color="000000" w:sz="8" w:space="0"/>
              <w:right w:val="single" w:color="000000" w:sz="8" w:space="0"/>
            </w:tcBorders>
            <w:tcMar>
              <w:top w:w="15" w:type="dxa"/>
              <w:left w:w="15" w:type="dxa"/>
              <w:right w:w="15" w:type="dxa"/>
            </w:tcMar>
            <w:vAlign w:val="center"/>
          </w:tcPr>
          <w:p w14:paraId="624179A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专业拓展课程学分、学时占比</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190D60A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7.09%</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387A9EC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6.07%</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4A27817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6.07%</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46C6C73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0.00%</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58E5FEE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1FF8591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6E1F841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02E9333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30A0DC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4C12A5C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5CCE403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r w14:paraId="3F37B616">
        <w:tblPrEx>
          <w:tblCellMar>
            <w:top w:w="0" w:type="dxa"/>
            <w:left w:w="0" w:type="dxa"/>
            <w:bottom w:w="0" w:type="dxa"/>
            <w:right w:w="0" w:type="dxa"/>
          </w:tblCellMar>
        </w:tblPrEx>
        <w:trPr>
          <w:trHeight w:val="315" w:hRule="atLeast"/>
        </w:trPr>
        <w:tc>
          <w:tcPr>
            <w:tcW w:w="5347"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14:paraId="359570F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总学分、总学时合计</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2E39FFA8">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141</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5AD2392E">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2638</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7D8B822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1228</w:t>
            </w:r>
          </w:p>
        </w:tc>
        <w:tc>
          <w:tcPr>
            <w:tcW w:w="690" w:type="dxa"/>
            <w:tcBorders>
              <w:top w:val="nil"/>
              <w:left w:val="nil"/>
              <w:bottom w:val="single" w:color="000000" w:sz="8" w:space="0"/>
              <w:right w:val="single" w:color="000000" w:sz="8" w:space="0"/>
            </w:tcBorders>
            <w:noWrap/>
            <w:tcMar>
              <w:top w:w="15" w:type="dxa"/>
              <w:left w:w="15" w:type="dxa"/>
              <w:right w:w="15" w:type="dxa"/>
            </w:tcMar>
            <w:vAlign w:val="center"/>
          </w:tcPr>
          <w:p w14:paraId="70A46E6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r>
              <w:rPr>
                <w:rFonts w:hint="eastAsia" w:ascii="仿宋_GB2312" w:hAnsi="仿宋_GB2312" w:eastAsia="仿宋_GB2312" w:cs="仿宋_GB2312"/>
                <w:color w:val="auto"/>
                <w:kern w:val="0"/>
                <w:sz w:val="20"/>
                <w:szCs w:val="20"/>
                <w:highlight w:val="none"/>
                <w:lang w:bidi="ar"/>
              </w:rPr>
              <w:t>1410</w:t>
            </w:r>
          </w:p>
        </w:tc>
        <w:tc>
          <w:tcPr>
            <w:tcW w:w="359" w:type="dxa"/>
            <w:tcBorders>
              <w:top w:val="nil"/>
              <w:left w:val="nil"/>
              <w:bottom w:val="single" w:color="000000" w:sz="8" w:space="0"/>
              <w:right w:val="single" w:color="000000" w:sz="8" w:space="0"/>
            </w:tcBorders>
            <w:noWrap/>
            <w:tcMar>
              <w:top w:w="15" w:type="dxa"/>
              <w:left w:w="15" w:type="dxa"/>
              <w:right w:w="15" w:type="dxa"/>
            </w:tcMar>
            <w:vAlign w:val="center"/>
          </w:tcPr>
          <w:p w14:paraId="18284CD1">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267" w:type="dxa"/>
            <w:tcBorders>
              <w:top w:val="nil"/>
              <w:left w:val="nil"/>
              <w:bottom w:val="single" w:color="000000" w:sz="8" w:space="0"/>
              <w:right w:val="single" w:color="000000" w:sz="8" w:space="0"/>
            </w:tcBorders>
            <w:noWrap/>
            <w:tcMar>
              <w:top w:w="15" w:type="dxa"/>
              <w:left w:w="15" w:type="dxa"/>
              <w:right w:w="15" w:type="dxa"/>
            </w:tcMar>
            <w:vAlign w:val="center"/>
          </w:tcPr>
          <w:p w14:paraId="19F82AC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00" w:type="dxa"/>
            <w:tcBorders>
              <w:top w:val="nil"/>
              <w:left w:val="nil"/>
              <w:bottom w:val="single" w:color="000000" w:sz="8" w:space="0"/>
              <w:right w:val="single" w:color="000000" w:sz="8" w:space="0"/>
            </w:tcBorders>
            <w:noWrap/>
            <w:tcMar>
              <w:top w:w="15" w:type="dxa"/>
              <w:left w:w="15" w:type="dxa"/>
              <w:right w:w="15" w:type="dxa"/>
            </w:tcMar>
            <w:vAlign w:val="center"/>
          </w:tcPr>
          <w:p w14:paraId="7B51AE70">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33" w:type="dxa"/>
            <w:tcBorders>
              <w:top w:val="nil"/>
              <w:left w:val="nil"/>
              <w:bottom w:val="single" w:color="000000" w:sz="8" w:space="0"/>
              <w:right w:val="single" w:color="000000" w:sz="8" w:space="0"/>
            </w:tcBorders>
            <w:noWrap/>
            <w:tcMar>
              <w:top w:w="15" w:type="dxa"/>
              <w:left w:w="15" w:type="dxa"/>
              <w:right w:w="15" w:type="dxa"/>
            </w:tcMar>
            <w:vAlign w:val="center"/>
          </w:tcPr>
          <w:p w14:paraId="71F7563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50" w:type="dxa"/>
            <w:tcBorders>
              <w:top w:val="nil"/>
              <w:left w:val="nil"/>
              <w:bottom w:val="single" w:color="000000" w:sz="8" w:space="0"/>
              <w:right w:val="single" w:color="000000" w:sz="8" w:space="0"/>
            </w:tcBorders>
            <w:noWrap/>
            <w:tcMar>
              <w:top w:w="15" w:type="dxa"/>
              <w:left w:w="15" w:type="dxa"/>
              <w:right w:w="15" w:type="dxa"/>
            </w:tcMar>
            <w:vAlign w:val="center"/>
          </w:tcPr>
          <w:p w14:paraId="474259B6">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367" w:type="dxa"/>
            <w:tcBorders>
              <w:top w:val="nil"/>
              <w:left w:val="nil"/>
              <w:bottom w:val="single" w:color="000000" w:sz="8" w:space="0"/>
              <w:right w:val="single" w:color="000000" w:sz="8" w:space="0"/>
            </w:tcBorders>
            <w:noWrap/>
            <w:tcMar>
              <w:top w:w="15" w:type="dxa"/>
              <w:left w:w="15" w:type="dxa"/>
              <w:right w:w="15" w:type="dxa"/>
            </w:tcMar>
            <w:vAlign w:val="center"/>
          </w:tcPr>
          <w:p w14:paraId="6B1CEF3F">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c>
          <w:tcPr>
            <w:tcW w:w="550" w:type="dxa"/>
            <w:tcBorders>
              <w:top w:val="nil"/>
              <w:left w:val="nil"/>
              <w:bottom w:val="single" w:color="000000" w:sz="8" w:space="0"/>
              <w:right w:val="single" w:color="000000" w:sz="8" w:space="0"/>
            </w:tcBorders>
            <w:noWrap/>
            <w:tcMar>
              <w:top w:w="15" w:type="dxa"/>
              <w:left w:w="15" w:type="dxa"/>
              <w:right w:w="15" w:type="dxa"/>
            </w:tcMar>
            <w:vAlign w:val="center"/>
          </w:tcPr>
          <w:p w14:paraId="4F0DDF69">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kern w:val="0"/>
                <w:sz w:val="20"/>
                <w:szCs w:val="20"/>
                <w:highlight w:val="none"/>
                <w:lang w:bidi="ar"/>
              </w:rPr>
            </w:pPr>
          </w:p>
        </w:tc>
      </w:tr>
    </w:tbl>
    <w:p w14:paraId="04F22E61">
      <w:pPr>
        <w:overflowPunct w:val="0"/>
        <w:adjustRightInd w:val="0"/>
        <w:spacing w:after="0" w:line="520" w:lineRule="exact"/>
        <w:ind w:firstLine="640" w:firstLineChars="200"/>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九、师资队伍</w:t>
      </w:r>
    </w:p>
    <w:p w14:paraId="6E0412C2">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按照“四有好老师”“四个相统一”“四个引路人”的要求建设专业教师队伍，将师德师风作为教师队伍建设的第一标准。</w:t>
      </w:r>
    </w:p>
    <w:p w14:paraId="6733C9BF">
      <w:pPr>
        <w:numPr>
          <w:ilvl w:val="0"/>
          <w:numId w:val="1"/>
        </w:num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队伍结构</w:t>
      </w:r>
    </w:p>
    <w:p w14:paraId="15423120">
      <w:pPr>
        <w:overflowPunct w:val="0"/>
        <w:adjustRightInd w:val="0"/>
        <w:spacing w:after="0"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电子信息工程技术专业教师团队教师21人，专职教师21人，获取职称人数为15人。其中副高及以上职称3人，中级职称8人，初级职称4人。双师型专任教师3人。本专业带头人为潘宏锋，副高职称，负责本专业的规划与建设、主持专业人才培养方案、课程标准的制定与修订、教材、专业教学标准、专业认证体系的建设工作、负责本专业教学改革和实践技能培养方案的制定等工作。</w:t>
      </w:r>
    </w:p>
    <w:p w14:paraId="645BF542">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（二）专业带头人</w:t>
      </w:r>
    </w:p>
    <w:p w14:paraId="2F80C929">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仿宋_GB2312" w:hAnsi="仿宋_GB2312" w:eastAsia="仿宋_GB2312" w:cs="仿宋_GB2312"/>
          <w:sz w:val="32"/>
          <w:szCs w:val="32"/>
          <w:highlight w:val="none"/>
        </w:rPr>
        <w:t>专业带头人原则上应具有副高及以上职称，能够较好地把握国内外电子行业、专业发展，能广泛联系行业企业，了解行业企业对本专业人才的需求实际，教学设计、专业研究能力强，组织开展教科研工作能力强，在本区域或本领域具有一定的专业影响力。本专业带头人为潘宏锋，副高职称，负责本专业的规划与建设、主持专业人才培养方案、课程标准的制定与修订、教材、专业教学标准、专业认证体系的建设工作、负责本专业教学改革和实践技能培养方案的制定等工作。</w:t>
      </w:r>
    </w:p>
    <w:p w14:paraId="74DD7782">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（三）专任教师</w:t>
      </w:r>
    </w:p>
    <w:p w14:paraId="507581CB">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仿宋_GB2312" w:hAnsi="仿宋_GB2312" w:eastAsia="仿宋_GB2312" w:cs="仿宋_GB2312"/>
          <w:sz w:val="32"/>
          <w:szCs w:val="32"/>
          <w:highlight w:val="none"/>
        </w:rPr>
        <w:t>专任教师应具有高校教师资格；有理想信念、有道德情操、有扎实学识、有仁爱之心；具有电子信息类等相关专业本科及以上学历；具有扎实的本专业相关理论功底和实践能力；具有较强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信息化教学能力，能够开展课程教学改革和科学研究；有每5年累计不少于6个月的企业实践经历。</w:t>
      </w:r>
      <w:r>
        <w:rPr>
          <w:rFonts w:hint="eastAsia" w:ascii="楷体" w:hAnsi="楷体" w:eastAsia="楷体" w:cs="楷体"/>
          <w:sz w:val="32"/>
          <w:szCs w:val="32"/>
          <w:highlight w:val="none"/>
        </w:rPr>
        <w:br w:type="textWrapping"/>
      </w:r>
      <w:r>
        <w:rPr>
          <w:rFonts w:hint="eastAsia" w:ascii="楷体" w:hAnsi="楷体" w:eastAsia="楷体" w:cs="楷体"/>
          <w:sz w:val="32"/>
          <w:szCs w:val="32"/>
          <w:highlight w:val="none"/>
        </w:rPr>
        <w:t xml:space="preserve">    （四）兼职教师</w:t>
      </w:r>
    </w:p>
    <w:p w14:paraId="26261D27">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9人，副高职称3人，中级职称6人，承担电工电子技术、信号与系统、模拟电子技术等课程教学任务。</w:t>
      </w:r>
    </w:p>
    <w:p w14:paraId="11C51F07">
      <w:pPr>
        <w:overflowPunct w:val="0"/>
        <w:adjustRightInd w:val="0"/>
        <w:spacing w:after="0" w:line="520" w:lineRule="exact"/>
        <w:ind w:firstLine="640" w:firstLineChars="200"/>
        <w:outlineLvl w:val="0"/>
        <w:rPr>
          <w:rFonts w:hint="eastAsia" w:ascii="楷体" w:hAnsi="楷体" w:eastAsia="楷体" w:cs="楷体"/>
          <w:sz w:val="32"/>
          <w:szCs w:val="32"/>
          <w:highlight w:val="none"/>
        </w:rPr>
      </w:pPr>
      <w:r>
        <w:rPr>
          <w:rFonts w:hint="eastAsia" w:ascii="黑体" w:hAnsi="黑体" w:eastAsia="黑体" w:cs="黑体"/>
          <w:sz w:val="32"/>
          <w:szCs w:val="32"/>
          <w:highlight w:val="none"/>
        </w:rPr>
        <w:t>十、教学条件</w:t>
      </w:r>
    </w:p>
    <w:p w14:paraId="385FAFCB">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（一）教学设施</w:t>
      </w:r>
    </w:p>
    <w:p w14:paraId="3D19FCBB">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教学设施主要包括能够满足正常的课程教学、实习实训所需的专业教室、校内实训室和校外实训基地等。</w:t>
      </w:r>
    </w:p>
    <w:p w14:paraId="7061D34D">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1.专业教室要求</w:t>
      </w:r>
    </w:p>
    <w:p w14:paraId="79356769">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学校为该专业配备公共教室（配备有多媒体设施）、多媒体教室等，满足理论教学要求。</w:t>
      </w:r>
    </w:p>
    <w:p w14:paraId="663C61B1">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配有黑（白）板、多媒体计算机、投影设备、音响设备，安装应急照明装置并保持良好状态，符合紧急疏散要求，标志明显，逃生通道畅通无阻。</w:t>
      </w:r>
    </w:p>
    <w:p w14:paraId="06A59057">
      <w:pPr>
        <w:overflowPunct w:val="0"/>
        <w:adjustRightInd w:val="0"/>
        <w:spacing w:after="0" w:line="520" w:lineRule="exact"/>
        <w:ind w:firstLine="640" w:firstLineChars="200"/>
        <w:rPr>
          <w:rFonts w:hint="eastAsia" w:ascii="仿宋_GB2312" w:hAnsi="仿宋_GB2312" w:eastAsia="仿宋_GB2312" w:cs="仿宋_GB2312"/>
          <w:highlight w:val="none"/>
        </w:rPr>
      </w:pPr>
      <w:r>
        <w:rPr>
          <w:rFonts w:hint="eastAsia" w:ascii="仿宋_GB2312" w:hAnsi="仿宋_GB2312" w:eastAsia="仿宋_GB2312" w:cs="仿宋_GB2312"/>
          <w:sz w:val="32"/>
          <w:szCs w:val="32"/>
          <w:highlight w:val="none"/>
        </w:rPr>
        <w:t>2.校内实训资源</w:t>
      </w:r>
    </w:p>
    <w:p w14:paraId="474958F1">
      <w:pPr>
        <w:overflowPunct w:val="0"/>
        <w:adjustRightInd w:val="0"/>
        <w:spacing w:after="0" w:line="520" w:lineRule="exact"/>
        <w:jc w:val="center"/>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 xml:space="preserve">表11 </w:t>
      </w:r>
      <w:r>
        <w:rPr>
          <w:rFonts w:hint="eastAsia" w:ascii="仿宋_GB2312" w:hAnsi="仿宋_GB2312" w:eastAsia="仿宋_GB2312" w:cs="仿宋_GB2312"/>
          <w:kern w:val="0"/>
          <w:sz w:val="32"/>
          <w:szCs w:val="32"/>
          <w:highlight w:val="none"/>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814"/>
        <w:gridCol w:w="1997"/>
        <w:gridCol w:w="3209"/>
        <w:gridCol w:w="1047"/>
      </w:tblGrid>
      <w:tr w14:paraId="5F833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5A583278">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序号</w:t>
            </w:r>
          </w:p>
        </w:tc>
        <w:tc>
          <w:tcPr>
            <w:tcW w:w="1293" w:type="dxa"/>
            <w:vAlign w:val="center"/>
          </w:tcPr>
          <w:p w14:paraId="51D4412E">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实验实训室名称</w:t>
            </w:r>
          </w:p>
        </w:tc>
        <w:tc>
          <w:tcPr>
            <w:tcW w:w="1814" w:type="dxa"/>
            <w:vAlign w:val="center"/>
          </w:tcPr>
          <w:p w14:paraId="26BE86A2">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实训适用课程</w:t>
            </w:r>
          </w:p>
        </w:tc>
        <w:tc>
          <w:tcPr>
            <w:tcW w:w="1997" w:type="dxa"/>
            <w:vAlign w:val="center"/>
          </w:tcPr>
          <w:p w14:paraId="22AF50B6">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实训项目</w:t>
            </w:r>
          </w:p>
        </w:tc>
        <w:tc>
          <w:tcPr>
            <w:tcW w:w="3209" w:type="dxa"/>
            <w:vAlign w:val="center"/>
          </w:tcPr>
          <w:p w14:paraId="77B0932B">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主要设备名称及配置数量</w:t>
            </w:r>
          </w:p>
        </w:tc>
        <w:tc>
          <w:tcPr>
            <w:tcW w:w="1047" w:type="dxa"/>
          </w:tcPr>
          <w:p w14:paraId="5429C136">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工位数</w:t>
            </w:r>
          </w:p>
        </w:tc>
      </w:tr>
      <w:tr w14:paraId="11DD1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1C8FA151">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w:t>
            </w:r>
          </w:p>
        </w:tc>
        <w:tc>
          <w:tcPr>
            <w:tcW w:w="1293" w:type="dxa"/>
            <w:vAlign w:val="center"/>
          </w:tcPr>
          <w:p w14:paraId="41B8706D">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电工基础实训室</w:t>
            </w:r>
          </w:p>
        </w:tc>
        <w:tc>
          <w:tcPr>
            <w:tcW w:w="1814" w:type="dxa"/>
            <w:vAlign w:val="center"/>
          </w:tcPr>
          <w:p w14:paraId="2F8817E3">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初级维修电工实训、中级维修电工实训</w:t>
            </w:r>
          </w:p>
        </w:tc>
        <w:tc>
          <w:tcPr>
            <w:tcW w:w="1997" w:type="dxa"/>
            <w:vAlign w:val="center"/>
          </w:tcPr>
          <w:p w14:paraId="3A78089E">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基本电工线路的接线实训</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中级维修电工实训</w:t>
            </w:r>
          </w:p>
        </w:tc>
        <w:tc>
          <w:tcPr>
            <w:tcW w:w="3209" w:type="dxa"/>
            <w:vAlign w:val="center"/>
          </w:tcPr>
          <w:p w14:paraId="7BD19406">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传感器实验箱8台、多功能电学实验与实训考核台13台、心肺急救复苏模型1台、</w:t>
            </w:r>
          </w:p>
        </w:tc>
        <w:tc>
          <w:tcPr>
            <w:tcW w:w="1047" w:type="dxa"/>
            <w:vAlign w:val="center"/>
          </w:tcPr>
          <w:p w14:paraId="2DD609A9">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10</w:t>
            </w:r>
          </w:p>
        </w:tc>
      </w:tr>
      <w:tr w14:paraId="0005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2146EE1">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w:t>
            </w:r>
          </w:p>
        </w:tc>
        <w:tc>
          <w:tcPr>
            <w:tcW w:w="1293" w:type="dxa"/>
            <w:vAlign w:val="center"/>
          </w:tcPr>
          <w:p w14:paraId="3AD8058F">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电子技术实验实训室</w:t>
            </w:r>
          </w:p>
        </w:tc>
        <w:tc>
          <w:tcPr>
            <w:tcW w:w="1814" w:type="dxa"/>
            <w:vAlign w:val="center"/>
          </w:tcPr>
          <w:p w14:paraId="51A011E2">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数字电子技术、模拟电子技术</w:t>
            </w:r>
          </w:p>
        </w:tc>
        <w:tc>
          <w:tcPr>
            <w:tcW w:w="1997" w:type="dxa"/>
            <w:vAlign w:val="center"/>
          </w:tcPr>
          <w:p w14:paraId="7F63B8A3">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模拟电子线路实验</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数字电子线路实验</w:t>
            </w:r>
          </w:p>
          <w:p w14:paraId="4403779F">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p>
        </w:tc>
        <w:tc>
          <w:tcPr>
            <w:tcW w:w="3209" w:type="dxa"/>
            <w:vAlign w:val="center"/>
          </w:tcPr>
          <w:p w14:paraId="7F842026">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数字电路试验箱20个、RF宽带扫频仪1个、交流毫伏表6台、LCR数字电桥5台、通信系统原理实验系统8套、多功能电学实验与实训考核台13台、数字存储示波器9、虚拟示波器9台、数字示波器2台、函数信号发生器3台、自动失真测试仪1台、微型电子计算机8台、DDS函数信号发生器1台。</w:t>
            </w:r>
          </w:p>
        </w:tc>
        <w:tc>
          <w:tcPr>
            <w:tcW w:w="1047" w:type="dxa"/>
            <w:vAlign w:val="center"/>
          </w:tcPr>
          <w:p w14:paraId="799BAB36">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80</w:t>
            </w:r>
          </w:p>
        </w:tc>
      </w:tr>
      <w:tr w14:paraId="6EF9C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37A8C777">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3</w:t>
            </w:r>
          </w:p>
        </w:tc>
        <w:tc>
          <w:tcPr>
            <w:tcW w:w="1293" w:type="dxa"/>
            <w:vAlign w:val="center"/>
          </w:tcPr>
          <w:p w14:paraId="61D89F31">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CAD/CAM实验实训室</w:t>
            </w:r>
          </w:p>
        </w:tc>
        <w:tc>
          <w:tcPr>
            <w:tcW w:w="1814" w:type="dxa"/>
            <w:vAlign w:val="center"/>
          </w:tcPr>
          <w:p w14:paraId="41C68465">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电子CAD</w:t>
            </w:r>
          </w:p>
        </w:tc>
        <w:tc>
          <w:tcPr>
            <w:tcW w:w="1997" w:type="dxa"/>
            <w:vAlign w:val="center"/>
          </w:tcPr>
          <w:p w14:paraId="272D10F2">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CAD制图</w:t>
            </w:r>
          </w:p>
        </w:tc>
        <w:tc>
          <w:tcPr>
            <w:tcW w:w="3209" w:type="dxa"/>
            <w:vAlign w:val="center"/>
          </w:tcPr>
          <w:p w14:paraId="00D81C10">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服务器1台、交换机1台以及可运行AutoCAD的计算机80台</w:t>
            </w:r>
          </w:p>
        </w:tc>
        <w:tc>
          <w:tcPr>
            <w:tcW w:w="1047" w:type="dxa"/>
            <w:vAlign w:val="center"/>
          </w:tcPr>
          <w:p w14:paraId="7B052375">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80</w:t>
            </w:r>
          </w:p>
        </w:tc>
      </w:tr>
      <w:tr w14:paraId="29F8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2" w:hRule="atLeast"/>
        </w:trPr>
        <w:tc>
          <w:tcPr>
            <w:tcW w:w="827" w:type="dxa"/>
            <w:vAlign w:val="center"/>
          </w:tcPr>
          <w:p w14:paraId="7F6E5340">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w:t>
            </w:r>
          </w:p>
        </w:tc>
        <w:tc>
          <w:tcPr>
            <w:tcW w:w="1293" w:type="dxa"/>
            <w:vAlign w:val="center"/>
          </w:tcPr>
          <w:p w14:paraId="738F2F8B">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自动控制实验实训室</w:t>
            </w:r>
          </w:p>
        </w:tc>
        <w:tc>
          <w:tcPr>
            <w:tcW w:w="1814" w:type="dxa"/>
            <w:vAlign w:val="center"/>
          </w:tcPr>
          <w:p w14:paraId="73744BEF">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电气控制与PLC、单片机原理与接口技术</w:t>
            </w:r>
          </w:p>
        </w:tc>
        <w:tc>
          <w:tcPr>
            <w:tcW w:w="1997" w:type="dxa"/>
            <w:vAlign w:val="center"/>
          </w:tcPr>
          <w:p w14:paraId="0DA43719">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控制系统认识实训</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PLC与单片机认识实训PLC应用实训</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highlight w:val="none"/>
                <w14:textFill>
                  <w14:solidFill>
                    <w14:schemeClr w14:val="tx1"/>
                  </w14:solidFill>
                </w14:textFill>
              </w:rPr>
              <w:t>单片机应用实训</w:t>
            </w:r>
          </w:p>
          <w:p w14:paraId="6CD0C006">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p>
        </w:tc>
        <w:tc>
          <w:tcPr>
            <w:tcW w:w="3209" w:type="dxa"/>
            <w:vAlign w:val="center"/>
          </w:tcPr>
          <w:p w14:paraId="050D0D89">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微型计算机6套、单片机实验开发系统综合装置6套、多合一单片机微机实验仪8台、</w:t>
            </w:r>
          </w:p>
        </w:tc>
        <w:tc>
          <w:tcPr>
            <w:tcW w:w="1047" w:type="dxa"/>
            <w:vAlign w:val="center"/>
          </w:tcPr>
          <w:p w14:paraId="6AAD6D19">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80</w:t>
            </w:r>
          </w:p>
        </w:tc>
      </w:tr>
      <w:tr w14:paraId="51580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689B3088">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w:t>
            </w:r>
          </w:p>
        </w:tc>
        <w:tc>
          <w:tcPr>
            <w:tcW w:w="1293" w:type="dxa"/>
            <w:vAlign w:val="center"/>
          </w:tcPr>
          <w:p w14:paraId="78B2CE55">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电子工艺实训室</w:t>
            </w:r>
          </w:p>
        </w:tc>
        <w:tc>
          <w:tcPr>
            <w:tcW w:w="1814" w:type="dxa"/>
            <w:vAlign w:val="center"/>
          </w:tcPr>
          <w:p w14:paraId="133D7EED">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电子设计</w:t>
            </w:r>
          </w:p>
        </w:tc>
        <w:tc>
          <w:tcPr>
            <w:tcW w:w="1997" w:type="dxa"/>
            <w:vAlign w:val="center"/>
          </w:tcPr>
          <w:p w14:paraId="20F47F3A">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安全操作、元器件及其封装的识别、元器件的安装、手工焊接、调试、故障排除、产品质量保证等实训项目。</w:t>
            </w:r>
          </w:p>
        </w:tc>
        <w:tc>
          <w:tcPr>
            <w:tcW w:w="3209" w:type="dxa"/>
            <w:vAlign w:val="center"/>
          </w:tcPr>
          <w:p w14:paraId="27C8FCE6">
            <w:pPr>
              <w:overflowPunct w:val="0"/>
              <w:adjustRightInd w:val="0"/>
              <w:spacing w:after="0" w:line="360" w:lineRule="exact"/>
              <w:jc w:val="left"/>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电子产品焊接及工艺实训台21台</w:t>
            </w:r>
          </w:p>
        </w:tc>
        <w:tc>
          <w:tcPr>
            <w:tcW w:w="1047" w:type="dxa"/>
            <w:vAlign w:val="center"/>
          </w:tcPr>
          <w:p w14:paraId="4B758280">
            <w:pPr>
              <w:overflowPunct w:val="0"/>
              <w:adjustRightInd w:val="0"/>
              <w:spacing w:after="0" w:line="360" w:lineRule="exact"/>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80</w:t>
            </w:r>
          </w:p>
        </w:tc>
      </w:tr>
    </w:tbl>
    <w:p w14:paraId="7CB683B7">
      <w:pPr>
        <w:pStyle w:val="2"/>
        <w:widowControl/>
        <w:spacing w:before="0" w:after="0" w:line="52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0B11ED81">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（1）校外实训基地基本要求</w:t>
      </w:r>
    </w:p>
    <w:p w14:paraId="00624AD2">
      <w:pPr>
        <w:pStyle w:val="130"/>
        <w:spacing w:after="0"/>
        <w:rPr>
          <w:rFonts w:ascii="仿宋_GB2312" w:hAnsi="仿宋_GB2312" w:cs="仿宋_GB2312"/>
          <w:szCs w:val="32"/>
          <w:highlight w:val="none"/>
        </w:rPr>
      </w:pPr>
      <w:r>
        <w:rPr>
          <w:rFonts w:ascii="仿宋_GB2312" w:hAnsi="仿宋_GB2312" w:cs="仿宋_GB2312"/>
          <w:highlight w:val="none"/>
        </w:rPr>
        <w:t>具有稳定的校外实训基地2个以上，实训设施齐备，实训岗位、实训指导教师确定，实训管理及实施规章制度齐全。</w:t>
      </w:r>
    </w:p>
    <w:p w14:paraId="154FE4D9">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（2）学生实习基地基本要求</w:t>
      </w:r>
    </w:p>
    <w:p w14:paraId="5CE0B9F4">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具有稳定的校外实习基地2个以上；能提供电子设备装配调试、电子设备检验、电子产品维修、电子设备生产管理、电子信息系统集成、电子产品设计开发等相关实习岗位，能涵盖当前相关产业的主流技术，可接纳一定规模的学生实习；能够配备相应数量的指导教师对学生实习进行指导和管理；有保证实习生日常工作、学习、生活的规章制度，有安全、保险保障</w:t>
      </w:r>
    </w:p>
    <w:p w14:paraId="57054AA9">
      <w:pPr>
        <w:overflowPunct w:val="0"/>
        <w:adjustRightInd w:val="0"/>
        <w:spacing w:after="0" w:line="5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969"/>
        <w:gridCol w:w="2619"/>
        <w:gridCol w:w="1216"/>
        <w:gridCol w:w="1234"/>
        <w:gridCol w:w="1362"/>
      </w:tblGrid>
      <w:tr w14:paraId="0D4D2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743F83C6">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序号</w:t>
            </w:r>
          </w:p>
        </w:tc>
        <w:tc>
          <w:tcPr>
            <w:tcW w:w="2969" w:type="dxa"/>
          </w:tcPr>
          <w:p w14:paraId="03D00102">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校外实习基地名称</w:t>
            </w:r>
          </w:p>
        </w:tc>
        <w:tc>
          <w:tcPr>
            <w:tcW w:w="2619" w:type="dxa"/>
          </w:tcPr>
          <w:p w14:paraId="710044B5">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合作企业名称</w:t>
            </w:r>
          </w:p>
        </w:tc>
        <w:tc>
          <w:tcPr>
            <w:tcW w:w="1216" w:type="dxa"/>
          </w:tcPr>
          <w:p w14:paraId="40275234">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用途</w:t>
            </w:r>
          </w:p>
        </w:tc>
        <w:tc>
          <w:tcPr>
            <w:tcW w:w="1234" w:type="dxa"/>
          </w:tcPr>
          <w:p w14:paraId="33DC4FFC">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合作深度要求</w:t>
            </w:r>
          </w:p>
        </w:tc>
        <w:tc>
          <w:tcPr>
            <w:tcW w:w="1362" w:type="dxa"/>
          </w:tcPr>
          <w:p w14:paraId="48264CE9">
            <w:pPr>
              <w:overflowPunct w:val="0"/>
              <w:adjustRightInd w:val="0"/>
              <w:spacing w:after="0" w:line="360" w:lineRule="exact"/>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接纳学生实习人次</w:t>
            </w:r>
          </w:p>
        </w:tc>
      </w:tr>
      <w:tr w14:paraId="21F5B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3373550A">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2969" w:type="dxa"/>
          </w:tcPr>
          <w:p w14:paraId="70FF5CC3">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2146E823">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思创电子公司</w:t>
            </w:r>
          </w:p>
        </w:tc>
        <w:tc>
          <w:tcPr>
            <w:tcW w:w="1216" w:type="dxa"/>
          </w:tcPr>
          <w:p w14:paraId="7039E905">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4234D7AF">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31E34E2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4119D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3F510734">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2969" w:type="dxa"/>
          </w:tcPr>
          <w:p w14:paraId="517AE836">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07294D7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云南昆明闻泰科技有限公司</w:t>
            </w:r>
          </w:p>
        </w:tc>
        <w:tc>
          <w:tcPr>
            <w:tcW w:w="1216" w:type="dxa"/>
          </w:tcPr>
          <w:p w14:paraId="57379E5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24A8F672">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4F44ABBA">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3E4B9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183C8CD7">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p>
        </w:tc>
        <w:tc>
          <w:tcPr>
            <w:tcW w:w="2969" w:type="dxa"/>
          </w:tcPr>
          <w:p w14:paraId="097DF785">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4B00ECC0">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广州美维电子有限公司</w:t>
            </w:r>
          </w:p>
        </w:tc>
        <w:tc>
          <w:tcPr>
            <w:tcW w:w="1216" w:type="dxa"/>
          </w:tcPr>
          <w:p w14:paraId="5E5C10F1">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24BCA28D">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21D7EAE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410D1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680FC88">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p>
        </w:tc>
        <w:tc>
          <w:tcPr>
            <w:tcW w:w="2969" w:type="dxa"/>
          </w:tcPr>
          <w:p w14:paraId="2B101D24">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71633088">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安捷利（番禺）电子实业有限公司</w:t>
            </w:r>
          </w:p>
        </w:tc>
        <w:tc>
          <w:tcPr>
            <w:tcW w:w="1216" w:type="dxa"/>
          </w:tcPr>
          <w:p w14:paraId="1EF027B7">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2849FE77">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64E6B47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4170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1AFB95E1">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w:t>
            </w:r>
          </w:p>
        </w:tc>
        <w:tc>
          <w:tcPr>
            <w:tcW w:w="2969" w:type="dxa"/>
          </w:tcPr>
          <w:p w14:paraId="14246CB3">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144FF45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中国移动通信集团广西有限公司平果分公司</w:t>
            </w:r>
          </w:p>
        </w:tc>
        <w:tc>
          <w:tcPr>
            <w:tcW w:w="1216" w:type="dxa"/>
          </w:tcPr>
          <w:p w14:paraId="7B671161">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30156030">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68A4F63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5E1E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54CD0BF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w:t>
            </w:r>
          </w:p>
        </w:tc>
        <w:tc>
          <w:tcPr>
            <w:tcW w:w="2969" w:type="dxa"/>
          </w:tcPr>
          <w:p w14:paraId="5C10776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7BB84E39">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平果超能电子医疗器械科技有限公司</w:t>
            </w:r>
          </w:p>
        </w:tc>
        <w:tc>
          <w:tcPr>
            <w:tcW w:w="1216" w:type="dxa"/>
          </w:tcPr>
          <w:p w14:paraId="25F0A134">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760CA10E">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5112360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r w14:paraId="21772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1740C7C5">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7</w:t>
            </w:r>
          </w:p>
        </w:tc>
        <w:tc>
          <w:tcPr>
            <w:tcW w:w="2969" w:type="dxa"/>
          </w:tcPr>
          <w:p w14:paraId="6132711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广西工程职业学院电子信息技术专业校外实习基地</w:t>
            </w:r>
          </w:p>
        </w:tc>
        <w:tc>
          <w:tcPr>
            <w:tcW w:w="2619" w:type="dxa"/>
          </w:tcPr>
          <w:p w14:paraId="37D49FD6">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广西平果庆源电子科技有限责任公司</w:t>
            </w:r>
          </w:p>
        </w:tc>
        <w:tc>
          <w:tcPr>
            <w:tcW w:w="1216" w:type="dxa"/>
          </w:tcPr>
          <w:p w14:paraId="1318529D">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岗位实习</w:t>
            </w:r>
          </w:p>
        </w:tc>
        <w:tc>
          <w:tcPr>
            <w:tcW w:w="1234" w:type="dxa"/>
          </w:tcPr>
          <w:p w14:paraId="36C9F45C">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深度合作</w:t>
            </w:r>
          </w:p>
        </w:tc>
        <w:tc>
          <w:tcPr>
            <w:tcW w:w="1362" w:type="dxa"/>
          </w:tcPr>
          <w:p w14:paraId="48626C4F">
            <w:pPr>
              <w:overflowPunct w:val="0"/>
              <w:adjustRightInd w:val="0"/>
              <w:spacing w:after="0" w:line="360" w:lineRule="exac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100</w:t>
            </w:r>
          </w:p>
        </w:tc>
      </w:tr>
    </w:tbl>
    <w:p w14:paraId="6CB2854A">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（二）教学资源</w:t>
      </w:r>
    </w:p>
    <w:p w14:paraId="1471C6EF">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教学资源主要包括能满足学生专业学习、教师专业教学研究和教学实施所需的教材、图书文献及数字教学资源等。</w:t>
      </w:r>
    </w:p>
    <w:p w14:paraId="503E5F10">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1.教材选用基本要求</w:t>
      </w:r>
    </w:p>
    <w:p w14:paraId="2FE06FB0">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选用近五年内出版的高职高专国家级规划教材、自治区级规划教材、高职高专类出版教材。</w:t>
      </w:r>
    </w:p>
    <w:p w14:paraId="0593ADF0">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2.图书文献配备基本要求</w:t>
      </w:r>
    </w:p>
    <w:p w14:paraId="7D9D2D22">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图书文献配备能满足人才培养、专业建设、教科研等工作的需要，方便师生查询、借阅。专业类文献主要包括：</w:t>
      </w:r>
      <w:bookmarkStart w:id="25" w:name="OLE_LINK6"/>
      <w:r>
        <w:rPr>
          <w:rFonts w:hint="eastAsia" w:ascii="仿宋_GB2312" w:hAnsi="仿宋_GB2312" w:eastAsia="仿宋_GB2312" w:cs="仿宋_GB2312"/>
          <w:sz w:val="32"/>
          <w:szCs w:val="32"/>
          <w:highlight w:val="none"/>
        </w:rPr>
        <w:t>电子信息类相关行业政策法规、行业标准、技术规范以及</w:t>
      </w:r>
      <w:bookmarkEnd w:id="25"/>
      <w:r>
        <w:rPr>
          <w:rFonts w:hint="eastAsia" w:ascii="仿宋_GB2312" w:hAnsi="仿宋_GB2312" w:eastAsia="仿宋_GB2312" w:cs="仿宋_GB2312"/>
          <w:sz w:val="32"/>
          <w:szCs w:val="32"/>
          <w:highlight w:val="none"/>
        </w:rPr>
        <w:t>条例等与服务相关专业类图书和实务案例类图书。专业图书资料（含电子图书）不低于500册，5种以上电子信息类专业学术期刊，并能保持每年更新。</w:t>
      </w:r>
    </w:p>
    <w:p w14:paraId="6BA1D044">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3.数字教学资源配置基本要求</w:t>
      </w:r>
    </w:p>
    <w:p w14:paraId="47FDC8CD">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468DDB87">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（三）教学方法</w:t>
      </w:r>
    </w:p>
    <w:p w14:paraId="6D9CC58F">
      <w:pPr>
        <w:overflowPunct w:val="0"/>
        <w:adjustRightInd w:val="0"/>
        <w:spacing w:after="0" w:line="540" w:lineRule="exact"/>
        <w:ind w:firstLine="640" w:firstLineChars="200"/>
        <w:rPr>
          <w:rFonts w:hint="eastAsia" w:ascii="楷体" w:hAnsi="楷体" w:eastAsia="楷体" w:cs="楷体"/>
          <w:sz w:val="32"/>
          <w:szCs w:val="32"/>
          <w:highlight w:val="none"/>
        </w:rPr>
      </w:pPr>
      <w:r>
        <w:rPr>
          <w:rFonts w:ascii="仿宋_GB2312" w:hAnsi="仿宋_GB2312" w:eastAsia="仿宋_GB2312" w:cs="仿宋_GB2312"/>
          <w:sz w:val="32"/>
          <w:szCs w:val="32"/>
          <w:highlight w:val="none"/>
        </w:rPr>
        <w:t>根据不同课程的性质</w:t>
      </w:r>
      <w:r>
        <w:rPr>
          <w:rFonts w:hint="eastAsia" w:ascii="仿宋_GB2312" w:hAnsi="仿宋_GB2312" w:eastAsia="仿宋_GB2312" w:cs="仿宋_GB2312"/>
          <w:sz w:val="32"/>
          <w:szCs w:val="32"/>
          <w:highlight w:val="none"/>
        </w:rPr>
        <w:t>特点</w:t>
      </w:r>
      <w:r>
        <w:rPr>
          <w:rFonts w:ascii="仿宋_GB2312" w:hAnsi="仿宋_GB2312" w:eastAsia="仿宋_GB2312" w:cs="仿宋_GB2312"/>
          <w:sz w:val="32"/>
          <w:szCs w:val="32"/>
          <w:highlight w:val="none"/>
        </w:rPr>
        <w:t>，在保留传统讲授法、演示法、讨论法、问答法、案例分析法等的基础上</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应充分利用信息化教学资源，尽量将项目驱动法、探究式教学、翻转课堂等新型教学模式及方法引入课堂，遵循“学生为主体，教师为主导”的原则，积极探索多种教学方法。</w:t>
      </w:r>
    </w:p>
    <w:p w14:paraId="0F6CEF3E">
      <w:pPr>
        <w:overflowPunct w:val="0"/>
        <w:adjustRightInd w:val="0"/>
        <w:spacing w:after="0" w:line="520"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（四）学习评价</w:t>
      </w:r>
    </w:p>
    <w:p w14:paraId="1D0C9F3C">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1.课程考核方法</w:t>
      </w:r>
    </w:p>
    <w:p w14:paraId="6ED7AEE2">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63648695">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课程成绩评定根据学生参与度、作业质量、实训效果与期末考核等项目确定不同比例进行综合评定，评定标准如下：</w:t>
      </w:r>
    </w:p>
    <w:p w14:paraId="6802CAC7">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（1）A类课程成绩构成（纯理论）</w:t>
      </w:r>
    </w:p>
    <w:p w14:paraId="46CF3F03">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课程总成绩=期末卷面考试成绩（50%）+平时成绩（50%）</w:t>
      </w:r>
    </w:p>
    <w:p w14:paraId="0785A373">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（2）B类课程成绩构成（理论+实践）</w:t>
      </w:r>
    </w:p>
    <w:p w14:paraId="3EF30E91">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课程总成绩=理论部分期末卷面考试成绩（40%）+技能成绩（30%）+平时成绩（30%）。</w:t>
      </w:r>
    </w:p>
    <w:p w14:paraId="6890D7C7">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（3）C类课程成绩构成（纯实践）</w:t>
      </w:r>
    </w:p>
    <w:p w14:paraId="24EE0910">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课程总成绩=技能成绩（50%）+平时成绩（50%）</w:t>
      </w:r>
    </w:p>
    <w:p w14:paraId="53D0E5DB">
      <w:pPr>
        <w:overflowPunct w:val="0"/>
        <w:adjustRightInd w:val="0"/>
        <w:spacing w:after="0" w:line="52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2.教学评价方式</w:t>
      </w:r>
    </w:p>
    <w:p w14:paraId="2382C5ED">
      <w:pPr>
        <w:overflowPunct w:val="0"/>
        <w:adjustRightInd w:val="0"/>
        <w:spacing w:after="0" w:line="540" w:lineRule="exact"/>
        <w:ind w:firstLine="640" w:firstLineChars="200"/>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82F9EF1">
      <w:pPr>
        <w:overflowPunct w:val="0"/>
        <w:adjustRightInd w:val="0"/>
        <w:spacing w:after="0" w:line="520" w:lineRule="exact"/>
        <w:ind w:firstLine="640" w:firstLineChars="200"/>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十一、质量保障</w:t>
      </w:r>
    </w:p>
    <w:p w14:paraId="01851FAA">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FBB7C10">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3B0E79D">
      <w:pPr>
        <w:overflowPunct w:val="0"/>
        <w:adjustRightInd w:val="0"/>
        <w:spacing w:after="0"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3.建立毕业生跟踪反馈机制及社会评价机制，并对生源情况、在校生学业水平、毕业生就业情况等进行分析，定期评价人才培养质量和培养目标达成情况。</w:t>
      </w:r>
    </w:p>
    <w:p w14:paraId="7CC38374">
      <w:pPr>
        <w:overflowPunct w:val="0"/>
        <w:adjustRightInd w:val="0"/>
        <w:spacing w:after="0" w:line="520" w:lineRule="exact"/>
        <w:ind w:firstLine="640" w:firstLineChars="200"/>
        <w:outlineLvl w:val="0"/>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rPr>
        <w:t>4.充分利用评价分析结果有效改进专业教学，持续提高人才培养质量。</w:t>
      </w:r>
    </w:p>
    <w:p w14:paraId="78A6BC8A">
      <w:pPr>
        <w:overflowPunct w:val="0"/>
        <w:adjustRightInd w:val="0"/>
        <w:spacing w:after="0" w:line="520" w:lineRule="exact"/>
        <w:ind w:firstLine="640" w:firstLineChars="200"/>
        <w:outlineLvl w:val="0"/>
        <w:rPr>
          <w:rFonts w:hint="eastAsia" w:ascii="黑体" w:hAnsi="黑体" w:eastAsia="黑体" w:cs="黑体"/>
          <w:color w:val="1D41D5"/>
          <w:sz w:val="32"/>
          <w:szCs w:val="32"/>
          <w:highlight w:val="none"/>
        </w:rPr>
      </w:pPr>
      <w:r>
        <w:rPr>
          <w:rFonts w:hint="eastAsia" w:ascii="黑体" w:hAnsi="黑体" w:eastAsia="黑体" w:cs="黑体"/>
          <w:sz w:val="32"/>
          <w:szCs w:val="32"/>
          <w:highlight w:val="none"/>
        </w:rPr>
        <w:t>十二、毕业要求</w:t>
      </w:r>
    </w:p>
    <w:p w14:paraId="62D4870E">
      <w:pPr>
        <w:numPr>
          <w:ilvl w:val="0"/>
          <w:numId w:val="2"/>
        </w:numPr>
        <w:overflowPunct w:val="0"/>
        <w:adjustRightInd w:val="0"/>
        <w:spacing w:after="0" w:line="520" w:lineRule="exact"/>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学分要求</w:t>
      </w:r>
    </w:p>
    <w:p w14:paraId="0B2F21F0">
      <w:pPr>
        <w:overflowPunct w:val="0"/>
        <w:adjustRightInd w:val="0"/>
        <w:spacing w:after="0" w:line="52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专业要求学生根据人才培养方案确定的目标和培养规格，完成规定的实习实训，全部课程考核合格且修满至少141学分。其中，必修课123学分，选修课18学分。公共必修课42学分，公共选修课8学分。专业必修课81学分，专业选修课10学分。</w:t>
      </w:r>
    </w:p>
    <w:p w14:paraId="77A56917">
      <w:pPr>
        <w:overflowPunct w:val="0"/>
        <w:adjustRightInd w:val="0"/>
        <w:spacing w:after="0" w:line="520" w:lineRule="exact"/>
        <w:ind w:firstLine="640" w:firstLineChars="200"/>
        <w:outlineLvl w:val="0"/>
        <w:rPr>
          <w:rFonts w:hint="eastAsia" w:ascii="仿宋_GB2312" w:hAnsi="仿宋_GB2312" w:eastAsia="仿宋_GB2312" w:cs="仿宋_GB2312"/>
          <w:sz w:val="32"/>
          <w:szCs w:val="32"/>
          <w:highlight w:val="none"/>
        </w:rPr>
      </w:pPr>
      <w:r>
        <w:rPr>
          <w:rFonts w:hint="eastAsia" w:ascii="楷体" w:hAnsi="楷体" w:eastAsia="楷体" w:cs="楷体"/>
          <w:sz w:val="32"/>
          <w:szCs w:val="32"/>
          <w:highlight w:val="none"/>
        </w:rPr>
        <w:t>（二）综合素质要求</w:t>
      </w:r>
    </w:p>
    <w:p w14:paraId="0F7F296D">
      <w:pPr>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ascii="仿宋_GB2312" w:hAnsi="仿宋_GB2312" w:eastAsia="仿宋_GB2312" w:cs="仿宋_GB2312"/>
          <w:sz w:val="32"/>
          <w:szCs w:val="32"/>
          <w:highlight w:val="none"/>
        </w:rPr>
        <w:t>拥护中国共产党的领导，践行社会主义核心价值观，具有坚定的理想信念和正确的世界观、人生观、价值观；具备强烈的社会责任感与家国情怀，能自觉将个人职业发展融入电子信息产业强国建设等国家战略需求，在技术研发、工程实践中坚守行业伦理与职业操守，杜绝技术滥用、信息泄露等违规行为。</w:t>
      </w:r>
    </w:p>
    <w:p w14:paraId="74C95E96">
      <w:pPr>
        <w:tabs>
          <w:tab w:val="left" w:pos="720"/>
        </w:tabs>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恪守电子信息行业职业道德规范，具备严谨务实的工作态度，在电路设计、设备调试、数据处理等工作中严格遵循技术标准与操作规范，杜绝敷衍塞责、弄虚作假；具有良好的契约精神与团队协作意识，尊重同事的劳动成果，能主动沟通协调技术分歧，保障项目高效推进；树立终身廉洁从业意识，不利用职务之便谋取不正当利益，维护行业公平竞争环境。</w:t>
      </w:r>
    </w:p>
    <w:p w14:paraId="17CB169E">
      <w:pPr>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ascii="仿宋_GB2312" w:hAnsi="仿宋_GB2312" w:eastAsia="仿宋_GB2312" w:cs="仿宋_GB2312"/>
          <w:sz w:val="32"/>
          <w:szCs w:val="32"/>
          <w:highlight w:val="none"/>
        </w:rPr>
        <w:t>系统掌握电子信息工程技术领域的专业知识与技术技能，能够从事电子设备与系统的设计、开发、调试、维护，以及通信工程、嵌入式系统等相关技术服务工作。</w:t>
      </w:r>
    </w:p>
    <w:p w14:paraId="68135A79">
      <w:pPr>
        <w:tabs>
          <w:tab w:val="left" w:pos="720"/>
        </w:tabs>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ascii="仿宋_GB2312" w:hAnsi="仿宋_GB2312" w:eastAsia="仿宋_GB2312" w:cs="仿宋_GB2312"/>
          <w:sz w:val="32"/>
          <w:szCs w:val="32"/>
          <w:highlight w:val="none"/>
        </w:rPr>
        <w:t>具备较强的就业能力和可持续发展能力，能够适应电子信息、通信、智能硬件等行业的技术发展需求。</w:t>
      </w:r>
    </w:p>
    <w:p w14:paraId="53CE7F86">
      <w:pPr>
        <w:tabs>
          <w:tab w:val="left" w:pos="720"/>
        </w:tabs>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ascii="仿宋_GB2312" w:hAnsi="仿宋_GB2312" w:eastAsia="仿宋_GB2312" w:cs="仿宋_GB2312"/>
          <w:sz w:val="32"/>
          <w:szCs w:val="32"/>
          <w:highlight w:val="none"/>
        </w:rPr>
        <w:t>能快速适应电子信息产业技术迭代快</w:t>
      </w:r>
      <w:r>
        <w:rPr>
          <w:rFonts w:hint="eastAsia" w:ascii="仿宋_GB2312" w:hAnsi="仿宋_GB2312" w:eastAsia="仿宋_GB2312" w:cs="仿宋_GB2312"/>
          <w:sz w:val="32"/>
          <w:szCs w:val="32"/>
          <w:highlight w:val="none"/>
        </w:rPr>
        <w:t>的</w:t>
      </w:r>
      <w:r>
        <w:rPr>
          <w:rFonts w:ascii="仿宋_GB2312" w:hAnsi="仿宋_GB2312" w:eastAsia="仿宋_GB2312" w:cs="仿宋_GB2312"/>
          <w:sz w:val="32"/>
          <w:szCs w:val="32"/>
          <w:highlight w:val="none"/>
        </w:rPr>
        <w:t>环境，面对技术更新能及时调整学习</w:t>
      </w:r>
      <w:r>
        <w:rPr>
          <w:rFonts w:hint="eastAsia" w:ascii="仿宋_GB2312" w:hAnsi="仿宋_GB2312" w:eastAsia="仿宋_GB2312" w:cs="仿宋_GB2312"/>
          <w:sz w:val="32"/>
          <w:szCs w:val="32"/>
          <w:highlight w:val="none"/>
        </w:rPr>
        <w:t>方法的能力</w:t>
      </w:r>
      <w:r>
        <w:rPr>
          <w:rFonts w:ascii="仿宋_GB2312" w:hAnsi="仿宋_GB2312" w:eastAsia="仿宋_GB2312" w:cs="仿宋_GB2312"/>
          <w:sz w:val="32"/>
          <w:szCs w:val="32"/>
          <w:highlight w:val="none"/>
        </w:rPr>
        <w:t>。</w:t>
      </w:r>
    </w:p>
    <w:p w14:paraId="7D038686">
      <w:pPr>
        <w:tabs>
          <w:tab w:val="left" w:pos="720"/>
        </w:tabs>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ascii="仿宋_GB2312" w:hAnsi="仿宋_GB2312" w:eastAsia="仿宋_GB2312" w:cs="仿宋_GB2312"/>
          <w:sz w:val="32"/>
          <w:szCs w:val="32"/>
          <w:highlight w:val="none"/>
        </w:rPr>
        <w:t>具有健全的身心素质，尊重劳动、热爱劳动，具备较强的团队协作、沟通表达和工程实践能力。</w:t>
      </w:r>
    </w:p>
    <w:p w14:paraId="294F4F79">
      <w:pPr>
        <w:overflowPunct w:val="0"/>
        <w:adjustRightInd w:val="0"/>
        <w:spacing w:after="0" w:line="54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w:t>
      </w:r>
      <w:r>
        <w:rPr>
          <w:rFonts w:ascii="仿宋_GB2312" w:hAnsi="仿宋_GB2312" w:eastAsia="仿宋_GB2312" w:cs="仿宋_GB2312"/>
          <w:sz w:val="32"/>
          <w:szCs w:val="32"/>
          <w:highlight w:val="none"/>
        </w:rPr>
        <w:t>积极参加社会实践、创新创业活动及相关职业能力培训，具有较强的职业综合素质和行动能力。</w:t>
      </w:r>
    </w:p>
    <w:p w14:paraId="24B616C4">
      <w:pPr>
        <w:rPr>
          <w:highlight w:val="none"/>
        </w:rPr>
      </w:pPr>
    </w:p>
    <w:p w14:paraId="6670449D">
      <w:pPr>
        <w:rPr>
          <w:highlight w:val="none"/>
        </w:rPr>
      </w:pPr>
    </w:p>
    <w:sectPr>
      <w:footerReference r:id="rId11"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1D81E8-83CA-44D3-BC6C-9F47DEE90320}"/>
  </w:font>
  <w:font w:name="Courier New">
    <w:panose1 w:val="02070309020205020404"/>
    <w:charset w:val="01"/>
    <w:family w:val="modern"/>
    <w:pitch w:val="default"/>
    <w:sig w:usb0="E0002EFF" w:usb1="C0007843" w:usb2="00000009" w:usb3="00000000" w:csb0="400001FF" w:csb1="FFFF0000"/>
    <w:embedRegular r:id="rId2" w:fontKey="{77F24E2B-45BF-4BC6-99F1-8E90A3D5C4D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E5006B7D-2AA4-4AA2-9817-C2EA5C8D893D}"/>
  </w:font>
  <w:font w:name="仿宋">
    <w:panose1 w:val="02010609060101010101"/>
    <w:charset w:val="86"/>
    <w:family w:val="modern"/>
    <w:pitch w:val="default"/>
    <w:sig w:usb0="800002BF" w:usb1="38CF7CFA" w:usb2="00000016" w:usb3="00000000" w:csb0="00040001" w:csb1="00000000"/>
    <w:embedRegular r:id="rId4" w:fontKey="{79FE436D-1FEE-4222-B3A5-FBCB727F180C}"/>
  </w:font>
  <w:font w:name="华文新魏">
    <w:panose1 w:val="02010800040101010101"/>
    <w:charset w:val="86"/>
    <w:family w:val="auto"/>
    <w:pitch w:val="default"/>
    <w:sig w:usb0="00000001" w:usb1="080F0000" w:usb2="00000000" w:usb3="00000000" w:csb0="00040000" w:csb1="00000000"/>
    <w:embedRegular r:id="rId5" w:fontKey="{499CEC27-1ACB-45F5-B5F9-74720DC8D1BC}"/>
  </w:font>
  <w:font w:name="方正小标宋简体">
    <w:panose1 w:val="03000509000000000000"/>
    <w:charset w:val="86"/>
    <w:family w:val="auto"/>
    <w:pitch w:val="default"/>
    <w:sig w:usb0="00000001" w:usb1="080E0000" w:usb2="00000000" w:usb3="00000000" w:csb0="00040000" w:csb1="00000000"/>
    <w:embedRegular r:id="rId6" w:fontKey="{F816FEF5-0A96-4110-A151-AA5A242BB0E6}"/>
  </w:font>
  <w:font w:name="仿宋GB2312">
    <w:altName w:val="仿宋"/>
    <w:panose1 w:val="00000000000000000000"/>
    <w:charset w:val="00"/>
    <w:family w:val="auto"/>
    <w:pitch w:val="default"/>
    <w:sig w:usb0="00000000" w:usb1="00000000" w:usb2="00000000" w:usb3="00000000" w:csb0="00040001" w:csb1="00000000"/>
    <w:embedRegular r:id="rId7" w:fontKey="{D488A757-23BA-4550-B32F-F90B7EE83655}"/>
  </w:font>
  <w:font w:name="楷体">
    <w:panose1 w:val="02010609060101010101"/>
    <w:charset w:val="86"/>
    <w:family w:val="modern"/>
    <w:pitch w:val="default"/>
    <w:sig w:usb0="800002BF" w:usb1="38CF7CFA" w:usb2="00000016" w:usb3="00000000" w:csb0="00040001" w:csb1="00000000"/>
    <w:embedRegular r:id="rId8" w:fontKey="{E75F56E1-30A0-4953-B042-C3C962CEE8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F07D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ABB5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31C3E">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D42B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BA0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1DBA0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45DBC">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70808">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639B8">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02F30"/>
    <w:rsid w:val="00040AF3"/>
    <w:rsid w:val="000901D7"/>
    <w:rsid w:val="00090E00"/>
    <w:rsid w:val="000A7541"/>
    <w:rsid w:val="000D42B9"/>
    <w:rsid w:val="000F43C9"/>
    <w:rsid w:val="000F532C"/>
    <w:rsid w:val="00140E97"/>
    <w:rsid w:val="0014468E"/>
    <w:rsid w:val="0015300C"/>
    <w:rsid w:val="001560BF"/>
    <w:rsid w:val="00157289"/>
    <w:rsid w:val="00164167"/>
    <w:rsid w:val="001673E5"/>
    <w:rsid w:val="00167BB1"/>
    <w:rsid w:val="001739D4"/>
    <w:rsid w:val="001A7FBE"/>
    <w:rsid w:val="001B75D9"/>
    <w:rsid w:val="001D5317"/>
    <w:rsid w:val="00247603"/>
    <w:rsid w:val="00274B46"/>
    <w:rsid w:val="00281F61"/>
    <w:rsid w:val="00283E45"/>
    <w:rsid w:val="002967A3"/>
    <w:rsid w:val="002D15C0"/>
    <w:rsid w:val="002F6210"/>
    <w:rsid w:val="003154DB"/>
    <w:rsid w:val="003531B3"/>
    <w:rsid w:val="003626A9"/>
    <w:rsid w:val="00364139"/>
    <w:rsid w:val="003D3CE4"/>
    <w:rsid w:val="003D6F5C"/>
    <w:rsid w:val="00486C88"/>
    <w:rsid w:val="004B2783"/>
    <w:rsid w:val="004C7928"/>
    <w:rsid w:val="004E303E"/>
    <w:rsid w:val="0053033E"/>
    <w:rsid w:val="005537E4"/>
    <w:rsid w:val="00560B2B"/>
    <w:rsid w:val="005645D8"/>
    <w:rsid w:val="005A2BBB"/>
    <w:rsid w:val="005B07C5"/>
    <w:rsid w:val="005C48A6"/>
    <w:rsid w:val="005D4AE4"/>
    <w:rsid w:val="00670FFE"/>
    <w:rsid w:val="00693870"/>
    <w:rsid w:val="0069423A"/>
    <w:rsid w:val="006A1AE0"/>
    <w:rsid w:val="0070568C"/>
    <w:rsid w:val="00710A7D"/>
    <w:rsid w:val="0071110E"/>
    <w:rsid w:val="007327BD"/>
    <w:rsid w:val="00803529"/>
    <w:rsid w:val="008456F2"/>
    <w:rsid w:val="00854CA2"/>
    <w:rsid w:val="00935CCF"/>
    <w:rsid w:val="0094282D"/>
    <w:rsid w:val="00953779"/>
    <w:rsid w:val="00956BF1"/>
    <w:rsid w:val="009A4A8A"/>
    <w:rsid w:val="009D3B97"/>
    <w:rsid w:val="009E2610"/>
    <w:rsid w:val="009E69B8"/>
    <w:rsid w:val="00A12741"/>
    <w:rsid w:val="00A165B0"/>
    <w:rsid w:val="00A23811"/>
    <w:rsid w:val="00A37F09"/>
    <w:rsid w:val="00A6643F"/>
    <w:rsid w:val="00A94EA5"/>
    <w:rsid w:val="00AB71CC"/>
    <w:rsid w:val="00B14C0C"/>
    <w:rsid w:val="00B31565"/>
    <w:rsid w:val="00B33F3E"/>
    <w:rsid w:val="00B34A30"/>
    <w:rsid w:val="00B35CAC"/>
    <w:rsid w:val="00B46AB6"/>
    <w:rsid w:val="00B50B5F"/>
    <w:rsid w:val="00B82CF0"/>
    <w:rsid w:val="00B874F3"/>
    <w:rsid w:val="00B91791"/>
    <w:rsid w:val="00B970CD"/>
    <w:rsid w:val="00C3446C"/>
    <w:rsid w:val="00C4271B"/>
    <w:rsid w:val="00C8702A"/>
    <w:rsid w:val="00CB4E41"/>
    <w:rsid w:val="00CD6B5C"/>
    <w:rsid w:val="00CE0D4A"/>
    <w:rsid w:val="00CF225A"/>
    <w:rsid w:val="00D03D56"/>
    <w:rsid w:val="00D157C2"/>
    <w:rsid w:val="00D24E32"/>
    <w:rsid w:val="00DA56FE"/>
    <w:rsid w:val="00DE4E52"/>
    <w:rsid w:val="00DE7650"/>
    <w:rsid w:val="00E06358"/>
    <w:rsid w:val="00E147DA"/>
    <w:rsid w:val="00E2700A"/>
    <w:rsid w:val="00E35BB5"/>
    <w:rsid w:val="00E372DA"/>
    <w:rsid w:val="00E424FB"/>
    <w:rsid w:val="00E4687F"/>
    <w:rsid w:val="00E57DE6"/>
    <w:rsid w:val="00E641E9"/>
    <w:rsid w:val="00E66C91"/>
    <w:rsid w:val="00E90F67"/>
    <w:rsid w:val="00EB2C0A"/>
    <w:rsid w:val="00EC1190"/>
    <w:rsid w:val="00ED3BD8"/>
    <w:rsid w:val="00F143A8"/>
    <w:rsid w:val="00F502CB"/>
    <w:rsid w:val="00F52A8D"/>
    <w:rsid w:val="00F63617"/>
    <w:rsid w:val="00F65B93"/>
    <w:rsid w:val="00F82685"/>
    <w:rsid w:val="00F94BE9"/>
    <w:rsid w:val="00FA77F6"/>
    <w:rsid w:val="00FB052B"/>
    <w:rsid w:val="00FF66DF"/>
    <w:rsid w:val="01514167"/>
    <w:rsid w:val="01786F4B"/>
    <w:rsid w:val="01AA3877"/>
    <w:rsid w:val="02661E94"/>
    <w:rsid w:val="028C28FC"/>
    <w:rsid w:val="02CD5374"/>
    <w:rsid w:val="03304250"/>
    <w:rsid w:val="033F3BC2"/>
    <w:rsid w:val="03A07894"/>
    <w:rsid w:val="048C3708"/>
    <w:rsid w:val="04BC3FEE"/>
    <w:rsid w:val="051223C4"/>
    <w:rsid w:val="05BB2B23"/>
    <w:rsid w:val="062E0F1B"/>
    <w:rsid w:val="06471FDD"/>
    <w:rsid w:val="06C90C44"/>
    <w:rsid w:val="070954E4"/>
    <w:rsid w:val="07322345"/>
    <w:rsid w:val="07575449"/>
    <w:rsid w:val="082F2519"/>
    <w:rsid w:val="084C7436"/>
    <w:rsid w:val="08DA7138"/>
    <w:rsid w:val="08F70DAF"/>
    <w:rsid w:val="09075A53"/>
    <w:rsid w:val="094D790A"/>
    <w:rsid w:val="095347F5"/>
    <w:rsid w:val="09CB082F"/>
    <w:rsid w:val="09D45935"/>
    <w:rsid w:val="0A1E4E03"/>
    <w:rsid w:val="0A634F0B"/>
    <w:rsid w:val="0A6F7242"/>
    <w:rsid w:val="0AC91212"/>
    <w:rsid w:val="0AF43DC1"/>
    <w:rsid w:val="0AFF69E2"/>
    <w:rsid w:val="0B64718D"/>
    <w:rsid w:val="0B9E269F"/>
    <w:rsid w:val="0BB80379"/>
    <w:rsid w:val="0BB93035"/>
    <w:rsid w:val="0C0A3BA0"/>
    <w:rsid w:val="0CE642FD"/>
    <w:rsid w:val="0D3000CB"/>
    <w:rsid w:val="0D886CD1"/>
    <w:rsid w:val="0DE924A0"/>
    <w:rsid w:val="0E2350DD"/>
    <w:rsid w:val="0E4C48B2"/>
    <w:rsid w:val="0E5E6115"/>
    <w:rsid w:val="0ED4462A"/>
    <w:rsid w:val="0F386966"/>
    <w:rsid w:val="0FA47B58"/>
    <w:rsid w:val="0FA67D74"/>
    <w:rsid w:val="0FD20B69"/>
    <w:rsid w:val="0FE4089C"/>
    <w:rsid w:val="10093E5F"/>
    <w:rsid w:val="10152804"/>
    <w:rsid w:val="10234F21"/>
    <w:rsid w:val="102805D1"/>
    <w:rsid w:val="10914580"/>
    <w:rsid w:val="10EE36A0"/>
    <w:rsid w:val="116752E1"/>
    <w:rsid w:val="12485112"/>
    <w:rsid w:val="127F665A"/>
    <w:rsid w:val="12DC3AAD"/>
    <w:rsid w:val="12F708E7"/>
    <w:rsid w:val="13203999"/>
    <w:rsid w:val="135C5E82"/>
    <w:rsid w:val="139B5716"/>
    <w:rsid w:val="13F454F6"/>
    <w:rsid w:val="14A800EA"/>
    <w:rsid w:val="14F21F80"/>
    <w:rsid w:val="15001CD4"/>
    <w:rsid w:val="150317C5"/>
    <w:rsid w:val="15202377"/>
    <w:rsid w:val="15542020"/>
    <w:rsid w:val="162946FE"/>
    <w:rsid w:val="165F0C7D"/>
    <w:rsid w:val="1699418F"/>
    <w:rsid w:val="16995FBA"/>
    <w:rsid w:val="16A42B33"/>
    <w:rsid w:val="16DC051F"/>
    <w:rsid w:val="16E11CBB"/>
    <w:rsid w:val="16F14660"/>
    <w:rsid w:val="170B4961"/>
    <w:rsid w:val="1740285C"/>
    <w:rsid w:val="1749510D"/>
    <w:rsid w:val="17586CB5"/>
    <w:rsid w:val="17736D63"/>
    <w:rsid w:val="1796247C"/>
    <w:rsid w:val="17D66388"/>
    <w:rsid w:val="18CB084B"/>
    <w:rsid w:val="19481E9C"/>
    <w:rsid w:val="19AF3CC9"/>
    <w:rsid w:val="1AE45BF4"/>
    <w:rsid w:val="1B8F7123"/>
    <w:rsid w:val="1BAE7956"/>
    <w:rsid w:val="1BCC19A4"/>
    <w:rsid w:val="1BF93A5C"/>
    <w:rsid w:val="1C1D1E98"/>
    <w:rsid w:val="1C27223D"/>
    <w:rsid w:val="1C6F14EE"/>
    <w:rsid w:val="1CB25FAA"/>
    <w:rsid w:val="1D0377EB"/>
    <w:rsid w:val="1D24677C"/>
    <w:rsid w:val="1DD51824"/>
    <w:rsid w:val="1E4B3DFE"/>
    <w:rsid w:val="1E91399D"/>
    <w:rsid w:val="1EA77665"/>
    <w:rsid w:val="1ECC6B87"/>
    <w:rsid w:val="1F3A7811"/>
    <w:rsid w:val="1F5350F7"/>
    <w:rsid w:val="1FB17C46"/>
    <w:rsid w:val="1FB21E1D"/>
    <w:rsid w:val="1FBC2C9C"/>
    <w:rsid w:val="207417C9"/>
    <w:rsid w:val="20AA343C"/>
    <w:rsid w:val="20BE4D41"/>
    <w:rsid w:val="20E56222"/>
    <w:rsid w:val="210E0F0E"/>
    <w:rsid w:val="2170143C"/>
    <w:rsid w:val="21EA757A"/>
    <w:rsid w:val="21EB3D26"/>
    <w:rsid w:val="22123047"/>
    <w:rsid w:val="223461B5"/>
    <w:rsid w:val="225B3C20"/>
    <w:rsid w:val="22967FAA"/>
    <w:rsid w:val="22A00653"/>
    <w:rsid w:val="2338088B"/>
    <w:rsid w:val="236773C3"/>
    <w:rsid w:val="237D0994"/>
    <w:rsid w:val="23954DD6"/>
    <w:rsid w:val="23D42CAA"/>
    <w:rsid w:val="24247245"/>
    <w:rsid w:val="249D12EE"/>
    <w:rsid w:val="24E76143"/>
    <w:rsid w:val="24F353B2"/>
    <w:rsid w:val="267A11BB"/>
    <w:rsid w:val="26C903FA"/>
    <w:rsid w:val="27075144"/>
    <w:rsid w:val="27441EF5"/>
    <w:rsid w:val="2766043B"/>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E964A53"/>
    <w:rsid w:val="2F083808"/>
    <w:rsid w:val="2F34284F"/>
    <w:rsid w:val="2F436F36"/>
    <w:rsid w:val="2F6E19DD"/>
    <w:rsid w:val="2F7A2E0A"/>
    <w:rsid w:val="2F8D1F5F"/>
    <w:rsid w:val="2FA96B3D"/>
    <w:rsid w:val="2FD933F6"/>
    <w:rsid w:val="300A54AA"/>
    <w:rsid w:val="30A6152A"/>
    <w:rsid w:val="30A77050"/>
    <w:rsid w:val="30DC27D6"/>
    <w:rsid w:val="3115220C"/>
    <w:rsid w:val="31342FDA"/>
    <w:rsid w:val="318A49A8"/>
    <w:rsid w:val="31A83FF1"/>
    <w:rsid w:val="31AA329C"/>
    <w:rsid w:val="31D2634F"/>
    <w:rsid w:val="321D581C"/>
    <w:rsid w:val="32CC7DBB"/>
    <w:rsid w:val="32F32A21"/>
    <w:rsid w:val="32F92E4C"/>
    <w:rsid w:val="32FA3DAF"/>
    <w:rsid w:val="33260700"/>
    <w:rsid w:val="33266952"/>
    <w:rsid w:val="3344087C"/>
    <w:rsid w:val="33AE06F6"/>
    <w:rsid w:val="33B93C14"/>
    <w:rsid w:val="348B3F97"/>
    <w:rsid w:val="34B65AB4"/>
    <w:rsid w:val="34C46423"/>
    <w:rsid w:val="34EA50C0"/>
    <w:rsid w:val="357449D1"/>
    <w:rsid w:val="35E93C67"/>
    <w:rsid w:val="364315C9"/>
    <w:rsid w:val="3664376E"/>
    <w:rsid w:val="36657792"/>
    <w:rsid w:val="36EB3347"/>
    <w:rsid w:val="370E7E29"/>
    <w:rsid w:val="372143DF"/>
    <w:rsid w:val="375C4DCB"/>
    <w:rsid w:val="376B0DD8"/>
    <w:rsid w:val="3770165B"/>
    <w:rsid w:val="37960DB8"/>
    <w:rsid w:val="37AD2573"/>
    <w:rsid w:val="381153F4"/>
    <w:rsid w:val="38481119"/>
    <w:rsid w:val="38877EE4"/>
    <w:rsid w:val="38C22C79"/>
    <w:rsid w:val="39372651"/>
    <w:rsid w:val="399637AE"/>
    <w:rsid w:val="39A700C1"/>
    <w:rsid w:val="3A451367"/>
    <w:rsid w:val="3A60099C"/>
    <w:rsid w:val="3A7A7584"/>
    <w:rsid w:val="3AB37BA7"/>
    <w:rsid w:val="3AEA4709"/>
    <w:rsid w:val="3B4007CD"/>
    <w:rsid w:val="3C17152E"/>
    <w:rsid w:val="3CBE19AA"/>
    <w:rsid w:val="3D0047E4"/>
    <w:rsid w:val="3D734D9A"/>
    <w:rsid w:val="3D766728"/>
    <w:rsid w:val="3D9F7A2D"/>
    <w:rsid w:val="3E4D7489"/>
    <w:rsid w:val="3E725142"/>
    <w:rsid w:val="3EB92D70"/>
    <w:rsid w:val="3F6A4DBB"/>
    <w:rsid w:val="3F785DC7"/>
    <w:rsid w:val="3FF86C17"/>
    <w:rsid w:val="3FFC1167"/>
    <w:rsid w:val="40077B0C"/>
    <w:rsid w:val="404B55C6"/>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1E0092C"/>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EE10DD"/>
    <w:rsid w:val="46F661E4"/>
    <w:rsid w:val="47103740"/>
    <w:rsid w:val="47110F22"/>
    <w:rsid w:val="471C3E9C"/>
    <w:rsid w:val="47373A2A"/>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CD248F3"/>
    <w:rsid w:val="4D135D42"/>
    <w:rsid w:val="4D1473C4"/>
    <w:rsid w:val="4E514358"/>
    <w:rsid w:val="4E5C7274"/>
    <w:rsid w:val="4F585C8E"/>
    <w:rsid w:val="4F6B3C13"/>
    <w:rsid w:val="4F7D56F4"/>
    <w:rsid w:val="5096468A"/>
    <w:rsid w:val="509C4C8B"/>
    <w:rsid w:val="5135219E"/>
    <w:rsid w:val="51C30881"/>
    <w:rsid w:val="51D535C6"/>
    <w:rsid w:val="51FE1E87"/>
    <w:rsid w:val="522105B9"/>
    <w:rsid w:val="5259656B"/>
    <w:rsid w:val="535B634F"/>
    <w:rsid w:val="53807561"/>
    <w:rsid w:val="53840D8C"/>
    <w:rsid w:val="53BB2781"/>
    <w:rsid w:val="53C71634"/>
    <w:rsid w:val="542919A7"/>
    <w:rsid w:val="54DE4B45"/>
    <w:rsid w:val="55D87B28"/>
    <w:rsid w:val="56397652"/>
    <w:rsid w:val="565C2507"/>
    <w:rsid w:val="566118CC"/>
    <w:rsid w:val="56A23A63"/>
    <w:rsid w:val="56F95FA8"/>
    <w:rsid w:val="572D5C52"/>
    <w:rsid w:val="57EA6643"/>
    <w:rsid w:val="58337298"/>
    <w:rsid w:val="5837393C"/>
    <w:rsid w:val="58554E43"/>
    <w:rsid w:val="58680DC2"/>
    <w:rsid w:val="588673C8"/>
    <w:rsid w:val="58E02A3F"/>
    <w:rsid w:val="5900361E"/>
    <w:rsid w:val="592F7A5F"/>
    <w:rsid w:val="59345076"/>
    <w:rsid w:val="59575208"/>
    <w:rsid w:val="595C12A3"/>
    <w:rsid w:val="5996188C"/>
    <w:rsid w:val="59C77C98"/>
    <w:rsid w:val="59DE1485"/>
    <w:rsid w:val="5A201853"/>
    <w:rsid w:val="5A53502F"/>
    <w:rsid w:val="5A9F0C15"/>
    <w:rsid w:val="5AD36B10"/>
    <w:rsid w:val="5AE64A95"/>
    <w:rsid w:val="5B137EF8"/>
    <w:rsid w:val="5B161F17"/>
    <w:rsid w:val="5B1F1DFE"/>
    <w:rsid w:val="5B322D65"/>
    <w:rsid w:val="5BBC75A4"/>
    <w:rsid w:val="5BCC4E68"/>
    <w:rsid w:val="5C0E6052"/>
    <w:rsid w:val="5C38700F"/>
    <w:rsid w:val="5C413F9A"/>
    <w:rsid w:val="5C4E644E"/>
    <w:rsid w:val="5C606182"/>
    <w:rsid w:val="5C8C341B"/>
    <w:rsid w:val="5C9B365E"/>
    <w:rsid w:val="5CD1707F"/>
    <w:rsid w:val="5D01298C"/>
    <w:rsid w:val="5D206DB4"/>
    <w:rsid w:val="5D292A17"/>
    <w:rsid w:val="5D9A7191"/>
    <w:rsid w:val="5DE00290"/>
    <w:rsid w:val="5E043D85"/>
    <w:rsid w:val="5E510503"/>
    <w:rsid w:val="5E7540E3"/>
    <w:rsid w:val="5E8B1BDC"/>
    <w:rsid w:val="5E93321A"/>
    <w:rsid w:val="5E9B7945"/>
    <w:rsid w:val="5EBD5B0D"/>
    <w:rsid w:val="5F07293D"/>
    <w:rsid w:val="5F1B4F3C"/>
    <w:rsid w:val="5F2B6F1B"/>
    <w:rsid w:val="5F335DCF"/>
    <w:rsid w:val="5F355650"/>
    <w:rsid w:val="5F475456"/>
    <w:rsid w:val="5F4C0C3F"/>
    <w:rsid w:val="5FC058B5"/>
    <w:rsid w:val="5FE1582B"/>
    <w:rsid w:val="5FF23595"/>
    <w:rsid w:val="5FF437B1"/>
    <w:rsid w:val="601C4AB5"/>
    <w:rsid w:val="608D150F"/>
    <w:rsid w:val="609974BD"/>
    <w:rsid w:val="60B634D7"/>
    <w:rsid w:val="610A1E54"/>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3FB70A4"/>
    <w:rsid w:val="64025D70"/>
    <w:rsid w:val="642B6F83"/>
    <w:rsid w:val="643017E4"/>
    <w:rsid w:val="644840CB"/>
    <w:rsid w:val="64966BE4"/>
    <w:rsid w:val="65165F77"/>
    <w:rsid w:val="65615923"/>
    <w:rsid w:val="65FE0EE5"/>
    <w:rsid w:val="663F14FE"/>
    <w:rsid w:val="66707909"/>
    <w:rsid w:val="66B141AA"/>
    <w:rsid w:val="67470A9D"/>
    <w:rsid w:val="6773145F"/>
    <w:rsid w:val="67732A12"/>
    <w:rsid w:val="67B90B06"/>
    <w:rsid w:val="67FA56DC"/>
    <w:rsid w:val="681A3FD0"/>
    <w:rsid w:val="686A24B5"/>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E0C43BB"/>
    <w:rsid w:val="6EF07839"/>
    <w:rsid w:val="6F2F65B3"/>
    <w:rsid w:val="6FC4358D"/>
    <w:rsid w:val="6FF128C8"/>
    <w:rsid w:val="6FF60E7F"/>
    <w:rsid w:val="713C6D66"/>
    <w:rsid w:val="71DD2CB4"/>
    <w:rsid w:val="72011973"/>
    <w:rsid w:val="72563E57"/>
    <w:rsid w:val="72BE34B2"/>
    <w:rsid w:val="72DA6836"/>
    <w:rsid w:val="72F21DD2"/>
    <w:rsid w:val="72FF629D"/>
    <w:rsid w:val="730022F6"/>
    <w:rsid w:val="732301DD"/>
    <w:rsid w:val="732950C8"/>
    <w:rsid w:val="735E76C4"/>
    <w:rsid w:val="73A405A9"/>
    <w:rsid w:val="73C60B68"/>
    <w:rsid w:val="73FD2CDB"/>
    <w:rsid w:val="74024296"/>
    <w:rsid w:val="74185868"/>
    <w:rsid w:val="741F53DF"/>
    <w:rsid w:val="742510D0"/>
    <w:rsid w:val="74257F85"/>
    <w:rsid w:val="744F0B5E"/>
    <w:rsid w:val="749A44CF"/>
    <w:rsid w:val="74F55BA9"/>
    <w:rsid w:val="74F6722B"/>
    <w:rsid w:val="751A53DD"/>
    <w:rsid w:val="75504B8E"/>
    <w:rsid w:val="76191423"/>
    <w:rsid w:val="76326989"/>
    <w:rsid w:val="76562678"/>
    <w:rsid w:val="76F35EB8"/>
    <w:rsid w:val="7718792D"/>
    <w:rsid w:val="77D965A0"/>
    <w:rsid w:val="77FC484A"/>
    <w:rsid w:val="782C5979"/>
    <w:rsid w:val="7847671C"/>
    <w:rsid w:val="789254BD"/>
    <w:rsid w:val="79002D6F"/>
    <w:rsid w:val="791660EE"/>
    <w:rsid w:val="79751DE3"/>
    <w:rsid w:val="79D54648"/>
    <w:rsid w:val="7A1E674C"/>
    <w:rsid w:val="7B821819"/>
    <w:rsid w:val="7BAC4AE8"/>
    <w:rsid w:val="7C2D487B"/>
    <w:rsid w:val="7C9C690A"/>
    <w:rsid w:val="7D1172F8"/>
    <w:rsid w:val="7D7B6E68"/>
    <w:rsid w:val="7DAC0DCF"/>
    <w:rsid w:val="7DFA4230"/>
    <w:rsid w:val="7E372159"/>
    <w:rsid w:val="7EAF501B"/>
    <w:rsid w:val="7EB95CB1"/>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FollowedHyperlink"/>
    <w:basedOn w:val="9"/>
    <w:unhideWhenUsed/>
    <w:qFormat/>
    <w:uiPriority w:val="99"/>
    <w:rPr>
      <w:color w:val="800080"/>
      <w:u w:val="single"/>
    </w:rPr>
  </w:style>
  <w:style w:type="character" w:styleId="12">
    <w:name w:val="Hyperlink"/>
    <w:basedOn w:val="9"/>
    <w:qFormat/>
    <w:uiPriority w:val="99"/>
    <w:rPr>
      <w:color w:val="0000FF"/>
      <w:u w:val="single"/>
    </w:rPr>
  </w:style>
  <w:style w:type="paragraph" w:customStyle="1" w:styleId="13">
    <w:name w:val="Table Text"/>
    <w:basedOn w:val="1"/>
    <w:semiHidden/>
    <w:qFormat/>
    <w:uiPriority w:val="0"/>
    <w:rPr>
      <w:rFonts w:ascii="宋体" w:hAnsi="宋体" w:cs="宋体"/>
      <w:sz w:val="18"/>
      <w:szCs w:val="18"/>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font51"/>
    <w:basedOn w:val="9"/>
    <w:qFormat/>
    <w:uiPriority w:val="0"/>
    <w:rPr>
      <w:rFonts w:hint="eastAsia" w:ascii="宋体" w:hAnsi="宋体" w:eastAsia="宋体" w:cs="宋体"/>
      <w:color w:val="000000"/>
      <w:sz w:val="22"/>
      <w:szCs w:val="22"/>
      <w:u w:val="none"/>
    </w:rPr>
  </w:style>
  <w:style w:type="character" w:customStyle="1" w:styleId="16">
    <w:name w:val="font101"/>
    <w:basedOn w:val="9"/>
    <w:qFormat/>
    <w:uiPriority w:val="0"/>
    <w:rPr>
      <w:rFonts w:hint="eastAsia" w:ascii="仿宋_GB2312" w:eastAsia="仿宋_GB2312" w:cs="仿宋_GB2312"/>
      <w:color w:val="000000"/>
      <w:sz w:val="24"/>
      <w:szCs w:val="24"/>
      <w:u w:val="none"/>
    </w:rPr>
  </w:style>
  <w:style w:type="character" w:customStyle="1" w:styleId="17">
    <w:name w:val="font91"/>
    <w:basedOn w:val="9"/>
    <w:qFormat/>
    <w:uiPriority w:val="0"/>
    <w:rPr>
      <w:rFonts w:hint="default" w:ascii="Times New Roman" w:hAnsi="Times New Roman" w:cs="Times New Roman"/>
      <w:color w:val="000000"/>
      <w:sz w:val="24"/>
      <w:szCs w:val="24"/>
      <w:u w:val="none"/>
    </w:rPr>
  </w:style>
  <w:style w:type="character" w:customStyle="1" w:styleId="18">
    <w:name w:val="font01"/>
    <w:basedOn w:val="9"/>
    <w:qFormat/>
    <w:uiPriority w:val="0"/>
    <w:rPr>
      <w:rFonts w:hint="eastAsia" w:ascii="宋体" w:hAnsi="宋体" w:eastAsia="宋体" w:cs="宋体"/>
      <w:color w:val="000000"/>
      <w:sz w:val="22"/>
      <w:szCs w:val="22"/>
      <w:u w:val="none"/>
    </w:rPr>
  </w:style>
  <w:style w:type="character" w:customStyle="1" w:styleId="19">
    <w:name w:val="font21"/>
    <w:basedOn w:val="9"/>
    <w:qFormat/>
    <w:uiPriority w:val="0"/>
    <w:rPr>
      <w:rFonts w:hint="eastAsia" w:ascii="宋体" w:hAnsi="宋体" w:eastAsia="宋体" w:cs="宋体"/>
      <w:color w:val="000000"/>
      <w:sz w:val="18"/>
      <w:szCs w:val="18"/>
      <w:u w:val="none"/>
    </w:rPr>
  </w:style>
  <w:style w:type="character" w:customStyle="1" w:styleId="20">
    <w:name w:val="font11"/>
    <w:basedOn w:val="9"/>
    <w:qFormat/>
    <w:uiPriority w:val="0"/>
    <w:rPr>
      <w:rFonts w:hint="eastAsia" w:ascii="宋体" w:hAnsi="宋体" w:eastAsia="宋体" w:cs="宋体"/>
      <w:color w:val="000000"/>
      <w:sz w:val="18"/>
      <w:szCs w:val="18"/>
      <w:u w:val="none"/>
    </w:rPr>
  </w:style>
  <w:style w:type="paragraph" w:customStyle="1" w:styleId="21">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font5"/>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3">
    <w:name w:val="xl65"/>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customStyle="1" w:styleId="2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2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8"/>
      <w:szCs w:val="18"/>
    </w:rPr>
  </w:style>
  <w:style w:type="paragraph" w:customStyle="1" w:styleId="29">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30">
    <w:name w:val="xl72"/>
    <w:basedOn w:val="1"/>
    <w:qFormat/>
    <w:uiPriority w:val="0"/>
    <w:pPr>
      <w:widowControl/>
      <w:pBdr>
        <w:top w:val="single" w:color="auto" w:sz="4" w:space="0"/>
        <w:left w:val="single" w:color="000000"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3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3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6"/>
      <w:szCs w:val="16"/>
    </w:rPr>
  </w:style>
  <w:style w:type="paragraph" w:customStyle="1" w:styleId="3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Cs w:val="21"/>
    </w:rPr>
  </w:style>
  <w:style w:type="paragraph" w:customStyle="1" w:styleId="3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35">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36">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4"/>
    </w:rPr>
  </w:style>
  <w:style w:type="paragraph" w:customStyle="1" w:styleId="37">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6"/>
      <w:szCs w:val="16"/>
    </w:rPr>
  </w:style>
  <w:style w:type="paragraph" w:customStyle="1" w:styleId="38">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Cs w:val="21"/>
    </w:rPr>
  </w:style>
  <w:style w:type="paragraph" w:customStyle="1" w:styleId="39">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4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41">
    <w:name w:val="xl83"/>
    <w:basedOn w:val="1"/>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color w:val="000000"/>
      <w:kern w:val="0"/>
      <w:sz w:val="18"/>
      <w:szCs w:val="18"/>
    </w:rPr>
  </w:style>
  <w:style w:type="paragraph" w:customStyle="1" w:styleId="42">
    <w:name w:val="xl8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43">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4">
    <w:name w:val="xl86"/>
    <w:basedOn w:val="1"/>
    <w:qFormat/>
    <w:uiPriority w:val="0"/>
    <w:pPr>
      <w:widowControl/>
      <w:pBdr>
        <w:bottom w:val="single" w:color="000000" w:sz="8" w:space="0"/>
      </w:pBdr>
      <w:spacing w:before="100" w:beforeAutospacing="1" w:after="100" w:afterAutospacing="1"/>
      <w:jc w:val="center"/>
    </w:pPr>
    <w:rPr>
      <w:color w:val="000000"/>
      <w:kern w:val="0"/>
      <w:sz w:val="18"/>
      <w:szCs w:val="18"/>
    </w:rPr>
  </w:style>
  <w:style w:type="paragraph" w:customStyle="1" w:styleId="45">
    <w:name w:val="xl8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6">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7">
    <w:name w:val="xl89"/>
    <w:basedOn w:val="1"/>
    <w:qFormat/>
    <w:uiPriority w:val="0"/>
    <w:pPr>
      <w:widowControl/>
      <w:pBdr>
        <w:bottom w:val="single" w:color="000000" w:sz="8" w:space="0"/>
        <w:right w:val="single" w:color="000000" w:sz="8" w:space="0"/>
      </w:pBdr>
      <w:spacing w:before="100" w:beforeAutospacing="1" w:after="100" w:afterAutospacing="1"/>
      <w:jc w:val="center"/>
    </w:pPr>
    <w:rPr>
      <w:color w:val="000000"/>
      <w:kern w:val="0"/>
      <w:sz w:val="18"/>
      <w:szCs w:val="18"/>
    </w:rPr>
  </w:style>
  <w:style w:type="paragraph" w:customStyle="1" w:styleId="48">
    <w:name w:val="xl9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49">
    <w:name w:val="xl91"/>
    <w:basedOn w:val="1"/>
    <w:qFormat/>
    <w:uiPriority w:val="0"/>
    <w:pPr>
      <w:widowControl/>
      <w:pBdr>
        <w:bottom w:val="single" w:color="auto" w:sz="8" w:space="0"/>
      </w:pBdr>
      <w:spacing w:before="100" w:beforeAutospacing="1" w:after="100" w:afterAutospacing="1"/>
      <w:jc w:val="center"/>
    </w:pPr>
    <w:rPr>
      <w:rFonts w:ascii="宋体" w:hAnsi="宋体" w:cs="宋体"/>
      <w:color w:val="000000"/>
      <w:kern w:val="0"/>
      <w:sz w:val="18"/>
      <w:szCs w:val="18"/>
    </w:rPr>
  </w:style>
  <w:style w:type="paragraph" w:customStyle="1" w:styleId="50">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18"/>
      <w:szCs w:val="18"/>
    </w:rPr>
  </w:style>
  <w:style w:type="paragraph" w:customStyle="1" w:styleId="51">
    <w:name w:val="xl93"/>
    <w:basedOn w:val="1"/>
    <w:qFormat/>
    <w:uiPriority w:val="0"/>
    <w:pPr>
      <w:widowControl/>
      <w:pBdr>
        <w:top w:val="single" w:color="000000" w:sz="8" w:space="0"/>
        <w:bottom w:val="single" w:color="000000" w:sz="8" w:space="0"/>
      </w:pBdr>
      <w:spacing w:before="100" w:beforeAutospacing="1" w:after="100" w:afterAutospacing="1"/>
      <w:jc w:val="center"/>
    </w:pPr>
    <w:rPr>
      <w:color w:val="000000"/>
      <w:kern w:val="0"/>
      <w:sz w:val="18"/>
      <w:szCs w:val="18"/>
    </w:rPr>
  </w:style>
  <w:style w:type="paragraph" w:customStyle="1" w:styleId="52">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53">
    <w:name w:val="xl95"/>
    <w:basedOn w:val="1"/>
    <w:qFormat/>
    <w:uiPriority w:val="0"/>
    <w:pPr>
      <w:widowControl/>
      <w:pBdr>
        <w:left w:val="single" w:color="000000" w:sz="4" w:space="0"/>
        <w:bottom w:val="single" w:color="000000" w:sz="4" w:space="0"/>
      </w:pBdr>
      <w:spacing w:before="100" w:beforeAutospacing="1" w:after="100" w:afterAutospacing="1"/>
      <w:jc w:val="center"/>
    </w:pPr>
    <w:rPr>
      <w:rFonts w:ascii="宋体" w:hAnsi="宋体" w:cs="宋体"/>
      <w:kern w:val="0"/>
      <w:sz w:val="22"/>
      <w:szCs w:val="22"/>
    </w:rPr>
  </w:style>
  <w:style w:type="paragraph" w:customStyle="1" w:styleId="54">
    <w:name w:val="xl9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5">
    <w:name w:val="xl97"/>
    <w:basedOn w:val="1"/>
    <w:qFormat/>
    <w:uiPriority w:val="0"/>
    <w:pPr>
      <w:widowControl/>
      <w:pBdr>
        <w:bottom w:val="single" w:color="000000" w:sz="8" w:space="0"/>
      </w:pBdr>
      <w:spacing w:before="100" w:beforeAutospacing="1" w:after="100" w:afterAutospacing="1"/>
      <w:jc w:val="center"/>
    </w:pPr>
    <w:rPr>
      <w:color w:val="000000"/>
      <w:kern w:val="0"/>
      <w:sz w:val="18"/>
      <w:szCs w:val="18"/>
    </w:rPr>
  </w:style>
  <w:style w:type="paragraph" w:customStyle="1" w:styleId="56">
    <w:name w:val="xl9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22"/>
      <w:szCs w:val="22"/>
    </w:rPr>
  </w:style>
  <w:style w:type="paragraph" w:customStyle="1" w:styleId="57">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8">
    <w:name w:val="xl10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22"/>
      <w:szCs w:val="22"/>
    </w:rPr>
  </w:style>
  <w:style w:type="paragraph" w:customStyle="1" w:styleId="59">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60">
    <w:name w:val="xl10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1">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62">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Cs w:val="21"/>
    </w:rPr>
  </w:style>
  <w:style w:type="paragraph" w:customStyle="1" w:styleId="63">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64">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65">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6">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67">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68">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2"/>
      <w:szCs w:val="22"/>
    </w:rPr>
  </w:style>
  <w:style w:type="paragraph" w:customStyle="1" w:styleId="6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70">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18"/>
      <w:szCs w:val="18"/>
    </w:rPr>
  </w:style>
  <w:style w:type="paragraph" w:customStyle="1" w:styleId="71">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72">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73">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74">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75">
    <w:name w:val="xl11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6">
    <w:name w:val="xl11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77">
    <w:name w:val="xl11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78">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79">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0">
    <w:name w:val="xl12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1">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2">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83">
    <w:name w:val="xl12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4">
    <w:name w:val="xl12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5">
    <w:name w:val="xl1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86">
    <w:name w:val="xl128"/>
    <w:basedOn w:val="1"/>
    <w:qFormat/>
    <w:uiPriority w:val="0"/>
    <w:pPr>
      <w:widowControl/>
      <w:pBdr>
        <w:top w:val="single" w:color="auto" w:sz="4" w:space="0"/>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87">
    <w:name w:val="xl129"/>
    <w:basedOn w:val="1"/>
    <w:qFormat/>
    <w:uiPriority w:val="0"/>
    <w:pPr>
      <w:widowControl/>
      <w:pBdr>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88">
    <w:name w:val="xl13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89">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90">
    <w:name w:val="xl132"/>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91">
    <w:name w:val="xl133"/>
    <w:basedOn w:val="1"/>
    <w:qFormat/>
    <w:uiPriority w:val="0"/>
    <w:pPr>
      <w:widowControl/>
      <w:pBdr>
        <w:lef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92">
    <w:name w:val="xl134"/>
    <w:basedOn w:val="1"/>
    <w:qFormat/>
    <w:uiPriority w:val="0"/>
    <w:pPr>
      <w:widowControl/>
      <w:pBdr>
        <w:right w:val="single" w:color="000000" w:sz="4" w:space="0"/>
      </w:pBdr>
      <w:spacing w:before="100" w:beforeAutospacing="1" w:after="100" w:afterAutospacing="1"/>
      <w:jc w:val="center"/>
    </w:pPr>
    <w:rPr>
      <w:rFonts w:ascii="宋体" w:hAnsi="宋体" w:cs="宋体"/>
      <w:b/>
      <w:bCs/>
      <w:color w:val="000000"/>
      <w:kern w:val="0"/>
      <w:szCs w:val="21"/>
    </w:rPr>
  </w:style>
  <w:style w:type="paragraph" w:customStyle="1" w:styleId="93">
    <w:name w:val="xl135"/>
    <w:basedOn w:val="1"/>
    <w:qFormat/>
    <w:uiPriority w:val="0"/>
    <w:pPr>
      <w:widowControl/>
      <w:pBdr>
        <w:right w:val="single" w:color="000000" w:sz="4" w:space="0"/>
      </w:pBdr>
      <w:spacing w:before="100" w:beforeAutospacing="1" w:after="100" w:afterAutospacing="1"/>
      <w:jc w:val="center"/>
    </w:pPr>
    <w:rPr>
      <w:rFonts w:ascii="宋体" w:hAnsi="宋体" w:cs="宋体"/>
      <w:b/>
      <w:bCs/>
      <w:color w:val="000000"/>
      <w:kern w:val="0"/>
      <w:szCs w:val="21"/>
    </w:rPr>
  </w:style>
  <w:style w:type="paragraph" w:customStyle="1" w:styleId="94">
    <w:name w:val="xl136"/>
    <w:basedOn w:val="1"/>
    <w:qFormat/>
    <w:uiPriority w:val="0"/>
    <w:pPr>
      <w:widowControl/>
      <w:pBdr>
        <w:top w:val="single" w:color="auto" w:sz="4" w:space="0"/>
        <w:lef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95">
    <w:name w:val="xl137"/>
    <w:basedOn w:val="1"/>
    <w:qFormat/>
    <w:uiPriority w:val="0"/>
    <w:pPr>
      <w:widowControl/>
      <w:pBdr>
        <w:top w:val="single" w:color="auto" w:sz="4" w:space="0"/>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96">
    <w:name w:val="xl138"/>
    <w:basedOn w:val="1"/>
    <w:qFormat/>
    <w:uiPriority w:val="0"/>
    <w:pPr>
      <w:widowControl/>
      <w:pBdr>
        <w:lef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97">
    <w:name w:val="xl139"/>
    <w:basedOn w:val="1"/>
    <w:qFormat/>
    <w:uiPriority w:val="0"/>
    <w:pPr>
      <w:widowControl/>
      <w:pBdr>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98">
    <w:name w:val="xl140"/>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99">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color w:val="000000"/>
      <w:kern w:val="0"/>
      <w:szCs w:val="21"/>
    </w:rPr>
  </w:style>
  <w:style w:type="paragraph" w:customStyle="1" w:styleId="100">
    <w:name w:val="xl142"/>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101">
    <w:name w:val="xl143"/>
    <w:basedOn w:val="1"/>
    <w:qFormat/>
    <w:uiPriority w:val="0"/>
    <w:pPr>
      <w:widowControl/>
      <w:pBdr>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102">
    <w:name w:val="xl14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103">
    <w:name w:val="xl14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104">
    <w:name w:val="xl146"/>
    <w:basedOn w:val="1"/>
    <w:qFormat/>
    <w:uiPriority w:val="0"/>
    <w:pPr>
      <w:widowControl/>
      <w:pBdr>
        <w:lef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105">
    <w:name w:val="xl147"/>
    <w:basedOn w:val="1"/>
    <w:qFormat/>
    <w:uiPriority w:val="0"/>
    <w:pPr>
      <w:widowControl/>
      <w:spacing w:before="100" w:beforeAutospacing="1" w:after="100" w:afterAutospacing="1"/>
      <w:jc w:val="center"/>
    </w:pPr>
    <w:rPr>
      <w:rFonts w:ascii="仿宋_GB2312" w:hAnsi="宋体" w:eastAsia="仿宋_GB2312" w:cs="宋体"/>
      <w:kern w:val="0"/>
      <w:szCs w:val="21"/>
    </w:rPr>
  </w:style>
  <w:style w:type="paragraph" w:customStyle="1" w:styleId="106">
    <w:name w:val="xl148"/>
    <w:basedOn w:val="1"/>
    <w:qFormat/>
    <w:uiPriority w:val="0"/>
    <w:pPr>
      <w:widowControl/>
      <w:pBdr>
        <w:righ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107">
    <w:name w:val="xl149"/>
    <w:basedOn w:val="1"/>
    <w:qFormat/>
    <w:uiPriority w:val="0"/>
    <w:pPr>
      <w:widowControl/>
      <w:pBdr>
        <w:left w:val="single" w:color="auto" w:sz="4" w:space="0"/>
        <w:bottom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108">
    <w:name w:val="xl150"/>
    <w:basedOn w:val="1"/>
    <w:qFormat/>
    <w:uiPriority w:val="0"/>
    <w:pPr>
      <w:widowControl/>
      <w:pBdr>
        <w:bottom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109">
    <w:name w:val="xl151"/>
    <w:basedOn w:val="1"/>
    <w:qFormat/>
    <w:uiPriority w:val="0"/>
    <w:pPr>
      <w:widowControl/>
      <w:pBdr>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110">
    <w:name w:val="xl152"/>
    <w:basedOn w:val="1"/>
    <w:qFormat/>
    <w:uiPriority w:val="0"/>
    <w:pPr>
      <w:widowControl/>
      <w:pBdr>
        <w:top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111">
    <w:name w:val="xl153"/>
    <w:basedOn w:val="1"/>
    <w:qFormat/>
    <w:uiPriority w:val="0"/>
    <w:pPr>
      <w:widowControl/>
      <w:spacing w:before="100" w:beforeAutospacing="1" w:after="100" w:afterAutospacing="1"/>
      <w:jc w:val="center"/>
    </w:pPr>
    <w:rPr>
      <w:rFonts w:ascii="宋体" w:hAnsi="宋体" w:cs="宋体"/>
      <w:b/>
      <w:bCs/>
      <w:color w:val="000000"/>
      <w:kern w:val="0"/>
      <w:szCs w:val="21"/>
    </w:rPr>
  </w:style>
  <w:style w:type="paragraph" w:customStyle="1" w:styleId="112">
    <w:name w:val="xl154"/>
    <w:basedOn w:val="1"/>
    <w:qFormat/>
    <w:uiPriority w:val="0"/>
    <w:pPr>
      <w:widowControl/>
      <w:pBdr>
        <w:bottom w:val="single" w:color="auto" w:sz="4" w:space="0"/>
      </w:pBdr>
      <w:spacing w:before="100" w:beforeAutospacing="1" w:after="100" w:afterAutospacing="1"/>
      <w:jc w:val="center"/>
    </w:pPr>
    <w:rPr>
      <w:rFonts w:ascii="宋体" w:hAnsi="宋体" w:cs="宋体"/>
      <w:b/>
      <w:bCs/>
      <w:color w:val="000000"/>
      <w:kern w:val="0"/>
      <w:szCs w:val="21"/>
    </w:rPr>
  </w:style>
  <w:style w:type="character" w:customStyle="1" w:styleId="113">
    <w:name w:val="font191"/>
    <w:basedOn w:val="9"/>
    <w:qFormat/>
    <w:uiPriority w:val="0"/>
    <w:rPr>
      <w:rFonts w:hint="eastAsia" w:ascii="宋体" w:hAnsi="宋体" w:eastAsia="宋体" w:cs="宋体"/>
      <w:color w:val="000000"/>
      <w:sz w:val="18"/>
      <w:szCs w:val="18"/>
      <w:u w:val="none"/>
    </w:rPr>
  </w:style>
  <w:style w:type="character" w:customStyle="1" w:styleId="114">
    <w:name w:val="font61"/>
    <w:basedOn w:val="9"/>
    <w:qFormat/>
    <w:uiPriority w:val="0"/>
    <w:rPr>
      <w:rFonts w:hint="eastAsia" w:ascii="宋体" w:hAnsi="宋体" w:eastAsia="宋体" w:cs="宋体"/>
      <w:color w:val="000000"/>
      <w:sz w:val="18"/>
      <w:szCs w:val="18"/>
      <w:u w:val="none"/>
    </w:rPr>
  </w:style>
  <w:style w:type="paragraph" w:styleId="115">
    <w:name w:val="List Paragraph"/>
    <w:basedOn w:val="1"/>
    <w:unhideWhenUsed/>
    <w:qFormat/>
    <w:uiPriority w:val="99"/>
    <w:pPr>
      <w:ind w:firstLine="420" w:firstLineChars="200"/>
    </w:pPr>
  </w:style>
  <w:style w:type="paragraph" w:customStyle="1" w:styleId="116">
    <w:name w:val="font6"/>
    <w:basedOn w:val="1"/>
    <w:qFormat/>
    <w:uiPriority w:val="0"/>
    <w:pPr>
      <w:widowControl/>
      <w:spacing w:before="100" w:beforeAutospacing="1" w:after="100" w:afterAutospacing="1" w:line="240" w:lineRule="auto"/>
      <w:jc w:val="left"/>
    </w:pPr>
    <w:rPr>
      <w:rFonts w:ascii="宋体" w:hAnsi="宋体" w:cs="宋体"/>
      <w:color w:val="000000"/>
      <w:kern w:val="0"/>
      <w:sz w:val="18"/>
      <w:szCs w:val="18"/>
    </w:rPr>
  </w:style>
  <w:style w:type="paragraph" w:customStyle="1" w:styleId="117">
    <w:name w:val="font7"/>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18">
    <w:name w:val="font8"/>
    <w:basedOn w:val="1"/>
    <w:qFormat/>
    <w:uiPriority w:val="0"/>
    <w:pPr>
      <w:widowControl/>
      <w:spacing w:before="100" w:beforeAutospacing="1" w:after="100" w:afterAutospacing="1" w:line="240" w:lineRule="auto"/>
      <w:jc w:val="left"/>
    </w:pPr>
    <w:rPr>
      <w:rFonts w:ascii="Calibri" w:hAnsi="Calibri" w:cs="Calibri"/>
      <w:kern w:val="0"/>
      <w:szCs w:val="21"/>
    </w:rPr>
  </w:style>
  <w:style w:type="paragraph" w:customStyle="1" w:styleId="119">
    <w:name w:val="xl155"/>
    <w:basedOn w:val="1"/>
    <w:qFormat/>
    <w:uiPriority w:val="0"/>
    <w:pPr>
      <w:widowControl/>
      <w:pBdr>
        <w:top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Cs w:val="21"/>
    </w:rPr>
  </w:style>
  <w:style w:type="paragraph" w:customStyle="1" w:styleId="120">
    <w:name w:val="xl156"/>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Cs w:val="21"/>
    </w:rPr>
  </w:style>
  <w:style w:type="character" w:customStyle="1" w:styleId="121">
    <w:name w:val="font211"/>
    <w:basedOn w:val="9"/>
    <w:qFormat/>
    <w:uiPriority w:val="0"/>
    <w:rPr>
      <w:rFonts w:hint="eastAsia" w:ascii="宋体" w:hAnsi="宋体" w:eastAsia="宋体" w:cs="宋体"/>
      <w:color w:val="000000"/>
      <w:sz w:val="18"/>
      <w:szCs w:val="18"/>
      <w:u w:val="none"/>
    </w:rPr>
  </w:style>
  <w:style w:type="character" w:customStyle="1" w:styleId="122">
    <w:name w:val="font141"/>
    <w:basedOn w:val="9"/>
    <w:qFormat/>
    <w:uiPriority w:val="0"/>
    <w:rPr>
      <w:rFonts w:ascii="Calibri" w:hAnsi="Calibri" w:cs="Calibri"/>
      <w:color w:val="000000"/>
      <w:sz w:val="21"/>
      <w:szCs w:val="21"/>
      <w:u w:val="none"/>
    </w:rPr>
  </w:style>
  <w:style w:type="character" w:customStyle="1" w:styleId="123">
    <w:name w:val="font241"/>
    <w:basedOn w:val="9"/>
    <w:qFormat/>
    <w:uiPriority w:val="0"/>
    <w:rPr>
      <w:rFonts w:hint="default" w:ascii="仿宋_GB2312" w:eastAsia="仿宋_GB2312" w:cs="仿宋_GB2312"/>
      <w:color w:val="000000"/>
      <w:sz w:val="21"/>
      <w:szCs w:val="21"/>
      <w:u w:val="none"/>
    </w:rPr>
  </w:style>
  <w:style w:type="character" w:customStyle="1" w:styleId="124">
    <w:name w:val="font31"/>
    <w:basedOn w:val="9"/>
    <w:qFormat/>
    <w:uiPriority w:val="0"/>
    <w:rPr>
      <w:rFonts w:hint="eastAsia" w:ascii="宋体" w:hAnsi="宋体" w:eastAsia="宋体" w:cs="宋体"/>
      <w:color w:val="000000"/>
      <w:sz w:val="18"/>
      <w:szCs w:val="18"/>
      <w:u w:val="none"/>
    </w:rPr>
  </w:style>
  <w:style w:type="character" w:customStyle="1" w:styleId="125">
    <w:name w:val="font281"/>
    <w:basedOn w:val="9"/>
    <w:qFormat/>
    <w:uiPriority w:val="0"/>
    <w:rPr>
      <w:rFonts w:ascii="Calibri" w:hAnsi="Calibri" w:cs="Calibri"/>
      <w:color w:val="000000"/>
      <w:sz w:val="21"/>
      <w:szCs w:val="21"/>
      <w:u w:val="none"/>
    </w:rPr>
  </w:style>
  <w:style w:type="character" w:customStyle="1" w:styleId="126">
    <w:name w:val="font221"/>
    <w:basedOn w:val="9"/>
    <w:qFormat/>
    <w:uiPriority w:val="0"/>
    <w:rPr>
      <w:rFonts w:hint="eastAsia" w:ascii="仿宋_GB2312" w:eastAsia="仿宋_GB2312" w:cs="仿宋_GB2312"/>
      <w:color w:val="000000"/>
      <w:sz w:val="21"/>
      <w:szCs w:val="21"/>
      <w:u w:val="none"/>
    </w:rPr>
  </w:style>
  <w:style w:type="character" w:customStyle="1" w:styleId="127">
    <w:name w:val="font41"/>
    <w:basedOn w:val="9"/>
    <w:qFormat/>
    <w:uiPriority w:val="0"/>
    <w:rPr>
      <w:rFonts w:hint="eastAsia" w:ascii="宋体" w:hAnsi="宋体" w:eastAsia="宋体" w:cs="宋体"/>
      <w:color w:val="000000"/>
      <w:sz w:val="22"/>
      <w:szCs w:val="22"/>
      <w:u w:val="none"/>
    </w:rPr>
  </w:style>
  <w:style w:type="paragraph" w:customStyle="1" w:styleId="128">
    <w:name w:val="xl63"/>
    <w:basedOn w:val="1"/>
    <w:qFormat/>
    <w:uiPriority w:val="0"/>
    <w:pPr>
      <w:widowControl/>
      <w:pBdr>
        <w:bottom w:val="single" w:color="auto" w:sz="8" w:space="0"/>
        <w:right w:val="single" w:color="auto" w:sz="8" w:space="0"/>
      </w:pBdr>
      <w:spacing w:before="100" w:beforeAutospacing="1" w:after="100" w:afterAutospacing="1" w:line="240" w:lineRule="auto"/>
      <w:jc w:val="center"/>
    </w:pPr>
    <w:rPr>
      <w:rFonts w:ascii="宋体" w:hAnsi="宋体" w:cs="宋体"/>
      <w:kern w:val="0"/>
      <w:sz w:val="24"/>
    </w:rPr>
  </w:style>
  <w:style w:type="paragraph" w:customStyle="1" w:styleId="129">
    <w:name w:val="xl64"/>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kern w:val="0"/>
      <w:sz w:val="24"/>
    </w:rPr>
  </w:style>
  <w:style w:type="paragraph" w:customStyle="1" w:styleId="130">
    <w:name w:val="人培正文样式"/>
    <w:basedOn w:val="1"/>
    <w:qFormat/>
    <w:uiPriority w:val="0"/>
    <w:pPr>
      <w:spacing w:line="520" w:lineRule="exact"/>
      <w:ind w:firstLine="640" w:firstLineChars="200"/>
    </w:pPr>
    <w:rPr>
      <w:rFonts w:hint="eastAsia" w:eastAsia="仿宋_GB2312"/>
      <w:kern w:val="44"/>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17652</Words>
  <Characters>17805</Characters>
  <Lines>3897</Lines>
  <Paragraphs>2663</Paragraphs>
  <TotalTime>1</TotalTime>
  <ScaleCrop>false</ScaleCrop>
  <LinksUpToDate>false</LinksUpToDate>
  <CharactersWithSpaces>17828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2025-09-26T10:24:37Z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C7A5B28D75A848F79C5AF963DF9099B1_13</vt:lpwstr>
  </property>
  <property fmtid="{D5CDD505-2E9C-101B-9397-08002B2CF9AE}" pid="4" name="KSOTemplateDocerSaveRecord">
    <vt:lpwstr>eyJoZGlkIjoiMjc1MmY4YmRmMWQyOTI4YTA4ZWU0YzkzZDQ5ZjQ0MWYiLCJ1c2VySWQiOiI5MzQ1MzgzNTMifQ==</vt:lpwstr>
  </property>
</Properties>
</file>