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5ED961">
      <w:pPr>
        <w:overflowPunct w:val="0"/>
        <w:adjustRightInd w:val="0"/>
        <w:snapToGrid w:val="0"/>
        <w:jc w:val="both"/>
        <w:rPr>
          <w:rFonts w:hint="eastAsia" w:ascii="仿宋" w:hAnsi="仿宋" w:eastAsia="仿宋"/>
          <w:color w:val="auto"/>
          <w:szCs w:val="32"/>
        </w:rPr>
      </w:pPr>
      <w:r>
        <w:rPr>
          <w:rFonts w:ascii="宋体" w:hAnsi="宋体" w:eastAsia="宋体" w:cs="宋体"/>
          <w:sz w:val="24"/>
          <w:szCs w:val="24"/>
        </w:rPr>
        <w:drawing>
          <wp:anchor distT="0" distB="0" distL="114300" distR="114300" simplePos="0" relativeHeight="251659264" behindDoc="1" locked="0" layoutInCell="1" allowOverlap="1">
            <wp:simplePos x="0" y="0"/>
            <wp:positionH relativeFrom="column">
              <wp:posOffset>-116205</wp:posOffset>
            </wp:positionH>
            <wp:positionV relativeFrom="paragraph">
              <wp:posOffset>771525</wp:posOffset>
            </wp:positionV>
            <wp:extent cx="5114925" cy="1130935"/>
            <wp:effectExtent l="0" t="0" r="5715" b="12065"/>
            <wp:wrapNone/>
            <wp:docPr id="2" name="图片 2" descr="774cab3c599d63778141cb733ecde9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774cab3c599d63778141cb733ecde9bc"/>
                    <pic:cNvPicPr>
                      <a:picLocks noChangeAspect="1"/>
                    </pic:cNvPicPr>
                  </pic:nvPicPr>
                  <pic:blipFill>
                    <a:blip r:embed="rId8"/>
                    <a:stretch>
                      <a:fillRect/>
                    </a:stretch>
                  </pic:blipFill>
                  <pic:spPr>
                    <a:xfrm>
                      <a:off x="0" y="0"/>
                      <a:ext cx="5114925" cy="1130935"/>
                    </a:xfrm>
                    <a:prstGeom prst="rect">
                      <a:avLst/>
                    </a:prstGeom>
                    <a:noFill/>
                    <a:ln>
                      <a:noFill/>
                    </a:ln>
                  </pic:spPr>
                </pic:pic>
              </a:graphicData>
            </a:graphic>
          </wp:anchor>
        </w:drawing>
      </w:r>
    </w:p>
    <w:p w14:paraId="34C13610">
      <w:pPr>
        <w:overflowPunct w:val="0"/>
        <w:adjustRightInd w:val="0"/>
        <w:snapToGrid w:val="0"/>
        <w:jc w:val="center"/>
        <w:rPr>
          <w:rFonts w:hint="eastAsia" w:ascii="仿宋" w:hAnsi="仿宋" w:eastAsia="仿宋"/>
          <w:color w:val="auto"/>
          <w:szCs w:val="32"/>
        </w:rPr>
      </w:pPr>
    </w:p>
    <w:p w14:paraId="13E9FB85">
      <w:pPr>
        <w:overflowPunct w:val="0"/>
        <w:adjustRightInd w:val="0"/>
        <w:snapToGrid w:val="0"/>
        <w:jc w:val="center"/>
        <w:rPr>
          <w:rFonts w:hint="eastAsia" w:ascii="仿宋" w:hAnsi="仿宋" w:eastAsia="仿宋"/>
          <w:color w:val="auto"/>
          <w:szCs w:val="32"/>
        </w:rPr>
      </w:pPr>
    </w:p>
    <w:p w14:paraId="5CABBB42">
      <w:pPr>
        <w:overflowPunct w:val="0"/>
        <w:adjustRightInd w:val="0"/>
        <w:snapToGrid w:val="0"/>
        <w:jc w:val="center"/>
        <w:rPr>
          <w:rFonts w:hint="eastAsia" w:ascii="仿宋" w:hAnsi="仿宋" w:eastAsia="仿宋"/>
          <w:color w:val="auto"/>
          <w:szCs w:val="32"/>
        </w:rPr>
      </w:pPr>
    </w:p>
    <w:p w14:paraId="6EDDC214">
      <w:pPr>
        <w:overflowPunct w:val="0"/>
        <w:adjustRightInd w:val="0"/>
        <w:snapToGrid w:val="0"/>
        <w:jc w:val="center"/>
        <w:rPr>
          <w:rFonts w:hint="eastAsia" w:ascii="仿宋" w:hAnsi="仿宋" w:eastAsia="仿宋"/>
          <w:color w:val="auto"/>
          <w:szCs w:val="32"/>
        </w:rPr>
      </w:pPr>
    </w:p>
    <w:p w14:paraId="2D947DF2">
      <w:pPr>
        <w:overflowPunct w:val="0"/>
        <w:adjustRightInd w:val="0"/>
        <w:snapToGrid w:val="0"/>
        <w:jc w:val="center"/>
        <w:rPr>
          <w:rFonts w:hint="eastAsia" w:ascii="仿宋" w:hAnsi="仿宋" w:eastAsia="仿宋"/>
          <w:color w:val="auto"/>
          <w:szCs w:val="32"/>
        </w:rPr>
      </w:pPr>
    </w:p>
    <w:p w14:paraId="447F89B5">
      <w:pPr>
        <w:overflowPunct w:val="0"/>
        <w:adjustRightInd w:val="0"/>
        <w:snapToGrid w:val="0"/>
        <w:jc w:val="center"/>
        <w:rPr>
          <w:rFonts w:hint="eastAsia" w:ascii="仿宋" w:hAnsi="仿宋" w:eastAsia="仿宋"/>
          <w:color w:val="auto"/>
          <w:szCs w:val="32"/>
        </w:rPr>
      </w:pPr>
    </w:p>
    <w:p w14:paraId="7AB062DE">
      <w:pPr>
        <w:overflowPunct w:val="0"/>
        <w:adjustRightInd w:val="0"/>
        <w:snapToGrid w:val="0"/>
        <w:rPr>
          <w:rFonts w:hint="eastAsia" w:ascii="华文新魏" w:hAnsi="仿宋" w:eastAsia="华文新魏"/>
          <w:b/>
          <w:color w:val="auto"/>
          <w:sz w:val="100"/>
          <w:szCs w:val="100"/>
        </w:rPr>
      </w:pPr>
    </w:p>
    <w:p w14:paraId="35AF974D">
      <w:pPr>
        <w:keepNext w:val="0"/>
        <w:keepLines w:val="0"/>
        <w:pageBreakBefore w:val="0"/>
        <w:widowControl w:val="0"/>
        <w:kinsoku/>
        <w:wordWrap/>
        <w:overflowPunct w:val="0"/>
        <w:topLinePunct w:val="0"/>
        <w:autoSpaceDE/>
        <w:autoSpaceDN/>
        <w:bidi w:val="0"/>
        <w:adjustRightInd w:val="0"/>
        <w:snapToGrid w:val="0"/>
        <w:spacing w:line="900" w:lineRule="exact"/>
        <w:jc w:val="center"/>
        <w:textAlignment w:val="auto"/>
        <w:rPr>
          <w:rFonts w:hint="eastAsia" w:ascii="黑体" w:hAnsi="黑体" w:eastAsia="黑体" w:cs="黑体"/>
          <w:b w:val="0"/>
          <w:bCs/>
          <w:color w:val="auto"/>
          <w:sz w:val="72"/>
          <w:szCs w:val="72"/>
        </w:rPr>
      </w:pPr>
      <w:r>
        <w:rPr>
          <w:rFonts w:hint="eastAsia" w:ascii="黑体" w:hAnsi="黑体" w:eastAsia="黑体" w:cs="黑体"/>
          <w:b w:val="0"/>
          <w:bCs/>
          <w:color w:val="auto"/>
          <w:sz w:val="72"/>
          <w:szCs w:val="72"/>
        </w:rPr>
        <w:t>20</w:t>
      </w:r>
      <w:r>
        <w:rPr>
          <w:rFonts w:hint="eastAsia" w:ascii="黑体" w:hAnsi="黑体" w:eastAsia="黑体" w:cs="黑体"/>
          <w:b w:val="0"/>
          <w:bCs/>
          <w:color w:val="auto"/>
          <w:sz w:val="72"/>
          <w:szCs w:val="72"/>
          <w:lang w:val="en-US" w:eastAsia="zh-CN"/>
        </w:rPr>
        <w:t>25级汽车检测与维修技术</w:t>
      </w:r>
      <w:r>
        <w:rPr>
          <w:rFonts w:hint="eastAsia" w:ascii="黑体" w:hAnsi="黑体" w:eastAsia="黑体" w:cs="黑体"/>
          <w:b w:val="0"/>
          <w:bCs/>
          <w:color w:val="auto"/>
          <w:sz w:val="72"/>
          <w:szCs w:val="72"/>
        </w:rPr>
        <w:t>专业人才培养方案</w:t>
      </w:r>
    </w:p>
    <w:p w14:paraId="2FB8376F">
      <w:pPr>
        <w:widowControl/>
        <w:overflowPunct w:val="0"/>
        <w:adjustRightInd w:val="0"/>
        <w:snapToGrid w:val="0"/>
        <w:jc w:val="center"/>
        <w:rPr>
          <w:rFonts w:hint="eastAsia" w:ascii="黑体" w:hAnsi="黑体" w:eastAsia="黑体" w:cs="黑体"/>
          <w:b/>
          <w:bCs/>
          <w:color w:val="auto"/>
          <w:kern w:val="0"/>
          <w:sz w:val="52"/>
          <w:szCs w:val="52"/>
          <w:lang w:val="en-US" w:eastAsia="zh-CN"/>
        </w:rPr>
      </w:pPr>
    </w:p>
    <w:p w14:paraId="3B807DB1">
      <w:pPr>
        <w:widowControl/>
        <w:overflowPunct w:val="0"/>
        <w:adjustRightInd w:val="0"/>
        <w:snapToGrid w:val="0"/>
        <w:jc w:val="center"/>
        <w:rPr>
          <w:rFonts w:hint="default" w:ascii="黑体" w:hAnsi="黑体" w:eastAsia="黑体" w:cs="黑体"/>
          <w:b/>
          <w:bCs/>
          <w:color w:val="auto"/>
          <w:kern w:val="0"/>
          <w:sz w:val="52"/>
          <w:szCs w:val="52"/>
          <w:lang w:val="en-US" w:eastAsia="zh-CN"/>
        </w:rPr>
      </w:pPr>
      <w:r>
        <w:rPr>
          <w:rFonts w:hint="eastAsia" w:ascii="黑体" w:hAnsi="黑体" w:eastAsia="黑体" w:cs="黑体"/>
          <w:b/>
          <w:bCs/>
          <w:color w:val="auto"/>
          <w:kern w:val="0"/>
          <w:sz w:val="52"/>
          <w:szCs w:val="52"/>
          <w:lang w:val="en-US" w:eastAsia="zh-CN"/>
        </w:rPr>
        <w:t>（汽车与机电学院）</w:t>
      </w:r>
    </w:p>
    <w:p w14:paraId="00B412D3">
      <w:pPr>
        <w:widowControl/>
        <w:overflowPunct w:val="0"/>
        <w:adjustRightInd w:val="0"/>
        <w:snapToGrid w:val="0"/>
        <w:jc w:val="center"/>
        <w:rPr>
          <w:rFonts w:hint="eastAsia" w:ascii="黑体" w:hAnsi="黑体" w:eastAsia="黑体" w:cs="黑体"/>
          <w:b/>
          <w:bCs/>
          <w:color w:val="auto"/>
          <w:kern w:val="0"/>
          <w:sz w:val="52"/>
          <w:szCs w:val="52"/>
        </w:rPr>
      </w:pPr>
    </w:p>
    <w:p w14:paraId="30C230C4">
      <w:pPr>
        <w:widowControl/>
        <w:overflowPunct w:val="0"/>
        <w:adjustRightInd w:val="0"/>
        <w:snapToGrid w:val="0"/>
        <w:jc w:val="both"/>
        <w:rPr>
          <w:rFonts w:hint="eastAsia" w:ascii="黑体" w:hAnsi="黑体" w:eastAsia="黑体" w:cs="黑体"/>
          <w:b/>
          <w:bCs/>
          <w:color w:val="auto"/>
          <w:kern w:val="0"/>
          <w:sz w:val="52"/>
          <w:szCs w:val="52"/>
        </w:rPr>
      </w:pPr>
    </w:p>
    <w:p w14:paraId="0ABD1ACF">
      <w:pPr>
        <w:widowControl/>
        <w:overflowPunct w:val="0"/>
        <w:adjustRightInd w:val="0"/>
        <w:snapToGrid w:val="0"/>
        <w:jc w:val="center"/>
        <w:rPr>
          <w:rFonts w:hint="eastAsia" w:ascii="黑体" w:hAnsi="黑体" w:eastAsia="黑体" w:cs="黑体"/>
          <w:b/>
          <w:bCs/>
          <w:color w:val="auto"/>
          <w:kern w:val="0"/>
          <w:sz w:val="52"/>
          <w:szCs w:val="52"/>
          <w:lang w:val="en-US" w:eastAsia="zh-CN"/>
        </w:rPr>
        <w:sectPr>
          <w:headerReference r:id="rId5" w:type="default"/>
          <w:pgSz w:w="11906" w:h="16838"/>
          <w:pgMar w:top="1417" w:right="1417" w:bottom="1417" w:left="1984" w:header="851" w:footer="992" w:gutter="0"/>
          <w:pgNumType w:start="1"/>
          <w:cols w:space="425" w:num="1"/>
          <w:docGrid w:type="lines" w:linePitch="312" w:charSpace="0"/>
        </w:sectPr>
      </w:pPr>
      <w:r>
        <w:rPr>
          <w:rFonts w:hint="eastAsia" w:ascii="黑体" w:hAnsi="黑体" w:eastAsia="黑体" w:cs="黑体"/>
          <w:b/>
          <w:bCs/>
          <w:color w:val="auto"/>
          <w:kern w:val="0"/>
          <w:sz w:val="52"/>
          <w:szCs w:val="52"/>
          <w:lang w:val="en-US" w:eastAsia="zh-CN"/>
        </w:rPr>
        <w:t>2025年4月</w:t>
      </w:r>
    </w:p>
    <w:p w14:paraId="6263C55C">
      <w:pPr>
        <w:widowControl/>
        <w:overflowPunct w:val="0"/>
        <w:adjustRightInd w:val="0"/>
        <w:snapToGrid w:val="0"/>
        <w:jc w:val="center"/>
        <w:rPr>
          <w:rFonts w:hint="eastAsia" w:ascii="黑体" w:hAnsi="黑体" w:eastAsia="黑体" w:cs="黑体"/>
          <w:b/>
          <w:bCs/>
          <w:color w:val="auto"/>
          <w:kern w:val="0"/>
          <w:sz w:val="52"/>
          <w:szCs w:val="52"/>
          <w:lang w:val="en-US" w:eastAsia="zh-CN"/>
        </w:rPr>
        <w:sectPr>
          <w:pgSz w:w="11906" w:h="16838"/>
          <w:pgMar w:top="1417" w:right="1417" w:bottom="1417" w:left="1984" w:header="851" w:footer="992" w:gutter="0"/>
          <w:pgNumType w:start="1"/>
          <w:cols w:space="425" w:num="1"/>
          <w:docGrid w:type="lines" w:linePitch="312" w:charSpace="0"/>
        </w:sectPr>
      </w:pPr>
    </w:p>
    <w:p w14:paraId="657D033E">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rPr>
      </w:pPr>
      <w:r>
        <w:rPr>
          <w:rFonts w:hint="eastAsia" w:ascii="方正小标宋简体" w:hAnsi="方正小标宋简体" w:eastAsia="方正小标宋简体" w:cs="方正小标宋简体"/>
          <w:bCs/>
          <w:color w:val="auto"/>
          <w:sz w:val="44"/>
          <w:szCs w:val="44"/>
          <w:lang w:val="en-US" w:eastAsia="zh-CN"/>
        </w:rPr>
        <w:t>汽车检测与维修技术</w:t>
      </w:r>
      <w:r>
        <w:rPr>
          <w:rFonts w:hint="eastAsia" w:ascii="方正小标宋简体" w:hAnsi="方正小标宋简体" w:eastAsia="方正小标宋简体" w:cs="方正小标宋简体"/>
          <w:bCs/>
          <w:color w:val="auto"/>
          <w:sz w:val="44"/>
          <w:szCs w:val="44"/>
        </w:rPr>
        <w:t>专业人才培养方案</w:t>
      </w:r>
    </w:p>
    <w:p w14:paraId="7EADA01A">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rPr>
      </w:pPr>
    </w:p>
    <w:p w14:paraId="4D4DA82C">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一、专业名称及代码</w:t>
      </w:r>
    </w:p>
    <w:p w14:paraId="4CD402A7">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专业名称：</w:t>
      </w:r>
      <w:r>
        <w:rPr>
          <w:rFonts w:hint="eastAsia" w:ascii="仿宋_GB2312" w:hAnsi="仿宋_GB2312" w:eastAsia="仿宋_GB2312" w:cs="仿宋_GB2312"/>
          <w:color w:val="auto"/>
          <w:sz w:val="32"/>
          <w:szCs w:val="32"/>
          <w:lang w:val="en-US" w:eastAsia="zh-CN"/>
        </w:rPr>
        <w:t>汽车检测与维修技术</w:t>
      </w:r>
    </w:p>
    <w:p w14:paraId="2A8EC02C">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专业代码：500211</w:t>
      </w:r>
    </w:p>
    <w:p w14:paraId="14408552">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二、入学要求</w:t>
      </w:r>
    </w:p>
    <w:p w14:paraId="16EA7F8E">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中等职业学校毕业、普通高级中学毕业或具备同等学力</w:t>
      </w:r>
      <w:r>
        <w:rPr>
          <w:rFonts w:hint="eastAsia" w:ascii="仿宋_GB2312" w:hAnsi="仿宋_GB2312" w:eastAsia="仿宋_GB2312" w:cs="仿宋_GB2312"/>
          <w:color w:val="auto"/>
          <w:sz w:val="32"/>
          <w:szCs w:val="32"/>
          <w:lang w:eastAsia="zh-CN"/>
        </w:rPr>
        <w:t>。</w:t>
      </w:r>
    </w:p>
    <w:p w14:paraId="2888275B">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三、</w:t>
      </w:r>
      <w:r>
        <w:rPr>
          <w:rFonts w:hint="eastAsia" w:ascii="黑体" w:hAnsi="黑体" w:eastAsia="黑体" w:cs="黑体"/>
          <w:color w:val="auto"/>
          <w:sz w:val="32"/>
          <w:szCs w:val="32"/>
          <w:highlight w:val="none"/>
          <w:lang w:val="en-US" w:eastAsia="zh-CN"/>
        </w:rPr>
        <w:t>基本</w:t>
      </w:r>
      <w:r>
        <w:rPr>
          <w:rFonts w:hint="eastAsia" w:ascii="黑体" w:hAnsi="黑体" w:eastAsia="黑体" w:cs="黑体"/>
          <w:color w:val="auto"/>
          <w:sz w:val="32"/>
          <w:szCs w:val="32"/>
          <w:highlight w:val="none"/>
        </w:rPr>
        <w:t>修业年限</w:t>
      </w:r>
    </w:p>
    <w:p w14:paraId="6709E3F5">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标准修业年限为3年，弹性学分有效修业年限为2</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5年。</w:t>
      </w:r>
    </w:p>
    <w:p w14:paraId="03909CA1">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四、职业面向</w:t>
      </w:r>
    </w:p>
    <w:p w14:paraId="37199E20">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jc w:val="center"/>
        <w:textAlignment w:val="auto"/>
        <w:rPr>
          <w:rFonts w:hint="eastAsia" w:ascii="仿宋" w:hAnsi="仿宋" w:eastAsia="仿宋"/>
          <w:color w:val="auto"/>
          <w:sz w:val="32"/>
          <w:szCs w:val="32"/>
        </w:rPr>
      </w:pPr>
      <w:r>
        <w:rPr>
          <w:rFonts w:hint="eastAsia" w:ascii="仿宋_GB2312" w:hAnsi="仿宋_GB2312" w:eastAsia="仿宋_GB2312" w:cs="仿宋_GB2312"/>
          <w:color w:val="auto"/>
          <w:sz w:val="32"/>
          <w:szCs w:val="32"/>
        </w:rPr>
        <w:t>表1职业岗位分析表</w:t>
      </w:r>
    </w:p>
    <w:tbl>
      <w:tblPr>
        <w:tblStyle w:val="8"/>
        <w:tblW w:w="9906"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1"/>
        <w:gridCol w:w="1464"/>
        <w:gridCol w:w="1271"/>
        <w:gridCol w:w="2257"/>
        <w:gridCol w:w="1914"/>
        <w:gridCol w:w="1679"/>
      </w:tblGrid>
      <w:tr w14:paraId="45096A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321" w:type="dxa"/>
            <w:vAlign w:val="center"/>
          </w:tcPr>
          <w:p w14:paraId="37AB0FF1">
            <w:pPr>
              <w:keepNext w:val="0"/>
              <w:keepLines w:val="0"/>
              <w:pageBreakBefore w:val="0"/>
              <w:widowControl w:val="0"/>
              <w:kinsoku/>
              <w:wordWrap/>
              <w:overflowPunct w:val="0"/>
              <w:topLinePunct w:val="0"/>
              <w:autoSpaceDE/>
              <w:autoSpaceDN/>
              <w:bidi w:val="0"/>
              <w:adjustRightInd w:val="0"/>
              <w:snapToGrid/>
              <w:spacing w:after="0" w:line="300" w:lineRule="auto"/>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所属专业大类</w:t>
            </w:r>
          </w:p>
          <w:p w14:paraId="04BF5ECA">
            <w:pPr>
              <w:keepNext w:val="0"/>
              <w:keepLines w:val="0"/>
              <w:pageBreakBefore w:val="0"/>
              <w:widowControl w:val="0"/>
              <w:kinsoku/>
              <w:wordWrap/>
              <w:overflowPunct w:val="0"/>
              <w:topLinePunct w:val="0"/>
              <w:autoSpaceDE/>
              <w:autoSpaceDN/>
              <w:bidi w:val="0"/>
              <w:adjustRightInd w:val="0"/>
              <w:snapToGrid/>
              <w:spacing w:after="0" w:line="300" w:lineRule="auto"/>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（代码）</w:t>
            </w:r>
          </w:p>
        </w:tc>
        <w:tc>
          <w:tcPr>
            <w:tcW w:w="1464" w:type="dxa"/>
            <w:vAlign w:val="center"/>
          </w:tcPr>
          <w:p w14:paraId="0F450991">
            <w:pPr>
              <w:keepNext w:val="0"/>
              <w:keepLines w:val="0"/>
              <w:pageBreakBefore w:val="0"/>
              <w:widowControl w:val="0"/>
              <w:kinsoku/>
              <w:wordWrap/>
              <w:overflowPunct w:val="0"/>
              <w:topLinePunct w:val="0"/>
              <w:autoSpaceDE/>
              <w:autoSpaceDN/>
              <w:bidi w:val="0"/>
              <w:adjustRightInd w:val="0"/>
              <w:snapToGrid/>
              <w:spacing w:after="0" w:line="300" w:lineRule="auto"/>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所属专业类</w:t>
            </w:r>
          </w:p>
          <w:p w14:paraId="09BF3FE8">
            <w:pPr>
              <w:keepNext w:val="0"/>
              <w:keepLines w:val="0"/>
              <w:pageBreakBefore w:val="0"/>
              <w:widowControl w:val="0"/>
              <w:kinsoku/>
              <w:wordWrap/>
              <w:overflowPunct w:val="0"/>
              <w:topLinePunct w:val="0"/>
              <w:autoSpaceDE/>
              <w:autoSpaceDN/>
              <w:bidi w:val="0"/>
              <w:adjustRightInd w:val="0"/>
              <w:snapToGrid/>
              <w:spacing w:after="0" w:line="300" w:lineRule="auto"/>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（代码）</w:t>
            </w:r>
          </w:p>
        </w:tc>
        <w:tc>
          <w:tcPr>
            <w:tcW w:w="1271" w:type="dxa"/>
            <w:vAlign w:val="center"/>
          </w:tcPr>
          <w:p w14:paraId="6CAFD902">
            <w:pPr>
              <w:keepNext w:val="0"/>
              <w:keepLines w:val="0"/>
              <w:pageBreakBefore w:val="0"/>
              <w:widowControl w:val="0"/>
              <w:kinsoku/>
              <w:wordWrap/>
              <w:overflowPunct w:val="0"/>
              <w:topLinePunct w:val="0"/>
              <w:autoSpaceDE/>
              <w:autoSpaceDN/>
              <w:bidi w:val="0"/>
              <w:adjustRightInd w:val="0"/>
              <w:snapToGrid/>
              <w:spacing w:after="0" w:line="300" w:lineRule="auto"/>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对应行业（代码）</w:t>
            </w:r>
          </w:p>
        </w:tc>
        <w:tc>
          <w:tcPr>
            <w:tcW w:w="2257" w:type="dxa"/>
            <w:vAlign w:val="center"/>
          </w:tcPr>
          <w:p w14:paraId="16AD32EE">
            <w:pPr>
              <w:keepNext w:val="0"/>
              <w:keepLines w:val="0"/>
              <w:pageBreakBefore w:val="0"/>
              <w:widowControl w:val="0"/>
              <w:kinsoku/>
              <w:wordWrap/>
              <w:overflowPunct w:val="0"/>
              <w:topLinePunct w:val="0"/>
              <w:autoSpaceDE/>
              <w:autoSpaceDN/>
              <w:bidi w:val="0"/>
              <w:adjustRightInd w:val="0"/>
              <w:snapToGrid/>
              <w:spacing w:after="0" w:line="300" w:lineRule="auto"/>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主要职业类别</w:t>
            </w:r>
          </w:p>
          <w:p w14:paraId="4B0792CF">
            <w:pPr>
              <w:keepNext w:val="0"/>
              <w:keepLines w:val="0"/>
              <w:pageBreakBefore w:val="0"/>
              <w:widowControl w:val="0"/>
              <w:kinsoku/>
              <w:wordWrap/>
              <w:overflowPunct w:val="0"/>
              <w:topLinePunct w:val="0"/>
              <w:autoSpaceDE/>
              <w:autoSpaceDN/>
              <w:bidi w:val="0"/>
              <w:adjustRightInd w:val="0"/>
              <w:snapToGrid/>
              <w:spacing w:after="0" w:line="300" w:lineRule="auto"/>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（代码）</w:t>
            </w:r>
          </w:p>
        </w:tc>
        <w:tc>
          <w:tcPr>
            <w:tcW w:w="1914" w:type="dxa"/>
            <w:vAlign w:val="center"/>
          </w:tcPr>
          <w:p w14:paraId="0649D8A4">
            <w:pPr>
              <w:keepNext w:val="0"/>
              <w:keepLines w:val="0"/>
              <w:pageBreakBefore w:val="0"/>
              <w:widowControl w:val="0"/>
              <w:kinsoku/>
              <w:wordWrap/>
              <w:overflowPunct w:val="0"/>
              <w:topLinePunct w:val="0"/>
              <w:autoSpaceDE/>
              <w:autoSpaceDN/>
              <w:bidi w:val="0"/>
              <w:adjustRightInd w:val="0"/>
              <w:snapToGrid/>
              <w:spacing w:after="0" w:line="300" w:lineRule="auto"/>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主要岗位（群）或技术领域</w:t>
            </w:r>
          </w:p>
        </w:tc>
        <w:tc>
          <w:tcPr>
            <w:tcW w:w="1679" w:type="dxa"/>
            <w:vAlign w:val="center"/>
          </w:tcPr>
          <w:p w14:paraId="122E14EA">
            <w:pPr>
              <w:keepNext w:val="0"/>
              <w:keepLines w:val="0"/>
              <w:pageBreakBefore w:val="0"/>
              <w:widowControl w:val="0"/>
              <w:kinsoku/>
              <w:wordWrap/>
              <w:overflowPunct w:val="0"/>
              <w:topLinePunct w:val="0"/>
              <w:autoSpaceDE/>
              <w:autoSpaceDN/>
              <w:bidi w:val="0"/>
              <w:adjustRightInd w:val="0"/>
              <w:snapToGrid/>
              <w:spacing w:after="0" w:line="300" w:lineRule="auto"/>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职业类证书</w:t>
            </w:r>
          </w:p>
        </w:tc>
      </w:tr>
      <w:tr w14:paraId="222F0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7" w:hRule="atLeast"/>
        </w:trPr>
        <w:tc>
          <w:tcPr>
            <w:tcW w:w="1321" w:type="dxa"/>
            <w:vAlign w:val="center"/>
          </w:tcPr>
          <w:p w14:paraId="7AEB7EC2">
            <w:pPr>
              <w:keepNext w:val="0"/>
              <w:keepLines w:val="0"/>
              <w:pageBreakBefore w:val="0"/>
              <w:widowControl w:val="0"/>
              <w:kinsoku/>
              <w:wordWrap/>
              <w:overflowPunct w:val="0"/>
              <w:topLinePunct w:val="0"/>
              <w:autoSpaceDE/>
              <w:autoSpaceDN/>
              <w:bidi w:val="0"/>
              <w:adjustRightInd w:val="0"/>
              <w:snapToGrid/>
              <w:spacing w:after="0" w:line="300" w:lineRule="auto"/>
              <w:jc w:val="center"/>
              <w:textAlignment w:val="auto"/>
              <w:rPr>
                <w:rFonts w:hint="eastAsia" w:ascii="仿宋_GB2312" w:hAnsi="仿宋_GB2312" w:eastAsia="仿宋_GB2312" w:cs="仿宋_GB2312"/>
                <w:color w:val="auto"/>
                <w:sz w:val="24"/>
              </w:rPr>
            </w:pPr>
            <w:bookmarkStart w:id="0" w:name="OLE_LINK1" w:colFirst="0" w:colLast="5"/>
            <w:r>
              <w:rPr>
                <w:rFonts w:hint="eastAsia" w:ascii="仿宋_GB2312" w:hAnsi="仿宋_GB2312" w:eastAsia="仿宋_GB2312" w:cs="仿宋_GB2312"/>
                <w:color w:val="auto"/>
                <w:sz w:val="24"/>
                <w:szCs w:val="24"/>
              </w:rPr>
              <w:t>交通运输大类（50）</w:t>
            </w:r>
          </w:p>
        </w:tc>
        <w:tc>
          <w:tcPr>
            <w:tcW w:w="1464" w:type="dxa"/>
            <w:vAlign w:val="center"/>
          </w:tcPr>
          <w:p w14:paraId="46F72D49">
            <w:pPr>
              <w:keepNext w:val="0"/>
              <w:keepLines w:val="0"/>
              <w:pageBreakBefore w:val="0"/>
              <w:widowControl w:val="0"/>
              <w:kinsoku/>
              <w:wordWrap/>
              <w:overflowPunct w:val="0"/>
              <w:topLinePunct w:val="0"/>
              <w:autoSpaceDE/>
              <w:autoSpaceDN/>
              <w:bidi w:val="0"/>
              <w:adjustRightInd w:val="0"/>
              <w:snapToGrid/>
              <w:spacing w:after="0" w:line="30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道路运输类（5002）</w:t>
            </w:r>
          </w:p>
        </w:tc>
        <w:tc>
          <w:tcPr>
            <w:tcW w:w="1271" w:type="dxa"/>
            <w:vAlign w:val="center"/>
          </w:tcPr>
          <w:p w14:paraId="7C6CA91A">
            <w:pPr>
              <w:keepNext w:val="0"/>
              <w:keepLines w:val="0"/>
              <w:pageBreakBefore w:val="0"/>
              <w:widowControl w:val="0"/>
              <w:kinsoku/>
              <w:wordWrap/>
              <w:overflowPunct w:val="0"/>
              <w:topLinePunct w:val="0"/>
              <w:autoSpaceDE/>
              <w:autoSpaceDN/>
              <w:bidi w:val="0"/>
              <w:adjustRightInd w:val="0"/>
              <w:snapToGrid/>
              <w:spacing w:after="0" w:line="30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highlight w:val="none"/>
              </w:rPr>
              <w:t>汽车修理与维护（8111）</w:t>
            </w:r>
          </w:p>
        </w:tc>
        <w:tc>
          <w:tcPr>
            <w:tcW w:w="2257" w:type="dxa"/>
            <w:vAlign w:val="center"/>
          </w:tcPr>
          <w:p w14:paraId="62DB5BE5">
            <w:pPr>
              <w:keepNext w:val="0"/>
              <w:keepLines w:val="0"/>
              <w:pageBreakBefore w:val="0"/>
              <w:widowControl w:val="0"/>
              <w:kinsoku/>
              <w:wordWrap/>
              <w:overflowPunct w:val="0"/>
              <w:topLinePunct w:val="0"/>
              <w:autoSpaceDE/>
              <w:autoSpaceDN/>
              <w:bidi w:val="0"/>
              <w:adjustRightInd w:val="0"/>
              <w:snapToGrid/>
              <w:spacing w:after="0" w:line="30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highlight w:val="none"/>
              </w:rPr>
              <w:t>汽车运用工程技术人员（2-02-15-01）、汽车维修工 （4-12-01-01）</w:t>
            </w:r>
          </w:p>
        </w:tc>
        <w:tc>
          <w:tcPr>
            <w:tcW w:w="1914" w:type="dxa"/>
            <w:vAlign w:val="center"/>
          </w:tcPr>
          <w:p w14:paraId="3237CC2F">
            <w:pPr>
              <w:keepNext w:val="0"/>
              <w:keepLines w:val="0"/>
              <w:pageBreakBefore w:val="0"/>
              <w:widowControl w:val="0"/>
              <w:kinsoku/>
              <w:wordWrap/>
              <w:overflowPunct w:val="0"/>
              <w:topLinePunct w:val="0"/>
              <w:autoSpaceDE/>
              <w:autoSpaceDN/>
              <w:bidi w:val="0"/>
              <w:adjustRightInd w:val="0"/>
              <w:snapToGrid/>
              <w:spacing w:after="0" w:line="30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highlight w:val="none"/>
              </w:rPr>
              <w:t>汽车售后服务、汽车机电维修、汽车服务顾问</w:t>
            </w:r>
          </w:p>
        </w:tc>
        <w:tc>
          <w:tcPr>
            <w:tcW w:w="1679" w:type="dxa"/>
            <w:vAlign w:val="center"/>
          </w:tcPr>
          <w:p w14:paraId="4749C8E4">
            <w:pPr>
              <w:keepNext w:val="0"/>
              <w:keepLines w:val="0"/>
              <w:pageBreakBefore w:val="0"/>
              <w:widowControl w:val="0"/>
              <w:kinsoku/>
              <w:wordWrap/>
              <w:overflowPunct w:val="0"/>
              <w:topLinePunct w:val="0"/>
              <w:autoSpaceDE/>
              <w:autoSpaceDN/>
              <w:bidi w:val="0"/>
              <w:adjustRightInd w:val="0"/>
              <w:snapToGrid/>
              <w:spacing w:after="0" w:line="30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highlight w:val="none"/>
              </w:rPr>
              <w:t>汽车运用与维修</w:t>
            </w:r>
          </w:p>
        </w:tc>
      </w:tr>
      <w:bookmarkEnd w:id="0"/>
    </w:tbl>
    <w:p w14:paraId="2B54E290">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五、培养目标</w:t>
      </w:r>
    </w:p>
    <w:p w14:paraId="6AA46969">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color w:val="auto"/>
          <w:sz w:val="32"/>
          <w:szCs w:val="32"/>
          <w:highlight w:val="none"/>
        </w:rPr>
        <w:t>本专业培养能够践行社会主义核心价值观，传承技能文明，德智体美劳全面发展，具有一定的科学文化水平，良好的人文素养、科学素养、数字素养、职业道德创新意识，职业道德和创新意识，精益求精的工匠精神，较强的就业能力和可持续发展的能力，爱岗敬业的职业精神和精益求精的工匠精神，掌握本专业知识和技术技能，具备职业综合素质和行动能力，面向汽车制造业，汽车、摩托车等修理与维护行业的汽车运用工程技术人员、汽车维修工等职业，能够从事汽车维护、汽车机电维修、汽车服务顾问、汽车检测、配件管理、二手车鉴定评估、事故车查勘定损等工作的高技能人才。</w:t>
      </w:r>
    </w:p>
    <w:p w14:paraId="068D420A">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黑体" w:hAnsi="黑体" w:eastAsia="黑体" w:cs="黑体"/>
          <w:color w:val="auto"/>
          <w:sz w:val="32"/>
          <w:szCs w:val="32"/>
          <w:lang w:eastAsia="zh-CN"/>
        </w:rPr>
      </w:pPr>
      <w:r>
        <w:rPr>
          <w:rFonts w:hint="eastAsia" w:ascii="黑体" w:hAnsi="黑体" w:eastAsia="黑体" w:cs="黑体"/>
          <w:color w:val="auto"/>
          <w:sz w:val="32"/>
          <w:szCs w:val="32"/>
          <w:lang w:val="en-US" w:eastAsia="zh-CN"/>
        </w:rPr>
        <w:t>六</w:t>
      </w:r>
      <w:r>
        <w:rPr>
          <w:rFonts w:hint="eastAsia" w:ascii="黑体" w:hAnsi="黑体" w:eastAsia="黑体" w:cs="黑体"/>
          <w:color w:val="auto"/>
          <w:sz w:val="32"/>
          <w:szCs w:val="32"/>
        </w:rPr>
        <w:t>、培养</w:t>
      </w:r>
      <w:r>
        <w:rPr>
          <w:rFonts w:hint="eastAsia" w:ascii="黑体" w:hAnsi="黑体" w:eastAsia="黑体" w:cs="黑体"/>
          <w:color w:val="auto"/>
          <w:sz w:val="32"/>
          <w:szCs w:val="32"/>
          <w:lang w:val="en-US" w:eastAsia="zh-CN"/>
        </w:rPr>
        <w:t>规格</w:t>
      </w:r>
    </w:p>
    <w:p w14:paraId="70CD8C62">
      <w:pPr>
        <w:pStyle w:val="3"/>
        <w:keepNext w:val="0"/>
        <w:keepLines w:val="0"/>
        <w:pageBreakBefore w:val="0"/>
        <w:widowControl w:val="0"/>
        <w:kinsoku/>
        <w:wordWrap/>
        <w:topLinePunct w:val="0"/>
        <w:autoSpaceDE/>
        <w:autoSpaceDN/>
        <w:bidi w:val="0"/>
        <w:snapToGrid/>
        <w:spacing w:after="0" w:line="520" w:lineRule="exact"/>
        <w:ind w:righ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本专业</w:t>
      </w:r>
      <w:r>
        <w:rPr>
          <w:rFonts w:hint="eastAsia" w:ascii="仿宋_GB2312" w:hAnsi="仿宋_GB2312" w:eastAsia="仿宋_GB2312" w:cs="仿宋_GB2312"/>
          <w:b w:val="0"/>
          <w:bCs w:val="0"/>
          <w:color w:val="auto"/>
          <w:sz w:val="32"/>
          <w:szCs w:val="32"/>
          <w:highlight w:val="none"/>
        </w:rPr>
        <w:t>毕业生应在知识</w:t>
      </w:r>
      <w:r>
        <w:rPr>
          <w:rFonts w:hint="eastAsia" w:ascii="仿宋_GB2312" w:hAnsi="仿宋_GB2312" w:eastAsia="仿宋_GB2312" w:cs="仿宋_GB2312"/>
          <w:b w:val="0"/>
          <w:bCs w:val="0"/>
          <w:color w:val="auto"/>
          <w:sz w:val="32"/>
          <w:szCs w:val="32"/>
          <w:highlight w:val="none"/>
          <w:lang w:val="en-US" w:eastAsia="zh-CN"/>
        </w:rPr>
        <w:t>目标</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能力</w:t>
      </w:r>
      <w:r>
        <w:rPr>
          <w:rFonts w:hint="eastAsia" w:ascii="仿宋_GB2312" w:hAnsi="仿宋_GB2312" w:eastAsia="仿宋_GB2312" w:cs="仿宋_GB2312"/>
          <w:b w:val="0"/>
          <w:bCs w:val="0"/>
          <w:color w:val="auto"/>
          <w:sz w:val="32"/>
          <w:szCs w:val="32"/>
          <w:highlight w:val="none"/>
          <w:lang w:val="en-US" w:eastAsia="zh-CN"/>
        </w:rPr>
        <w:t>目标和</w:t>
      </w:r>
      <w:r>
        <w:rPr>
          <w:rFonts w:hint="eastAsia" w:ascii="仿宋_GB2312" w:hAnsi="仿宋_GB2312" w:eastAsia="仿宋_GB2312" w:cs="仿宋_GB2312"/>
          <w:b w:val="0"/>
          <w:bCs w:val="0"/>
          <w:color w:val="auto"/>
          <w:sz w:val="32"/>
          <w:szCs w:val="32"/>
          <w:highlight w:val="none"/>
        </w:rPr>
        <w:t>素质</w:t>
      </w:r>
      <w:r>
        <w:rPr>
          <w:rFonts w:hint="eastAsia" w:ascii="仿宋_GB2312" w:hAnsi="仿宋_GB2312" w:eastAsia="仿宋_GB2312" w:cs="仿宋_GB2312"/>
          <w:b w:val="0"/>
          <w:bCs w:val="0"/>
          <w:color w:val="auto"/>
          <w:sz w:val="32"/>
          <w:szCs w:val="32"/>
          <w:highlight w:val="none"/>
          <w:lang w:val="en-US" w:eastAsia="zh-CN"/>
        </w:rPr>
        <w:t>目标</w:t>
      </w:r>
      <w:r>
        <w:rPr>
          <w:rFonts w:hint="eastAsia" w:ascii="仿宋_GB2312" w:hAnsi="仿宋_GB2312" w:eastAsia="仿宋_GB2312" w:cs="仿宋_GB2312"/>
          <w:b w:val="0"/>
          <w:bCs w:val="0"/>
          <w:color w:val="auto"/>
          <w:sz w:val="32"/>
          <w:szCs w:val="32"/>
          <w:highlight w:val="none"/>
        </w:rPr>
        <w:t>等方面</w:t>
      </w:r>
      <w:r>
        <w:rPr>
          <w:rFonts w:hint="eastAsia" w:ascii="仿宋_GB2312" w:hAnsi="仿宋_GB2312" w:eastAsia="仿宋_GB2312" w:cs="仿宋_GB2312"/>
          <w:color w:val="auto"/>
          <w:sz w:val="32"/>
          <w:szCs w:val="32"/>
          <w:lang w:eastAsia="zh-CN"/>
        </w:rPr>
        <w:t>总体上须达到以下要求：</w:t>
      </w:r>
    </w:p>
    <w:p w14:paraId="3318383D">
      <w:pPr>
        <w:keepNext w:val="0"/>
        <w:keepLines w:val="0"/>
        <w:pageBreakBefore w:val="0"/>
        <w:widowControl w:val="0"/>
        <w:numPr>
          <w:ilvl w:val="0"/>
          <w:numId w:val="1"/>
        </w:numPr>
        <w:kinsoku/>
        <w:wordWrap/>
        <w:overflowPunct w:val="0"/>
        <w:topLinePunct w:val="0"/>
        <w:autoSpaceDE/>
        <w:autoSpaceDN/>
        <w:bidi w:val="0"/>
        <w:adjustRightInd w:val="0"/>
        <w:snapToGrid/>
        <w:spacing w:after="0" w:line="520" w:lineRule="exact"/>
        <w:ind w:right="0" w:rightChars="0" w:firstLine="640" w:firstLineChars="200"/>
        <w:textAlignment w:val="auto"/>
        <w:outlineLvl w:val="0"/>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rPr>
        <w:t>知识</w:t>
      </w:r>
      <w:r>
        <w:rPr>
          <w:rFonts w:hint="eastAsia" w:ascii="楷体" w:hAnsi="楷体" w:eastAsia="楷体" w:cs="楷体"/>
          <w:color w:val="auto"/>
          <w:sz w:val="32"/>
          <w:szCs w:val="32"/>
          <w:lang w:val="en-US" w:eastAsia="zh-CN"/>
        </w:rPr>
        <w:t>目标</w:t>
      </w:r>
    </w:p>
    <w:p w14:paraId="00AD6232">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 xml:space="preserve">1.掌握汽车机械识图、汽车机械基础、汽车电工电子、汽车构造、汽车维护、车载网 络技术、汽车检测与故障诊断、汽车维修业务接待、沟通技巧及投诉处理等方面的专业基础 理论知识； </w:t>
      </w:r>
    </w:p>
    <w:p w14:paraId="6273414E">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 xml:space="preserve">2.掌握汽车检修工具设备管理的技术技能，具有正确使用和维护汽车检修常用仪器设备的能力； </w:t>
      </w:r>
    </w:p>
    <w:p w14:paraId="74F409B0">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 xml:space="preserve">3.掌握汽车发动机、底盘、电气等总成及其零部件维护的技术技能，具有汽车维护的 能力； </w:t>
      </w:r>
    </w:p>
    <w:p w14:paraId="04B6D857">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 xml:space="preserve">4.掌握汽车的动力性、经济性、制动性、操纵稳定性、排放性等性能检测的基本技术技能，具有一定的汽车性能检测能力； </w:t>
      </w:r>
    </w:p>
    <w:p w14:paraId="6FFD2883">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 xml:space="preserve">5.掌握汽车发动机、底盘、电气、车载网络系统的检查、调整、拆装、修理的技术技能，具有汽车故障诊断与排除的能力； </w:t>
      </w:r>
    </w:p>
    <w:p w14:paraId="01FD8EAF">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6.掌握按规范流程进行维修预约、接待检验、制单派工、结算交车等技术技能，具有 汽车维修业务接待和业务管理的能力；</w:t>
      </w:r>
    </w:p>
    <w:p w14:paraId="3F7F1C69">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7.掌握汽车质量评审与检验的相关知识；</w:t>
      </w:r>
    </w:p>
    <w:p w14:paraId="17F1FC29">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8.掌握汽车性能检测及故障诊断相关知识；</w:t>
      </w:r>
    </w:p>
    <w:p w14:paraId="6C4A57D9">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9.掌握节能与新能源相关知识；</w:t>
      </w:r>
    </w:p>
    <w:p w14:paraId="7F1DBBE5">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10.掌握新能源汽车的组成、工作原理及使用维护等相关知识；</w:t>
      </w:r>
    </w:p>
    <w:p w14:paraId="10F4B316">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11.了解汽车制造相关的国家标准和国际标准；</w:t>
      </w:r>
    </w:p>
    <w:p w14:paraId="4AC974E7">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12.了解汽车销售、保险和理赔、旧车鉴定和维修企业管理等相关知识；</w:t>
      </w:r>
    </w:p>
    <w:p w14:paraId="682AD204">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楷体" w:hAnsi="楷体" w:eastAsia="楷体" w:cs="楷体"/>
          <w:color w:val="auto"/>
          <w:sz w:val="32"/>
          <w:szCs w:val="32"/>
          <w:lang w:val="en-US" w:eastAsia="zh-CN"/>
        </w:rPr>
      </w:pPr>
      <w:r>
        <w:rPr>
          <w:rFonts w:hint="eastAsia" w:ascii="仿宋_GB2312" w:hAnsi="仿宋_GB2312" w:eastAsia="仿宋_GB2312" w:cs="仿宋_GB2312"/>
          <w:b w:val="0"/>
          <w:bCs w:val="0"/>
          <w:color w:val="auto"/>
          <w:sz w:val="32"/>
          <w:szCs w:val="32"/>
          <w:highlight w:val="none"/>
          <w:lang w:val="en-US" w:eastAsia="zh-CN"/>
        </w:rPr>
        <w:t>13.了解车身表面修复方法与要求。</w:t>
      </w:r>
    </w:p>
    <w:p w14:paraId="2991D529">
      <w:pPr>
        <w:keepNext w:val="0"/>
        <w:keepLines w:val="0"/>
        <w:pageBreakBefore w:val="0"/>
        <w:widowControl w:val="0"/>
        <w:kinsoku/>
        <w:wordWrap/>
        <w:overflowPunct w:val="0"/>
        <w:topLinePunct w:val="0"/>
        <w:autoSpaceDE/>
        <w:autoSpaceDN/>
        <w:bidi w:val="0"/>
        <w:adjustRightInd w:val="0"/>
        <w:snapToGrid/>
        <w:spacing w:after="0" w:line="520" w:lineRule="exact"/>
        <w:ind w:right="0" w:firstLine="640" w:firstLineChars="200"/>
        <w:textAlignment w:val="auto"/>
        <w:outlineLvl w:val="0"/>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二</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能力</w:t>
      </w:r>
      <w:r>
        <w:rPr>
          <w:rFonts w:hint="eastAsia" w:ascii="楷体" w:hAnsi="楷体" w:eastAsia="楷体" w:cs="楷体"/>
          <w:color w:val="auto"/>
          <w:sz w:val="32"/>
          <w:szCs w:val="32"/>
          <w:lang w:val="en-US" w:eastAsia="zh-CN"/>
        </w:rPr>
        <w:t>目标</w:t>
      </w:r>
    </w:p>
    <w:p w14:paraId="65670F20">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 xml:space="preserve">1.掌握支撑本专业学习和可持续发展必备的语文、数学、外语（英语等）、信息技术等 文化基础知识，具有良好的人文素养与科学素养，具备职业生涯规划能力； </w:t>
      </w:r>
    </w:p>
    <w:p w14:paraId="32546C2F">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2.具有良好的语言表达能力、文字表达能力、沟通合作能力，具有较强的集体意识和 团队合作意识，学习1 门外语并结合本专业加以运用；</w:t>
      </w:r>
    </w:p>
    <w:p w14:paraId="21CA65BE">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 xml:space="preserve">3.掌握与客户沟通的技巧技能，具有良好的解决客户投诉问题的能力； </w:t>
      </w:r>
    </w:p>
    <w:p w14:paraId="6975EDE3">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 xml:space="preserve">4.掌握搜索、整理信息资料的基本技术技能，具有查阅、运用汽车维修资料的能力； </w:t>
      </w:r>
    </w:p>
    <w:p w14:paraId="36F59849">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5.掌握信息技术基础知识，具有适应本行业数字化和智能化发展需求的数字技能；</w:t>
      </w:r>
    </w:p>
    <w:p w14:paraId="31C6F58E">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6.具备参照国家质量标准、国际标准和汽车制造商质量规定进行汽车质量评审与检验的能力；</w:t>
      </w:r>
    </w:p>
    <w:p w14:paraId="27E0747C">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7.具备制定维修方案，排除汽车综合故障的能力；</w:t>
      </w:r>
    </w:p>
    <w:p w14:paraId="3C880EC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 xml:space="preserve">8.具有探究学习、终身学习和可持续发展的能力，具有整合知识和综合运用知识分析 3 问题和解决问题的能力； </w:t>
      </w:r>
    </w:p>
    <w:p w14:paraId="6E5FF8DE">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 xml:space="preserve">9.掌握身体运动的基本知识和至少 1 项体育运动技能，达到国家大学生体质健康测试合格标准，养成良好的运动习惯、卫生习惯和行为习惯；具备一定的心理调适能力；  </w:t>
      </w:r>
    </w:p>
    <w:p w14:paraId="56121741">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lang w:val="en-US" w:eastAsia="zh-CN"/>
        </w:rPr>
      </w:pPr>
      <w:r>
        <w:rPr>
          <w:rFonts w:hint="eastAsia" w:ascii="仿宋_GB2312" w:hAnsi="仿宋_GB2312" w:eastAsia="仿宋_GB2312" w:cs="仿宋_GB2312"/>
          <w:b w:val="0"/>
          <w:bCs w:val="0"/>
          <w:color w:val="auto"/>
          <w:sz w:val="32"/>
          <w:szCs w:val="32"/>
          <w:highlight w:val="none"/>
          <w:lang w:val="en-US" w:eastAsia="zh-CN"/>
        </w:rPr>
        <w:t xml:space="preserve">10.掌握必备的美育知识，具有一定的文化修养、审美能力，形成至少 1 项艺术特长或爱好； </w:t>
      </w:r>
    </w:p>
    <w:p w14:paraId="7737F295">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三</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素质</w:t>
      </w:r>
      <w:r>
        <w:rPr>
          <w:rFonts w:hint="eastAsia" w:ascii="楷体" w:hAnsi="楷体" w:eastAsia="楷体" w:cs="楷体"/>
          <w:color w:val="auto"/>
          <w:sz w:val="32"/>
          <w:szCs w:val="32"/>
          <w:lang w:val="en-US" w:eastAsia="zh-CN"/>
        </w:rPr>
        <w:t>目标</w:t>
      </w:r>
    </w:p>
    <w:p w14:paraId="341E3F95">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1.坚定拥护中国共产党领导和中国特色社会主义制度，以习近平新时代中国特色社会主义思想为指导，践行社会主义核心价值观，具有坚定的理想信念、深厚的爱国情感和中华 民族自豪感；</w:t>
      </w:r>
    </w:p>
    <w:p w14:paraId="45CD4F98">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掌握与本专业对应职业活动相关的国家法律、行业规定，掌握绿色生产、环境保护、安全防护、质量管理等相关知识与技能，了解相关行业文化，具有爱岗敬业的职业精神，遵守职业道德准则和行为规范，具备社会责任感和担当精神；</w:t>
      </w:r>
    </w:p>
    <w:p w14:paraId="5BF8E52D">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3.树立正确的劳动观，尊重劳动，热爱劳动，具备与本专业职业发展相适应的劳 动素养，弘扬劳模精神、劳动精神、工匠精神，弘扬劳动光荣、技能宝贵、创造伟大的时 代风尚。</w:t>
      </w:r>
    </w:p>
    <w:p w14:paraId="26CCE559">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4.崇尚宪法、遵法守纪、崇德向善、诚实守信、尊重生命、热爱劳动，履行道德准则和行为规范，具有社会责任感和社会参与意识。</w:t>
      </w:r>
    </w:p>
    <w:p w14:paraId="29AEDE3C">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5.具有质量意识、环保意识、安全意识、信息素养、工匠精神、创新思维。</w:t>
      </w:r>
    </w:p>
    <w:p w14:paraId="7A44AAD6">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color w:val="auto"/>
          <w:sz w:val="32"/>
          <w:szCs w:val="32"/>
          <w:highlight w:val="none"/>
          <w:lang w:val="en-US" w:eastAsia="zh-CN"/>
        </w:rPr>
        <w:t>6.勇于奋斗、乐观向上，具有自我管理能力、职业生涯规划的意识，有较强的集体意识和团队合作精神。</w:t>
      </w:r>
      <w:bookmarkStart w:id="1" w:name="_Toc90734991"/>
    </w:p>
    <w:p w14:paraId="65BD097B">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000000" w:themeColor="text1"/>
          <w:sz w:val="32"/>
          <w:szCs w:val="32"/>
          <w:highlight w:val="none"/>
          <w:lang w:val="en-US" w:eastAsia="zh-CN"/>
          <w14:textFill>
            <w14:solidFill>
              <w14:schemeClr w14:val="tx1"/>
            </w14:solidFill>
          </w14:textFill>
        </w:rPr>
      </w:pPr>
      <w:r>
        <w:rPr>
          <w:rFonts w:hint="eastAsia" w:ascii="黑体" w:hAnsi="黑体" w:eastAsia="黑体" w:cs="黑体"/>
          <w:color w:val="000000" w:themeColor="text1"/>
          <w:sz w:val="32"/>
          <w:szCs w:val="32"/>
          <w:highlight w:val="none"/>
          <w:lang w:val="en-US" w:eastAsia="zh-CN"/>
          <w14:textFill>
            <w14:solidFill>
              <w14:schemeClr w14:val="tx1"/>
            </w14:solidFill>
          </w14:textFill>
        </w:rPr>
        <w:t>七</w:t>
      </w:r>
      <w:r>
        <w:rPr>
          <w:rFonts w:hint="eastAsia" w:ascii="黑体" w:hAnsi="黑体" w:eastAsia="黑体" w:cs="黑体"/>
          <w:color w:val="000000" w:themeColor="text1"/>
          <w:sz w:val="32"/>
          <w:szCs w:val="32"/>
          <w:highlight w:val="none"/>
          <w14:textFill>
            <w14:solidFill>
              <w14:schemeClr w14:val="tx1"/>
            </w14:solidFill>
          </w14:textFill>
        </w:rPr>
        <w:t>、课程设置</w:t>
      </w:r>
    </w:p>
    <w:p w14:paraId="2FC56AA5">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主要包括公共基础课程和专业课程。</w:t>
      </w:r>
    </w:p>
    <w:p w14:paraId="62EC0B4F">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000000" w:themeColor="text1"/>
          <w:sz w:val="32"/>
          <w:szCs w:val="32"/>
          <w:highlight w:val="none"/>
          <w14:textFill>
            <w14:solidFill>
              <w14:schemeClr w14:val="tx1"/>
            </w14:solidFill>
          </w14:textFill>
        </w:rPr>
      </w:pPr>
      <w:r>
        <w:rPr>
          <w:rFonts w:hint="eastAsia" w:ascii="楷体" w:hAnsi="楷体" w:eastAsia="楷体" w:cs="楷体"/>
          <w:color w:val="000000" w:themeColor="text1"/>
          <w:sz w:val="32"/>
          <w:szCs w:val="32"/>
          <w:highlight w:val="none"/>
          <w14:textFill>
            <w14:solidFill>
              <w14:schemeClr w14:val="tx1"/>
            </w14:solidFill>
          </w14:textFill>
        </w:rPr>
        <w:t>（一）公共基础课程</w:t>
      </w:r>
    </w:p>
    <w:p w14:paraId="4418E218">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pPr>
      <w:bookmarkStart w:id="2" w:name="_Toc90734974"/>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分为公共必修课和公共选修课。</w:t>
      </w:r>
    </w:p>
    <w:p w14:paraId="17E4A0DB">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b w:val="0"/>
          <w:bCs w:val="0"/>
          <w:color w:val="auto"/>
          <w:sz w:val="32"/>
          <w:szCs w:val="32"/>
          <w:highlight w:val="none"/>
          <w:lang w:eastAsia="zh-CN"/>
        </w:rPr>
        <w:t>必修</w:t>
      </w:r>
      <w:r>
        <w:rPr>
          <w:rFonts w:hint="eastAsia" w:ascii="仿宋_GB2312" w:hAnsi="仿宋_GB2312" w:eastAsia="仿宋_GB2312" w:cs="仿宋_GB2312"/>
          <w:b w:val="0"/>
          <w:bCs w:val="0"/>
          <w:color w:val="auto"/>
          <w:sz w:val="32"/>
          <w:szCs w:val="32"/>
          <w:highlight w:val="none"/>
        </w:rPr>
        <w:t>课程包括</w:t>
      </w:r>
      <w:bookmarkEnd w:id="2"/>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思想道德与法治</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形势与政策</w:t>
      </w:r>
      <w:r>
        <w:rPr>
          <w:rFonts w:hint="eastAsia" w:ascii="仿宋_GB2312" w:hAnsi="仿宋_GB2312" w:eastAsia="仿宋_GB2312" w:cs="仿宋_GB2312"/>
          <w:b w:val="0"/>
          <w:bCs w:val="0"/>
          <w:color w:val="auto"/>
          <w:sz w:val="32"/>
          <w:szCs w:val="32"/>
          <w:highlight w:val="none"/>
          <w:lang w:eastAsia="zh-CN"/>
        </w:rPr>
        <w:t>、国家安全教育、</w:t>
      </w:r>
      <w:r>
        <w:rPr>
          <w:rFonts w:hint="eastAsia" w:ascii="仿宋_GB2312" w:hAnsi="仿宋_GB2312" w:eastAsia="仿宋_GB2312" w:cs="仿宋_GB2312"/>
          <w:b w:val="0"/>
          <w:bCs w:val="0"/>
          <w:color w:val="auto"/>
          <w:sz w:val="32"/>
          <w:szCs w:val="32"/>
          <w:highlight w:val="none"/>
        </w:rPr>
        <w:t>军事理论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军训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计算机基础</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高等数学</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大学英语</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大学</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体育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大学生职业发展与就业指导</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大学生心理健康教育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、劳动教育、</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毛泽东思想和中国特色社会主义理论体系概论</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创新创业教育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习近平新时代中国特色社会主义思想概论</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p>
    <w:p w14:paraId="6E17363E">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default"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选修课程包括：</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中国民俗剪纸技法</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影视与鉴赏</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中国共产党简史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中华人民共和国简史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改革开放简史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社会主义发展简史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、中华优秀传统文化、中华民族共同体概论、</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语文、物理、化学。</w:t>
      </w:r>
    </w:p>
    <w:p w14:paraId="056394BC">
      <w:pPr>
        <w:overflowPunct w:val="0"/>
        <w:adjustRightInd w:val="0"/>
        <w:spacing w:line="520" w:lineRule="exact"/>
        <w:ind w:firstLine="640" w:firstLineChars="200"/>
        <w:jc w:val="center"/>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表2公共基础课</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课程目标、主要教学内容与要求</w:t>
      </w:r>
    </w:p>
    <w:tbl>
      <w:tblPr>
        <w:tblStyle w:val="7"/>
        <w:tblW w:w="107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
        <w:gridCol w:w="752"/>
        <w:gridCol w:w="3928"/>
        <w:gridCol w:w="2960"/>
        <w:gridCol w:w="2626"/>
      </w:tblGrid>
      <w:tr w14:paraId="73F8A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70E8C2F6">
            <w:pPr>
              <w:spacing w:line="360" w:lineRule="exact"/>
              <w:jc w:val="center"/>
              <w:rPr>
                <w:rFonts w:hint="eastAsia" w:ascii="仿宋_GB2312" w:hAnsi="仿宋_GB2312" w:eastAsia="仿宋_GB2312" w:cs="仿宋_GB2312"/>
                <w:color w:val="000000" w:themeColor="text1"/>
                <w:sz w:val="24"/>
                <w:szCs w:val="24"/>
                <w:highlight w:val="none"/>
                <w14:textFill>
                  <w14:solidFill>
                    <w14:schemeClr w14:val="tx1"/>
                  </w14:solidFill>
                </w14:textFill>
              </w:rPr>
            </w:pPr>
            <w:bookmarkStart w:id="3" w:name="_Toc2022"/>
            <w:bookmarkStart w:id="4" w:name="_Toc90734979"/>
            <w:r>
              <w:rPr>
                <w:rFonts w:hint="eastAsia" w:ascii="仿宋_GB2312" w:hAnsi="仿宋_GB2312" w:eastAsia="仿宋_GB2312" w:cs="仿宋_GB2312"/>
                <w:color w:val="000000" w:themeColor="text1"/>
                <w:sz w:val="24"/>
                <w:szCs w:val="24"/>
                <w:highlight w:val="none"/>
                <w14:textFill>
                  <w14:solidFill>
                    <w14:schemeClr w14:val="tx1"/>
                  </w14:solidFill>
                </w14:textFill>
              </w:rPr>
              <w:t>序号</w:t>
            </w:r>
          </w:p>
        </w:tc>
        <w:tc>
          <w:tcPr>
            <w:tcW w:w="752" w:type="dxa"/>
            <w:vAlign w:val="center"/>
          </w:tcPr>
          <w:p w14:paraId="196D953B">
            <w:pPr>
              <w:spacing w:line="360" w:lineRule="exact"/>
              <w:jc w:val="center"/>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课程名称</w:t>
            </w:r>
          </w:p>
        </w:tc>
        <w:tc>
          <w:tcPr>
            <w:tcW w:w="3928" w:type="dxa"/>
            <w:vAlign w:val="center"/>
          </w:tcPr>
          <w:p w14:paraId="081EA173">
            <w:pPr>
              <w:spacing w:line="360" w:lineRule="exact"/>
              <w:jc w:val="center"/>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w:t>
            </w:r>
            <w:r>
              <w:rPr>
                <w:rFonts w:hint="eastAsia" w:ascii="仿宋_GB2312" w:hAnsi="仿宋_GB2312" w:eastAsia="仿宋_GB2312" w:cs="仿宋_GB2312"/>
                <w:color w:val="000000" w:themeColor="text1"/>
                <w:sz w:val="24"/>
                <w:szCs w:val="24"/>
                <w:highlight w:val="none"/>
                <w14:textFill>
                  <w14:solidFill>
                    <w14:schemeClr w14:val="tx1"/>
                  </w14:solidFill>
                </w14:textFill>
              </w:rPr>
              <w:t>目标</w:t>
            </w:r>
          </w:p>
        </w:tc>
        <w:tc>
          <w:tcPr>
            <w:tcW w:w="2960" w:type="dxa"/>
            <w:vAlign w:val="center"/>
          </w:tcPr>
          <w:p w14:paraId="53A78CC6">
            <w:pPr>
              <w:spacing w:line="360" w:lineRule="exact"/>
              <w:jc w:val="center"/>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主要</w:t>
            </w:r>
            <w:r>
              <w:rPr>
                <w:rFonts w:hint="eastAsia" w:ascii="仿宋_GB2312" w:hAnsi="仿宋_GB2312" w:eastAsia="仿宋_GB2312" w:cs="仿宋_GB2312"/>
                <w:color w:val="000000" w:themeColor="text1"/>
                <w:sz w:val="24"/>
                <w:szCs w:val="24"/>
                <w:highlight w:val="none"/>
                <w14:textFill>
                  <w14:solidFill>
                    <w14:schemeClr w14:val="tx1"/>
                  </w14:solidFill>
                </w14:textFill>
              </w:rPr>
              <w:t>教学内容</w:t>
            </w:r>
          </w:p>
        </w:tc>
        <w:tc>
          <w:tcPr>
            <w:tcW w:w="2626" w:type="dxa"/>
            <w:vAlign w:val="center"/>
          </w:tcPr>
          <w:p w14:paraId="076632ED">
            <w:pPr>
              <w:spacing w:line="360" w:lineRule="exact"/>
              <w:jc w:val="center"/>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教学要求</w:t>
            </w:r>
          </w:p>
        </w:tc>
      </w:tr>
      <w:tr w14:paraId="0CA338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4" w:hRule="atLeast"/>
          <w:jc w:val="center"/>
        </w:trPr>
        <w:tc>
          <w:tcPr>
            <w:tcW w:w="507" w:type="dxa"/>
            <w:vAlign w:val="center"/>
          </w:tcPr>
          <w:p w14:paraId="3B22FC0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1</w:t>
            </w:r>
          </w:p>
        </w:tc>
        <w:tc>
          <w:tcPr>
            <w:tcW w:w="752" w:type="dxa"/>
            <w:vAlign w:val="center"/>
          </w:tcPr>
          <w:p w14:paraId="4414C51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思想道德与法治</w:t>
            </w:r>
          </w:p>
        </w:tc>
        <w:tc>
          <w:tcPr>
            <w:tcW w:w="3928" w:type="dxa"/>
            <w:vAlign w:val="top"/>
          </w:tcPr>
          <w:p w14:paraId="67A5493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系统掌握本课程的基本原理和理论，了解新时代、人生观、远大理想、中国精神、社会</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主义</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核心价值观、道德规范、法治等相关内容，构建起个人与国家、社会，个人与职业、婚姻家庭之间命运共同体内在关联的 科学认知体系。</w:t>
            </w:r>
          </w:p>
          <w:p w14:paraId="4B8976A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能够运用基本原理和理论分析判断是非、明辨善恶；认真审视和正视自身言行举止，弃“恶”扬善，从“我”做起、从日常小事做起、从现在做起，逐渐养成自觉践行社会主义核心价值观的习惯。</w:t>
            </w:r>
          </w:p>
          <w:p w14:paraId="791B9F2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以习近平新时代中国特色社会主义思想为指导，以引导大学生成长为担当民族复兴大任的时代新人为着眼点，以新时代对青年大学生的新要求为切入点，以人生选择、理想信念、价值观念、道德觉悟、法治素养等为主体内容，以提升大学生思想道德素养和法治素养为目标，教育和激励大学生立大志、明大德、成大才、担大任，在实现中国梦的生动实践中放飞青春梦想，成为自觉担当民族复兴大任的时代新人。</w:t>
            </w:r>
          </w:p>
        </w:tc>
        <w:tc>
          <w:tcPr>
            <w:tcW w:w="2960" w:type="dxa"/>
            <w:vAlign w:val="top"/>
          </w:tcPr>
          <w:p w14:paraId="3F421D9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本课程包括三大知识模块：一是思想政治教育，包括绪论、第一至四章，旨在引导帮助大学生树立正确的人生观，确立科学的理想信念，弘扬以爱国主义为核心的民族精神和以改革创新为核心的时代精神，积极培育</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和</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践行社会主义核心价值观。二是道德教育，包括第五章，旨在帮助大学生理解道德的本质和作用，继承中华民族优秀美德和中国革命道德，遵循社会主义道德核心和原则，遵守道德规范，提升个人品德。三是法治教育，包括第六章，主要帮助大学生了解法律特别是社会主义法律的特征和运行，掌握以宪法为核心的中国特色社会主义法律体系的基本内容，领会坚持走中国特色社会主义法治道路的基本原则，引导大学生积极培养法治思维，合理行使法律规定的权利和义务。</w:t>
            </w:r>
          </w:p>
        </w:tc>
        <w:tc>
          <w:tcPr>
            <w:tcW w:w="2626" w:type="dxa"/>
            <w:vAlign w:val="top"/>
          </w:tcPr>
          <w:p w14:paraId="4959BD7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shd w:val="clear" w:color="auto" w:fill="FFFFFF"/>
                <w14:textFill>
                  <w14:solidFill>
                    <w14:schemeClr w14:val="tx1"/>
                  </w14:solidFill>
                </w14:textFill>
              </w:rPr>
            </w:pPr>
            <w:r>
              <w:rPr>
                <w:rFonts w:hint="eastAsia" w:ascii="仿宋_GB2312" w:hAnsi="仿宋_GB2312" w:eastAsia="仿宋_GB2312" w:cs="仿宋_GB2312"/>
                <w:color w:val="000000" w:themeColor="text1"/>
                <w:sz w:val="24"/>
                <w:szCs w:val="24"/>
                <w:highlight w:val="none"/>
                <w:shd w:val="clear" w:color="auto" w:fill="FFFFFF"/>
                <w14:textFill>
                  <w14:solidFill>
                    <w14:schemeClr w14:val="tx1"/>
                  </w14:solidFill>
                </w14:textFill>
              </w:rPr>
              <w:t>通</w:t>
            </w:r>
            <w:r>
              <w:rPr>
                <w:rFonts w:hint="eastAsia" w:ascii="仿宋_GB2312" w:hAnsi="仿宋_GB2312" w:eastAsia="仿宋_GB2312" w:cs="仿宋_GB2312"/>
                <w:color w:val="000000" w:themeColor="text1"/>
                <w:sz w:val="24"/>
                <w:szCs w:val="24"/>
                <w:highlight w:val="none"/>
                <w:shd w:val="clear" w:color="auto" w:fill="FFFFFF"/>
                <w:lang w:val="en-US" w:eastAsia="zh-CN"/>
                <w14:textFill>
                  <w14:solidFill>
                    <w14:schemeClr w14:val="tx1"/>
                  </w14:solidFill>
                </w14:textFill>
              </w:rPr>
              <w:t>过</w:t>
            </w:r>
            <w:r>
              <w:rPr>
                <w:rFonts w:hint="eastAsia" w:ascii="仿宋_GB2312" w:hAnsi="仿宋_GB2312" w:eastAsia="仿宋_GB2312" w:cs="仿宋_GB2312"/>
                <w:color w:val="000000" w:themeColor="text1"/>
                <w:sz w:val="24"/>
                <w:szCs w:val="24"/>
                <w:highlight w:val="none"/>
                <w:shd w:val="clear" w:color="auto" w:fill="FFFFFF"/>
                <w14:textFill>
                  <w14:solidFill>
                    <w14:schemeClr w14:val="tx1"/>
                  </w14:solidFill>
                </w14:textFill>
              </w:rPr>
              <w:t>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14:paraId="5172A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04B304A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w:t>
            </w:r>
          </w:p>
        </w:tc>
        <w:tc>
          <w:tcPr>
            <w:tcW w:w="752" w:type="dxa"/>
            <w:shd w:val="clear" w:color="auto" w:fill="auto"/>
            <w:vAlign w:val="center"/>
          </w:tcPr>
          <w:p w14:paraId="4E30BD1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形势与政策</w:t>
            </w:r>
          </w:p>
        </w:tc>
        <w:tc>
          <w:tcPr>
            <w:tcW w:w="3928" w:type="dxa"/>
            <w:shd w:val="clear" w:color="auto" w:fill="auto"/>
            <w:vAlign w:val="top"/>
          </w:tcPr>
          <w:p w14:paraId="3E25CDC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引导和帮助学生掌握认识形势与政策问题的基本理论和基础知识，包括科学分析形势与政策的方法论、形势发展变化的规律、政策的产生和发展、政策的本质和特征等基础知识；了解国内外重大事件和热点</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难点问题，紧跟时代脉搏，融入变革潮流；重点是了解</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党的二十</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大以来形成的一系列政策体系，理解党的路线、方针、政策的正确性。</w:t>
            </w:r>
          </w:p>
          <w:p w14:paraId="79DC083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培养学生掌握正确分析形势和理解政策的能力，特别是对国内外重大事件、敏感问题、社会热点、难点、疑点问题的思考、分析和判断能力。</w:t>
            </w:r>
          </w:p>
          <w:p w14:paraId="43433E5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使学生感知国情民意，体会党的路线方针政策的正确，把对形势与政策的认识统一到党和国家的科学判断上和正确决策上，</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不断增强</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“四个意识”</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坚定“四个自信”</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做到“两个维护”，为实现中华民族伟大复兴而发奋学习。</w:t>
            </w:r>
          </w:p>
        </w:tc>
        <w:tc>
          <w:tcPr>
            <w:tcW w:w="2960" w:type="dxa"/>
            <w:shd w:val="clear" w:color="auto" w:fill="auto"/>
            <w:vAlign w:val="top"/>
          </w:tcPr>
          <w:p w14:paraId="60060D3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根据</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新时代面临的新情况新问题，针对学生关注的热点问题和思想特点，</w:t>
            </w:r>
            <w:r>
              <w:rPr>
                <w:rFonts w:hint="eastAsia" w:ascii="仿宋_GB2312" w:hAnsi="仿宋_GB2312" w:eastAsia="仿宋_GB2312" w:cs="仿宋_GB2312"/>
                <w:color w:val="000000" w:themeColor="text1"/>
                <w:sz w:val="24"/>
                <w:szCs w:val="24"/>
                <w:highlight w:val="none"/>
                <w14:textFill>
                  <w14:solidFill>
                    <w14:schemeClr w14:val="tx1"/>
                  </w14:solidFill>
                </w14:textFill>
              </w:rPr>
              <w:t>涵盖国际形势、国内形势、社会热点、国家政策等</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内容</w:t>
            </w:r>
            <w:r>
              <w:rPr>
                <w:rFonts w:hint="eastAsia" w:ascii="仿宋_GB2312" w:hAnsi="仿宋_GB2312" w:eastAsia="仿宋_GB2312" w:cs="仿宋_GB2312"/>
                <w:color w:val="000000" w:themeColor="text1"/>
                <w:sz w:val="24"/>
                <w:szCs w:val="24"/>
                <w:highlight w:val="none"/>
                <w14:textFill>
                  <w14:solidFill>
                    <w14:schemeClr w14:val="tx1"/>
                  </w14:solidFill>
                </w14:textFill>
              </w:rPr>
              <w:t>。通过学习，学生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626" w:type="dxa"/>
            <w:shd w:val="clear" w:color="auto" w:fill="auto"/>
            <w:vAlign w:val="top"/>
          </w:tcPr>
          <w:p w14:paraId="2B37077D">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24"/>
                <w:szCs w:val="24"/>
                <w:highlight w:val="none"/>
                <w:lang w:val="en-US" w:eastAsia="zh-CN" w:bidi="ar"/>
                <w14:textFill>
                  <w14:solidFill>
                    <w14:schemeClr w14:val="tx1"/>
                  </w14:solidFill>
                </w14:textFill>
              </w:rPr>
              <w:t>按照中宣部、教育部每年每学期颁发的形势与政策课教学要点、要求和内容，对指定的专题进行教学。</w:t>
            </w:r>
            <w:r>
              <w:rPr>
                <w:rFonts w:hint="eastAsia" w:ascii="仿宋_GB2312" w:hAnsi="仿宋_GB2312" w:eastAsia="仿宋_GB2312" w:cs="仿宋_GB2312"/>
                <w:color w:val="000000" w:themeColor="text1"/>
                <w:sz w:val="24"/>
                <w:szCs w:val="24"/>
                <w:highlight w:val="none"/>
                <w14:textFill>
                  <w14:solidFill>
                    <w14:schemeClr w14:val="tx1"/>
                  </w14:solidFill>
                </w14:textFill>
              </w:rPr>
              <w:t>教师采取混合式教学和学生研讨，聚焦社会热点、回应学生关切问题，提高学生运用马克思主义理论的立场观点方法解决实际问题的能力，提高政治辨别力，紧密围绕在以习近平同志为核心的党中央周围，奋进新征程。</w:t>
            </w:r>
          </w:p>
        </w:tc>
      </w:tr>
      <w:tr w14:paraId="1C742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3D91393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3</w:t>
            </w:r>
          </w:p>
        </w:tc>
        <w:tc>
          <w:tcPr>
            <w:tcW w:w="752" w:type="dxa"/>
            <w:shd w:val="clear" w:color="auto" w:fill="auto"/>
            <w:vAlign w:val="center"/>
          </w:tcPr>
          <w:p w14:paraId="083D647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国家安全教育</w:t>
            </w:r>
          </w:p>
        </w:tc>
        <w:tc>
          <w:tcPr>
            <w:tcW w:w="3928" w:type="dxa"/>
            <w:shd w:val="clear" w:color="auto" w:fill="auto"/>
            <w:vAlign w:val="top"/>
          </w:tcPr>
          <w:p w14:paraId="388AD80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让学生系统掌握总体国家安全观的内涵和精神实质，理解中国特色国家安全体系，新时代我国国家安全面临的复杂形势，掌握筑牢其他各领域国家安全屏障的具体方法和途径。</w:t>
            </w:r>
          </w:p>
          <w:p w14:paraId="53E7442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w:t>
            </w:r>
            <w:r>
              <w:rPr>
                <w:rFonts w:hint="eastAsia" w:ascii="仿宋_GB2312" w:hAnsi="仿宋_GB2312" w:eastAsia="仿宋_GB2312" w:cs="仿宋_GB2312"/>
                <w:b/>
                <w:bCs/>
                <w:color w:val="000000" w:themeColor="text1"/>
                <w:sz w:val="24"/>
                <w:szCs w:val="24"/>
                <w:highlight w:val="none"/>
                <w14:textFill>
                  <w14:solidFill>
                    <w14:schemeClr w14:val="tx1"/>
                  </w14:solidFill>
                </w14:textFill>
              </w:rPr>
              <w:t>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能够建立总体国家安全观，树立中国特色社会主义理想信念，能够做到国家利益至上，维护国家主权、安全和发展利益，能够维护国家正当权益，绝不牺牲国家核心利益；</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能够</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增强政治认同，不信谣、不传谣，能够对危害政治安全的违法行为进行举报；能够以实际行动维护</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国家</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安全；</w:t>
            </w:r>
          </w:p>
          <w:p w14:paraId="6C3077B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能够自觉遵守法律，做到诚实守信、廉洁自律；学会合作，为人正派，具有良好的协作、沟通能力和团队精神；严守法纪，坚持原则，自觉践行社会主义核心价值观。树立国家安全意识，培养爱国精神，使其矢志不渝听党话、跟党走，不断成为社会主义合格建设者和可靠接班人。</w:t>
            </w:r>
          </w:p>
          <w:p w14:paraId="095A71E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提升学生的国家安全意识，培养学生将理论知识与实践相结合的能力，引导学生运用马克思主义的立场、观点、方法以及总体国家安全观，构建起维护国家安全的实践能力。使学生树立国家安全底线思维，将国家安全意识转化为自觉行动，强化责任担当。</w:t>
            </w:r>
          </w:p>
        </w:tc>
        <w:tc>
          <w:tcPr>
            <w:tcW w:w="2960" w:type="dxa"/>
            <w:shd w:val="clear" w:color="auto" w:fill="auto"/>
            <w:vAlign w:val="top"/>
          </w:tcPr>
          <w:p w14:paraId="6BC1514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本课程包含国家安全绪论、政治安全、国土安全、军事安全、经济安全、文化安全、社会安全、科技安全。通过教学，使学生树立国家安全意识，培养学生爱国精神，使其矢志不渝听党话、跟党走，不断成为社会主义合格建设者和可靠接班人。</w:t>
            </w:r>
          </w:p>
        </w:tc>
        <w:tc>
          <w:tcPr>
            <w:tcW w:w="2626" w:type="dxa"/>
            <w:shd w:val="clear" w:color="auto" w:fill="auto"/>
            <w:vAlign w:val="top"/>
          </w:tcPr>
          <w:p w14:paraId="14B6B22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本课程以坚持总体国家安全观为科学指导，坚持党对国家安全教育的绝对领导，坚持以构建国家安全教育体系为途径，重点围绕理解中华民族命运与国家关系，践行总体国家安全观。学生系统掌握总体国家安全观的内涵和精神实质，理解中国特色国家安全体系，树立国家安全底线思维，将国家安全意识转化为自觉行动，强化学生责任担当。</w:t>
            </w:r>
          </w:p>
        </w:tc>
      </w:tr>
      <w:tr w14:paraId="05D76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8" w:hRule="atLeast"/>
          <w:jc w:val="center"/>
        </w:trPr>
        <w:tc>
          <w:tcPr>
            <w:tcW w:w="507" w:type="dxa"/>
            <w:vAlign w:val="center"/>
          </w:tcPr>
          <w:p w14:paraId="2A973BB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752" w:type="dxa"/>
            <w:shd w:val="clear" w:color="auto" w:fill="auto"/>
            <w:vAlign w:val="center"/>
          </w:tcPr>
          <w:p w14:paraId="4ABD3BD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军事理论</w:t>
            </w:r>
          </w:p>
        </w:tc>
        <w:tc>
          <w:tcPr>
            <w:tcW w:w="3928" w:type="dxa"/>
            <w:shd w:val="clear" w:color="auto" w:fill="auto"/>
            <w:vAlign w:val="top"/>
          </w:tcPr>
          <w:p w14:paraId="0CC0CC9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掌握基本的军事理论知识，了解中国国防政策和军事战略，认识信息化战争的特点与规律等。</w:t>
            </w:r>
          </w:p>
          <w:p w14:paraId="377D8DB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运用所学军事理论知识分析国内外军事事件的能力，以及独立判断和批判性思考的习惯。提升学生的战略思维能力和实际操作技能，提高学生的应急反应速度和自我保护能力，为应对突发事件打下坚实基础。</w:t>
            </w:r>
          </w:p>
          <w:p w14:paraId="5EFA944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：激发学生对国家和民族的热爱之情，增强其作为公民的社会责任感和使命感；强化国防观念、国家安全意识与爱国主义精神。‌</w:t>
            </w:r>
          </w:p>
          <w:p w14:paraId="11DA5AB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通过系统的知识传授和能力培养，全面提升学生的综合素质，增强学生国家安全意识和国防观念，为未来成为具有家国情怀、战略视野和创新能力的优秀人才奠定坚实基础。</w:t>
            </w:r>
          </w:p>
        </w:tc>
        <w:tc>
          <w:tcPr>
            <w:tcW w:w="2960" w:type="dxa"/>
            <w:shd w:val="clear" w:color="auto" w:fill="auto"/>
            <w:vAlign w:val="top"/>
          </w:tcPr>
          <w:p w14:paraId="4B8B6D3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课程内容包括军事基础知识、军事思想、国家安全形势分析、战略环境、军事高技术、现代战争知识等。</w:t>
            </w:r>
          </w:p>
          <w:p w14:paraId="6506704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c>
          <w:tcPr>
            <w:tcW w:w="2626" w:type="dxa"/>
            <w:shd w:val="clear" w:color="auto" w:fill="auto"/>
            <w:vAlign w:val="top"/>
          </w:tcPr>
          <w:p w14:paraId="273F306C">
            <w:pPr>
              <w:pStyle w:val="6"/>
              <w:keepNext w:val="0"/>
              <w:keepLines w:val="0"/>
              <w:widowControl/>
              <w:suppressLineNumbers w:val="0"/>
              <w:jc w:val="both"/>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本课程以马列主义、毛泽东思想、邓小平理论及习近平强军思想为指导，‌采用多媒体教学、案例研讨，使学生理解总体国家安全观，激发学生献身国防的热情、增强民族自豪感。</w:t>
            </w:r>
          </w:p>
          <w:p w14:paraId="438DDF5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r>
      <w:tr w14:paraId="7D79B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8" w:hRule="atLeast"/>
          <w:jc w:val="center"/>
        </w:trPr>
        <w:tc>
          <w:tcPr>
            <w:tcW w:w="507" w:type="dxa"/>
            <w:vAlign w:val="center"/>
          </w:tcPr>
          <w:p w14:paraId="1D14739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752" w:type="dxa"/>
            <w:shd w:val="clear" w:color="auto" w:fill="auto"/>
            <w:vAlign w:val="center"/>
          </w:tcPr>
          <w:p w14:paraId="5D73FF31">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军训</w:t>
            </w:r>
          </w:p>
        </w:tc>
        <w:tc>
          <w:tcPr>
            <w:tcW w:w="3928" w:type="dxa"/>
            <w:shd w:val="clear" w:color="auto" w:fill="auto"/>
            <w:vAlign w:val="top"/>
          </w:tcPr>
          <w:p w14:paraId="28D6D150">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掌握基本的军事技能、完成基础军事训练。</w:t>
            </w:r>
          </w:p>
          <w:p w14:paraId="783454C3">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结合模拟演练和角色扮演等活动，提升学生的战略思维能力和实际操作技能，增强学生的团队意识和沟通协调能力，提高学生的应急反应速度和自我保护能力，为应对突发事件打下坚实基础。</w:t>
            </w:r>
          </w:p>
          <w:p w14:paraId="52216E8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：培养学生的纪律性和服从意识；强化团队协作精神，锻炼学生的意志力和毅力，培养其面对困难和挑战时不屈不挠的精神风貌，鼓励其为实现中华民族伟大复兴的中国梦贡献力量。</w:t>
            </w:r>
          </w:p>
          <w:p w14:paraId="245E774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通过能力培养，全面提升学生的综合素质，增强学生国防观念，为成为具有家国情怀、战略视野和创新能力的优秀人才奠定坚实基础。</w:t>
            </w:r>
          </w:p>
          <w:p w14:paraId="167BFED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p>
        </w:tc>
        <w:tc>
          <w:tcPr>
            <w:tcW w:w="2960" w:type="dxa"/>
            <w:shd w:val="clear" w:color="auto" w:fill="auto"/>
            <w:vAlign w:val="top"/>
          </w:tcPr>
          <w:p w14:paraId="7E0280E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课程内容包括队列、战术训练等‌军事技能训练。</w:t>
            </w:r>
          </w:p>
          <w:p w14:paraId="3279064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c>
          <w:tcPr>
            <w:tcW w:w="2626" w:type="dxa"/>
            <w:shd w:val="clear" w:color="auto" w:fill="auto"/>
            <w:vAlign w:val="top"/>
          </w:tcPr>
          <w:p w14:paraId="2B37C9A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循序渐进，由浅入深，逐步提高学生的军训技能；注重示范指导，通过示范动作带动学生的学习兴趣；强化实践训练，让学生通过实际操作掌握军事技能。</w:t>
            </w:r>
          </w:p>
        </w:tc>
      </w:tr>
      <w:tr w14:paraId="09BA5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0" w:hRule="atLeast"/>
          <w:jc w:val="center"/>
        </w:trPr>
        <w:tc>
          <w:tcPr>
            <w:tcW w:w="507" w:type="dxa"/>
            <w:vAlign w:val="center"/>
          </w:tcPr>
          <w:p w14:paraId="795861A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6</w:t>
            </w:r>
          </w:p>
        </w:tc>
        <w:tc>
          <w:tcPr>
            <w:tcW w:w="752" w:type="dxa"/>
            <w:shd w:val="clear" w:color="auto" w:fill="auto"/>
            <w:vAlign w:val="center"/>
          </w:tcPr>
          <w:p w14:paraId="6AC32FB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计算机基础</w:t>
            </w:r>
          </w:p>
        </w:tc>
        <w:tc>
          <w:tcPr>
            <w:tcW w:w="3928" w:type="dxa"/>
            <w:shd w:val="clear" w:color="auto" w:fill="auto"/>
            <w:vAlign w:val="top"/>
          </w:tcPr>
          <w:p w14:paraId="2DC417D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知识目标：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掌握计算机硬件组成和操作系统基本原理，理解常用办公软件功能特点，了解常用工具软件的分类及基本使用方法，拓展数字化办公技能，帮助学生系统掌握计算机领域的核心理论与前沿动态，为技能应用和职业发展奠定基础。</w:t>
            </w:r>
          </w:p>
          <w:p w14:paraId="0E7A245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能力目标：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培养计算机基本操作能力，熟练使用办公软件处理文档。提升网络应用和信息检索水平，具备解决常见计算机问题的技能。</w:t>
            </w:r>
          </w:p>
          <w:p w14:paraId="70049D3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素质目标：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培养信息素养和数字思维，提高自主学习新技术能力。树立信息安全意识，养成规范使用计算机的良好习惯。</w:t>
            </w:r>
          </w:p>
          <w:p w14:paraId="75A535F3">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课程思政育人目标：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融入科技创新案例，培养科技报国情怀。通过信息伦理教育，强化网络行为规范和责任意识。引导学生树立家国情怀、职业道德和社会责任感，</w:t>
            </w:r>
            <w:r>
              <w:rPr>
                <w:rFonts w:hint="eastAsia" w:ascii="仿宋_GB2312" w:hAnsi="仿宋_GB2312" w:eastAsia="仿宋_GB2312" w:cs="仿宋_GB2312"/>
                <w:b w:val="0"/>
                <w:bCs w:val="0"/>
                <w:color w:val="000000" w:themeColor="text1"/>
                <w:kern w:val="2"/>
                <w:sz w:val="24"/>
                <w:szCs w:val="24"/>
                <w:highlight w:val="none"/>
                <w:lang w:val="en-US" w:eastAsia="zh-CN" w:bidi="ar-SA"/>
                <w14:textFill>
                  <w14:solidFill>
                    <w14:schemeClr w14:val="tx1"/>
                  </w14:solidFill>
                </w14:textFill>
              </w:rPr>
              <w:t>最终实现“德才兼备、知行合一”的技术人才培养目标，为行业发展与社会进步输送兼具职业道德素养与专业技术能力的复合型人才。</w:t>
            </w:r>
          </w:p>
        </w:tc>
        <w:tc>
          <w:tcPr>
            <w:tcW w:w="2960" w:type="dxa"/>
            <w:shd w:val="clear" w:color="auto" w:fill="auto"/>
            <w:vAlign w:val="top"/>
          </w:tcPr>
          <w:p w14:paraId="538CDEC9">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包含计算机硬件基础、Windows操作系统、Office办公软件、网络基础等模块。重点培养文档处理、数据分析和演示汇报等实用技能，融入专业相关的计算机应用案例。结合新技术发展，介绍云计算、大数据等前沿技术概念。</w:t>
            </w:r>
          </w:p>
        </w:tc>
        <w:tc>
          <w:tcPr>
            <w:tcW w:w="2626" w:type="dxa"/>
            <w:shd w:val="clear" w:color="auto" w:fill="auto"/>
            <w:vAlign w:val="top"/>
          </w:tcPr>
          <w:p w14:paraId="586DEEA8">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教师需采用任务驱动教学法，设计贴近实际的应用场景。合理运用信息化教学手段，强化实操训练。学生需按时完成实践任务，主动探索软件功能。教学中要注重应用能力培养，突出计算机工具的实用价值，提升学生信息素养。</w:t>
            </w:r>
          </w:p>
        </w:tc>
      </w:tr>
      <w:tr w14:paraId="74690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07" w:type="dxa"/>
            <w:vAlign w:val="center"/>
          </w:tcPr>
          <w:p w14:paraId="7A3EA77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7</w:t>
            </w:r>
          </w:p>
        </w:tc>
        <w:tc>
          <w:tcPr>
            <w:tcW w:w="752" w:type="dxa"/>
            <w:shd w:val="clear" w:color="auto" w:fill="auto"/>
            <w:vAlign w:val="center"/>
          </w:tcPr>
          <w:p w14:paraId="4F07BEE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高等数学</w:t>
            </w:r>
          </w:p>
        </w:tc>
        <w:tc>
          <w:tcPr>
            <w:tcW w:w="3928" w:type="dxa"/>
            <w:shd w:val="clear" w:color="auto" w:fill="auto"/>
            <w:vAlign w:val="top"/>
          </w:tcPr>
          <w:p w14:paraId="4C35476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知识目标：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掌握函数、极限、导数等基础概念，理解微积分基本理论、数学建模方法，为专业课程奠定必要数学基础。</w:t>
            </w:r>
          </w:p>
          <w:p w14:paraId="23D8C8B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能力目标：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培养数学运算和逻辑推理能力，提升运用数学工具解决实际问题的水平。增强数据分析和建模能力，适应未来职业发展需求。</w:t>
            </w:r>
          </w:p>
          <w:p w14:paraId="7EDC88E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素质目标：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培养严谨求实的科学态度，提高抽象思维和创新能力。树立理论联系实际的观念，增强持续学习和自主探究意识。</w:t>
            </w:r>
          </w:p>
          <w:p w14:paraId="45EEF6A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课程思政育人目标：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实现知识传授与价值引领的有机融合，培养学生养成求真务实、精益求精的态度，严谨对待学习与工作，通过融入数学史展现古今数学家的爱国情怀与奉献精神，厚植爱国主义情怀，在思维品质培养中以辩证思维解析数学概念，引导学生透过现象看本质，理解量变与质变、对立统一等规律，鼓励学生在数学问题求解中勇于创新，培养批判性思维和探索精神，同时通过团队合作解决数学建模等问题，增强学生的团队协作意识与社会责任感，使学生在掌握数学知识的同时，实现个人全面发展与社会价值统一。</w:t>
            </w:r>
          </w:p>
        </w:tc>
        <w:tc>
          <w:tcPr>
            <w:tcW w:w="2960" w:type="dxa"/>
            <w:shd w:val="clear" w:color="auto" w:fill="auto"/>
            <w:vAlign w:val="top"/>
          </w:tcPr>
          <w:p w14:paraId="18C56CA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课程包含函数与极限、导数与微分、积分及应用等基础模块。重点讲解工程实际问题中的数学应用，如最优化问题求解、变化率分析等。融入专业案例，开展数学建模实践，强化数学工具在专业领域的应用能力培养。</w:t>
            </w:r>
          </w:p>
        </w:tc>
        <w:tc>
          <w:tcPr>
            <w:tcW w:w="2626" w:type="dxa"/>
            <w:shd w:val="clear" w:color="auto" w:fill="auto"/>
            <w:vAlign w:val="top"/>
          </w:tcPr>
          <w:p w14:paraId="0050071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教师需结合专业需求设计教学内容，采用问题导向和案例教学方法。合理运用信息化手段，强化直观教学效果。学生需按时完成作业，积极参与课堂讨论。教学中要注重理论联系实际，突出数学应用价值，培养学生解决实际问题的能力。</w:t>
            </w:r>
          </w:p>
        </w:tc>
      </w:tr>
      <w:tr w14:paraId="015458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3" w:hRule="atLeast"/>
          <w:jc w:val="center"/>
        </w:trPr>
        <w:tc>
          <w:tcPr>
            <w:tcW w:w="507" w:type="dxa"/>
            <w:vAlign w:val="center"/>
          </w:tcPr>
          <w:p w14:paraId="6EF86B1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8</w:t>
            </w:r>
          </w:p>
        </w:tc>
        <w:tc>
          <w:tcPr>
            <w:tcW w:w="752" w:type="dxa"/>
            <w:shd w:val="clear" w:color="auto" w:fill="auto"/>
            <w:vAlign w:val="center"/>
          </w:tcPr>
          <w:p w14:paraId="2AAB6AB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大学英语</w:t>
            </w:r>
          </w:p>
        </w:tc>
        <w:tc>
          <w:tcPr>
            <w:tcW w:w="3928" w:type="dxa"/>
            <w:shd w:val="clear" w:color="auto" w:fill="auto"/>
            <w:vAlign w:val="top"/>
          </w:tcPr>
          <w:p w14:paraId="2405059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知识目标：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掌握基础词汇和核心语法，学习职场英语表达。了解英语国家文化常识，熟悉专业相关术语。</w:t>
            </w:r>
          </w:p>
          <w:p w14:paraId="507DB84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能力目标：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培养学生掌握语言基础知识和语言技能、具备基本的英语听、说、读、写、译能力，增强其跨文化交际意识和沟通能力，为适应未来职业需求。</w:t>
            </w:r>
          </w:p>
          <w:p w14:paraId="4A4593B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素质目标：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培养自主学习意识，增强跨文化理解能力。树立终身学习理念，提高团队协作和沟通能力。</w:t>
            </w:r>
          </w:p>
          <w:p w14:paraId="50D1986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课程思政育人目标：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融入工匠精神教育，培养职业操守。通过中外文化对比，培养学生树立正确的世界观、人生观、价值观，明辨西方文化与价值观，增强文化自信和爱国情怀。</w:t>
            </w:r>
          </w:p>
        </w:tc>
        <w:tc>
          <w:tcPr>
            <w:tcW w:w="2960" w:type="dxa"/>
            <w:shd w:val="clear" w:color="auto" w:fill="auto"/>
            <w:vAlign w:val="top"/>
          </w:tcPr>
          <w:p w14:paraId="5610F19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课程包含三大模块：基础英语模块重点训练日常交际和职场基础英语；专业英语模块针对不同专业需求，学习相关术语和场景对话；实践应用模块通过模拟职场情境，开展项目任务训练。教学内容突出实用性，融入大量真实职场案例，同时结合行业发展，介绍相关职业规范和标准。</w:t>
            </w:r>
          </w:p>
        </w:tc>
        <w:tc>
          <w:tcPr>
            <w:tcW w:w="2626" w:type="dxa"/>
            <w:shd w:val="clear" w:color="auto" w:fill="auto"/>
            <w:vAlign w:val="top"/>
          </w:tcPr>
          <w:p w14:paraId="6787C54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采用情景教学法，设计职场情境任务。结合信息化手段，注重实践能力培养。参与课堂活动，完成实践任务。利用网络资源自主学习，提升应用能力。</w:t>
            </w:r>
          </w:p>
        </w:tc>
      </w:tr>
      <w:tr w14:paraId="70E8B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8" w:hRule="atLeast"/>
          <w:jc w:val="center"/>
        </w:trPr>
        <w:tc>
          <w:tcPr>
            <w:tcW w:w="507" w:type="dxa"/>
            <w:vAlign w:val="center"/>
          </w:tcPr>
          <w:p w14:paraId="61139BB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9</w:t>
            </w:r>
          </w:p>
        </w:tc>
        <w:tc>
          <w:tcPr>
            <w:tcW w:w="752" w:type="dxa"/>
            <w:shd w:val="clear" w:color="auto" w:fill="auto"/>
            <w:vAlign w:val="center"/>
          </w:tcPr>
          <w:p w14:paraId="4F86066F">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大学体育</w:t>
            </w:r>
          </w:p>
        </w:tc>
        <w:tc>
          <w:tcPr>
            <w:tcW w:w="3928" w:type="dxa"/>
            <w:shd w:val="clear" w:color="auto" w:fill="auto"/>
            <w:vAlign w:val="top"/>
          </w:tcPr>
          <w:p w14:paraId="4356E3C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掌握体育运动基本理论知识，了解常见运动项目的规则与要领。学习科学锻炼方法和运动损伤预防知识，为终身体育锻炼奠定理论基础。</w:t>
            </w:r>
          </w:p>
          <w:p w14:paraId="6E85A1A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发展学生基础运动技能，提升速度、力量、耐力等身体素质。培养1-2项运动特长，</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提升体育运动能力，提高职业体能水平。</w:t>
            </w:r>
            <w:r>
              <w:rPr>
                <w:rFonts w:hint="eastAsia" w:ascii="仿宋_GB2312" w:hAnsi="仿宋_GB2312" w:eastAsia="仿宋_GB2312" w:cs="仿宋_GB2312"/>
                <w:color w:val="000000" w:themeColor="text1"/>
                <w:sz w:val="24"/>
                <w:szCs w:val="24"/>
                <w:highlight w:val="none"/>
                <w14:textFill>
                  <w14:solidFill>
                    <w14:schemeClr w14:val="tx1"/>
                  </w14:solidFill>
                </w14:textFill>
              </w:rPr>
              <w:t>增强团队协作能力和体育竞赛组织能力。</w:t>
            </w:r>
          </w:p>
          <w:p w14:paraId="798FE49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遵守体育道德规范和行为准则，发扬体育精神，塑造良好的体育品格，增强责任意识、规则意识和团队意识</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p>
          <w:p w14:paraId="635DD97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课程思政育人目标</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以习近平新时代中国特色社会主义思想为指导，坚持知识传授与价值引领相结合， 树立健康第一的教育理念，帮助学生在体育锻炼中享受乐趣、增强体质、健全人格、锤炼意志。培养学生顽强拼搏、奋斗有我的信念，激发学生提升身体素质的责任感。</w:t>
            </w:r>
          </w:p>
        </w:tc>
        <w:tc>
          <w:tcPr>
            <w:tcW w:w="2960" w:type="dxa"/>
            <w:shd w:val="clear" w:color="auto" w:fill="auto"/>
            <w:vAlign w:val="top"/>
          </w:tcPr>
          <w:p w14:paraId="345ED9EB">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基础体能训练提升身体素质；球类、田径等专项技能教学；特色项目如</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武术</w:t>
            </w:r>
            <w:r>
              <w:rPr>
                <w:rFonts w:hint="eastAsia" w:ascii="仿宋_GB2312" w:hAnsi="仿宋_GB2312" w:eastAsia="仿宋_GB2312" w:cs="仿宋_GB2312"/>
                <w:color w:val="000000" w:themeColor="text1"/>
                <w:sz w:val="24"/>
                <w:szCs w:val="24"/>
                <w:highlight w:val="none"/>
                <w14:textFill>
                  <w14:solidFill>
                    <w14:schemeClr w14:val="tx1"/>
                  </w14:solidFill>
                </w14:textFill>
              </w:rPr>
              <w:t>、健身操等。融入职业体能训练，结合专业特点设计教学内容。</w:t>
            </w:r>
          </w:p>
        </w:tc>
        <w:tc>
          <w:tcPr>
            <w:tcW w:w="2626" w:type="dxa"/>
            <w:shd w:val="clear" w:color="auto" w:fill="auto"/>
            <w:vAlign w:val="top"/>
          </w:tcPr>
          <w:p w14:paraId="1516597C">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w:t>
            </w:r>
            <w:r>
              <w:rPr>
                <w:rFonts w:hint="eastAsia" w:ascii="仿宋_GB2312" w:hAnsi="仿宋_GB2312" w:eastAsia="仿宋_GB2312" w:cs="仿宋_GB2312"/>
                <w:color w:val="000000" w:themeColor="text1"/>
                <w:sz w:val="24"/>
                <w:szCs w:val="24"/>
                <w:highlight w:val="none"/>
                <w14:textFill>
                  <w14:solidFill>
                    <w14:schemeClr w14:val="tx1"/>
                  </w14:solidFill>
                </w14:textFill>
              </w:rPr>
              <w:t>采用示范教学与分组练习相结合的方式，注重因材施教。合理运用信息化教学手段，创新教学方法。学生需按时出勤，积极参与训练，完成课后锻炼任务。教学过程中要注重安全教育，培养学生终身体育意识，营造积极向上的体育文化氛围。</w:t>
            </w:r>
          </w:p>
        </w:tc>
      </w:tr>
      <w:tr w14:paraId="7A457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0575393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10</w:t>
            </w:r>
          </w:p>
        </w:tc>
        <w:tc>
          <w:tcPr>
            <w:tcW w:w="752" w:type="dxa"/>
            <w:shd w:val="clear" w:color="auto" w:fill="auto"/>
            <w:vAlign w:val="center"/>
          </w:tcPr>
          <w:p w14:paraId="7DF3FDC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大学生职业发展与就业指导</w:t>
            </w:r>
          </w:p>
        </w:tc>
        <w:tc>
          <w:tcPr>
            <w:tcW w:w="3928" w:type="dxa"/>
            <w:shd w:val="clear" w:color="auto" w:fill="auto"/>
            <w:vAlign w:val="top"/>
          </w:tcPr>
          <w:p w14:paraId="15CFFBD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掌握职业生涯规划基本理论，了解就业政策与劳动法规。学习求职材料制作规范，熟悉职场礼仪与职业素养要求。</w:t>
            </w:r>
          </w:p>
          <w:p w14:paraId="44397B7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培养职业规划与决策能力，提升简历制作与面试技巧</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提高学生求职应职技巧，</w:t>
            </w:r>
            <w:r>
              <w:rPr>
                <w:rFonts w:hint="eastAsia" w:ascii="仿宋_GB2312" w:hAnsi="仿宋_GB2312" w:eastAsia="仿宋_GB2312" w:cs="仿宋_GB2312"/>
                <w:color w:val="000000" w:themeColor="text1"/>
                <w:sz w:val="24"/>
                <w:szCs w:val="24"/>
                <w:highlight w:val="none"/>
                <w14:textFill>
                  <w14:solidFill>
                    <w14:schemeClr w14:val="tx1"/>
                  </w14:solidFill>
                </w14:textFill>
              </w:rPr>
              <w:t>增强就业信息获取能力，掌握职场适应与职业发展方法。</w:t>
            </w:r>
          </w:p>
          <w:p w14:paraId="3BDA3A8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分析当前大学生面临的就业形势，帮助学生及时了解就业市场的需求形势和国家、地方有关大学生就业的政策，按照社会需求确立就业心理，树立正确的就业观念和就业取向。</w:t>
            </w:r>
          </w:p>
          <w:p w14:paraId="7D8EDAC2">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课程思政育人目标：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通过加强就业形势和政策的宣传教育，</w:t>
            </w:r>
            <w:r>
              <w:rPr>
                <w:rFonts w:hint="eastAsia" w:ascii="仿宋_GB2312" w:hAnsi="仿宋_GB2312" w:eastAsia="仿宋_GB2312" w:cs="仿宋_GB2312"/>
                <w:b w:val="0"/>
                <w:bCs w:val="0"/>
                <w:color w:val="000000" w:themeColor="text1"/>
                <w:kern w:val="2"/>
                <w:sz w:val="24"/>
                <w:szCs w:val="24"/>
                <w:highlight w:val="none"/>
                <w:lang w:val="en-US" w:eastAsia="zh-CN" w:bidi="ar-SA"/>
                <w14:textFill>
                  <w14:solidFill>
                    <w14:schemeClr w14:val="tx1"/>
                  </w14:solidFill>
                </w14:textFill>
              </w:rPr>
              <w:t>引导广大学生深刻认识到党和国家‘以人民为中心’的发展理念，切实增强对国家保就业、稳增长工作的信心，充分感知国家在相关领域的坚实能力。</w:t>
            </w:r>
          </w:p>
        </w:tc>
        <w:tc>
          <w:tcPr>
            <w:tcW w:w="2960" w:type="dxa"/>
            <w:shd w:val="clear" w:color="auto" w:fill="auto"/>
            <w:vAlign w:val="top"/>
          </w:tcPr>
          <w:p w14:paraId="3BA2574F">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包含职业认知、职业规划、求职技能、职场适应四大模块。通过职业测评、行业分析、简历制作、模拟面试等实践活动，帮助学生了解职业世界，掌握求职技巧。结合专业特点，开展行业专家讲座、企业参观等特色教学活动，强化职业认知与规划能力。</w:t>
            </w:r>
          </w:p>
        </w:tc>
        <w:tc>
          <w:tcPr>
            <w:tcW w:w="2626" w:type="dxa"/>
            <w:shd w:val="clear" w:color="auto" w:fill="auto"/>
            <w:vAlign w:val="top"/>
          </w:tcPr>
          <w:p w14:paraId="24658C35">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教师需结合专业特色，采用案例教学、情景模拟等互动式教学方法，注重实践环节设计。学生需主动参与课堂活动，完成职业探索任务，积极进行自我认知与职业规划。教学过程中要注重个性化指导，针对不同学生特点提供差异化就业建议。</w:t>
            </w:r>
          </w:p>
        </w:tc>
      </w:tr>
      <w:tr w14:paraId="729F7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0" w:hRule="atLeast"/>
          <w:jc w:val="center"/>
        </w:trPr>
        <w:tc>
          <w:tcPr>
            <w:tcW w:w="507" w:type="dxa"/>
            <w:vAlign w:val="center"/>
          </w:tcPr>
          <w:p w14:paraId="56579AA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11</w:t>
            </w:r>
          </w:p>
        </w:tc>
        <w:tc>
          <w:tcPr>
            <w:tcW w:w="752" w:type="dxa"/>
            <w:shd w:val="clear" w:color="auto" w:fill="auto"/>
            <w:vAlign w:val="center"/>
          </w:tcPr>
          <w:p w14:paraId="7B2AF672">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大学生心理健康教育</w:t>
            </w:r>
          </w:p>
        </w:tc>
        <w:tc>
          <w:tcPr>
            <w:tcW w:w="3928" w:type="dxa"/>
            <w:shd w:val="clear" w:color="auto" w:fill="auto"/>
            <w:vAlign w:val="top"/>
          </w:tcPr>
          <w:p w14:paraId="245400A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掌握心理健康基本概念和标准，了解常见心理问题表现及成因。</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w:t>
            </w:r>
            <w:r>
              <w:rPr>
                <w:rFonts w:hint="eastAsia" w:ascii="仿宋_GB2312" w:hAnsi="仿宋_GB2312" w:eastAsia="仿宋_GB2312" w:cs="仿宋_GB2312"/>
                <w:color w:val="000000" w:themeColor="text1"/>
                <w:sz w:val="24"/>
                <w:szCs w:val="24"/>
                <w:highlight w:val="none"/>
                <w14:textFill>
                  <w14:solidFill>
                    <w14:schemeClr w14:val="tx1"/>
                  </w14:solidFill>
                </w14:textFill>
              </w:rPr>
              <w:t>情绪管理、压力应对等心理调适方法，增强自我认知能力。</w:t>
            </w:r>
          </w:p>
          <w:p w14:paraId="1242DBE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培养</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学生</w:t>
            </w:r>
            <w:r>
              <w:rPr>
                <w:rFonts w:hint="eastAsia" w:ascii="仿宋_GB2312" w:hAnsi="仿宋_GB2312" w:eastAsia="仿宋_GB2312" w:cs="仿宋_GB2312"/>
                <w:color w:val="000000" w:themeColor="text1"/>
                <w:sz w:val="24"/>
                <w:szCs w:val="24"/>
                <w:highlight w:val="none"/>
                <w14:textFill>
                  <w14:solidFill>
                    <w14:schemeClr w14:val="tx1"/>
                  </w14:solidFill>
                </w14:textFill>
              </w:rPr>
              <w:t>情绪调节与压力管理能力，提升人际沟通与冲突解决水平。使学生掌握心理自助技巧，具备初步心理问题识别与求助能力。</w:t>
            </w:r>
          </w:p>
          <w:p w14:paraId="388BF69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培养</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学生</w:t>
            </w:r>
            <w:r>
              <w:rPr>
                <w:rFonts w:hint="eastAsia" w:ascii="仿宋_GB2312" w:hAnsi="仿宋_GB2312" w:eastAsia="仿宋_GB2312" w:cs="仿宋_GB2312"/>
                <w:color w:val="000000" w:themeColor="text1"/>
                <w:sz w:val="24"/>
                <w:szCs w:val="24"/>
                <w:highlight w:val="none"/>
                <w14:textFill>
                  <w14:solidFill>
                    <w14:schemeClr w14:val="tx1"/>
                  </w14:solidFill>
                </w14:textFill>
              </w:rPr>
              <w:t>积极乐观的人生态度，增强心理韧性和适应能力。树立正确的自我认知，形成健康的生活方式与行为习惯。</w:t>
            </w:r>
          </w:p>
          <w:p w14:paraId="59C526C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课程思政育人目标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坚持育心与育德相结合，引导学生以自尊自信、理性平和、积极向上的健康心态正 确对待和处理成长中的心理困惑和问题，始终围绕社会主义核心价值观来发展和完善自身人格，将个人自我实现的追求与社会发展结合起来。</w:t>
            </w:r>
          </w:p>
          <w:p w14:paraId="5644BDB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p>
        </w:tc>
        <w:tc>
          <w:tcPr>
            <w:tcW w:w="2960" w:type="dxa"/>
            <w:shd w:val="clear" w:color="auto" w:fill="auto"/>
            <w:vAlign w:val="top"/>
          </w:tcPr>
          <w:p w14:paraId="457605B7">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包含心理健康基础知识、情绪管理、人际交往、压力应对等模块。通过案例分析、团体辅导等形式，帮助学生掌握心理调适技能。结合学生特点，重点讲解职业心理适应、就业压力疏导等内容，提升学生心理素质。</w:t>
            </w:r>
          </w:p>
        </w:tc>
        <w:tc>
          <w:tcPr>
            <w:tcW w:w="2626" w:type="dxa"/>
            <w:shd w:val="clear" w:color="auto" w:fill="auto"/>
            <w:vAlign w:val="top"/>
          </w:tcPr>
          <w:p w14:paraId="578BA3B9">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教师需采用互动体验式教学，创设安全开放的课堂氛围。结合学生实际需求，设计实践性教学活动。学生需积极参与课堂互动，完成心理训练任务。教学中要注重隐私保护，引导学生科学看待心理问题，提升心理健康素养。</w:t>
            </w:r>
          </w:p>
        </w:tc>
      </w:tr>
      <w:tr w14:paraId="10D01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6" w:hRule="atLeast"/>
          <w:jc w:val="center"/>
        </w:trPr>
        <w:tc>
          <w:tcPr>
            <w:tcW w:w="507" w:type="dxa"/>
            <w:vAlign w:val="center"/>
          </w:tcPr>
          <w:p w14:paraId="096DF65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12</w:t>
            </w:r>
          </w:p>
        </w:tc>
        <w:tc>
          <w:tcPr>
            <w:tcW w:w="752" w:type="dxa"/>
            <w:shd w:val="clear" w:color="auto" w:fill="auto"/>
            <w:vAlign w:val="center"/>
          </w:tcPr>
          <w:p w14:paraId="02C56C38">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劳动教育</w:t>
            </w:r>
          </w:p>
        </w:tc>
        <w:tc>
          <w:tcPr>
            <w:tcW w:w="3928" w:type="dxa"/>
            <w:shd w:val="clear" w:color="auto" w:fill="auto"/>
            <w:vAlign w:val="top"/>
          </w:tcPr>
          <w:p w14:paraId="33CA894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培养基本劳动技能，提升实践操作能力。掌握团队协作方法，增强问题解决与创新应用能力，适应未来职业劳动需求。</w:t>
            </w:r>
          </w:p>
          <w:p w14:paraId="1C61D4C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：培育吃苦耐劳精神，树立劳动光荣意识。增强责任担当，培养勤俭节约品质，形成尊重劳动、热爱劳动的良好品格。</w:t>
            </w:r>
          </w:p>
          <w:p w14:paraId="5B65B9E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培养学生的劳动观念，树立尊重劳动、热爱劳动、珍惜劳动成果的意识；引导学生形成正确的劳动价值观，理解劳动的社会意义和个人价值；培养新时代坚定的马克思主义者和具有工匠精神的社会主义建设者。</w:t>
            </w:r>
          </w:p>
          <w:p w14:paraId="76838E5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课程思政育人目标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弘扬劳模精神与工匠精神，强化劳动育人功能。</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引导学生做社会主义核心价值观的积极践行者，培养新时代坚定的马克思主义者和具有工匠精神的社会主义建设者。</w:t>
            </w:r>
          </w:p>
        </w:tc>
        <w:tc>
          <w:tcPr>
            <w:tcW w:w="2960" w:type="dxa"/>
            <w:shd w:val="clear" w:color="auto" w:fill="auto"/>
            <w:vAlign w:val="top"/>
          </w:tcPr>
          <w:p w14:paraId="23A405A9">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主要包括工具使用、设备操作等基础训练；实践环节组织校园服务、专业实习等多样化活动。结合专业特色，设计职业劳动项目，融入新技术、新工艺内容，提升学生劳动素养与职业适应能力。</w:t>
            </w:r>
          </w:p>
        </w:tc>
        <w:tc>
          <w:tcPr>
            <w:tcW w:w="2626" w:type="dxa"/>
            <w:shd w:val="clear" w:color="auto" w:fill="auto"/>
            <w:vAlign w:val="top"/>
          </w:tcPr>
          <w:p w14:paraId="369A8EB3">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结合专业特点设计教学内容，注重劳动安全教育，规范操作流程。学生需积极参与劳动实践，认真完成劳动任务。教学过程中要突出劳动育人功能，强化劳动价值观教育，注重培养学生的劳动习惯和职业精神，促进德智体美劳全面发展。</w:t>
            </w:r>
          </w:p>
        </w:tc>
      </w:tr>
      <w:tr w14:paraId="5DAE2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6EA9F07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13</w:t>
            </w:r>
          </w:p>
        </w:tc>
        <w:tc>
          <w:tcPr>
            <w:tcW w:w="752" w:type="dxa"/>
            <w:shd w:val="clear" w:color="auto" w:fill="auto"/>
            <w:vAlign w:val="center"/>
          </w:tcPr>
          <w:p w14:paraId="338E856C">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毛泽东思想和中国特色社会主义理论体系概论</w:t>
            </w:r>
          </w:p>
        </w:tc>
        <w:tc>
          <w:tcPr>
            <w:tcW w:w="3928" w:type="dxa"/>
            <w:shd w:val="clear" w:color="auto" w:fill="auto"/>
            <w:vAlign w:val="top"/>
          </w:tcPr>
          <w:p w14:paraId="5662E03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全面理解马克思主义中国化理论成果的科学内涵、理论体系、思想精髓、精神实质</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 xml:space="preserve">系统把握马克思主义中国化理论成果所蕴含的马克思主义立场、观点和方法。 </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 xml:space="preserve">  </w:t>
            </w: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学会用马克思主义中国化理论成果分析和解决现实问题，把理论与实践、理想与现实、主观与客观统一起来，自觉投身于中国特色社会主义伟大实践。</w:t>
            </w:r>
          </w:p>
          <w:p w14:paraId="14EF30A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w:t>
            </w: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：引导大学生树立科学的世界观、历史观、大局观，深刻理解“中国共产党为什么能” “马克思主义为什么行”“中国特色社会主义为什么好”，</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自觉</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增强“四个意识”、坚定“四个自信”、</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做到“两个维护”，</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努力学习</w:t>
            </w:r>
            <w:r>
              <w:rPr>
                <w:rFonts w:hint="eastAsia" w:ascii="仿宋_GB2312" w:hAnsi="仿宋_GB2312" w:eastAsia="仿宋_GB2312" w:cs="仿宋_GB2312"/>
                <w:i w:val="0"/>
                <w:iCs w:val="0"/>
                <w:caps w:val="0"/>
                <w:color w:val="000000" w:themeColor="text1"/>
                <w:spacing w:val="0"/>
                <w:sz w:val="24"/>
                <w:szCs w:val="24"/>
                <w:highlight w:val="none"/>
                <w:shd w:val="clear" w:fill="FFFFFF"/>
                <w14:textFill>
                  <w14:solidFill>
                    <w14:schemeClr w14:val="tx1"/>
                  </w14:solidFill>
                </w14:textFill>
              </w:rPr>
              <w:t>文化知识，增强自己的本领</w:t>
            </w:r>
            <w:r>
              <w:rPr>
                <w:rFonts w:hint="eastAsia" w:ascii="仿宋_GB2312" w:hAnsi="仿宋_GB2312" w:eastAsia="仿宋_GB2312" w:cs="仿宋_GB2312"/>
                <w:i w:val="0"/>
                <w:iCs w:val="0"/>
                <w:caps w:val="0"/>
                <w:color w:val="000000" w:themeColor="text1"/>
                <w:spacing w:val="0"/>
                <w:sz w:val="24"/>
                <w:szCs w:val="24"/>
                <w:highlight w:val="none"/>
                <w:shd w:val="clear" w:fill="FFFFFF"/>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为实现中华民族伟大复兴中国梦而努力。</w:t>
            </w:r>
          </w:p>
        </w:tc>
        <w:tc>
          <w:tcPr>
            <w:tcW w:w="2960" w:type="dxa"/>
            <w:shd w:val="clear" w:color="auto" w:fill="auto"/>
            <w:vAlign w:val="top"/>
          </w:tcPr>
          <w:p w14:paraId="49DFF1B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p>
          <w:p w14:paraId="71F20B7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p>
          <w:p w14:paraId="309541C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课程</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包括三大知识模块：一是马克思主义中国化的科学内涵和理论成果；二是阐述毛泽东思想的时 代背景、主要内容和历史地位；三是分别阐述邓小平理论、“三个代表”重要思想、科学发展观形成的社会历史条件、形成发展过程、主要内容和历史地位。</w:t>
            </w:r>
          </w:p>
          <w:p w14:paraId="0FE1956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677EC4E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p>
        </w:tc>
        <w:tc>
          <w:tcPr>
            <w:tcW w:w="2626" w:type="dxa"/>
            <w:shd w:val="clear" w:color="auto" w:fill="auto"/>
            <w:vAlign w:val="top"/>
          </w:tcPr>
          <w:p w14:paraId="7A7B547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通过教师运用信息化技术进行史论结合、案例丰富的讲授，引导学生系统掌握马克思主义基本原理和马克思主义中国化理论成果，了解党史、新中国史、改革开放史、社会主义发展史，认识世情、国情、党情，培养运用马克思主义立场观点方法分析和解决问题的能力； 矢志不渝听党话</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跟党走，争做社会主义合格建设者和 可靠接班人。</w:t>
            </w:r>
          </w:p>
        </w:tc>
      </w:tr>
      <w:tr w14:paraId="09A8F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8" w:hRule="atLeast"/>
          <w:jc w:val="center"/>
        </w:trPr>
        <w:tc>
          <w:tcPr>
            <w:tcW w:w="507" w:type="dxa"/>
            <w:vAlign w:val="center"/>
          </w:tcPr>
          <w:p w14:paraId="0965975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14</w:t>
            </w:r>
          </w:p>
        </w:tc>
        <w:tc>
          <w:tcPr>
            <w:tcW w:w="752" w:type="dxa"/>
            <w:shd w:val="clear" w:color="auto" w:fill="auto"/>
            <w:vAlign w:val="center"/>
          </w:tcPr>
          <w:p w14:paraId="497ED31D">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创新创业教育</w:t>
            </w:r>
          </w:p>
        </w:tc>
        <w:tc>
          <w:tcPr>
            <w:tcW w:w="3928" w:type="dxa"/>
            <w:shd w:val="clear" w:color="auto" w:fill="auto"/>
            <w:vAlign w:val="top"/>
          </w:tcPr>
          <w:p w14:paraId="00E9AF0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熟悉创新思维的内涵及其基本训练方法；</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了解商业模式设计要点，</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掌握常用的创新方法；掌握保护创新成果的方法</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了解创新创业政策法规。</w:t>
            </w:r>
          </w:p>
          <w:p w14:paraId="29FAD0B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 xml:space="preserve"> </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培养创新思维与机会识别能力，提升商业计划书撰写水平。增强资源整合与项目管理能力，掌握创业风险防范与应对方法。</w:t>
            </w:r>
          </w:p>
          <w:p w14:paraId="459423F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培育开拓进取精神，树立正确的创业价值观。增强团队协作意识，培养抗压能力与责任担当，形成积极向上的创业心态。</w:t>
            </w:r>
          </w:p>
          <w:p w14:paraId="7DBB920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课程思政育人目标：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融入企业家精神教育，强化社会责任意识。通过创新创业案例培育家国情怀，引导学生将个人发展融入国家创新驱动</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发展</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战略。</w:t>
            </w:r>
          </w:p>
        </w:tc>
        <w:tc>
          <w:tcPr>
            <w:tcW w:w="2960" w:type="dxa"/>
            <w:shd w:val="clear" w:color="auto" w:fill="auto"/>
            <w:vAlign w:val="top"/>
          </w:tcPr>
          <w:p w14:paraId="3DF286CD">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包含创新思维训练、创业基础知识、商业计划设计、创业模拟实践四大模块。通过案例分析、工作坊等形式开展创新方法训练，组织商业模式设计、路演展示等实践活动。结合区域经济发展需求，引入真实创业项目，开展校企合作实践，强化学生创新创业能力培养。</w:t>
            </w:r>
          </w:p>
        </w:tc>
        <w:tc>
          <w:tcPr>
            <w:tcW w:w="2626" w:type="dxa"/>
            <w:shd w:val="clear" w:color="auto" w:fill="auto"/>
            <w:vAlign w:val="top"/>
          </w:tcPr>
          <w:p w14:paraId="73F65ADB">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采用项目驱动式教学，设计真实创业情境任务。邀请企业家参与教学，保持教学内容的前沿性。学生需主动参与创新实践，完成商业计划设计。教学中要注重理论与实践结合，突出创新思维培养，强化创业伦理教育，提升学生创新创业综合素质。</w:t>
            </w:r>
          </w:p>
        </w:tc>
      </w:tr>
      <w:tr w14:paraId="5AFF8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6" w:hRule="atLeast"/>
          <w:jc w:val="center"/>
        </w:trPr>
        <w:tc>
          <w:tcPr>
            <w:tcW w:w="507" w:type="dxa"/>
            <w:vAlign w:val="center"/>
          </w:tcPr>
          <w:p w14:paraId="34858FF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15</w:t>
            </w:r>
          </w:p>
        </w:tc>
        <w:tc>
          <w:tcPr>
            <w:tcW w:w="752" w:type="dxa"/>
            <w:vAlign w:val="center"/>
          </w:tcPr>
          <w:p w14:paraId="766C1EAF">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习近平新时代中国特色社会主义思想概论</w:t>
            </w:r>
          </w:p>
        </w:tc>
        <w:tc>
          <w:tcPr>
            <w:tcW w:w="3928" w:type="dxa"/>
            <w:vAlign w:val="top"/>
          </w:tcPr>
          <w:p w14:paraId="4533633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深刻理解习近平新时代中国特色社会主义思想是马克思主义中国化的最新理论成果；系统把握习近平新时代中国特色社会主义思想的核心观点和基本方略。</w:t>
            </w:r>
          </w:p>
          <w:p w14:paraId="093D046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提升大学生运用所学新思想、新理论分析和解决现实问题的能力；增强大学生全面贯彻党的基本理论和基本方略的自觉性和主动性。</w:t>
            </w:r>
          </w:p>
          <w:p w14:paraId="37A9668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引导大学生自觉运用习近平新时代中国特色社会主义思想武装头脑，积极投身到建设新时代中国特色社会主义的伟大历史进程中，实现中国梦。 帮助大学生</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增强“四个意识”、坚定“四个自信”、做到“两个维护”</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 xml:space="preserve">。 </w:t>
            </w:r>
          </w:p>
        </w:tc>
        <w:tc>
          <w:tcPr>
            <w:tcW w:w="2960" w:type="dxa"/>
            <w:vAlign w:val="top"/>
          </w:tcPr>
          <w:p w14:paraId="4A6BC56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课程主要的知识模块</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包括</w:t>
            </w:r>
            <w:r>
              <w:rPr>
                <w:rFonts w:hint="eastAsia" w:ascii="仿宋_GB2312" w:hAnsi="仿宋_GB2312" w:eastAsia="仿宋_GB2312" w:cs="仿宋_GB2312"/>
                <w:color w:val="000000" w:themeColor="text1"/>
                <w:sz w:val="24"/>
                <w:szCs w:val="24"/>
                <w:highlight w:val="none"/>
                <w14:textFill>
                  <w14:solidFill>
                    <w14:schemeClr w14:val="tx1"/>
                  </w14:solidFill>
                </w14:textFill>
              </w:rPr>
              <w:t>：习近平新时代中国特色社会主义思想及其历史地位、坚持和发展中国特色社会主义的总任务、</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highlight w:val="none"/>
                <w14:textFill>
                  <w14:solidFill>
                    <w14:schemeClr w14:val="tx1"/>
                  </w14:solidFill>
                </w14:textFill>
              </w:rPr>
              <w:t>“五位一体”总体布局、“四个全面”战略布局、实现中华民族伟大复兴的重要保障、中国特色大国外交、坚持和加强党的领导</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等内容。</w:t>
            </w:r>
          </w:p>
        </w:tc>
        <w:tc>
          <w:tcPr>
            <w:tcW w:w="2626" w:type="dxa"/>
            <w:vAlign w:val="top"/>
          </w:tcPr>
          <w:p w14:paraId="360A220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 xml:space="preserve">通过教师的混合式教学 </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史论结合 、案例丰富的教学，让学生感悟党的创新理论的思想伟力，坚持用马克思主义理论指导实践，做 “学思想、强党性、重实践、建新功”的新时代青年，自觉凝聚在党中央周围，</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以中国式现代化全面推进中华民族</w:t>
            </w:r>
            <w:r>
              <w:rPr>
                <w:rFonts w:hint="eastAsia" w:ascii="仿宋_GB2312" w:hAnsi="仿宋_GB2312" w:eastAsia="仿宋_GB2312" w:cs="仿宋_GB2312"/>
                <w:color w:val="000000" w:themeColor="text1"/>
                <w:sz w:val="24"/>
                <w:szCs w:val="24"/>
                <w:highlight w:val="none"/>
                <w14:textFill>
                  <w14:solidFill>
                    <w14:schemeClr w14:val="tx1"/>
                  </w14:solidFill>
                </w14:textFill>
              </w:rPr>
              <w:t>伟大复兴。</w:t>
            </w:r>
          </w:p>
        </w:tc>
      </w:tr>
      <w:tr w14:paraId="40871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0" w:hRule="atLeast"/>
          <w:jc w:val="center"/>
        </w:trPr>
        <w:tc>
          <w:tcPr>
            <w:tcW w:w="507" w:type="dxa"/>
            <w:vAlign w:val="center"/>
          </w:tcPr>
          <w:p w14:paraId="085E9D1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16</w:t>
            </w:r>
          </w:p>
        </w:tc>
        <w:tc>
          <w:tcPr>
            <w:tcW w:w="752" w:type="dxa"/>
            <w:shd w:val="clear" w:color="auto" w:fill="auto"/>
            <w:vAlign w:val="center"/>
          </w:tcPr>
          <w:p w14:paraId="1FD3181A">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中国民俗剪纸技法</w:t>
            </w:r>
          </w:p>
        </w:tc>
        <w:tc>
          <w:tcPr>
            <w:tcW w:w="3928" w:type="dxa"/>
            <w:shd w:val="clear" w:color="auto" w:fill="auto"/>
            <w:vAlign w:val="top"/>
          </w:tcPr>
          <w:p w14:paraId="653CEE4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了解剪纸的历史与文化内涵和掌握剪纸的基本知识。</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掌握剪纸艺术的历史渊源与文化内涵，了解不同地域的剪纸风格特点。学习传统剪纸纹样寓意，掌握基础剪纸工具使用方法与安全规范。</w:t>
            </w:r>
          </w:p>
          <w:p w14:paraId="497B5E4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学生能够熟练掌握剪纸的基本技法、剪纸的构图技巧，</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培养图案设计与剪刀运用能力，掌握对称、连续等基础剪纸技法。</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学会运用多种剪纸技法进行创作，鼓励学生在传统剪纸技法的基础上进行创新，结合现代设计理念和元素，创作出具有时代感和个性的剪纸作品。</w:t>
            </w:r>
          </w:p>
          <w:p w14:paraId="30FF92E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培育耐心细致的工作态度，提升审美鉴赏能力。增强文化自信，传承非遗技艺，培养创新思维与艺术表现力。</w:t>
            </w:r>
          </w:p>
          <w:p w14:paraId="79A6343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通过剪纸艺术，弘扬中华优秀传统文化，增强民族自豪感。在技艺传承中培育工匠精神，树立文化传承的责任意识。</w:t>
            </w:r>
          </w:p>
        </w:tc>
        <w:tc>
          <w:tcPr>
            <w:tcW w:w="2960" w:type="dxa"/>
            <w:shd w:val="clear" w:color="auto" w:fill="auto"/>
            <w:vAlign w:val="top"/>
          </w:tcPr>
          <w:p w14:paraId="44E6F615">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包含剪纸文化理论、基础技法训练、创意设计实践三大模块。理论部分讲解剪纸发展历史与地域特色；技法训练包括对称剪、镂空剪等基础技法；实践环节设计传统纹样临摹与创新作品制作。结合现代设计理念，融入专业特色，开展主题性剪纸创作，如节庆装饰、文创产品设计等实践项目。</w:t>
            </w:r>
          </w:p>
        </w:tc>
        <w:tc>
          <w:tcPr>
            <w:tcW w:w="2626" w:type="dxa"/>
            <w:shd w:val="clear" w:color="auto" w:fill="auto"/>
            <w:vAlign w:val="top"/>
          </w:tcPr>
          <w:p w14:paraId="229764F8">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采用示范教学与个别指导相结合的方式，注重传统技艺的规范性。准备充足的教学素材与工具，创设良好的创作环境。学生需认真完成课堂练习，积极参与创作实践。教学中要突出文化传承价值，注重培养学生的审美能力与创新意识，鼓励将传统技艺与现代设计相结合。</w:t>
            </w:r>
          </w:p>
        </w:tc>
      </w:tr>
      <w:tr w14:paraId="04040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07" w:type="dxa"/>
            <w:vAlign w:val="center"/>
          </w:tcPr>
          <w:p w14:paraId="7181645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17</w:t>
            </w:r>
          </w:p>
        </w:tc>
        <w:tc>
          <w:tcPr>
            <w:tcW w:w="752" w:type="dxa"/>
            <w:shd w:val="clear" w:color="auto" w:fill="auto"/>
            <w:vAlign w:val="center"/>
          </w:tcPr>
          <w:p w14:paraId="11F142B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影视与鉴赏</w:t>
            </w:r>
          </w:p>
        </w:tc>
        <w:tc>
          <w:tcPr>
            <w:tcW w:w="3928" w:type="dxa"/>
            <w:shd w:val="clear" w:color="auto" w:fill="auto"/>
            <w:vAlign w:val="top"/>
          </w:tcPr>
          <w:p w14:paraId="3167C2A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掌握影视基础知识，了解影视艺术的基本概念、发展历程、主要类型和流派。掌握影视制作的基本流程，鉴赏不同类型影视作品的基本方法和技巧，</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掌握影视创作基本流程。</w:t>
            </w:r>
          </w:p>
          <w:p w14:paraId="27F7A34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培养影视作品分析鉴赏能力，提升视听语言理解水平。掌握影视评论写作方法，具备基础影视审美判断能力。</w:t>
            </w:r>
          </w:p>
          <w:p w14:paraId="22E1A7A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培育艺术审美情趣，提高文化修养水平。增强创新思维能力，树立正确的价值观和艺术观。</w:t>
            </w:r>
          </w:p>
          <w:p w14:paraId="63DC36E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通过优秀影视作品弘扬社会主义核心价值观。在艺术鉴赏中增强文化自信，培养家国情怀和人文精神。</w:t>
            </w:r>
          </w:p>
          <w:p w14:paraId="2DEEA2A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tc>
        <w:tc>
          <w:tcPr>
            <w:tcW w:w="2960" w:type="dxa"/>
            <w:shd w:val="clear" w:color="auto" w:fill="auto"/>
            <w:vAlign w:val="top"/>
          </w:tcPr>
          <w:p w14:paraId="707F626F">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包含影视艺术基础理论、经典作品赏析、创作实践三个模块。理论部分讲解影视语言、类型特征等基础知识；赏析环节重点分析中外经典影片；实践模块组织短片创作、影评写作等活动。结合时代特色，选取反映社会发展的优秀作品，开展主题式影视教育活动。</w:t>
            </w:r>
          </w:p>
        </w:tc>
        <w:tc>
          <w:tcPr>
            <w:tcW w:w="2626" w:type="dxa"/>
            <w:shd w:val="clear" w:color="auto" w:fill="auto"/>
            <w:vAlign w:val="top"/>
          </w:tcPr>
          <w:p w14:paraId="345DB5F3">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采用案例教学与互动讨论相结合的方式，精选具有教育意义的影视作品。学生需积极参与课堂讨论，完成鉴赏作业。教学中要注重价值引导，突出美育功能，培养学生批判性思维能力，提升艺术素养和人文情怀。</w:t>
            </w:r>
          </w:p>
        </w:tc>
      </w:tr>
      <w:tr w14:paraId="12C26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2" w:hRule="atLeast"/>
          <w:jc w:val="center"/>
        </w:trPr>
        <w:tc>
          <w:tcPr>
            <w:tcW w:w="507" w:type="dxa"/>
            <w:vAlign w:val="center"/>
          </w:tcPr>
          <w:p w14:paraId="24BABC9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18</w:t>
            </w:r>
          </w:p>
        </w:tc>
        <w:tc>
          <w:tcPr>
            <w:tcW w:w="752" w:type="dxa"/>
            <w:shd w:val="clear" w:color="auto" w:fill="auto"/>
            <w:vAlign w:val="center"/>
          </w:tcPr>
          <w:p w14:paraId="60187E4A">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中国共产党简史</w:t>
            </w:r>
          </w:p>
        </w:tc>
        <w:tc>
          <w:tcPr>
            <w:tcW w:w="3928" w:type="dxa"/>
            <w:shd w:val="clear" w:color="auto" w:fill="auto"/>
            <w:vAlign w:val="top"/>
          </w:tcPr>
          <w:p w14:paraId="5CDAFDC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把握中国共产党历史发展脉络，了解中国共产党百年奋</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斗的</w:t>
            </w:r>
            <w:r>
              <w:rPr>
                <w:rFonts w:hint="eastAsia" w:ascii="仿宋_GB2312" w:hAnsi="仿宋_GB2312" w:eastAsia="仿宋_GB2312" w:cs="仿宋_GB2312"/>
                <w:color w:val="000000" w:themeColor="text1"/>
                <w:sz w:val="24"/>
                <w:szCs w:val="24"/>
                <w:highlight w:val="none"/>
                <w14:textFill>
                  <w14:solidFill>
                    <w14:schemeClr w14:val="tx1"/>
                  </w14:solidFill>
                </w14:textFill>
              </w:rPr>
              <w:t>重大历史成就与历史经验；了解中国共产党是如何团结带领中国人民克服千难万险，创造了一个又一个彪炳史册的人间奇迹；了解一代又一代优秀中国共产党人的为民情怀与高尚情操。</w:t>
            </w:r>
          </w:p>
          <w:p w14:paraId="093F6EF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深刻领会“四大选择”，即历史和人民怎样选择了马克思主义、怎样选择了中国共产党、怎样选择了社会主义道路、选择了改革开放；历史和人民怎样经过艰辛曲折的社会主义建设道路的探索，进一步增强拥护中国共产党的领导和接受马克思主义指导的自觉性。通过课堂教学，运用参与式教学方法，鼓励学生开展自主性学习、合作性学习，帮助学生提高解决问题的能力，要求他们理论联系实际，力争解决现实社会遇到的各种问题。</w:t>
            </w:r>
          </w:p>
          <w:p w14:paraId="7A6E822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理解中国特色社会主义进入新时代的发展历程和时代特点。了解改革开放以来，我们寻找到了中国特色社会主义道路，形成了中国特色社会主义理论体系，并在中国特色社会主义理论体系指引下振兴中华民族的历程，从而自觉地继承和发扬近代以来中国共产党人的优秀品质，进一步增强民族自尊心、自信心和自豪感， 坚定对马克思主义的信仰、对中国共产党的信任、对社会主义的信心。促进学生政治素质和思想道德素质的提高，充分理解实行改革开放和实现中华民族伟大复兴中国梦的重大历史意义。</w:t>
            </w:r>
          </w:p>
        </w:tc>
        <w:tc>
          <w:tcPr>
            <w:tcW w:w="2960" w:type="dxa"/>
            <w:shd w:val="clear" w:color="auto" w:fill="auto"/>
            <w:vAlign w:val="top"/>
          </w:tcPr>
          <w:p w14:paraId="4ED8E96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2D294B2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274759A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4F43A78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32229FA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2EAB303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6A813D6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课程内容包括中国共产党的创建和投身大革命</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的洪流</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掀起土地革命</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的</w:t>
            </w:r>
            <w:r>
              <w:rPr>
                <w:rFonts w:hint="eastAsia" w:ascii="仿宋_GB2312" w:hAnsi="仿宋_GB2312" w:eastAsia="仿宋_GB2312" w:cs="仿宋_GB2312"/>
                <w:color w:val="000000" w:themeColor="text1"/>
                <w:sz w:val="24"/>
                <w:szCs w:val="24"/>
                <w:highlight w:val="none"/>
                <w14:textFill>
                  <w14:solidFill>
                    <w14:schemeClr w14:val="tx1"/>
                  </w14:solidFill>
                </w14:textFill>
              </w:rPr>
              <w:t>风暴</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全民族抗日战争的中流砥柱</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夺取新民主主义革命的全国性胜利</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中华人民共和国的成立和社会主义制度的建立</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社会主义建设的探索和曲折发展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伟大</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历史</w:t>
            </w:r>
            <w:r>
              <w:rPr>
                <w:rFonts w:hint="eastAsia" w:ascii="仿宋_GB2312" w:hAnsi="仿宋_GB2312" w:eastAsia="仿宋_GB2312" w:cs="仿宋_GB2312"/>
                <w:color w:val="000000" w:themeColor="text1"/>
                <w:sz w:val="24"/>
                <w:szCs w:val="24"/>
                <w:highlight w:val="none"/>
                <w14:textFill>
                  <w14:solidFill>
                    <w14:schemeClr w14:val="tx1"/>
                  </w14:solidFill>
                </w14:textFill>
              </w:rPr>
              <w:t>转折和中国特色社会主义的开创</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把中国特色社会主义全面推向21世纪</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在新</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的</w:t>
            </w:r>
            <w:r>
              <w:rPr>
                <w:rFonts w:hint="eastAsia" w:ascii="仿宋_GB2312" w:hAnsi="仿宋_GB2312" w:eastAsia="仿宋_GB2312" w:cs="仿宋_GB2312"/>
                <w:color w:val="000000" w:themeColor="text1"/>
                <w:sz w:val="24"/>
                <w:szCs w:val="24"/>
                <w:highlight w:val="none"/>
                <w14:textFill>
                  <w14:solidFill>
                    <w14:schemeClr w14:val="tx1"/>
                  </w14:solidFill>
                </w14:textFill>
              </w:rPr>
              <w:t>形势下坚持和发展中国特色社会主义</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中国特色社会主义进入新时代</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等</w:t>
            </w:r>
            <w:r>
              <w:rPr>
                <w:rFonts w:hint="eastAsia" w:ascii="仿宋_GB2312" w:hAnsi="仿宋_GB2312" w:eastAsia="仿宋_GB2312" w:cs="仿宋_GB2312"/>
                <w:color w:val="000000" w:themeColor="text1"/>
                <w:sz w:val="24"/>
                <w:szCs w:val="24"/>
                <w:highlight w:val="none"/>
                <w14:textFill>
                  <w14:solidFill>
                    <w14:schemeClr w14:val="tx1"/>
                  </w14:solidFill>
                </w14:textFill>
              </w:rPr>
              <w:t>。通过学习，学生将全面了解中国共产党领导中国人民进行</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革命、建设、改革</w:t>
            </w:r>
            <w:r>
              <w:rPr>
                <w:rFonts w:hint="eastAsia" w:ascii="仿宋_GB2312" w:hAnsi="仿宋_GB2312" w:eastAsia="仿宋_GB2312" w:cs="仿宋_GB2312"/>
                <w:color w:val="000000" w:themeColor="text1"/>
                <w:sz w:val="24"/>
                <w:szCs w:val="24"/>
                <w:highlight w:val="none"/>
                <w14:textFill>
                  <w14:solidFill>
                    <w14:schemeClr w14:val="tx1"/>
                  </w14:solidFill>
                </w14:textFill>
              </w:rPr>
              <w:t>的光辉历程，深刻认识党在各个历史时期的伟大成就和宝贵经验，为成为一名合格的共产党员</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成为一名</w:t>
            </w:r>
            <w:r>
              <w:rPr>
                <w:rFonts w:hint="eastAsia" w:ascii="仿宋_GB2312" w:hAnsi="仿宋_GB2312" w:eastAsia="仿宋_GB2312" w:cs="仿宋_GB2312"/>
                <w:color w:val="000000" w:themeColor="text1"/>
                <w:sz w:val="24"/>
                <w:szCs w:val="24"/>
                <w:highlight w:val="none"/>
                <w14:textFill>
                  <w14:solidFill>
                    <w14:schemeClr w14:val="tx1"/>
                  </w14:solidFill>
                </w14:textFill>
              </w:rPr>
              <w:t>社会主义建设者奠定坚实的思想基础。</w:t>
            </w:r>
          </w:p>
        </w:tc>
        <w:tc>
          <w:tcPr>
            <w:tcW w:w="2626" w:type="dxa"/>
            <w:shd w:val="clear" w:color="auto" w:fill="auto"/>
            <w:vAlign w:val="top"/>
          </w:tcPr>
          <w:p w14:paraId="368AD6E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2F4ADD5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07EB614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6F59A9A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043AFEC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52D9C19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4699871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通过教师的理论讲授和丰富的史料佐证，以及线上线下参观历史纪念馆，引导学生树立正确的历史观，做到“</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学史明理、学史增信、学史崇德、学史力行</w:t>
            </w:r>
            <w:r>
              <w:rPr>
                <w:rFonts w:hint="eastAsia" w:ascii="仿宋_GB2312" w:hAnsi="仿宋_GB2312" w:eastAsia="仿宋_GB2312" w:cs="仿宋_GB2312"/>
                <w:color w:val="000000" w:themeColor="text1"/>
                <w:sz w:val="24"/>
                <w:szCs w:val="24"/>
                <w:highlight w:val="none"/>
                <w14:textFill>
                  <w14:solidFill>
                    <w14:schemeClr w14:val="tx1"/>
                  </w14:solidFill>
                </w14:textFill>
              </w:rPr>
              <w:t>”，感悟党的伟大，做“青春心向党</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highlight w:val="none"/>
                <w14:textFill>
                  <w14:solidFill>
                    <w14:schemeClr w14:val="tx1"/>
                  </w14:solidFill>
                </w14:textFill>
              </w:rPr>
              <w:t>踔厉奋发建新功”的新时代青年。</w:t>
            </w:r>
          </w:p>
        </w:tc>
      </w:tr>
      <w:tr w14:paraId="2ECD4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2" w:hRule="atLeast"/>
          <w:jc w:val="center"/>
        </w:trPr>
        <w:tc>
          <w:tcPr>
            <w:tcW w:w="507" w:type="dxa"/>
            <w:shd w:val="clear" w:color="auto" w:fill="auto"/>
            <w:vAlign w:val="center"/>
          </w:tcPr>
          <w:p w14:paraId="536A3B6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19</w:t>
            </w:r>
          </w:p>
        </w:tc>
        <w:tc>
          <w:tcPr>
            <w:tcW w:w="752" w:type="dxa"/>
            <w:shd w:val="clear" w:color="auto" w:fill="auto"/>
            <w:vAlign w:val="center"/>
          </w:tcPr>
          <w:p w14:paraId="0D84DB68">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中华人民共和国简史</w:t>
            </w:r>
          </w:p>
        </w:tc>
        <w:tc>
          <w:tcPr>
            <w:tcW w:w="3928" w:type="dxa"/>
            <w:shd w:val="clear" w:color="auto" w:fill="auto"/>
            <w:vAlign w:val="top"/>
          </w:tcPr>
          <w:p w14:paraId="488E839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i w:val="0"/>
                <w:iCs w:val="0"/>
                <w:caps w:val="0"/>
                <w:color w:val="000000" w:themeColor="text1"/>
                <w:spacing w:val="0"/>
                <w:kern w:val="0"/>
                <w:sz w:val="24"/>
                <w:szCs w:val="24"/>
                <w:highlight w:val="none"/>
                <w:shd w:val="clear" w:color="auto" w:fill="FFFFFF"/>
                <w:lang w:val="en-US" w:eastAsia="zh-CN" w:bidi="ar"/>
                <w14:textFill>
                  <w14:solidFill>
                    <w14:schemeClr w14:val="tx1"/>
                  </w14:solidFill>
                </w14:textFill>
              </w:rPr>
              <w:t>了解当代中国社会主义革命、建设和改革的具体历史条件和历史方位，其对国际共产主义运动的贡献。全面了解新中国历史的发展进程、历史分期、主要成就、探索进程中的曲折及重要经验教训、历史启示。掌握观察、分析、解决社会问题的基本方法和历史思维及辩证思维的能力。了解新中国成立的历史背景、历史意义，新中国成立初期的内外形势。恢复国民经济、巩固新生政权的主要措施及成效。新中国走社会主义道路的历史必然性。三大改造的主要过程、评价，“一五”计划的编制与实施。社会主义建设艰辛探索的主要过程、成就、失误及经验教训。</w:t>
            </w:r>
          </w:p>
          <w:p w14:paraId="52DA94D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jc w:val="both"/>
              <w:textAlignment w:val="auto"/>
              <w:rPr>
                <w:rFonts w:hint="eastAsia" w:ascii="仿宋_GB2312" w:hAnsi="仿宋_GB2312" w:eastAsia="仿宋_GB2312" w:cs="仿宋_GB2312"/>
                <w:i w:val="0"/>
                <w:iCs w:val="0"/>
                <w:caps w:val="0"/>
                <w:color w:val="000000" w:themeColor="text1"/>
                <w:spacing w:val="0"/>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i w:val="0"/>
                <w:iCs w:val="0"/>
                <w:caps w:val="0"/>
                <w:color w:val="000000" w:themeColor="text1"/>
                <w:spacing w:val="0"/>
                <w:kern w:val="0"/>
                <w:sz w:val="24"/>
                <w:szCs w:val="24"/>
                <w:highlight w:val="none"/>
                <w:shd w:val="clear" w:color="auto" w:fill="FFFFFF"/>
                <w:lang w:val="en-US" w:eastAsia="zh-CN" w:bidi="ar"/>
                <w14:textFill>
                  <w14:solidFill>
                    <w14:schemeClr w14:val="tx1"/>
                  </w14:solidFill>
                </w14:textFill>
              </w:rPr>
              <w:t>学习新中国史研究的根本意义在于总结历史、立足现实、面向未来，不断深化对共产党执政规律、社会主义建设规律、人类社会发展规律的认识，总结治国理政经验，发挥思政育人功能，为实现中华民族伟大复兴的中国梦提供坚实的理论支撑。</w:t>
            </w:r>
          </w:p>
          <w:p w14:paraId="0353348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rightChars="0"/>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i w:val="0"/>
                <w:iCs w:val="0"/>
                <w:caps w:val="0"/>
                <w:color w:val="000000" w:themeColor="text1"/>
                <w:spacing w:val="0"/>
                <w:sz w:val="24"/>
                <w:szCs w:val="24"/>
                <w:highlight w:val="none"/>
                <w:lang w:val="en-US" w:eastAsia="zh-CN"/>
                <w14:textFill>
                  <w14:solidFill>
                    <w14:schemeClr w14:val="tx1"/>
                  </w14:solidFill>
                </w14:textFill>
              </w:rPr>
              <w:t>引导学生</w:t>
            </w:r>
            <w:r>
              <w:rPr>
                <w:rFonts w:hint="eastAsia" w:ascii="仿宋_GB2312" w:hAnsi="仿宋_GB2312" w:eastAsia="仿宋_GB2312" w:cs="仿宋_GB2312"/>
                <w:i w:val="0"/>
                <w:iCs w:val="0"/>
                <w:caps w:val="0"/>
                <w:color w:val="000000" w:themeColor="text1"/>
                <w:spacing w:val="0"/>
                <w:kern w:val="0"/>
                <w:sz w:val="24"/>
                <w:szCs w:val="24"/>
                <w:highlight w:val="none"/>
                <w:shd w:val="clear" w:color="auto" w:fill="FFFFFF"/>
                <w:lang w:val="en-US" w:eastAsia="zh-CN" w:bidi="ar"/>
                <w14:textFill>
                  <w14:solidFill>
                    <w14:schemeClr w14:val="tx1"/>
                  </w14:solidFill>
                </w14:textFill>
              </w:rPr>
              <w:t>了解在中国进行社会主义革命和建设的历史决定性及探索中主要成就、探索过程的艰辛曲折，坚定走中国特色社会主义道路的信念和信心；学会观察、分析和解决问题的科学方法，不断培养和提升辩证思维能力。</w:t>
            </w:r>
          </w:p>
        </w:tc>
        <w:tc>
          <w:tcPr>
            <w:tcW w:w="2960" w:type="dxa"/>
            <w:shd w:val="clear" w:color="auto" w:fill="auto"/>
            <w:vAlign w:val="top"/>
          </w:tcPr>
          <w:p w14:paraId="6AB2F5D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课程主要包括：</w:t>
            </w:r>
            <w:r>
              <w:rPr>
                <w:rFonts w:hint="eastAsia" w:ascii="仿宋_GB2312" w:hAnsi="仿宋_GB2312" w:eastAsia="仿宋_GB2312" w:cs="仿宋_GB2312"/>
                <w:color w:val="000000" w:themeColor="text1"/>
                <w:sz w:val="24"/>
                <w:szCs w:val="24"/>
                <w:highlight w:val="none"/>
                <w14:textFill>
                  <w14:solidFill>
                    <w14:schemeClr w14:val="tx1"/>
                  </w14:solidFill>
                </w14:textFill>
              </w:rPr>
              <w:t>新中国成立和社会主义基本制度的确立</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社会主义建设的艰辛探索和曲折发展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改革开放与中国特色社会主义的开创</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建立社会主义市场经济体制和把中国特色社会主义全面推向21世纪</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全面建设</w:t>
            </w:r>
            <w:r>
              <w:rPr>
                <w:rFonts w:hint="eastAsia" w:ascii="仿宋_GB2312" w:hAnsi="仿宋_GB2312" w:eastAsia="仿宋_GB2312" w:cs="仿宋_GB2312"/>
                <w:color w:val="000000" w:themeColor="text1"/>
                <w:sz w:val="24"/>
                <w:szCs w:val="24"/>
                <w:highlight w:val="none"/>
                <w14:textFill>
                  <w14:solidFill>
                    <w14:schemeClr w14:val="tx1"/>
                  </w14:solidFill>
                </w14:textFill>
              </w:rPr>
              <w:t>小康社会与新的形势下坚持和发展中国特色社会主义</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中国特色社会主义进入新时代和实现中华民族伟大复兴的中国梦</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决胜全面建成小康社会和开启全面建成社会主义现代化强国新征程</w:t>
            </w:r>
          </w:p>
          <w:p w14:paraId="19F1894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等方面。通过学习，学生将深入了解中华人民共和国在各个历史阶段的发展变化，认识到中国特色社会主义道路的历史必然性和正确性，增强对国家的热爱和对未来的信心。</w:t>
            </w:r>
          </w:p>
        </w:tc>
        <w:tc>
          <w:tcPr>
            <w:tcW w:w="2626" w:type="dxa"/>
            <w:shd w:val="clear" w:color="auto" w:fill="auto"/>
            <w:vAlign w:val="top"/>
          </w:tcPr>
          <w:p w14:paraId="3E5EAEA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通过课堂讲解、案例分析、小组讨论、模拟实践等方式，促进学生进一步增强民族自尊心、自信心和自豪感</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 xml:space="preserve"> 坚定对马克思主义的信仰、对中国共产党的信任、对社会主义的信心。</w:t>
            </w:r>
          </w:p>
        </w:tc>
      </w:tr>
      <w:tr w14:paraId="7E2CF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shd w:val="clear" w:color="auto" w:fill="auto"/>
            <w:vAlign w:val="center"/>
          </w:tcPr>
          <w:p w14:paraId="5624D9C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20</w:t>
            </w:r>
          </w:p>
        </w:tc>
        <w:tc>
          <w:tcPr>
            <w:tcW w:w="752" w:type="dxa"/>
            <w:shd w:val="clear" w:color="auto" w:fill="auto"/>
            <w:vAlign w:val="center"/>
          </w:tcPr>
          <w:p w14:paraId="18C5DC7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改革开放简史</w:t>
            </w:r>
          </w:p>
        </w:tc>
        <w:tc>
          <w:tcPr>
            <w:tcW w:w="3928" w:type="dxa"/>
            <w:shd w:val="clear" w:color="auto" w:fill="auto"/>
            <w:vAlign w:val="top"/>
          </w:tcPr>
          <w:p w14:paraId="3B2413F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kern w:val="2"/>
                <w:sz w:val="24"/>
                <w:szCs w:val="24"/>
                <w:highlight w:val="none"/>
                <w:lang w:val="en-US" w:eastAsia="zh-CN" w:bidi="ar-SA"/>
                <w14:textFill>
                  <w14:solidFill>
                    <w14:schemeClr w14:val="tx1"/>
                  </w14:solidFill>
                </w14:textFill>
              </w:rPr>
              <w:t>知识目标</w:t>
            </w:r>
            <w:r>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t>：帮助大学生了解我国改革开放的历史，把握一个国家、一个民族从贫穷落后到繁荣富强的规律，特别是党的十八大以来我国全面深化改革开放的新理念、新思想、新战略以及取得的重大成就和经验。掌握改革开放以来中国特色社会主义建设事业取得的历史性成就、作出的重大历史贡献，懂得进一步深化改革开放必须坚持的重要经验。</w:t>
            </w:r>
          </w:p>
          <w:p w14:paraId="6BB91B4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kern w:val="2"/>
                <w:sz w:val="24"/>
                <w:szCs w:val="24"/>
                <w:highlight w:val="none"/>
                <w:lang w:val="en-US" w:eastAsia="zh-CN" w:bidi="ar-SA"/>
                <w14:textFill>
                  <w14:solidFill>
                    <w14:schemeClr w14:val="tx1"/>
                  </w14:solidFill>
                </w14:textFill>
              </w:rPr>
              <w:t>能力目标：</w:t>
            </w:r>
            <w:r>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t>帮助学生更加熟练地运用辩证唯物主义和历史唯物主义的立场、观点、方法，全面正确认识我国改革开放取得的伟大成就，客观应对改革开放中的矛盾和问题，以更加积极主动的心态投身改革开放的伟大事业中。</w:t>
            </w:r>
          </w:p>
          <w:p w14:paraId="22E5FA0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kern w:val="2"/>
                <w:sz w:val="24"/>
                <w:szCs w:val="24"/>
                <w:highlight w:val="none"/>
                <w:lang w:val="en-US" w:eastAsia="zh-CN" w:bidi="ar-SA"/>
                <w14:textFill>
                  <w14:solidFill>
                    <w14:schemeClr w14:val="tx1"/>
                  </w14:solidFill>
                </w14:textFill>
              </w:rPr>
              <w:t>素质目标：</w:t>
            </w:r>
            <w:r>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t>使学生能够充分理解我国改革开放各个时期的路线、政策和目标，增强自觉执行党的路线、方针、政策的自觉性，增强“四个意识”、坚定“四个自信”、做到“两个维护”，紧密结合全面建设社会主义现代化国家的实际，把理论与实践、知与行统一起来，自觉投身于中国特色社会主义的伟大实践，为实现中华民族伟大复兴作出应有的贡献。</w:t>
            </w:r>
          </w:p>
          <w:p w14:paraId="48D548A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p>
        </w:tc>
        <w:tc>
          <w:tcPr>
            <w:tcW w:w="2960" w:type="dxa"/>
            <w:shd w:val="clear" w:color="auto" w:fill="auto"/>
            <w:vAlign w:val="top"/>
          </w:tcPr>
          <w:p w14:paraId="4C3FE8B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4244479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2204F89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课程内容涵盖</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改革开放拉开大幕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改革开放全面展开</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改革开放开创新局面</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改革开放在科学发展中深化</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改革开放进入新时代</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坚定不移推进全面深化改革</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坚定不移扩大高水平对外开放</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等。</w:t>
            </w:r>
            <w:r>
              <w:rPr>
                <w:rFonts w:hint="eastAsia" w:ascii="仿宋_GB2312" w:hAnsi="仿宋_GB2312" w:eastAsia="仿宋_GB2312" w:cs="仿宋_GB2312"/>
                <w:color w:val="000000" w:themeColor="text1"/>
                <w:sz w:val="24"/>
                <w:szCs w:val="24"/>
                <w:highlight w:val="none"/>
                <w14:textFill>
                  <w14:solidFill>
                    <w14:schemeClr w14:val="tx1"/>
                  </w14:solidFill>
                </w14:textFill>
              </w:rPr>
              <w:t>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626" w:type="dxa"/>
            <w:shd w:val="clear" w:color="auto" w:fill="auto"/>
            <w:vAlign w:val="top"/>
          </w:tcPr>
          <w:p w14:paraId="5EB4957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55C0074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24E24D5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通过专题讲授法、情境教学法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案例教学法等</w:t>
            </w:r>
            <w:r>
              <w:rPr>
                <w:rFonts w:hint="eastAsia" w:ascii="仿宋_GB2312" w:hAnsi="仿宋_GB2312" w:eastAsia="仿宋_GB2312" w:cs="仿宋_GB2312"/>
                <w:color w:val="000000" w:themeColor="text1"/>
                <w:sz w:val="24"/>
                <w:szCs w:val="24"/>
                <w:highlight w:val="none"/>
                <w14:textFill>
                  <w14:solidFill>
                    <w14:schemeClr w14:val="tx1"/>
                  </w14:solidFill>
                </w14:textFill>
              </w:rPr>
              <w:t>，让学生能够系统把握中国改革开放事业的辉煌成就、重大贡献、重要经验和深刻启示。</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引导大学生在全面了解中国改革开放的历史进程中，中国共产党为国家和民族作出的伟大贡献，深刻感悟中国共产党始终不渝为人民的初心宗旨，弄清楚中国共产党为什么能、马克思主义为什么行、中国特色社会主义为什么好等基本道理，坚定不移听党话、跟党走，在全面建设社会主义现代化国家、实现中华民族伟大复兴的实践中建功立业。</w:t>
            </w:r>
          </w:p>
        </w:tc>
      </w:tr>
      <w:tr w14:paraId="39E350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6" w:hRule="atLeast"/>
          <w:jc w:val="center"/>
        </w:trPr>
        <w:tc>
          <w:tcPr>
            <w:tcW w:w="507" w:type="dxa"/>
            <w:vAlign w:val="center"/>
          </w:tcPr>
          <w:p w14:paraId="09DDAEB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21</w:t>
            </w:r>
          </w:p>
        </w:tc>
        <w:tc>
          <w:tcPr>
            <w:tcW w:w="752" w:type="dxa"/>
            <w:shd w:val="clear" w:color="auto" w:fill="auto"/>
            <w:vAlign w:val="center"/>
          </w:tcPr>
          <w:p w14:paraId="0974FD5F">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社会主义发展简史</w:t>
            </w:r>
          </w:p>
        </w:tc>
        <w:tc>
          <w:tcPr>
            <w:tcW w:w="3928" w:type="dxa"/>
            <w:shd w:val="clear" w:color="auto" w:fill="auto"/>
            <w:vAlign w:val="top"/>
          </w:tcPr>
          <w:p w14:paraId="54D2FEA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帮助大学生重点了解空想社会主义的产生和发展，了解科学社会主义的产生和发展，了解世界和中国对社会主义道路和制度的探索和实践，了解新时代中国特色社会主义的理论创造和伟大实践</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从而增强对社会主义制度的认识与信心。</w:t>
            </w:r>
          </w:p>
          <w:p w14:paraId="2089D03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有助于大学生开阔眼界，扩大视野，增长知识，学会把中国特色社会主义理论置于社会主义发生、发展和演变的历史长河中加以认识和把握；有助于大学生全面总结社会主义历史经验，正确看待历史遗产，在总结和借鉴正反两方面社会主义历史经验的基础上，加深对中国特色社会主义理论体系的理解；有助于大学生划清科学社会主义与非科学社会主义的界线，提高大学生的鉴别、分析和批判能力。</w:t>
            </w:r>
          </w:p>
          <w:p w14:paraId="5B6E562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帮助大学生正确认识和理解社会主义制度的优越性，进一步增强大学生道路自信、理论自信、制度自信、文化自信，进一步提升大学生坚持和发展中国特色社会主义理论的自觉性和坚定性。</w:t>
            </w:r>
          </w:p>
          <w:p w14:paraId="5870895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tc>
        <w:tc>
          <w:tcPr>
            <w:tcW w:w="2960" w:type="dxa"/>
            <w:shd w:val="clear" w:color="auto" w:fill="auto"/>
            <w:vAlign w:val="top"/>
          </w:tcPr>
          <w:p w14:paraId="2DDC756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课程内容涵盖空想社会主义的产生与发展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科学社会主义的</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创立、</w:t>
            </w:r>
            <w:r>
              <w:rPr>
                <w:rFonts w:hint="eastAsia" w:ascii="仿宋_GB2312" w:hAnsi="仿宋_GB2312" w:eastAsia="仿宋_GB2312" w:cs="仿宋_GB2312"/>
                <w:color w:val="000000" w:themeColor="text1"/>
                <w:sz w:val="24"/>
                <w:szCs w:val="24"/>
                <w:highlight w:val="none"/>
                <w14:textFill>
                  <w14:solidFill>
                    <w14:schemeClr w14:val="tx1"/>
                  </w14:solidFill>
                </w14:textFill>
              </w:rPr>
              <w:t>社会主义</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从理论到实践、社会主义在多国发展、中国特色社会主义的开创与发展</w:t>
            </w:r>
            <w:r>
              <w:rPr>
                <w:rFonts w:hint="eastAsia" w:ascii="仿宋_GB2312" w:hAnsi="仿宋_GB2312" w:eastAsia="仿宋_GB2312" w:cs="仿宋_GB2312"/>
                <w:color w:val="000000" w:themeColor="text1"/>
                <w:sz w:val="24"/>
                <w:szCs w:val="24"/>
                <w:highlight w:val="none"/>
                <w14:textFill>
                  <w14:solidFill>
                    <w14:schemeClr w14:val="tx1"/>
                  </w14:solidFill>
                </w14:textFill>
              </w:rPr>
              <w:t>。通过学习，学生将了解社会主义思想的起源、发展和变革，掌握社会主义制度在不同国家的实践经验和教训，为理解和坚持中国特色社会主义提供历史依据和理论支持。</w:t>
            </w:r>
          </w:p>
        </w:tc>
        <w:tc>
          <w:tcPr>
            <w:tcW w:w="2626" w:type="dxa"/>
            <w:shd w:val="clear" w:color="auto" w:fill="auto"/>
            <w:vAlign w:val="top"/>
          </w:tcPr>
          <w:p w14:paraId="6FEFCBA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堂教学应采用启发式、研讨式、案例式、参与式、体验式、实践式等方法，充分调动学生的主体作用。在课程组织上应将理论讲授和社会实践融合在一起，贴近生活，贴近实际，使学生在现实生活中感受到历史的气息，既</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能激发学生的学习情趣</w:t>
            </w:r>
            <w:r>
              <w:rPr>
                <w:rFonts w:hint="eastAsia" w:ascii="仿宋_GB2312" w:hAnsi="仿宋_GB2312" w:eastAsia="仿宋_GB2312" w:cs="仿宋_GB2312"/>
                <w:color w:val="000000" w:themeColor="text1"/>
                <w:sz w:val="24"/>
                <w:szCs w:val="24"/>
                <w:highlight w:val="none"/>
                <w14:textFill>
                  <w14:solidFill>
                    <w14:schemeClr w14:val="tx1"/>
                  </w14:solidFill>
                </w14:textFill>
              </w:rPr>
              <w:t>，又有利于提高学生的认知、动手和研究能力，进而</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增强</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学生的爱国情怀</w:t>
            </w:r>
            <w:r>
              <w:rPr>
                <w:rFonts w:hint="eastAsia" w:ascii="仿宋_GB2312" w:hAnsi="仿宋_GB2312" w:eastAsia="仿宋_GB2312" w:cs="仿宋_GB2312"/>
                <w:color w:val="000000" w:themeColor="text1"/>
                <w:sz w:val="24"/>
                <w:szCs w:val="24"/>
                <w:highlight w:val="none"/>
                <w14:textFill>
                  <w14:solidFill>
                    <w14:schemeClr w14:val="tx1"/>
                  </w14:solidFill>
                </w14:textFill>
              </w:rPr>
              <w:t>、自信心和民族自豪感，帮助学生掌握关于当代社会主义的基本知识，以更深刻的视角理解认识当代中国社会，强化共产主义世界观。</w:t>
            </w:r>
          </w:p>
        </w:tc>
      </w:tr>
      <w:tr w14:paraId="12F8A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8" w:hRule="atLeast"/>
          <w:jc w:val="center"/>
        </w:trPr>
        <w:tc>
          <w:tcPr>
            <w:tcW w:w="507" w:type="dxa"/>
            <w:vAlign w:val="center"/>
          </w:tcPr>
          <w:p w14:paraId="4427E47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23E3883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6C370CD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22</w:t>
            </w:r>
          </w:p>
        </w:tc>
        <w:tc>
          <w:tcPr>
            <w:tcW w:w="752" w:type="dxa"/>
            <w:shd w:val="clear" w:color="auto" w:fill="auto"/>
            <w:vAlign w:val="center"/>
          </w:tcPr>
          <w:p w14:paraId="3CDF14CA">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387DDC52">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4784CA0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中华优秀传统文化</w:t>
            </w:r>
          </w:p>
        </w:tc>
        <w:tc>
          <w:tcPr>
            <w:tcW w:w="3928" w:type="dxa"/>
            <w:shd w:val="clear" w:color="auto" w:fill="auto"/>
            <w:vAlign w:val="top"/>
          </w:tcPr>
          <w:p w14:paraId="0F27803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掌握并传承中</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华优秀</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传统文化的基本内涵</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主要内容</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基本精神，了解了中国传统哲学、文学、</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仪式</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文化精髓，扩大学生视野，读懂更多的经典名著名篇，熟悉中国古代的艺术、科技、文化成果，弘扬中国传统礼仪、风俗及美食文化。</w:t>
            </w:r>
          </w:p>
          <w:p w14:paraId="3C14269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掌握鉴赏中华优秀传统文化及其载体的能力；养成传统美德、树立文化自信、掌握文化精粹；培养发掘中华优秀传统文化的生成规律和闪光点的能力；能坚持创造性转化、创新性发展中华优秀传统文化。</w:t>
            </w:r>
          </w:p>
          <w:p w14:paraId="5BFD815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培养学生具有对中华优秀传统文化的热爱敬畏之情；具有强烈的民族精神、人文精神和科学精神；</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弘扬中华优秀传统文化</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树立中华优秀传统文化是我们每一个中国人的血脉和灵魂的情感；提升人格修养，培养文化情怀，</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具有较好的审美情趣和审美能力，</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具备一定的优秀传统文化素养。</w:t>
            </w:r>
          </w:p>
        </w:tc>
        <w:tc>
          <w:tcPr>
            <w:tcW w:w="2960" w:type="dxa"/>
            <w:shd w:val="clear" w:color="auto" w:fill="auto"/>
            <w:vAlign w:val="top"/>
          </w:tcPr>
          <w:p w14:paraId="20EF659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66126DE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59B3B1E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涵盖中华优秀传统文化的多个方面，包括传统文学历史、哲学思想、传统技艺、传统建筑、传统演艺、传统书画、传统饮食、传统医药、传统风俗、传统道德等。通过经典文献解读、历史故事讲述、艺术作品赏析等形式，系统介绍传统文化的基本内容与特点。同时，结合现代社会背景，探讨传统文化在当代的价值与应用，如道德伦理、社会治理、生态文明建设等方面的启示。</w:t>
            </w:r>
          </w:p>
          <w:p w14:paraId="5761286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tc>
        <w:tc>
          <w:tcPr>
            <w:tcW w:w="2626" w:type="dxa"/>
            <w:shd w:val="clear" w:color="auto" w:fill="auto"/>
            <w:vAlign w:val="top"/>
          </w:tcPr>
          <w:p w14:paraId="5AB5399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堂上通过案例欣赏，要求学生积极参与课堂讨论，认真完成课后作业与阅读任务，深入理解并掌握课程知识。鼓励学生主动思考传统文化的现代意义，运用所学知识解决实际问题。同时，强调实践与体验的重要性，组织学生参与文化考察、艺术实践等活动，增强对传统文化的直观感受与亲身体验。通过多元化的考核方式，既系统介绍中国传统文化的基本精神和基本知识，又着力引导学生从文化的视野分析、解读当代社会的种种现象，全面评估学生的学习成效与综合素养。培养学生对民族文化的感情和担当大任的历史责任感。</w:t>
            </w:r>
          </w:p>
        </w:tc>
      </w:tr>
      <w:tr w14:paraId="6A18A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507" w:type="dxa"/>
            <w:vAlign w:val="center"/>
          </w:tcPr>
          <w:p w14:paraId="4BBE5D7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23</w:t>
            </w:r>
          </w:p>
        </w:tc>
        <w:tc>
          <w:tcPr>
            <w:tcW w:w="752" w:type="dxa"/>
            <w:vAlign w:val="center"/>
          </w:tcPr>
          <w:p w14:paraId="6775DF5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中华民族共同体概论</w:t>
            </w:r>
          </w:p>
        </w:tc>
        <w:tc>
          <w:tcPr>
            <w:tcW w:w="3928" w:type="dxa"/>
            <w:vAlign w:val="top"/>
          </w:tcPr>
          <w:p w14:paraId="20DD4F9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全面深入学习贯彻中央民族工作会议精神和习近平总书记关于加强和改进民族工作的重要思想，了解中华民族共同体的历史和现实，认识中华民族共同体的内涵与特征等中华民族共同体的基本常识，从历史中把握中华民族共同体演变的千年历程，树立正确的中华民族历史观。</w:t>
            </w:r>
          </w:p>
          <w:p w14:paraId="12BBBD5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引导学生牢固树立“休戚与共、荣辱与共、生死与共、命运与共”的共同体理念，牢固树立正确的国家观、历史观、民族观、文化观、宗教观，增强学生对伟大祖国、中华民族、中华文化、中国共产党、中国特色社会主义的认同，为实现中华民族伟大复兴的中国梦不懈奋斗，不断巩固中华民族共同体思想基础。</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紧扣铸牢中华民族共同体意识的基本任务，自觉推动中华民族共同体建设。</w:t>
            </w:r>
          </w:p>
          <w:p w14:paraId="27A1141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引导学生树立正确的中华民族历史观，不断增强“五个认同”，树立“四个与共”的理念，铸牢中华民族共同体意识，铸就中国心、铸造中华魂；学生能积极参与各民族交往交流交融；学生会思考在铸牢中华民族共同体意识的社会大势中规划人生蓝图，树立为中华民族伟大复兴贡献力量的高远理想，努力为实现中华民族复兴伟业贡献力量。</w:t>
            </w:r>
          </w:p>
        </w:tc>
        <w:tc>
          <w:tcPr>
            <w:tcW w:w="2960" w:type="dxa"/>
            <w:vAlign w:val="top"/>
          </w:tcPr>
          <w:p w14:paraId="3823BC8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共设十六讲，系统涵盖多方面内容：从中华民族共同体的基础理论、正确历史观树立入手，按史前至清前中期的历史脉络，梳理了中华民族共同体的起源、演进、初步形成、大交融、繁盛、内聚发展、大统合、稳固壮大及格局底定过程；随后聚焦近现代以来，讲述了1840—1919年国家转型与民族意识觉醒、1919—1949年先锋队引领下的民族新选择、1949—2012年新中国开启的民族新纪元，以及2012年至今新时代的民族共同体建设；最后以“文明新路与人类命运共同体”收束，形成完整的课程内容体系。</w:t>
            </w:r>
          </w:p>
        </w:tc>
        <w:tc>
          <w:tcPr>
            <w:tcW w:w="2626" w:type="dxa"/>
            <w:vAlign w:val="top"/>
          </w:tcPr>
          <w:p w14:paraId="7895857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要求学生积极参与课堂讨论，深入理解中华民族共同体的核心理念与价值追求。鼓励学生主动查阅资料，拓宽知识面，深化对中华民族共同体构建的认识。通过课程考核，全面评估学生的学习成效与中华民族共同体意识的养成情况。</w:t>
            </w:r>
            <w:r>
              <w:rPr>
                <w:rFonts w:hint="eastAsia" w:ascii="仿宋_GB2312" w:hAnsi="仿宋_GB2312" w:eastAsia="仿宋_GB2312" w:cs="仿宋_GB2312"/>
                <w:color w:val="000000" w:themeColor="text1"/>
                <w:sz w:val="24"/>
                <w:szCs w:val="24"/>
                <w:highlight w:val="none"/>
                <w14:textFill>
                  <w14:solidFill>
                    <w14:schemeClr w14:val="tx1"/>
                  </w14:solidFill>
                </w14:textFill>
              </w:rPr>
              <w:t>达到增强学生学习知识、理论的兴趣和钻研理论的热情、提高学生运用所学知识分析问题和解决问题的能力，</w:t>
            </w:r>
          </w:p>
          <w:p w14:paraId="1E6F13A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培养正确开展民族交往交流交融的态度、情感、能力，铸牢中华民族共同体意识。</w:t>
            </w:r>
          </w:p>
        </w:tc>
      </w:tr>
      <w:tr w14:paraId="31962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4A1C18F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24</w:t>
            </w:r>
          </w:p>
        </w:tc>
        <w:tc>
          <w:tcPr>
            <w:tcW w:w="752" w:type="dxa"/>
            <w:shd w:val="clear" w:color="auto" w:fill="auto"/>
            <w:vAlign w:val="center"/>
          </w:tcPr>
          <w:p w14:paraId="0B96BD98">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语文</w:t>
            </w:r>
          </w:p>
        </w:tc>
        <w:tc>
          <w:tcPr>
            <w:tcW w:w="3928" w:type="dxa"/>
            <w:shd w:val="clear" w:color="auto" w:fill="auto"/>
            <w:vAlign w:val="top"/>
          </w:tcPr>
          <w:p w14:paraId="20DD6F8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掌握现代汉语基础知识和常用文体特征，了解文学鉴赏基本方法。学习实用写作规范，提升语言表达准确性，培养基础文学素养。</w:t>
            </w:r>
          </w:p>
          <w:p w14:paraId="042383A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：培养阅读理解与书面表达能力，提升职场应用写作水平。增强口语交际能力，掌握专业文献阅读方法，适应职业发展需求。</w:t>
            </w:r>
          </w:p>
          <w:p w14:paraId="6DB1CD4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培育人文精神与审美情趣，提高文化修养。增强逻辑思维与创新意识，树立终身学习理念。</w:t>
            </w:r>
          </w:p>
          <w:p w14:paraId="4C2CC3A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通过经典作品传承中华优秀传统文化，培育文化自信。在语言训练中融入社会主义核心价值观教育。</w:t>
            </w:r>
          </w:p>
        </w:tc>
        <w:tc>
          <w:tcPr>
            <w:tcW w:w="2960" w:type="dxa"/>
            <w:shd w:val="clear" w:color="auto" w:fill="auto"/>
            <w:vAlign w:val="top"/>
          </w:tcPr>
          <w:p w14:paraId="374E113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3ED9551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6CD841B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包含现代汉语应用、文学鉴赏、实用写作三大模块。重点培养应用文写作、口语交际等实用技能，精选反映时代精神的文学作品。结合专业特色，设计职场情境语言训练，融入专业文献阅读指导，强化职业语文能力培养。</w:t>
            </w:r>
          </w:p>
        </w:tc>
        <w:tc>
          <w:tcPr>
            <w:tcW w:w="2626" w:type="dxa"/>
            <w:shd w:val="clear" w:color="auto" w:fill="auto"/>
            <w:vAlign w:val="top"/>
          </w:tcPr>
          <w:p w14:paraId="43B01C2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3C0E86A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2CDA032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2999328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教师需采用任务驱动教学法，设计真实语言应用场景。学生需积极参与课堂活动，完成实践训练任务。教学中要注重学用结合，突出职业导向，强化语言应用能力培养，提升学生人文素养和职业竞争力。</w:t>
            </w:r>
          </w:p>
        </w:tc>
      </w:tr>
      <w:bookmarkEnd w:id="3"/>
      <w:bookmarkEnd w:id="4"/>
      <w:tr w14:paraId="7DD0D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23DDEEE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25</w:t>
            </w:r>
          </w:p>
        </w:tc>
        <w:tc>
          <w:tcPr>
            <w:tcW w:w="752" w:type="dxa"/>
            <w:shd w:val="clear" w:color="auto" w:fill="auto"/>
            <w:vAlign w:val="center"/>
          </w:tcPr>
          <w:p w14:paraId="4A718D2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物理</w:t>
            </w:r>
          </w:p>
        </w:tc>
        <w:tc>
          <w:tcPr>
            <w:tcW w:w="3928" w:type="dxa"/>
            <w:shd w:val="clear" w:color="auto" w:fill="auto"/>
            <w:vAlign w:val="top"/>
          </w:tcPr>
          <w:p w14:paraId="09EC9372">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知识目标：</w:t>
            </w:r>
            <w:r>
              <w:rPr>
                <w:rFonts w:hint="eastAsia" w:ascii="仿宋_GB2312" w:hAnsi="仿宋_GB2312" w:eastAsia="仿宋_GB2312" w:cs="仿宋_GB2312"/>
                <w:sz w:val="24"/>
                <w:szCs w:val="24"/>
                <w:lang w:val="en-US" w:eastAsia="zh-CN"/>
              </w:rPr>
              <w:t>掌握力学、热学、电磁学等经典物理核心概念与规律，了解其在高新技术和工程实践中的具体应用，构建必要的物理知识体系。</w:t>
            </w:r>
          </w:p>
          <w:p w14:paraId="432E42C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能力目标：</w:t>
            </w:r>
            <w:r>
              <w:rPr>
                <w:rFonts w:hint="eastAsia" w:ascii="仿宋_GB2312" w:hAnsi="仿宋_GB2312" w:eastAsia="仿宋_GB2312" w:cs="仿宋_GB2312"/>
                <w:sz w:val="24"/>
                <w:szCs w:val="24"/>
                <w:lang w:val="en-US" w:eastAsia="zh-CN"/>
              </w:rPr>
              <w:t>能够运用物理原理分析和解决生产生活中的实际问题，具备基本的实验操作、数据处理和科学思维能力，提升技术应用与创新意识。</w:t>
            </w:r>
          </w:p>
          <w:p w14:paraId="0E9E9F1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素质目标：</w:t>
            </w:r>
            <w:r>
              <w:rPr>
                <w:rFonts w:hint="eastAsia" w:ascii="仿宋_GB2312" w:hAnsi="仿宋_GB2312" w:eastAsia="仿宋_GB2312" w:cs="仿宋_GB2312"/>
                <w:sz w:val="24"/>
                <w:szCs w:val="24"/>
                <w:lang w:val="en-US" w:eastAsia="zh-CN"/>
              </w:rPr>
              <w:t>培养严谨求实的科学态度、精益求精的工匠精神和探索未知的好奇心，为未来职业发展和终身学习奠定坚实基础。</w:t>
            </w:r>
          </w:p>
          <w:p w14:paraId="61A97F0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课程思政育人目标：</w:t>
            </w:r>
            <w:r>
              <w:rPr>
                <w:rFonts w:hint="eastAsia" w:ascii="仿宋_GB2312" w:hAnsi="仿宋_GB2312" w:eastAsia="仿宋_GB2312" w:cs="仿宋_GB2312"/>
                <w:sz w:val="24"/>
                <w:szCs w:val="24"/>
                <w:lang w:val="en-US" w:eastAsia="zh-CN"/>
              </w:rPr>
              <w:t>通过物理学史和科学家故事，弘扬科学精神和爱国情怀，培养职业道德、团队协作意识与社会责任感。</w:t>
            </w:r>
          </w:p>
          <w:p w14:paraId="3764F53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lang w:val="en-US" w:eastAsia="zh-CN"/>
              </w:rPr>
            </w:pPr>
          </w:p>
          <w:p w14:paraId="1389A5C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lang w:val="en-US" w:eastAsia="zh-CN"/>
              </w:rPr>
            </w:pPr>
          </w:p>
        </w:tc>
        <w:tc>
          <w:tcPr>
            <w:tcW w:w="2960" w:type="dxa"/>
            <w:shd w:val="clear" w:color="auto" w:fill="auto"/>
            <w:vAlign w:val="top"/>
          </w:tcPr>
          <w:p w14:paraId="5AB742B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sz w:val="24"/>
                <w:szCs w:val="24"/>
                <w:lang w:val="en-US" w:eastAsia="zh-CN"/>
              </w:rPr>
              <w:t>课程涵盖经典物理核心内容，包括质点力学、刚体转动、机械振动与波；热力学基础与理想气体状态方程；静电场、恒定磁场与电磁感应现象。教学内容注重与专业结合，通过案例分析介绍物理原理在工程技术（如机械、电气、汽车）中的典型应用，并安排基础物理实验以强化实践认知。</w:t>
            </w:r>
          </w:p>
        </w:tc>
        <w:tc>
          <w:tcPr>
            <w:tcW w:w="2626" w:type="dxa"/>
            <w:shd w:val="clear" w:color="auto" w:fill="auto"/>
            <w:vAlign w:val="top"/>
          </w:tcPr>
          <w:p w14:paraId="04C5A6C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sz w:val="24"/>
                <w:szCs w:val="24"/>
                <w:lang w:val="en-US" w:eastAsia="zh-CN"/>
              </w:rPr>
              <w:t>理论与实践并重，采用案例教学、项目驱动等方法，紧密联系专业实际和生活中的物理现象，激发学生兴趣。充分利用多媒体等信息化手段辅助教学，强化直观理解。注重培养学生动手操作、观察分析和解决实际问题的能力，鼓励团队协作与创新思维。</w:t>
            </w:r>
          </w:p>
        </w:tc>
      </w:tr>
      <w:tr w14:paraId="20BCA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2DB8A05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26</w:t>
            </w:r>
          </w:p>
        </w:tc>
        <w:tc>
          <w:tcPr>
            <w:tcW w:w="752" w:type="dxa"/>
            <w:shd w:val="clear" w:color="auto" w:fill="auto"/>
            <w:vAlign w:val="center"/>
          </w:tcPr>
          <w:p w14:paraId="5D1260A9">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化学</w:t>
            </w:r>
          </w:p>
        </w:tc>
        <w:tc>
          <w:tcPr>
            <w:tcW w:w="3928" w:type="dxa"/>
            <w:shd w:val="clear" w:color="auto" w:fill="auto"/>
            <w:vAlign w:val="top"/>
          </w:tcPr>
          <w:p w14:paraId="1EFE3D3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知识目标：</w:t>
            </w:r>
            <w:r>
              <w:rPr>
                <w:rFonts w:hint="eastAsia" w:ascii="仿宋_GB2312" w:hAnsi="仿宋_GB2312" w:eastAsia="仿宋_GB2312" w:cs="仿宋_GB2312"/>
                <w:sz w:val="24"/>
                <w:szCs w:val="24"/>
                <w:lang w:val="en-US" w:eastAsia="zh-CN"/>
              </w:rPr>
              <w:t>掌握物质结构、溶液化学、反应速率、电解质溶液等基本化学原理，熟悉常见元素及其化合物的性质与重要反应律。</w:t>
            </w:r>
          </w:p>
          <w:p w14:paraId="756FCA82">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能力目标：</w:t>
            </w:r>
            <w:r>
              <w:rPr>
                <w:rFonts w:hint="eastAsia" w:ascii="仿宋_GB2312" w:hAnsi="仿宋_GB2312" w:eastAsia="仿宋_GB2312" w:cs="仿宋_GB2312"/>
                <w:sz w:val="24"/>
                <w:szCs w:val="24"/>
                <w:lang w:val="en-US" w:eastAsia="zh-CN"/>
              </w:rPr>
              <w:t>能够规范进行基础化学实验操作，具备分析处理实验数据、鉴别常见物质及解决化工生产中一般性化学问题的实践能力。</w:t>
            </w:r>
          </w:p>
          <w:p w14:paraId="5C1C08C0">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素质目标：</w:t>
            </w:r>
            <w:r>
              <w:rPr>
                <w:rFonts w:hint="eastAsia" w:ascii="仿宋_GB2312" w:hAnsi="仿宋_GB2312" w:eastAsia="仿宋_GB2312" w:cs="仿宋_GB2312"/>
                <w:sz w:val="24"/>
                <w:szCs w:val="24"/>
                <w:lang w:val="en-US" w:eastAsia="zh-CN"/>
              </w:rPr>
              <w:t>培养严谨细致、实事求是的科学作风，树立环保、安全、节约的意识，为未来从事相关技术工作奠定良好的职业素养基础。</w:t>
            </w:r>
          </w:p>
          <w:p w14:paraId="517B55C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sz w:val="24"/>
                <w:szCs w:val="24"/>
                <w:lang w:val="en-US" w:eastAsia="zh-CN"/>
              </w:rPr>
              <w:t>课程思政育人目标：</w:t>
            </w:r>
            <w:r>
              <w:rPr>
                <w:rFonts w:hint="eastAsia" w:ascii="仿宋_GB2312" w:hAnsi="仿宋_GB2312" w:eastAsia="仿宋_GB2312" w:cs="仿宋_GB2312"/>
                <w:sz w:val="24"/>
                <w:szCs w:val="24"/>
                <w:lang w:val="en-US" w:eastAsia="zh-CN"/>
              </w:rPr>
              <w:t>通过我国古代化工成就与现代科技发展案例，增强民族自豪感，培养绿色化学理念、社会责任感和职业道德。</w:t>
            </w:r>
          </w:p>
        </w:tc>
        <w:tc>
          <w:tcPr>
            <w:tcW w:w="2960" w:type="dxa"/>
            <w:shd w:val="clear" w:color="auto" w:fill="auto"/>
            <w:vAlign w:val="top"/>
          </w:tcPr>
          <w:p w14:paraId="649F17F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sz w:val="24"/>
                <w:szCs w:val="24"/>
                <w:lang w:val="en-US" w:eastAsia="zh-CN"/>
              </w:rPr>
              <w:t>教学内容涵盖物质结构基础；化学反应基本原理（能量、速率与平衡）；重要元素及其化合物（如金属、非金属）的性质与应用；溶液（电离、pH、胶体）与分析化学基础；有机化学入门（常见烃与烃的衍生物）。课程将紧密结合环境监测、材料加工、生物医药、日用化工等专业领域实例展开教学，并配套基础化学实验。</w:t>
            </w:r>
          </w:p>
        </w:tc>
        <w:tc>
          <w:tcPr>
            <w:tcW w:w="2626" w:type="dxa"/>
            <w:shd w:val="clear" w:color="auto" w:fill="auto"/>
            <w:vAlign w:val="top"/>
          </w:tcPr>
          <w:p w14:paraId="1D77432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sz w:val="24"/>
                <w:szCs w:val="24"/>
                <w:lang w:val="en-US" w:eastAsia="zh-CN"/>
              </w:rPr>
              <w:t>坚持“理论够用、重在应用”原则，采用项目化、案例式教学，将知识点融入专业实例和生活情境。充分利用演示实验等手段辅助教学，突出重点，化解难点。高度重视实验安全教育，严格规范学生操作流程，着重培养其观察、动手、分析和解决实际问题的综合能力。</w:t>
            </w:r>
          </w:p>
        </w:tc>
      </w:tr>
    </w:tbl>
    <w:p w14:paraId="53347531">
      <w:pPr>
        <w:pStyle w:val="2"/>
        <w:pageBreakBefore w:val="0"/>
        <w:widowControl/>
        <w:kinsoku/>
        <w:wordWrap/>
        <w:topLinePunct w:val="0"/>
        <w:autoSpaceDE/>
        <w:autoSpaceDN/>
        <w:bidi w:val="0"/>
        <w:snapToGrid/>
        <w:spacing w:before="0" w:after="0" w:line="520" w:lineRule="exact"/>
        <w:ind w:firstLine="640" w:firstLineChars="200"/>
        <w:jc w:val="left"/>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（二）专业课程</w:t>
      </w:r>
    </w:p>
    <w:p w14:paraId="6C0EDFE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color w:val="auto"/>
          <w:sz w:val="32"/>
          <w:szCs w:val="32"/>
        </w:rPr>
        <w:t>一般包括专业基础课程、专业核心课程和专业拓展课程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b w:val="0"/>
          <w:bCs w:val="0"/>
          <w:color w:val="auto"/>
          <w:sz w:val="32"/>
          <w:szCs w:val="32"/>
          <w:highlight w:val="none"/>
          <w:lang w:val="en-US" w:eastAsia="zh-CN"/>
        </w:rPr>
        <w:t>并涵盖有关实践性教学环节。</w:t>
      </w:r>
    </w:p>
    <w:p w14:paraId="5E8E1DD7">
      <w:pPr>
        <w:keepNext w:val="0"/>
        <w:keepLines w:val="0"/>
        <w:pageBreakBefore w:val="0"/>
        <w:widowControl w:val="0"/>
        <w:kinsoku/>
        <w:wordWrap/>
        <w:overflowPunct w:val="0"/>
        <w:topLinePunct w:val="0"/>
        <w:autoSpaceDE/>
        <w:autoSpaceDN/>
        <w:bidi w:val="0"/>
        <w:adjustRightInd w:val="0"/>
        <w:snapToGrid/>
        <w:spacing w:after="0" w:line="520" w:lineRule="exact"/>
        <w:ind w:firstLine="960" w:firstLineChars="300"/>
        <w:textAlignment w:val="auto"/>
        <w:rPr>
          <w:rFonts w:hint="eastAsia" w:ascii="仿宋_GB2312" w:hAnsi="仿宋_GB2312" w:eastAsia="仿宋_GB2312" w:cs="仿宋_GB2312"/>
          <w:b w:val="0"/>
          <w:bCs w:val="0"/>
          <w:color w:val="auto"/>
          <w:sz w:val="32"/>
          <w:szCs w:val="32"/>
        </w:rPr>
      </w:pPr>
      <w:bookmarkStart w:id="5" w:name="_Toc90734975"/>
      <w:r>
        <w:rPr>
          <w:rFonts w:hint="eastAsia" w:ascii="仿宋_GB2312" w:hAnsi="仿宋_GB2312" w:eastAsia="仿宋_GB2312" w:cs="仿宋_GB2312"/>
          <w:b w:val="0"/>
          <w:bCs w:val="0"/>
          <w:color w:val="auto"/>
          <w:sz w:val="32"/>
          <w:szCs w:val="32"/>
        </w:rPr>
        <w:t>1.专业基础课程</w:t>
      </w:r>
      <w:bookmarkEnd w:id="5"/>
    </w:p>
    <w:p w14:paraId="337B4CAB">
      <w:pPr>
        <w:keepNext w:val="0"/>
        <w:keepLines w:val="0"/>
        <w:pageBreakBefore w:val="0"/>
        <w:widowControl w:val="0"/>
        <w:kinsoku/>
        <w:wordWrap/>
        <w:overflowPunct w:val="0"/>
        <w:topLinePunct w:val="0"/>
        <w:autoSpaceDE/>
        <w:autoSpaceDN/>
        <w:bidi w:val="0"/>
        <w:adjustRightInd w:val="0"/>
        <w:snapToGrid/>
        <w:spacing w:after="0" w:line="520" w:lineRule="exact"/>
        <w:ind w:firstLine="960" w:firstLineChars="3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kern w:val="2"/>
          <w:sz w:val="32"/>
          <w:szCs w:val="32"/>
          <w:lang w:val="en-US" w:eastAsia="zh-CN" w:bidi="ar-SA"/>
        </w:rPr>
        <w:t>专业基础课是为后续专业课程学习打基础的课程。包括：汽车机械基础、汽车概论、汽车机械识图、客户沟通技巧与投诉处理、汽车电工电子技术、汽车计算机基础、汽车专业英语课程。</w:t>
      </w:r>
    </w:p>
    <w:p w14:paraId="13E9CFFE">
      <w:pPr>
        <w:overflowPunct w:val="0"/>
        <w:adjustRightInd w:val="0"/>
        <w:spacing w:line="520" w:lineRule="exact"/>
        <w:jc w:val="center"/>
        <w:rPr>
          <w:rFonts w:hint="default" w:ascii="仿宋_GB2312" w:hAnsi="仿宋_GB2312" w:eastAsia="仿宋_GB2312" w:cs="仿宋_GB2312"/>
          <w:color w:val="auto"/>
          <w:sz w:val="32"/>
          <w:szCs w:val="32"/>
          <w:highlight w:val="green"/>
          <w:lang w:val="en-US" w:eastAsia="zh-CN"/>
        </w:rPr>
      </w:pPr>
      <w:r>
        <w:rPr>
          <w:rFonts w:hint="eastAsia" w:ascii="仿宋_GB2312" w:hAnsi="仿宋_GB2312" w:eastAsia="仿宋_GB2312" w:cs="仿宋_GB2312"/>
          <w:color w:val="auto"/>
          <w:sz w:val="32"/>
          <w:szCs w:val="32"/>
        </w:rPr>
        <w:t>表3专业</w:t>
      </w:r>
      <w:r>
        <w:rPr>
          <w:rFonts w:hint="eastAsia" w:ascii="仿宋_GB2312" w:hAnsi="仿宋_GB2312" w:eastAsia="仿宋_GB2312" w:cs="仿宋_GB2312"/>
          <w:color w:val="auto"/>
          <w:sz w:val="32"/>
          <w:szCs w:val="32"/>
          <w:highlight w:val="none"/>
        </w:rPr>
        <w:t>基础课</w:t>
      </w:r>
      <w:r>
        <w:rPr>
          <w:rFonts w:hint="eastAsia" w:ascii="仿宋_GB2312" w:hAnsi="仿宋_GB2312" w:eastAsia="仿宋_GB2312" w:cs="仿宋_GB2312"/>
          <w:color w:val="auto"/>
          <w:sz w:val="32"/>
          <w:szCs w:val="32"/>
          <w:highlight w:val="none"/>
          <w:lang w:val="en-US" w:eastAsia="zh-CN"/>
        </w:rPr>
        <w:t>课</w:t>
      </w:r>
      <w:r>
        <w:rPr>
          <w:rFonts w:hint="eastAsia" w:ascii="仿宋_GB2312" w:hAnsi="仿宋_GB2312" w:eastAsia="仿宋_GB2312" w:cs="仿宋_GB2312"/>
          <w:color w:val="auto"/>
          <w:sz w:val="32"/>
          <w:szCs w:val="32"/>
          <w:highlight w:val="none"/>
        </w:rPr>
        <w:t>程</w:t>
      </w:r>
      <w:r>
        <w:rPr>
          <w:rFonts w:hint="eastAsia" w:ascii="仿宋_GB2312" w:hAnsi="仿宋_GB2312" w:eastAsia="仿宋_GB2312" w:cs="仿宋_GB2312"/>
          <w:color w:val="auto"/>
          <w:sz w:val="32"/>
          <w:szCs w:val="32"/>
          <w:highlight w:val="none"/>
          <w:lang w:val="en-US" w:eastAsia="zh-CN"/>
        </w:rPr>
        <w:t>目标、主要教学内容与要求</w:t>
      </w:r>
    </w:p>
    <w:tbl>
      <w:tblPr>
        <w:tblStyle w:val="8"/>
        <w:tblW w:w="102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3"/>
        <w:gridCol w:w="801"/>
        <w:gridCol w:w="4017"/>
        <w:gridCol w:w="2817"/>
        <w:gridCol w:w="2175"/>
      </w:tblGrid>
      <w:tr w14:paraId="66C82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63" w:type="dxa"/>
            <w:vAlign w:val="center"/>
          </w:tcPr>
          <w:p w14:paraId="4FE0F4C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序号</w:t>
            </w:r>
          </w:p>
        </w:tc>
        <w:tc>
          <w:tcPr>
            <w:tcW w:w="801" w:type="dxa"/>
            <w:vAlign w:val="center"/>
          </w:tcPr>
          <w:p w14:paraId="432EA95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课程名称</w:t>
            </w:r>
          </w:p>
        </w:tc>
        <w:tc>
          <w:tcPr>
            <w:tcW w:w="4017" w:type="dxa"/>
            <w:vAlign w:val="center"/>
          </w:tcPr>
          <w:p w14:paraId="2C11070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lang w:val="en-US" w:eastAsia="zh-CN"/>
              </w:rPr>
              <w:t>课程</w:t>
            </w:r>
            <w:r>
              <w:rPr>
                <w:rFonts w:hint="eastAsia" w:ascii="仿宋_GB2312" w:hAnsi="仿宋_GB2312" w:eastAsia="仿宋_GB2312" w:cs="仿宋_GB2312"/>
                <w:b w:val="0"/>
                <w:bCs w:val="0"/>
                <w:color w:val="auto"/>
                <w:sz w:val="24"/>
                <w:szCs w:val="24"/>
              </w:rPr>
              <w:t>目标</w:t>
            </w:r>
          </w:p>
        </w:tc>
        <w:tc>
          <w:tcPr>
            <w:tcW w:w="2817" w:type="dxa"/>
            <w:vAlign w:val="center"/>
          </w:tcPr>
          <w:p w14:paraId="6F0ABD2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lang w:val="en-US" w:eastAsia="zh-CN"/>
              </w:rPr>
              <w:t>主要</w:t>
            </w:r>
            <w:r>
              <w:rPr>
                <w:rFonts w:hint="eastAsia" w:ascii="仿宋_GB2312" w:hAnsi="仿宋_GB2312" w:eastAsia="仿宋_GB2312" w:cs="仿宋_GB2312"/>
                <w:b w:val="0"/>
                <w:bCs w:val="0"/>
                <w:color w:val="auto"/>
                <w:sz w:val="24"/>
                <w:szCs w:val="24"/>
              </w:rPr>
              <w:t>教学内容</w:t>
            </w:r>
          </w:p>
        </w:tc>
        <w:tc>
          <w:tcPr>
            <w:tcW w:w="2175" w:type="dxa"/>
            <w:vAlign w:val="center"/>
          </w:tcPr>
          <w:p w14:paraId="4FFCFFF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教学要求</w:t>
            </w:r>
          </w:p>
        </w:tc>
      </w:tr>
      <w:tr w14:paraId="41806E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63" w:type="dxa"/>
            <w:vAlign w:val="center"/>
          </w:tcPr>
          <w:p w14:paraId="1EE3F2C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w:t>
            </w:r>
          </w:p>
        </w:tc>
        <w:tc>
          <w:tcPr>
            <w:tcW w:w="801" w:type="dxa"/>
            <w:vAlign w:val="center"/>
          </w:tcPr>
          <w:p w14:paraId="3A2FBD4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2"/>
                <w:sz w:val="24"/>
                <w:szCs w:val="24"/>
                <w:lang w:val="en-US" w:eastAsia="zh-CN" w:bidi="ar-SA"/>
              </w:rPr>
              <w:t>汽车机械基础</w:t>
            </w:r>
          </w:p>
        </w:tc>
        <w:tc>
          <w:tcPr>
            <w:tcW w:w="4017" w:type="dxa"/>
            <w:vAlign w:val="top"/>
          </w:tcPr>
          <w:p w14:paraId="1CAB5643">
            <w:pPr>
              <w:keepNext w:val="0"/>
              <w:keepLines w:val="0"/>
              <w:pageBreakBefore w:val="0"/>
              <w:widowControl w:val="0"/>
              <w:numPr>
                <w:ilvl w:val="0"/>
                <w:numId w:val="0"/>
              </w:numPr>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掌握汽车机械领域的基本概念、理论及分析方法，包括金属材料性能、机械传动机构原理、典型零部件结构等；理解机械设计与制造在汽车工程中的应用逻辑。</w:t>
            </w:r>
          </w:p>
          <w:p w14:paraId="3BA80848">
            <w:pPr>
              <w:keepNext w:val="0"/>
              <w:keepLines w:val="0"/>
              <w:pageBreakBefore w:val="0"/>
              <w:widowControl w:val="0"/>
              <w:numPr>
                <w:ilvl w:val="0"/>
                <w:numId w:val="0"/>
              </w:numPr>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能够运用机械基础理论分析汽车零部件的工作原理及失效原因，具备金属材料选用、简单机械结构设计与参数计算的能力；能规范使用机械测量工具，完成基础零部件的检测与调试。</w:t>
            </w:r>
          </w:p>
          <w:p w14:paraId="2B5C3262">
            <w:pPr>
              <w:keepNext w:val="0"/>
              <w:keepLines w:val="0"/>
              <w:pageBreakBefore w:val="0"/>
              <w:widowControl w:val="0"/>
              <w:numPr>
                <w:ilvl w:val="0"/>
                <w:numId w:val="0"/>
              </w:numPr>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培养严谨细致的工程思维，树立质量意识与安全意识；养成理论联系实际的学习习惯，提升解决机械类实际问题的主动性。</w:t>
            </w:r>
          </w:p>
          <w:p w14:paraId="25CD5CC2">
            <w:pPr>
              <w:keepNext w:val="0"/>
              <w:keepLines w:val="0"/>
              <w:pageBreakBefore w:val="0"/>
              <w:widowControl w:val="0"/>
              <w:numPr>
                <w:ilvl w:val="0"/>
                <w:numId w:val="0"/>
              </w:numPr>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通过机械原理与汽车工业发展史的结合，渗透工匠精神，引导学生认识机械制造精度对汽</w:t>
            </w:r>
            <w:r>
              <w:rPr>
                <w:rFonts w:hint="eastAsia" w:ascii="仿宋_GB2312" w:hAnsi="仿宋_GB2312" w:eastAsia="仿宋_GB2312" w:cs="仿宋_GB2312"/>
                <w:color w:val="auto"/>
                <w:spacing w:val="-6"/>
                <w:sz w:val="24"/>
                <w:szCs w:val="24"/>
                <w:lang w:val="en-US" w:eastAsia="zh-CN"/>
              </w:rPr>
              <w:t>车安全性能的重要性，强化责任担当。</w:t>
            </w:r>
          </w:p>
        </w:tc>
        <w:tc>
          <w:tcPr>
            <w:tcW w:w="2817" w:type="dxa"/>
            <w:vAlign w:val="top"/>
          </w:tcPr>
          <w:p w14:paraId="1939B4C3">
            <w:pPr>
              <w:keepNext w:val="0"/>
              <w:keepLines w:val="0"/>
              <w:pageBreakBefore w:val="0"/>
              <w:widowControl w:val="0"/>
              <w:numPr>
                <w:ilvl w:val="0"/>
                <w:numId w:val="0"/>
              </w:numPr>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kern w:val="2"/>
                <w:sz w:val="24"/>
                <w:szCs w:val="24"/>
                <w:lang w:val="en-US" w:eastAsia="zh-CN" w:bidi="ar-SA"/>
              </w:rPr>
              <w:t>1.</w:t>
            </w:r>
            <w:r>
              <w:rPr>
                <w:rFonts w:hint="eastAsia" w:ascii="仿宋_GB2312" w:hAnsi="仿宋_GB2312" w:eastAsia="仿宋_GB2312" w:cs="仿宋_GB2312"/>
                <w:color w:val="auto"/>
                <w:sz w:val="24"/>
                <w:szCs w:val="24"/>
              </w:rPr>
              <w:t>通过本课程的学习，使学生知道关于汽车机械方面的一些基本概念、基本理论和分析方法</w:t>
            </w:r>
            <w:r>
              <w:rPr>
                <w:rFonts w:hint="eastAsia" w:ascii="仿宋_GB2312" w:hAnsi="仿宋_GB2312" w:eastAsia="仿宋_GB2312" w:cs="仿宋_GB2312"/>
                <w:color w:val="auto"/>
                <w:sz w:val="24"/>
                <w:szCs w:val="24"/>
                <w:lang w:eastAsia="zh-CN"/>
              </w:rPr>
              <w:t>；</w:t>
            </w:r>
          </w:p>
          <w:p w14:paraId="3523D1E3">
            <w:pPr>
              <w:keepNext w:val="0"/>
              <w:keepLines w:val="0"/>
              <w:pageBreakBefore w:val="0"/>
              <w:widowControl w:val="0"/>
              <w:numPr>
                <w:ilvl w:val="0"/>
                <w:numId w:val="0"/>
              </w:numPr>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2"/>
                <w:sz w:val="24"/>
                <w:szCs w:val="24"/>
                <w:lang w:val="en-US" w:eastAsia="zh-CN" w:bidi="ar-SA"/>
              </w:rPr>
              <w:t>2.</w:t>
            </w:r>
            <w:r>
              <w:rPr>
                <w:rFonts w:hint="eastAsia" w:ascii="仿宋_GB2312" w:hAnsi="仿宋_GB2312" w:eastAsia="仿宋_GB2312" w:cs="仿宋_GB2312"/>
                <w:color w:val="auto"/>
                <w:sz w:val="24"/>
                <w:szCs w:val="24"/>
              </w:rPr>
              <w:t>能够运用基本理论和方法结合具体案例进行相关的一些分析，达到理论联系实际、活学活用的基本目标，提高实际应用技能</w:t>
            </w:r>
            <w:r>
              <w:rPr>
                <w:rFonts w:hint="eastAsia" w:ascii="仿宋_GB2312" w:hAnsi="仿宋_GB2312" w:eastAsia="仿宋_GB2312" w:cs="仿宋_GB2312"/>
                <w:color w:val="auto"/>
                <w:sz w:val="24"/>
                <w:szCs w:val="24"/>
                <w:lang w:eastAsia="zh-CN"/>
              </w:rPr>
              <w:t>；</w:t>
            </w:r>
          </w:p>
          <w:p w14:paraId="0E6B2A1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yellow"/>
              </w:rPr>
            </w:pPr>
            <w:r>
              <w:rPr>
                <w:rFonts w:hint="eastAsia" w:ascii="仿宋_GB2312" w:hAnsi="仿宋_GB2312" w:eastAsia="仿宋_GB2312" w:cs="仿宋_GB2312"/>
                <w:color w:val="auto"/>
                <w:kern w:val="2"/>
                <w:sz w:val="24"/>
                <w:szCs w:val="24"/>
                <w:lang w:val="en-US" w:eastAsia="zh-CN" w:bidi="ar-SA"/>
              </w:rPr>
              <w:t>3.</w:t>
            </w:r>
            <w:r>
              <w:rPr>
                <w:rFonts w:hint="eastAsia" w:ascii="仿宋_GB2312" w:hAnsi="仿宋_GB2312" w:eastAsia="仿宋_GB2312" w:cs="仿宋_GB2312"/>
                <w:color w:val="auto"/>
                <w:sz w:val="24"/>
                <w:szCs w:val="24"/>
              </w:rPr>
              <w:t>让学生养成善于观察、独立思考的习惯，同时通过教学过程中的规范要求强化学生的职业道德意识和职业素质养成意识。</w:t>
            </w:r>
          </w:p>
        </w:tc>
        <w:tc>
          <w:tcPr>
            <w:tcW w:w="2175" w:type="dxa"/>
            <w:vAlign w:val="top"/>
          </w:tcPr>
          <w:p w14:paraId="115AFBC8">
            <w:pPr>
              <w:keepNext w:val="0"/>
              <w:keepLines w:val="0"/>
              <w:pageBreakBefore w:val="0"/>
              <w:widowControl w:val="0"/>
              <w:numPr>
                <w:ilvl w:val="0"/>
                <w:numId w:val="0"/>
              </w:numPr>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1.掌握金属材料的性能及影响金属材料性能的因素；</w:t>
            </w:r>
          </w:p>
          <w:p w14:paraId="452635E9">
            <w:pPr>
              <w:keepNext w:val="0"/>
              <w:keepLines w:val="0"/>
              <w:pageBreakBefore w:val="0"/>
              <w:widowControl w:val="0"/>
              <w:numPr>
                <w:ilvl w:val="0"/>
                <w:numId w:val="0"/>
              </w:numPr>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2.掌握铁碳合金的分类，熟悉铰链四杆机构的基本类型及其在工程实际中的应用；</w:t>
            </w:r>
          </w:p>
          <w:p w14:paraId="372F53CA">
            <w:pPr>
              <w:keepNext w:val="0"/>
              <w:keepLines w:val="0"/>
              <w:pageBreakBefore w:val="0"/>
              <w:widowControl w:val="0"/>
              <w:numPr>
                <w:ilvl w:val="0"/>
                <w:numId w:val="0"/>
              </w:numPr>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3.掌握铰链</w:t>
            </w:r>
            <w:r>
              <w:rPr>
                <w:rFonts w:hint="eastAsia" w:ascii="仿宋_GB2312" w:hAnsi="仿宋_GB2312" w:eastAsia="仿宋_GB2312" w:cs="仿宋_GB2312"/>
                <w:color w:val="auto"/>
                <w:kern w:val="2"/>
                <w:sz w:val="24"/>
                <w:szCs w:val="24"/>
                <w:highlight w:val="none"/>
                <w:vertAlign w:val="baseline"/>
                <w:lang w:val="en-US" w:eastAsia="zh-CN" w:bidi="ar-SA"/>
              </w:rPr>
              <w:t>四杆</w:t>
            </w:r>
            <w:r>
              <w:rPr>
                <w:rFonts w:hint="eastAsia" w:ascii="仿宋_GB2312" w:hAnsi="仿宋_GB2312" w:eastAsia="仿宋_GB2312" w:cs="仿宋_GB2312"/>
                <w:color w:val="auto"/>
                <w:kern w:val="2"/>
                <w:sz w:val="24"/>
                <w:szCs w:val="24"/>
                <w:vertAlign w:val="baseline"/>
                <w:lang w:val="en-US" w:eastAsia="zh-CN" w:bidi="ar-SA"/>
              </w:rPr>
              <w:t>机构的基本性质，掌握标准直齿圆柱齿轮的主要参数和几何尺寸计算；</w:t>
            </w:r>
          </w:p>
          <w:p w14:paraId="03D631AE">
            <w:pPr>
              <w:keepNext w:val="0"/>
              <w:keepLines w:val="0"/>
              <w:pageBreakBefore w:val="0"/>
              <w:widowControl w:val="0"/>
              <w:numPr>
                <w:ilvl w:val="0"/>
                <w:numId w:val="0"/>
              </w:numPr>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4.了解斜齿圆柱齿轮传动、应用及受力特点；</w:t>
            </w:r>
          </w:p>
          <w:p w14:paraId="04E8F75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yellow"/>
              </w:rPr>
            </w:pPr>
            <w:r>
              <w:rPr>
                <w:rFonts w:hint="eastAsia" w:ascii="仿宋_GB2312" w:hAnsi="仿宋_GB2312" w:eastAsia="仿宋_GB2312" w:cs="仿宋_GB2312"/>
                <w:color w:val="auto"/>
                <w:kern w:val="2"/>
                <w:sz w:val="24"/>
                <w:szCs w:val="24"/>
                <w:vertAlign w:val="baseline"/>
                <w:lang w:val="en-US" w:eastAsia="zh-CN" w:bidi="ar-SA"/>
              </w:rPr>
              <w:t>5.了解联轴器、离合器和制动器的类型、结构及功用</w:t>
            </w:r>
          </w:p>
        </w:tc>
      </w:tr>
      <w:tr w14:paraId="4E8EE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63" w:type="dxa"/>
            <w:vAlign w:val="center"/>
          </w:tcPr>
          <w:p w14:paraId="3B05F4A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bookmarkStart w:id="6" w:name="_Hlk194587108"/>
            <w:r>
              <w:rPr>
                <w:rFonts w:hint="eastAsia" w:ascii="仿宋_GB2312" w:hAnsi="仿宋_GB2312" w:eastAsia="仿宋_GB2312" w:cs="仿宋_GB2312"/>
                <w:color w:val="auto"/>
                <w:sz w:val="24"/>
                <w:szCs w:val="24"/>
                <w:lang w:val="en-US" w:eastAsia="zh-CN"/>
              </w:rPr>
              <w:t>2</w:t>
            </w:r>
          </w:p>
        </w:tc>
        <w:tc>
          <w:tcPr>
            <w:tcW w:w="801" w:type="dxa"/>
            <w:vAlign w:val="center"/>
          </w:tcPr>
          <w:p w14:paraId="722F5FC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kern w:val="2"/>
                <w:sz w:val="24"/>
                <w:szCs w:val="24"/>
                <w:lang w:val="en-US" w:eastAsia="zh-CN" w:bidi="ar-SA"/>
              </w:rPr>
              <w:t>汽车概论</w:t>
            </w:r>
          </w:p>
        </w:tc>
        <w:tc>
          <w:tcPr>
            <w:tcW w:w="4017" w:type="dxa"/>
            <w:vAlign w:val="top"/>
          </w:tcPr>
          <w:p w14:paraId="5E3C669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i w:val="0"/>
                <w:caps w:val="0"/>
                <w:color w:val="000000"/>
                <w:spacing w:val="0"/>
                <w:kern w:val="0"/>
                <w:sz w:val="24"/>
                <w:szCs w:val="24"/>
                <w:lang w:val="en-US" w:eastAsia="zh-CN" w:bidi="ar"/>
              </w:rPr>
            </w:pPr>
            <w:r>
              <w:rPr>
                <w:rFonts w:hint="eastAsia" w:ascii="仿宋_GB2312" w:hAnsi="仿宋_GB2312" w:eastAsia="仿宋_GB2312" w:cs="仿宋_GB2312"/>
                <w:b/>
                <w:bCs/>
                <w:i w:val="0"/>
                <w:caps w:val="0"/>
                <w:color w:val="000000"/>
                <w:spacing w:val="0"/>
                <w:kern w:val="0"/>
                <w:sz w:val="24"/>
                <w:szCs w:val="24"/>
                <w:lang w:val="en-US" w:eastAsia="zh-CN" w:bidi="ar"/>
              </w:rPr>
              <w:t>知识目标：</w:t>
            </w:r>
            <w:r>
              <w:rPr>
                <w:rFonts w:hint="eastAsia" w:ascii="仿宋_GB2312" w:hAnsi="仿宋_GB2312" w:eastAsia="仿宋_GB2312" w:cs="仿宋_GB2312"/>
                <w:i w:val="0"/>
                <w:caps w:val="0"/>
                <w:color w:val="000000"/>
                <w:spacing w:val="0"/>
                <w:kern w:val="0"/>
                <w:sz w:val="24"/>
                <w:szCs w:val="24"/>
                <w:lang w:val="en-US" w:eastAsia="zh-CN" w:bidi="ar"/>
              </w:rPr>
              <w:t>系统掌握汽车的分类标准、基本构造及各系统工作原理；了解汽车工业的发展历程、技术趋势及主流品牌的技术特点。</w:t>
            </w:r>
          </w:p>
          <w:p w14:paraId="045FE09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i w:val="0"/>
                <w:caps w:val="0"/>
                <w:color w:val="000000"/>
                <w:spacing w:val="0"/>
                <w:kern w:val="0"/>
                <w:sz w:val="24"/>
                <w:szCs w:val="24"/>
                <w:lang w:val="en-US" w:eastAsia="zh-CN" w:bidi="ar"/>
              </w:rPr>
            </w:pPr>
            <w:r>
              <w:rPr>
                <w:rFonts w:hint="eastAsia" w:ascii="仿宋_GB2312" w:hAnsi="仿宋_GB2312" w:eastAsia="仿宋_GB2312" w:cs="仿宋_GB2312"/>
                <w:b/>
                <w:bCs/>
                <w:i w:val="0"/>
                <w:caps w:val="0"/>
                <w:color w:val="000000"/>
                <w:spacing w:val="0"/>
                <w:kern w:val="0"/>
                <w:sz w:val="24"/>
                <w:szCs w:val="24"/>
                <w:lang w:val="en-US" w:eastAsia="zh-CN" w:bidi="ar"/>
              </w:rPr>
              <w:t>能力目标：</w:t>
            </w:r>
            <w:r>
              <w:rPr>
                <w:rFonts w:hint="eastAsia" w:ascii="仿宋_GB2312" w:hAnsi="仿宋_GB2312" w:eastAsia="仿宋_GB2312" w:cs="仿宋_GB2312"/>
                <w:i w:val="0"/>
                <w:caps w:val="0"/>
                <w:color w:val="000000"/>
                <w:spacing w:val="0"/>
                <w:kern w:val="0"/>
                <w:sz w:val="24"/>
                <w:szCs w:val="24"/>
                <w:lang w:val="en-US" w:eastAsia="zh-CN" w:bidi="ar"/>
              </w:rPr>
              <w:t>能准确描述汽车各大总成的组成与功能，区分不同动力类型汽车（燃油车、电动车、混动车）的结构差异；具备识别汽车基本参数（排量、轴距、功率）及解读车辆铭牌信息的能力。</w:t>
            </w:r>
          </w:p>
          <w:p w14:paraId="0357FFF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i w:val="0"/>
                <w:caps w:val="0"/>
                <w:color w:val="000000"/>
                <w:spacing w:val="0"/>
                <w:kern w:val="0"/>
                <w:sz w:val="24"/>
                <w:szCs w:val="24"/>
                <w:lang w:val="en-US" w:eastAsia="zh-CN" w:bidi="ar"/>
              </w:rPr>
            </w:pPr>
            <w:r>
              <w:rPr>
                <w:rFonts w:hint="eastAsia" w:ascii="仿宋_GB2312" w:hAnsi="仿宋_GB2312" w:eastAsia="仿宋_GB2312" w:cs="仿宋_GB2312"/>
                <w:b/>
                <w:bCs/>
                <w:i w:val="0"/>
                <w:caps w:val="0"/>
                <w:color w:val="000000"/>
                <w:spacing w:val="0"/>
                <w:kern w:val="0"/>
                <w:sz w:val="24"/>
                <w:szCs w:val="24"/>
                <w:lang w:val="en-US" w:eastAsia="zh-CN" w:bidi="ar"/>
              </w:rPr>
              <w:t>素质目标：</w:t>
            </w:r>
            <w:r>
              <w:rPr>
                <w:rFonts w:hint="eastAsia" w:ascii="仿宋_GB2312" w:hAnsi="仿宋_GB2312" w:eastAsia="仿宋_GB2312" w:cs="仿宋_GB2312"/>
                <w:i w:val="0"/>
                <w:caps w:val="0"/>
                <w:color w:val="000000"/>
                <w:spacing w:val="0"/>
                <w:kern w:val="0"/>
                <w:sz w:val="24"/>
                <w:szCs w:val="24"/>
                <w:lang w:val="en-US" w:eastAsia="zh-CN" w:bidi="ar"/>
              </w:rPr>
              <w:t>培养对汽车行业的兴趣与认知，提升对汽车技术的敏感度；形成从系统角度分析汽车整体性能的思维方式。</w:t>
            </w:r>
          </w:p>
          <w:p w14:paraId="716EAAF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yellow"/>
              </w:rPr>
            </w:pPr>
            <w:r>
              <w:rPr>
                <w:rFonts w:hint="eastAsia" w:ascii="仿宋_GB2312" w:hAnsi="仿宋_GB2312" w:eastAsia="仿宋_GB2312" w:cs="仿宋_GB2312"/>
                <w:b/>
                <w:bCs/>
                <w:i w:val="0"/>
                <w:caps w:val="0"/>
                <w:color w:val="000000"/>
                <w:spacing w:val="0"/>
                <w:kern w:val="0"/>
                <w:sz w:val="24"/>
                <w:szCs w:val="24"/>
                <w:lang w:val="en-US" w:eastAsia="zh-CN" w:bidi="ar"/>
              </w:rPr>
              <w:t>课程思政育人目标：</w:t>
            </w:r>
            <w:r>
              <w:rPr>
                <w:rFonts w:hint="eastAsia" w:ascii="仿宋_GB2312" w:hAnsi="仿宋_GB2312" w:eastAsia="仿宋_GB2312" w:cs="仿宋_GB2312"/>
                <w:i w:val="0"/>
                <w:caps w:val="0"/>
                <w:color w:val="000000"/>
                <w:spacing w:val="0"/>
                <w:kern w:val="0"/>
                <w:sz w:val="24"/>
                <w:szCs w:val="24"/>
                <w:lang w:val="en-US" w:eastAsia="zh-CN" w:bidi="ar"/>
              </w:rPr>
              <w:t>结合中国汽车工业从引进到自主创新的发展历程，增强学生的民族自豪感与产业自信，引导关注新能源汽车等绿色出行技术的发展。</w:t>
            </w:r>
          </w:p>
        </w:tc>
        <w:tc>
          <w:tcPr>
            <w:tcW w:w="2817" w:type="dxa"/>
            <w:vAlign w:val="top"/>
          </w:tcPr>
          <w:p w14:paraId="7B3885F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yellow"/>
              </w:rPr>
            </w:pPr>
            <w:r>
              <w:rPr>
                <w:rFonts w:hint="eastAsia" w:ascii="仿宋_GB2312" w:hAnsi="仿宋_GB2312" w:eastAsia="仿宋_GB2312" w:cs="仿宋_GB2312"/>
                <w:i w:val="0"/>
                <w:caps w:val="0"/>
                <w:color w:val="000000"/>
                <w:spacing w:val="0"/>
                <w:kern w:val="0"/>
                <w:sz w:val="24"/>
                <w:szCs w:val="24"/>
                <w:lang w:val="en-US" w:eastAsia="zh-CN" w:bidi="ar"/>
              </w:rPr>
              <w:t>1.汽车分类：按用途（乘用车、商用车）、动力类型（燃油车、电动车、混动车）、车身形式（轿车、SUV、MPV）分类；</w:t>
            </w:r>
            <w:r>
              <w:rPr>
                <w:rFonts w:hint="eastAsia" w:ascii="仿宋_GB2312" w:hAnsi="仿宋_GB2312" w:eastAsia="仿宋_GB2312" w:cs="仿宋_GB2312"/>
                <w:i w:val="0"/>
                <w:caps w:val="0"/>
                <w:color w:val="000000"/>
                <w:spacing w:val="0"/>
                <w:kern w:val="0"/>
                <w:sz w:val="24"/>
                <w:szCs w:val="24"/>
                <w:lang w:val="en-US" w:eastAsia="zh-CN" w:bidi="ar"/>
              </w:rPr>
              <w:br w:type="textWrapping"/>
            </w:r>
            <w:r>
              <w:rPr>
                <w:rFonts w:hint="eastAsia" w:ascii="仿宋_GB2312" w:hAnsi="仿宋_GB2312" w:eastAsia="仿宋_GB2312" w:cs="仿宋_GB2312"/>
                <w:i w:val="0"/>
                <w:caps w:val="0"/>
                <w:color w:val="000000"/>
                <w:spacing w:val="0"/>
                <w:kern w:val="0"/>
                <w:sz w:val="24"/>
                <w:szCs w:val="24"/>
                <w:lang w:val="en-US" w:eastAsia="zh-CN" w:bidi="ar"/>
              </w:rPr>
              <w:t>2.基本构造：“四大系统一大总成”—— 发动机、底盘（传动系、行驶系、转向系、制动系）、电气设备、车身；</w:t>
            </w:r>
            <w:r>
              <w:rPr>
                <w:rFonts w:hint="eastAsia" w:ascii="仿宋_GB2312" w:hAnsi="仿宋_GB2312" w:eastAsia="仿宋_GB2312" w:cs="仿宋_GB2312"/>
                <w:i w:val="0"/>
                <w:caps w:val="0"/>
                <w:color w:val="000000"/>
                <w:spacing w:val="0"/>
                <w:kern w:val="0"/>
                <w:sz w:val="24"/>
                <w:szCs w:val="24"/>
                <w:lang w:val="en-US" w:eastAsia="zh-CN" w:bidi="ar"/>
              </w:rPr>
              <w:br w:type="textWrapping"/>
            </w:r>
            <w:r>
              <w:rPr>
                <w:rFonts w:hint="eastAsia" w:ascii="仿宋_GB2312" w:hAnsi="仿宋_GB2312" w:eastAsia="仿宋_GB2312" w:cs="仿宋_GB2312"/>
                <w:i w:val="0"/>
                <w:caps w:val="0"/>
                <w:color w:val="000000"/>
                <w:spacing w:val="0"/>
                <w:kern w:val="0"/>
                <w:sz w:val="24"/>
                <w:szCs w:val="24"/>
                <w:lang w:val="en-US" w:eastAsia="zh-CN" w:bidi="ar"/>
              </w:rPr>
              <w:t>3.发动机原理：四冲程汽油机 / 柴油机的工作循环，两大机构（曲柄连杆、配气）及五大系统（燃油供给、润滑、冷却、点火、启动）；</w:t>
            </w:r>
          </w:p>
        </w:tc>
        <w:tc>
          <w:tcPr>
            <w:tcW w:w="2175" w:type="dxa"/>
            <w:vAlign w:val="top"/>
          </w:tcPr>
          <w:p w14:paraId="760F0E7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yellow"/>
              </w:rPr>
            </w:pPr>
            <w:r>
              <w:rPr>
                <w:rFonts w:hint="eastAsia" w:ascii="仿宋_GB2312" w:hAnsi="仿宋_GB2312" w:eastAsia="仿宋_GB2312" w:cs="仿宋_GB2312"/>
                <w:i w:val="0"/>
                <w:caps w:val="0"/>
                <w:color w:val="000000"/>
                <w:spacing w:val="0"/>
                <w:kern w:val="0"/>
                <w:sz w:val="24"/>
                <w:szCs w:val="24"/>
                <w:lang w:val="en-US" w:eastAsia="zh-CN" w:bidi="ar"/>
              </w:rPr>
              <w:t>1.能准确描述汽车基本组成及各系统功能；</w:t>
            </w:r>
            <w:r>
              <w:rPr>
                <w:rFonts w:hint="eastAsia" w:ascii="仿宋_GB2312" w:hAnsi="仿宋_GB2312" w:eastAsia="仿宋_GB2312" w:cs="仿宋_GB2312"/>
                <w:i w:val="0"/>
                <w:caps w:val="0"/>
                <w:color w:val="000000"/>
                <w:spacing w:val="0"/>
                <w:kern w:val="0"/>
                <w:sz w:val="24"/>
                <w:szCs w:val="24"/>
                <w:lang w:val="en-US" w:eastAsia="zh-CN" w:bidi="ar"/>
              </w:rPr>
              <w:br w:type="textWrapping"/>
            </w:r>
            <w:r>
              <w:rPr>
                <w:rFonts w:hint="eastAsia" w:ascii="仿宋_GB2312" w:hAnsi="仿宋_GB2312" w:eastAsia="仿宋_GB2312" w:cs="仿宋_GB2312"/>
                <w:i w:val="0"/>
                <w:caps w:val="0"/>
                <w:color w:val="000000"/>
                <w:spacing w:val="0"/>
                <w:kern w:val="0"/>
                <w:sz w:val="24"/>
                <w:szCs w:val="24"/>
                <w:lang w:val="en-US" w:eastAsia="zh-CN" w:bidi="ar"/>
              </w:rPr>
              <w:t>2.区分汽油机与柴油机的结构差异及工作原理；</w:t>
            </w:r>
            <w:r>
              <w:rPr>
                <w:rFonts w:hint="eastAsia" w:ascii="仿宋_GB2312" w:hAnsi="仿宋_GB2312" w:eastAsia="仿宋_GB2312" w:cs="仿宋_GB2312"/>
                <w:i w:val="0"/>
                <w:caps w:val="0"/>
                <w:color w:val="000000"/>
                <w:spacing w:val="0"/>
                <w:kern w:val="0"/>
                <w:sz w:val="24"/>
                <w:szCs w:val="24"/>
                <w:lang w:val="en-US" w:eastAsia="zh-CN" w:bidi="ar"/>
              </w:rPr>
              <w:br w:type="textWrapping"/>
            </w:r>
            <w:r>
              <w:rPr>
                <w:rFonts w:hint="eastAsia" w:ascii="仿宋_GB2312" w:hAnsi="仿宋_GB2312" w:eastAsia="仿宋_GB2312" w:cs="仿宋_GB2312"/>
                <w:i w:val="0"/>
                <w:caps w:val="0"/>
                <w:color w:val="000000"/>
                <w:spacing w:val="0"/>
                <w:kern w:val="0"/>
                <w:sz w:val="24"/>
                <w:szCs w:val="24"/>
                <w:lang w:val="en-US" w:eastAsia="zh-CN" w:bidi="ar"/>
              </w:rPr>
              <w:t>3.了解传统燃油汽车的典型部件（如变速箱、差速器）的作用与分类。</w:t>
            </w:r>
          </w:p>
        </w:tc>
      </w:tr>
      <w:tr w14:paraId="70CBC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63" w:type="dxa"/>
            <w:vAlign w:val="center"/>
          </w:tcPr>
          <w:p w14:paraId="5B676DC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bookmarkStart w:id="7" w:name="_Toc90734977"/>
            <w:r>
              <w:rPr>
                <w:rFonts w:hint="eastAsia" w:ascii="仿宋_GB2312" w:hAnsi="仿宋_GB2312" w:eastAsia="仿宋_GB2312" w:cs="仿宋_GB2312"/>
                <w:color w:val="auto"/>
                <w:sz w:val="24"/>
                <w:szCs w:val="24"/>
                <w:lang w:val="en-US" w:eastAsia="zh-CN"/>
              </w:rPr>
              <w:t>3</w:t>
            </w:r>
          </w:p>
        </w:tc>
        <w:tc>
          <w:tcPr>
            <w:tcW w:w="801" w:type="dxa"/>
            <w:vAlign w:val="center"/>
          </w:tcPr>
          <w:p w14:paraId="2502CDF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kern w:val="2"/>
                <w:sz w:val="24"/>
                <w:szCs w:val="24"/>
                <w:lang w:val="en-US" w:eastAsia="zh-CN" w:bidi="ar-SA"/>
              </w:rPr>
              <w:t>汽车机械识图</w:t>
            </w:r>
          </w:p>
        </w:tc>
        <w:tc>
          <w:tcPr>
            <w:tcW w:w="4017" w:type="dxa"/>
            <w:vAlign w:val="top"/>
          </w:tcPr>
          <w:p w14:paraId="26256C8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color w:val="auto"/>
                <w:sz w:val="24"/>
                <w:szCs w:val="24"/>
                <w:highlight w:val="none"/>
              </w:rPr>
              <w:t>掌握机械制图的基本标准与投影原理，能识读汽车零部件的零件图与装配图；理解尺寸标注、公差配合、形位公差的标注规则及技术含义。</w:t>
            </w:r>
          </w:p>
          <w:p w14:paraId="1FA3063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color w:val="auto"/>
                <w:sz w:val="24"/>
                <w:szCs w:val="24"/>
                <w:highlight w:val="none"/>
              </w:rPr>
              <w:t>具备绘制简单汽车零件草图的能力，能使用 CAD 软件完成二维图形的绘制与编辑；能根据装配图分析零部件的装配关系及拆装顺序。</w:t>
            </w:r>
          </w:p>
          <w:p w14:paraId="0359A26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color w:val="auto"/>
                <w:sz w:val="24"/>
                <w:szCs w:val="24"/>
                <w:highlight w:val="none"/>
              </w:rPr>
              <w:t>培养空间想象能力与严谨的绘图规范意识，提升对工程图纸的解读与应用能力；养成按图施工的职业习惯。</w:t>
            </w:r>
          </w:p>
          <w:p w14:paraId="239CC92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color w:val="auto"/>
                <w:sz w:val="24"/>
                <w:szCs w:val="24"/>
                <w:highlight w:val="none"/>
              </w:rPr>
              <w:t>通过机械图纸的规范性要求，渗透 “失之毫厘，谬以千里” 的严谨精神，结合汽车零部件的精密配合案例，强调细节对整体质量的决定性作用。</w:t>
            </w:r>
          </w:p>
        </w:tc>
        <w:tc>
          <w:tcPr>
            <w:tcW w:w="2817" w:type="dxa"/>
            <w:vAlign w:val="top"/>
          </w:tcPr>
          <w:p w14:paraId="686AAE8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yellow"/>
              </w:rPr>
            </w:pPr>
            <w:r>
              <w:rPr>
                <w:rFonts w:hint="eastAsia" w:ascii="仿宋_GB2312" w:hAnsi="仿宋_GB2312" w:eastAsia="仿宋_GB2312" w:cs="仿宋_GB2312"/>
                <w:i w:val="0"/>
                <w:caps w:val="0"/>
                <w:color w:val="000000"/>
                <w:spacing w:val="0"/>
                <w:kern w:val="0"/>
                <w:sz w:val="24"/>
                <w:szCs w:val="24"/>
                <w:lang w:val="en-US" w:eastAsia="zh-CN" w:bidi="ar"/>
              </w:rPr>
              <w:t>1.基础制图：三视图投影原理，剖视图（全剖、半剖、局部剖）、向视图、断面图的绘制与识读；</w:t>
            </w:r>
            <w:r>
              <w:rPr>
                <w:rFonts w:hint="eastAsia" w:ascii="仿宋_GB2312" w:hAnsi="仿宋_GB2312" w:eastAsia="仿宋_GB2312" w:cs="仿宋_GB2312"/>
                <w:i w:val="0"/>
                <w:caps w:val="0"/>
                <w:color w:val="000000"/>
                <w:spacing w:val="0"/>
                <w:kern w:val="0"/>
                <w:sz w:val="24"/>
                <w:szCs w:val="24"/>
                <w:lang w:val="en-US" w:eastAsia="zh-CN" w:bidi="ar"/>
              </w:rPr>
              <w:br w:type="textWrapping"/>
            </w:r>
            <w:r>
              <w:rPr>
                <w:rFonts w:hint="eastAsia" w:ascii="仿宋_GB2312" w:hAnsi="仿宋_GB2312" w:eastAsia="仿宋_GB2312" w:cs="仿宋_GB2312"/>
                <w:i w:val="0"/>
                <w:caps w:val="0"/>
                <w:color w:val="000000"/>
                <w:spacing w:val="0"/>
                <w:kern w:val="0"/>
                <w:sz w:val="24"/>
                <w:szCs w:val="24"/>
                <w:lang w:val="en-US" w:eastAsia="zh-CN" w:bidi="ar"/>
              </w:rPr>
              <w:t>2.尺寸标注：线性尺寸、直径 / 半径、公差配合（极限偏差、配合制）、形位公差（直线度、垂直度、同轴度）的标注规则；</w:t>
            </w:r>
            <w:r>
              <w:rPr>
                <w:rFonts w:hint="eastAsia" w:ascii="仿宋_GB2312" w:hAnsi="仿宋_GB2312" w:eastAsia="仿宋_GB2312" w:cs="仿宋_GB2312"/>
                <w:i w:val="0"/>
                <w:caps w:val="0"/>
                <w:color w:val="000000"/>
                <w:spacing w:val="0"/>
                <w:kern w:val="0"/>
                <w:sz w:val="24"/>
                <w:szCs w:val="24"/>
                <w:lang w:val="en-US" w:eastAsia="zh-CN" w:bidi="ar"/>
              </w:rPr>
              <w:br w:type="textWrapping"/>
            </w:r>
            <w:r>
              <w:rPr>
                <w:rFonts w:hint="eastAsia" w:ascii="仿宋_GB2312" w:hAnsi="仿宋_GB2312" w:eastAsia="仿宋_GB2312" w:cs="仿宋_GB2312"/>
                <w:i w:val="0"/>
                <w:caps w:val="0"/>
                <w:color w:val="000000"/>
                <w:spacing w:val="0"/>
                <w:kern w:val="0"/>
                <w:sz w:val="24"/>
                <w:szCs w:val="24"/>
                <w:lang w:val="en-US" w:eastAsia="zh-CN" w:bidi="ar"/>
              </w:rPr>
              <w:t>3.零件图与装配图：汽车典型零件（齿轮、轴、箱体）的零件图分析（视图选择、技术要求）；装配图的表达方法（序号标注、装配关系）及拆卸 / 装配工艺理解；</w:t>
            </w:r>
            <w:r>
              <w:rPr>
                <w:rFonts w:hint="eastAsia" w:ascii="仿宋_GB2312" w:hAnsi="仿宋_GB2312" w:eastAsia="仿宋_GB2312" w:cs="仿宋_GB2312"/>
                <w:i w:val="0"/>
                <w:caps w:val="0"/>
                <w:color w:val="000000"/>
                <w:spacing w:val="0"/>
                <w:kern w:val="0"/>
                <w:sz w:val="24"/>
                <w:szCs w:val="24"/>
                <w:lang w:val="en-US" w:eastAsia="zh-CN" w:bidi="ar"/>
              </w:rPr>
              <w:br w:type="textWrapping"/>
            </w:r>
            <w:r>
              <w:rPr>
                <w:rFonts w:hint="eastAsia" w:ascii="仿宋_GB2312" w:hAnsi="仿宋_GB2312" w:eastAsia="仿宋_GB2312" w:cs="仿宋_GB2312"/>
                <w:i w:val="0"/>
                <w:caps w:val="0"/>
                <w:color w:val="000000"/>
                <w:spacing w:val="0"/>
                <w:kern w:val="0"/>
                <w:sz w:val="24"/>
                <w:szCs w:val="24"/>
                <w:lang w:val="en-US" w:eastAsia="zh-CN" w:bidi="ar"/>
              </w:rPr>
              <w:t>4.绘图工具：手工绘图基本方法，CAD 软件（如 AutoCAD）的二维绘图基础（直线、圆、偏移、修剪等命令）。</w:t>
            </w:r>
          </w:p>
        </w:tc>
        <w:tc>
          <w:tcPr>
            <w:tcW w:w="2175" w:type="dxa"/>
            <w:vAlign w:val="top"/>
          </w:tcPr>
          <w:p w14:paraId="1CF3D32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yellow"/>
              </w:rPr>
            </w:pPr>
            <w:r>
              <w:rPr>
                <w:rFonts w:hint="eastAsia" w:ascii="仿宋_GB2312" w:hAnsi="仿宋_GB2312" w:eastAsia="仿宋_GB2312" w:cs="仿宋_GB2312"/>
                <w:i w:val="0"/>
                <w:caps w:val="0"/>
                <w:color w:val="000000"/>
                <w:spacing w:val="0"/>
                <w:kern w:val="0"/>
                <w:sz w:val="24"/>
                <w:szCs w:val="24"/>
                <w:lang w:val="en-US" w:eastAsia="zh-CN" w:bidi="ar"/>
              </w:rPr>
              <w:t>1.能识读汽车机械零件图的视图、尺寸及技术要求；</w:t>
            </w:r>
            <w:r>
              <w:rPr>
                <w:rFonts w:hint="eastAsia" w:ascii="仿宋_GB2312" w:hAnsi="仿宋_GB2312" w:eastAsia="仿宋_GB2312" w:cs="仿宋_GB2312"/>
                <w:i w:val="0"/>
                <w:caps w:val="0"/>
                <w:color w:val="000000"/>
                <w:spacing w:val="0"/>
                <w:kern w:val="0"/>
                <w:sz w:val="24"/>
                <w:szCs w:val="24"/>
                <w:lang w:val="en-US" w:eastAsia="zh-CN" w:bidi="ar"/>
              </w:rPr>
              <w:br w:type="textWrapping"/>
            </w:r>
            <w:r>
              <w:rPr>
                <w:rFonts w:hint="eastAsia" w:ascii="仿宋_GB2312" w:hAnsi="仿宋_GB2312" w:eastAsia="仿宋_GB2312" w:cs="仿宋_GB2312"/>
                <w:i w:val="0"/>
                <w:caps w:val="0"/>
                <w:color w:val="000000"/>
                <w:spacing w:val="0"/>
                <w:kern w:val="0"/>
                <w:sz w:val="24"/>
                <w:szCs w:val="24"/>
                <w:lang w:val="en-US" w:eastAsia="zh-CN" w:bidi="ar"/>
              </w:rPr>
              <w:t>2.掌握公差配合的基本概念（如间隙配合、过盈配合），能分析零件装配精度；</w:t>
            </w:r>
            <w:r>
              <w:rPr>
                <w:rFonts w:hint="eastAsia" w:ascii="仿宋_GB2312" w:hAnsi="仿宋_GB2312" w:eastAsia="仿宋_GB2312" w:cs="仿宋_GB2312"/>
                <w:i w:val="0"/>
                <w:caps w:val="0"/>
                <w:color w:val="000000"/>
                <w:spacing w:val="0"/>
                <w:kern w:val="0"/>
                <w:sz w:val="24"/>
                <w:szCs w:val="24"/>
                <w:lang w:val="en-US" w:eastAsia="zh-CN" w:bidi="ar"/>
              </w:rPr>
              <w:br w:type="textWrapping"/>
            </w:r>
            <w:r>
              <w:rPr>
                <w:rFonts w:hint="eastAsia" w:ascii="仿宋_GB2312" w:hAnsi="仿宋_GB2312" w:eastAsia="仿宋_GB2312" w:cs="仿宋_GB2312"/>
                <w:i w:val="0"/>
                <w:caps w:val="0"/>
                <w:color w:val="000000"/>
                <w:spacing w:val="0"/>
                <w:kern w:val="0"/>
                <w:sz w:val="24"/>
                <w:szCs w:val="24"/>
                <w:lang w:val="en-US" w:eastAsia="zh-CN" w:bidi="ar"/>
              </w:rPr>
              <w:t>3.使用 CAD 软件绘制简单零件图。</w:t>
            </w:r>
          </w:p>
        </w:tc>
      </w:tr>
      <w:tr w14:paraId="6E542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63" w:type="dxa"/>
            <w:vAlign w:val="center"/>
          </w:tcPr>
          <w:p w14:paraId="6ED7A8D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801" w:type="dxa"/>
            <w:vAlign w:val="center"/>
          </w:tcPr>
          <w:p w14:paraId="48E318A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客户沟通技巧与投诉处理</w:t>
            </w:r>
          </w:p>
        </w:tc>
        <w:tc>
          <w:tcPr>
            <w:tcW w:w="4017" w:type="dxa"/>
            <w:vAlign w:val="top"/>
          </w:tcPr>
          <w:p w14:paraId="6098655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color w:val="auto"/>
                <w:sz w:val="24"/>
                <w:szCs w:val="24"/>
                <w:highlight w:val="none"/>
              </w:rPr>
              <w:t>掌握汽车服务场景下的沟通礼仪与技巧，了解客户需求分析的方法；熟悉客户投诉的分类、处理流程及相关法律法规（如《消费者权益保护法》）。</w:t>
            </w:r>
          </w:p>
          <w:p w14:paraId="18E89EF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color w:val="auto"/>
                <w:sz w:val="24"/>
                <w:szCs w:val="24"/>
                <w:highlight w:val="none"/>
              </w:rPr>
              <w:t>能运用倾听、提问、共情等技巧与客户有效沟通，准确把握客户的维修需求或投诉焦点；具备制定投诉解决方案并跟进闭环的能力，能使用CRM 系统记录客户信息与沟通记录。</w:t>
            </w:r>
          </w:p>
          <w:p w14:paraId="4233EE4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color w:val="auto"/>
                <w:sz w:val="24"/>
                <w:szCs w:val="24"/>
                <w:highlight w:val="none"/>
              </w:rPr>
              <w:t>培养服务意识与同理心，提升应对客户情绪的抗压能力；树立诚信服务理念，维护企业与客户的良好关系。</w:t>
            </w:r>
          </w:p>
          <w:p w14:paraId="50017BD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yellow"/>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color w:val="auto"/>
                <w:sz w:val="24"/>
                <w:szCs w:val="24"/>
                <w:highlight w:val="none"/>
              </w:rPr>
              <w:t>通过真实投诉案例的伦理分析，强调诚信与责任在服务中的重要性，引导学生认识到优质服务对企业品牌建设的长效价值。</w:t>
            </w:r>
          </w:p>
        </w:tc>
        <w:tc>
          <w:tcPr>
            <w:tcW w:w="2817" w:type="dxa"/>
            <w:vAlign w:val="top"/>
          </w:tcPr>
          <w:p w14:paraId="6949133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yellow"/>
              </w:rPr>
            </w:pPr>
            <w:r>
              <w:rPr>
                <w:rFonts w:hint="eastAsia" w:ascii="仿宋_GB2312" w:hAnsi="仿宋_GB2312" w:eastAsia="仿宋_GB2312" w:cs="仿宋_GB2312"/>
                <w:i w:val="0"/>
                <w:caps w:val="0"/>
                <w:color w:val="000000"/>
                <w:spacing w:val="0"/>
                <w:kern w:val="0"/>
                <w:sz w:val="24"/>
                <w:szCs w:val="24"/>
                <w:lang w:val="en-US" w:eastAsia="zh-CN" w:bidi="ar"/>
              </w:rPr>
              <w:t>1. 沟通基础：客户服务礼仪（接待、倾听、表达技巧），电话 / 面谈沟通策略，客户需求挖掘与引导方法；</w:t>
            </w:r>
            <w:r>
              <w:rPr>
                <w:rFonts w:hint="eastAsia" w:ascii="仿宋_GB2312" w:hAnsi="仿宋_GB2312" w:eastAsia="仿宋_GB2312" w:cs="仿宋_GB2312"/>
                <w:i w:val="0"/>
                <w:caps w:val="0"/>
                <w:color w:val="000000"/>
                <w:spacing w:val="0"/>
                <w:kern w:val="0"/>
                <w:sz w:val="24"/>
                <w:szCs w:val="24"/>
                <w:lang w:val="en-US" w:eastAsia="zh-CN" w:bidi="ar"/>
              </w:rPr>
              <w:br w:type="textWrapping"/>
            </w:r>
            <w:r>
              <w:rPr>
                <w:rFonts w:hint="eastAsia" w:ascii="仿宋_GB2312" w:hAnsi="仿宋_GB2312" w:eastAsia="仿宋_GB2312" w:cs="仿宋_GB2312"/>
                <w:i w:val="0"/>
                <w:caps w:val="0"/>
                <w:color w:val="000000"/>
                <w:spacing w:val="0"/>
                <w:kern w:val="0"/>
                <w:sz w:val="24"/>
                <w:szCs w:val="24"/>
                <w:lang w:val="en-US" w:eastAsia="zh-CN" w:bidi="ar"/>
              </w:rPr>
              <w:t>2. 投诉处理：投诉分类（质量问题、服务问题、价格异议），处理流程（受理 调查 解决方案 反馈 跟进），客户情绪安抚与冲突化解技巧；</w:t>
            </w:r>
            <w:r>
              <w:rPr>
                <w:rFonts w:hint="eastAsia" w:ascii="仿宋_GB2312" w:hAnsi="仿宋_GB2312" w:eastAsia="仿宋_GB2312" w:cs="仿宋_GB2312"/>
                <w:i w:val="0"/>
                <w:caps w:val="0"/>
                <w:color w:val="000000"/>
                <w:spacing w:val="0"/>
                <w:kern w:val="0"/>
                <w:sz w:val="24"/>
                <w:szCs w:val="24"/>
                <w:lang w:val="en-US" w:eastAsia="zh-CN" w:bidi="ar"/>
              </w:rPr>
              <w:br w:type="textWrapping"/>
            </w:r>
            <w:r>
              <w:rPr>
                <w:rFonts w:hint="eastAsia" w:ascii="仿宋_GB2312" w:hAnsi="仿宋_GB2312" w:eastAsia="仿宋_GB2312" w:cs="仿宋_GB2312"/>
                <w:i w:val="0"/>
                <w:caps w:val="0"/>
                <w:color w:val="000000"/>
                <w:spacing w:val="0"/>
                <w:kern w:val="0"/>
                <w:sz w:val="24"/>
                <w:szCs w:val="24"/>
                <w:lang w:val="en-US" w:eastAsia="zh-CN" w:bidi="ar"/>
              </w:rPr>
              <w:t>3. 实战场景：汽车销售中的常见客户疑问（如车型配置对比、售后服务政策），售后维修投诉（维修周期过长、配件供应问题）的应对话术；</w:t>
            </w:r>
            <w:r>
              <w:rPr>
                <w:rFonts w:hint="eastAsia" w:ascii="仿宋_GB2312" w:hAnsi="仿宋_GB2312" w:eastAsia="仿宋_GB2312" w:cs="仿宋_GB2312"/>
                <w:i w:val="0"/>
                <w:caps w:val="0"/>
                <w:color w:val="000000"/>
                <w:spacing w:val="0"/>
                <w:kern w:val="0"/>
                <w:sz w:val="24"/>
                <w:szCs w:val="24"/>
                <w:lang w:val="en-US" w:eastAsia="zh-CN" w:bidi="ar"/>
              </w:rPr>
              <w:br w:type="textWrapping"/>
            </w:r>
            <w:r>
              <w:rPr>
                <w:rFonts w:hint="eastAsia" w:ascii="仿宋_GB2312" w:hAnsi="仿宋_GB2312" w:eastAsia="仿宋_GB2312" w:cs="仿宋_GB2312"/>
                <w:i w:val="0"/>
                <w:caps w:val="0"/>
                <w:color w:val="000000"/>
                <w:spacing w:val="0"/>
                <w:kern w:val="0"/>
                <w:sz w:val="24"/>
                <w:szCs w:val="24"/>
                <w:lang w:val="en-US" w:eastAsia="zh-CN" w:bidi="ar"/>
              </w:rPr>
              <w:t>4. 工具应用：客户关系管理（CRM）系统的基础操作，客户反馈数据的整理与分析方法。</w:t>
            </w:r>
          </w:p>
        </w:tc>
        <w:tc>
          <w:tcPr>
            <w:tcW w:w="2175" w:type="dxa"/>
            <w:vAlign w:val="top"/>
          </w:tcPr>
          <w:p w14:paraId="263E652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yellow"/>
              </w:rPr>
            </w:pPr>
            <w:r>
              <w:rPr>
                <w:rFonts w:hint="eastAsia" w:ascii="仿宋_GB2312" w:hAnsi="仿宋_GB2312" w:eastAsia="仿宋_GB2312" w:cs="仿宋_GB2312"/>
                <w:i w:val="0"/>
                <w:caps w:val="0"/>
                <w:color w:val="000000"/>
                <w:spacing w:val="0"/>
                <w:kern w:val="0"/>
                <w:sz w:val="24"/>
                <w:szCs w:val="24"/>
                <w:lang w:val="en-US" w:eastAsia="zh-CN" w:bidi="ar"/>
              </w:rPr>
              <w:t>1.掌握客户服务 “5S” 原则（速度、诚意、技巧、研究、微笑）；</w:t>
            </w:r>
            <w:r>
              <w:rPr>
                <w:rFonts w:hint="eastAsia" w:ascii="仿宋_GB2312" w:hAnsi="仿宋_GB2312" w:eastAsia="仿宋_GB2312" w:cs="仿宋_GB2312"/>
                <w:i w:val="0"/>
                <w:caps w:val="0"/>
                <w:color w:val="000000"/>
                <w:spacing w:val="0"/>
                <w:kern w:val="0"/>
                <w:sz w:val="24"/>
                <w:szCs w:val="24"/>
                <w:lang w:val="en-US" w:eastAsia="zh-CN" w:bidi="ar"/>
              </w:rPr>
              <w:br w:type="textWrapping"/>
            </w:r>
            <w:r>
              <w:rPr>
                <w:rFonts w:hint="eastAsia" w:ascii="仿宋_GB2312" w:hAnsi="仿宋_GB2312" w:eastAsia="仿宋_GB2312" w:cs="仿宋_GB2312"/>
                <w:i w:val="0"/>
                <w:caps w:val="0"/>
                <w:color w:val="000000"/>
                <w:spacing w:val="0"/>
                <w:kern w:val="0"/>
                <w:sz w:val="24"/>
                <w:szCs w:val="24"/>
                <w:lang w:val="en-US" w:eastAsia="zh-CN" w:bidi="ar"/>
              </w:rPr>
              <w:t>2.能规范处理客户投诉，制定合理解决方案并跟进闭环；</w:t>
            </w:r>
            <w:r>
              <w:rPr>
                <w:rFonts w:hint="eastAsia" w:ascii="仿宋_GB2312" w:hAnsi="仿宋_GB2312" w:eastAsia="仿宋_GB2312" w:cs="仿宋_GB2312"/>
                <w:i w:val="0"/>
                <w:caps w:val="0"/>
                <w:color w:val="000000"/>
                <w:spacing w:val="0"/>
                <w:kern w:val="0"/>
                <w:sz w:val="24"/>
                <w:szCs w:val="24"/>
                <w:lang w:val="en-US" w:eastAsia="zh-CN" w:bidi="ar"/>
              </w:rPr>
              <w:br w:type="textWrapping"/>
            </w:r>
            <w:r>
              <w:rPr>
                <w:rFonts w:hint="eastAsia" w:ascii="仿宋_GB2312" w:hAnsi="仿宋_GB2312" w:eastAsia="仿宋_GB2312" w:cs="仿宋_GB2312"/>
                <w:i w:val="0"/>
                <w:caps w:val="0"/>
                <w:color w:val="000000"/>
                <w:spacing w:val="0"/>
                <w:kern w:val="0"/>
                <w:sz w:val="24"/>
                <w:szCs w:val="24"/>
                <w:lang w:val="en-US" w:eastAsia="zh-CN" w:bidi="ar"/>
              </w:rPr>
              <w:t>3.使用 CRM 系统记录客户信息，分析高频问题并提出改进建议。</w:t>
            </w:r>
          </w:p>
        </w:tc>
      </w:tr>
      <w:tr w14:paraId="74C16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63" w:type="dxa"/>
            <w:vAlign w:val="center"/>
          </w:tcPr>
          <w:p w14:paraId="1612F5C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w:t>
            </w:r>
          </w:p>
        </w:tc>
        <w:tc>
          <w:tcPr>
            <w:tcW w:w="801" w:type="dxa"/>
            <w:vAlign w:val="center"/>
          </w:tcPr>
          <w:p w14:paraId="5932CC5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汽车电工电子技术</w:t>
            </w:r>
          </w:p>
        </w:tc>
        <w:tc>
          <w:tcPr>
            <w:tcW w:w="4017" w:type="dxa"/>
            <w:vAlign w:val="top"/>
          </w:tcPr>
          <w:p w14:paraId="368B21B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color w:val="auto"/>
                <w:sz w:val="24"/>
                <w:szCs w:val="24"/>
                <w:highlight w:val="none"/>
              </w:rPr>
              <w:t>掌握电路的基本定律（欧姆定律、基尔霍夫定律）与分析方法；理解汽车常用电子元件（电阻、电容、二极管、三极管）的特性及应用；熟悉汽车电路的基本组成与识图规则。</w:t>
            </w:r>
          </w:p>
          <w:p w14:paraId="00A4D9F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color w:val="auto"/>
                <w:sz w:val="24"/>
                <w:szCs w:val="24"/>
                <w:highlight w:val="none"/>
              </w:rPr>
              <w:t>能使用万用表、示波器等工具测量电路参数，诊断简单电路故障（短路、断路、元件损坏）；具备汽车低压电路（12V/24V）的连接与调试能力，能识读基本汽车电路图。</w:t>
            </w:r>
          </w:p>
          <w:p w14:paraId="36B641D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color w:val="auto"/>
                <w:sz w:val="24"/>
                <w:szCs w:val="24"/>
                <w:highlight w:val="none"/>
              </w:rPr>
              <w:t>培养电工电子技术的工程应用思维，强化安全用电意识；提升对电路故障的逻辑分析与排查能力。</w:t>
            </w:r>
          </w:p>
          <w:p w14:paraId="3CA32AD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yellow"/>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color w:val="auto"/>
                <w:sz w:val="24"/>
                <w:szCs w:val="24"/>
                <w:highlight w:val="none"/>
              </w:rPr>
              <w:t>结合汽车电路的安全性设计（如保险丝、继电器保护），强调规范操作对人身与设备安全的重要性，渗透 “安全第一”的职业理念。</w:t>
            </w:r>
          </w:p>
        </w:tc>
        <w:tc>
          <w:tcPr>
            <w:tcW w:w="2817" w:type="dxa"/>
            <w:vAlign w:val="top"/>
          </w:tcPr>
          <w:p w14:paraId="6A0CCDF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yellow"/>
              </w:rPr>
            </w:pPr>
            <w:r>
              <w:rPr>
                <w:rFonts w:hint="eastAsia" w:ascii="仿宋_GB2312" w:hAnsi="仿宋_GB2312" w:eastAsia="仿宋_GB2312" w:cs="仿宋_GB2312"/>
                <w:color w:val="auto"/>
                <w:sz w:val="24"/>
                <w:szCs w:val="24"/>
              </w:rPr>
              <w:t>通过本课程的学习，使学生</w:t>
            </w:r>
            <w:r>
              <w:rPr>
                <w:rFonts w:hint="eastAsia" w:ascii="仿宋_GB2312" w:hAnsi="仿宋_GB2312" w:eastAsia="仿宋_GB2312" w:cs="仿宋_GB2312"/>
                <w:color w:val="auto"/>
                <w:sz w:val="24"/>
                <w:szCs w:val="24"/>
                <w:lang w:eastAsia="zh-CN"/>
              </w:rPr>
              <w:t>能够做简单的电路计算，</w:t>
            </w:r>
            <w:r>
              <w:rPr>
                <w:rFonts w:hint="eastAsia" w:ascii="仿宋_GB2312" w:hAnsi="仿宋_GB2312" w:eastAsia="仿宋_GB2312" w:cs="仿宋_GB2312"/>
                <w:color w:val="auto"/>
                <w:sz w:val="24"/>
                <w:szCs w:val="24"/>
              </w:rPr>
              <w:t>能够运用基本理论和方法结合具体案例进行相关的一些分析，达到理论联系实际、活学活用的基本目标，提高实际应用技能，让学生养成善于观察、独立思考的习惯，同时通过教学过程中的规范要求强化学生的职业道德意识和职业素质养成意识。</w:t>
            </w:r>
          </w:p>
        </w:tc>
        <w:tc>
          <w:tcPr>
            <w:tcW w:w="2175" w:type="dxa"/>
            <w:vAlign w:val="top"/>
          </w:tcPr>
          <w:p w14:paraId="39B2871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yellow"/>
              </w:rPr>
            </w:pPr>
            <w:r>
              <w:rPr>
                <w:rFonts w:hint="eastAsia" w:ascii="仿宋_GB2312" w:hAnsi="仿宋_GB2312" w:eastAsia="仿宋_GB2312" w:cs="仿宋_GB2312"/>
                <w:color w:val="auto"/>
                <w:sz w:val="24"/>
                <w:szCs w:val="24"/>
              </w:rPr>
              <w:t>掌握</w:t>
            </w:r>
            <w:r>
              <w:rPr>
                <w:rFonts w:hint="eastAsia" w:ascii="仿宋_GB2312" w:hAnsi="仿宋_GB2312" w:eastAsia="仿宋_GB2312" w:cs="仿宋_GB2312"/>
                <w:color w:val="auto"/>
                <w:sz w:val="24"/>
                <w:szCs w:val="24"/>
                <w:lang w:eastAsia="zh-CN"/>
              </w:rPr>
              <w:t>汽车电子部件简单电路的计算：</w:t>
            </w:r>
            <w:r>
              <w:rPr>
                <w:rFonts w:hint="eastAsia" w:ascii="仿宋_GB2312" w:hAnsi="仿宋_GB2312" w:eastAsia="仿宋_GB2312" w:cs="仿宋_GB2312"/>
                <w:color w:val="auto"/>
                <w:sz w:val="24"/>
                <w:szCs w:val="24"/>
              </w:rPr>
              <w:t>掌握</w:t>
            </w:r>
            <w:r>
              <w:rPr>
                <w:rFonts w:hint="eastAsia" w:ascii="仿宋_GB2312" w:hAnsi="仿宋_GB2312" w:eastAsia="仿宋_GB2312" w:cs="仿宋_GB2312"/>
                <w:color w:val="auto"/>
                <w:sz w:val="24"/>
                <w:szCs w:val="24"/>
                <w:lang w:eastAsia="zh-CN"/>
              </w:rPr>
              <w:t>汽车电子部件简单电路的计算</w:t>
            </w:r>
          </w:p>
        </w:tc>
      </w:tr>
      <w:tr w14:paraId="2DE75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63" w:type="dxa"/>
            <w:vAlign w:val="center"/>
          </w:tcPr>
          <w:p w14:paraId="6100A59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w:t>
            </w:r>
          </w:p>
        </w:tc>
        <w:tc>
          <w:tcPr>
            <w:tcW w:w="801" w:type="dxa"/>
            <w:vAlign w:val="center"/>
          </w:tcPr>
          <w:p w14:paraId="65DE0AD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汽车计算机基础</w:t>
            </w:r>
          </w:p>
        </w:tc>
        <w:tc>
          <w:tcPr>
            <w:tcW w:w="4017" w:type="dxa"/>
            <w:vAlign w:val="top"/>
          </w:tcPr>
          <w:p w14:paraId="0139151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color w:val="auto"/>
                <w:sz w:val="24"/>
                <w:szCs w:val="24"/>
                <w:highlight w:val="none"/>
              </w:rPr>
              <w:t>掌握计算机硬件组成、操作系统基本操作及办公软件的高级应用；了解汽车行业专用软件（CAD、诊断软件）的基本功能与应用场景。</w:t>
            </w:r>
          </w:p>
          <w:p w14:paraId="6FA561B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color w:val="auto"/>
                <w:sz w:val="24"/>
                <w:szCs w:val="24"/>
                <w:highlight w:val="none"/>
              </w:rPr>
              <w:t>能熟练使用 Word 制作维修报告、Excel 分析维修数据、PowerPoint 展示技术方案；具备汽车诊断仪与计算机的数据传输、诊断报告生成能力。</w:t>
            </w:r>
          </w:p>
          <w:p w14:paraId="20A5FB9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color w:val="auto"/>
                <w:sz w:val="24"/>
                <w:szCs w:val="24"/>
                <w:highlight w:val="none"/>
              </w:rPr>
              <w:t>培养数字化思维与信息素养，提升运用计算机技术解决专业问题的能力；树立信息安全意识，规范使用计算机及网络资源。</w:t>
            </w:r>
          </w:p>
          <w:p w14:paraId="66C5A33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yellow"/>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color w:val="auto"/>
                <w:sz w:val="24"/>
                <w:szCs w:val="24"/>
                <w:highlight w:val="none"/>
              </w:rPr>
              <w:t>通过汽车行业数字化转型案例（如智能诊断系统、大数据预测性维护），引导学生认识技术创新对产业升级的推动作用，激发学习新技术的主动性。</w:t>
            </w:r>
          </w:p>
        </w:tc>
        <w:tc>
          <w:tcPr>
            <w:tcW w:w="2817" w:type="dxa"/>
            <w:vAlign w:val="top"/>
          </w:tcPr>
          <w:p w14:paraId="1BE17D9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yellow"/>
              </w:rPr>
            </w:pPr>
            <w:r>
              <w:rPr>
                <w:rFonts w:hint="eastAsia" w:ascii="仿宋_GB2312" w:hAnsi="仿宋_GB2312" w:eastAsia="仿宋_GB2312" w:cs="仿宋_GB2312"/>
                <w:i w:val="0"/>
                <w:caps w:val="0"/>
                <w:color w:val="000000"/>
                <w:spacing w:val="0"/>
                <w:kern w:val="0"/>
                <w:sz w:val="24"/>
                <w:szCs w:val="24"/>
                <w:lang w:val="en-US" w:eastAsia="zh-CN" w:bidi="ar"/>
              </w:rPr>
              <w:t>1.计算机基础：操作系统（</w:t>
            </w:r>
            <w:r>
              <w:rPr>
                <w:rFonts w:hint="eastAsia" w:ascii="仿宋_GB2312" w:hAnsi="仿宋_GB2312" w:eastAsia="仿宋_GB2312" w:cs="仿宋_GB2312"/>
                <w:color w:val="auto"/>
                <w:sz w:val="24"/>
                <w:szCs w:val="24"/>
                <w:lang w:val="en-US" w:eastAsia="zh-CN"/>
              </w:rPr>
              <w:t>Windows/Linux</w:t>
            </w:r>
            <w:r>
              <w:rPr>
                <w:rFonts w:hint="eastAsia" w:ascii="仿宋_GB2312" w:hAnsi="仿宋_GB2312" w:eastAsia="仿宋_GB2312" w:cs="仿宋_GB2312"/>
                <w:i w:val="0"/>
                <w:caps w:val="0"/>
                <w:color w:val="000000"/>
                <w:spacing w:val="0"/>
                <w:kern w:val="0"/>
                <w:sz w:val="24"/>
                <w:szCs w:val="24"/>
                <w:lang w:val="en-US" w:eastAsia="zh-CN" w:bidi="ar"/>
              </w:rPr>
              <w:t>）基本操作，办公软件（Word/Excel/PowerPoint）的汽车行业应用（如编制维修报告、数据表格分析）；</w:t>
            </w:r>
            <w:r>
              <w:rPr>
                <w:rFonts w:hint="eastAsia" w:ascii="仿宋_GB2312" w:hAnsi="仿宋_GB2312" w:eastAsia="仿宋_GB2312" w:cs="仿宋_GB2312"/>
                <w:i w:val="0"/>
                <w:caps w:val="0"/>
                <w:color w:val="000000"/>
                <w:spacing w:val="0"/>
                <w:kern w:val="0"/>
                <w:sz w:val="24"/>
                <w:szCs w:val="24"/>
                <w:lang w:val="en-US" w:eastAsia="zh-CN" w:bidi="ar"/>
              </w:rPr>
              <w:br w:type="textWrapping"/>
            </w:r>
            <w:r>
              <w:rPr>
                <w:rFonts w:hint="eastAsia" w:ascii="仿宋_GB2312" w:hAnsi="仿宋_GB2312" w:eastAsia="仿宋_GB2312" w:cs="仿宋_GB2312"/>
                <w:i w:val="0"/>
                <w:caps w:val="0"/>
                <w:color w:val="000000"/>
                <w:spacing w:val="0"/>
                <w:kern w:val="0"/>
                <w:sz w:val="24"/>
                <w:szCs w:val="24"/>
                <w:lang w:val="en-US" w:eastAsia="zh-CN" w:bidi="ar"/>
              </w:rPr>
              <w:t>2.汽车专用软件：CAD 绘图软件、仿真软件（如 MATLAB/Simulink 基础建模）的入门操作；</w:t>
            </w:r>
            <w:r>
              <w:rPr>
                <w:rFonts w:hint="eastAsia" w:ascii="仿宋_GB2312" w:hAnsi="仿宋_GB2312" w:eastAsia="仿宋_GB2312" w:cs="仿宋_GB2312"/>
                <w:i w:val="0"/>
                <w:caps w:val="0"/>
                <w:color w:val="000000"/>
                <w:spacing w:val="0"/>
                <w:kern w:val="0"/>
                <w:sz w:val="24"/>
                <w:szCs w:val="24"/>
                <w:lang w:val="en-US" w:eastAsia="zh-CN" w:bidi="ar"/>
              </w:rPr>
              <w:br w:type="textWrapping"/>
            </w:r>
            <w:r>
              <w:rPr>
                <w:rFonts w:hint="eastAsia" w:ascii="仿宋_GB2312" w:hAnsi="仿宋_GB2312" w:eastAsia="仿宋_GB2312" w:cs="仿宋_GB2312"/>
                <w:i w:val="0"/>
                <w:caps w:val="0"/>
                <w:color w:val="000000"/>
                <w:spacing w:val="0"/>
                <w:kern w:val="0"/>
                <w:sz w:val="24"/>
                <w:szCs w:val="24"/>
                <w:lang w:val="en-US" w:eastAsia="zh-CN" w:bidi="ar"/>
              </w:rPr>
              <w:t>3.数据处理：Excel 数据筛选、排序、图表制作（如发动机转速 油耗曲线），汽车传感器数据的简单分析与可视化；</w:t>
            </w:r>
            <w:r>
              <w:rPr>
                <w:rFonts w:hint="eastAsia" w:ascii="仿宋_GB2312" w:hAnsi="仿宋_GB2312" w:eastAsia="仿宋_GB2312" w:cs="仿宋_GB2312"/>
                <w:i w:val="0"/>
                <w:caps w:val="0"/>
                <w:color w:val="000000"/>
                <w:spacing w:val="0"/>
                <w:kern w:val="0"/>
                <w:sz w:val="24"/>
                <w:szCs w:val="24"/>
                <w:lang w:val="en-US" w:eastAsia="zh-CN" w:bidi="ar"/>
              </w:rPr>
              <w:br w:type="textWrapping"/>
            </w:r>
            <w:r>
              <w:rPr>
                <w:rFonts w:hint="eastAsia" w:ascii="仿宋_GB2312" w:hAnsi="仿宋_GB2312" w:eastAsia="仿宋_GB2312" w:cs="仿宋_GB2312"/>
                <w:i w:val="0"/>
                <w:caps w:val="0"/>
                <w:color w:val="000000"/>
                <w:spacing w:val="0"/>
                <w:kern w:val="0"/>
                <w:sz w:val="24"/>
                <w:szCs w:val="24"/>
                <w:lang w:val="en-US" w:eastAsia="zh-CN" w:bidi="ar"/>
              </w:rPr>
              <w:t>4.网络基础：局域网（LAN）基本概念，汽车诊断仪（如 X-431）与电脑的连接及数据读取方法。</w:t>
            </w:r>
          </w:p>
        </w:tc>
        <w:tc>
          <w:tcPr>
            <w:tcW w:w="2175" w:type="dxa"/>
            <w:vAlign w:val="top"/>
          </w:tcPr>
          <w:p w14:paraId="29B65F5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yellow"/>
              </w:rPr>
            </w:pPr>
            <w:r>
              <w:rPr>
                <w:rFonts w:hint="eastAsia" w:ascii="仿宋_GB2312" w:hAnsi="仿宋_GB2312" w:eastAsia="仿宋_GB2312" w:cs="仿宋_GB2312"/>
                <w:i w:val="0"/>
                <w:caps w:val="0"/>
                <w:color w:val="000000"/>
                <w:spacing w:val="0"/>
                <w:kern w:val="0"/>
                <w:sz w:val="24"/>
                <w:szCs w:val="24"/>
                <w:lang w:val="en-US" w:eastAsia="zh-CN" w:bidi="ar"/>
              </w:rPr>
              <w:t>1.熟练使用办公软件完成汽车技术文档处理；</w:t>
            </w:r>
            <w:r>
              <w:rPr>
                <w:rFonts w:hint="eastAsia" w:ascii="仿宋_GB2312" w:hAnsi="仿宋_GB2312" w:eastAsia="仿宋_GB2312" w:cs="仿宋_GB2312"/>
                <w:i w:val="0"/>
                <w:caps w:val="0"/>
                <w:color w:val="000000"/>
                <w:spacing w:val="0"/>
                <w:kern w:val="0"/>
                <w:sz w:val="24"/>
                <w:szCs w:val="24"/>
                <w:lang w:val="en-US" w:eastAsia="zh-CN" w:bidi="ar"/>
              </w:rPr>
              <w:br w:type="textWrapping"/>
            </w:r>
            <w:r>
              <w:rPr>
                <w:rFonts w:hint="eastAsia" w:ascii="仿宋_GB2312" w:hAnsi="仿宋_GB2312" w:eastAsia="仿宋_GB2312" w:cs="仿宋_GB2312"/>
                <w:i w:val="0"/>
                <w:caps w:val="0"/>
                <w:color w:val="000000"/>
                <w:spacing w:val="0"/>
                <w:kern w:val="0"/>
                <w:sz w:val="24"/>
                <w:szCs w:val="24"/>
                <w:lang w:val="en-US" w:eastAsia="zh-CN" w:bidi="ar"/>
              </w:rPr>
              <w:t>2.掌握 CAD 软件的基本绘图命令，能打开与浏览汽车零件图纸；</w:t>
            </w:r>
            <w:r>
              <w:rPr>
                <w:rFonts w:hint="eastAsia" w:ascii="仿宋_GB2312" w:hAnsi="仿宋_GB2312" w:eastAsia="仿宋_GB2312" w:cs="仿宋_GB2312"/>
                <w:i w:val="0"/>
                <w:caps w:val="0"/>
                <w:color w:val="000000"/>
                <w:spacing w:val="0"/>
                <w:kern w:val="0"/>
                <w:sz w:val="24"/>
                <w:szCs w:val="24"/>
                <w:lang w:val="en-US" w:eastAsia="zh-CN" w:bidi="ar"/>
              </w:rPr>
              <w:br w:type="textWrapping"/>
            </w:r>
            <w:r>
              <w:rPr>
                <w:rFonts w:hint="eastAsia" w:ascii="仿宋_GB2312" w:hAnsi="仿宋_GB2312" w:eastAsia="仿宋_GB2312" w:cs="仿宋_GB2312"/>
                <w:i w:val="0"/>
                <w:caps w:val="0"/>
                <w:color w:val="000000"/>
                <w:spacing w:val="0"/>
                <w:kern w:val="0"/>
                <w:sz w:val="24"/>
                <w:szCs w:val="24"/>
                <w:lang w:val="en-US" w:eastAsia="zh-CN" w:bidi="ar"/>
              </w:rPr>
              <w:t>3.理解汽车诊断仪与计算机的通信原理，能读取简单故障码。</w:t>
            </w:r>
          </w:p>
        </w:tc>
      </w:tr>
      <w:tr w14:paraId="149B78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63" w:type="dxa"/>
            <w:vAlign w:val="center"/>
          </w:tcPr>
          <w:p w14:paraId="0D54D12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7</w:t>
            </w:r>
          </w:p>
        </w:tc>
        <w:tc>
          <w:tcPr>
            <w:tcW w:w="801" w:type="dxa"/>
            <w:vAlign w:val="center"/>
          </w:tcPr>
          <w:p w14:paraId="40A4F80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汽车专业英语课程</w:t>
            </w:r>
          </w:p>
        </w:tc>
        <w:tc>
          <w:tcPr>
            <w:tcW w:w="4017" w:type="dxa"/>
            <w:vAlign w:val="top"/>
          </w:tcPr>
          <w:p w14:paraId="5F195EA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i w:val="0"/>
                <w:caps w:val="0"/>
                <w:color w:val="000000"/>
                <w:spacing w:val="0"/>
                <w:kern w:val="0"/>
                <w:sz w:val="24"/>
                <w:szCs w:val="24"/>
                <w:lang w:val="en-US" w:eastAsia="zh-CN" w:bidi="ar"/>
              </w:rPr>
            </w:pPr>
            <w:r>
              <w:rPr>
                <w:rFonts w:hint="eastAsia" w:ascii="仿宋_GB2312" w:hAnsi="仿宋_GB2312" w:eastAsia="仿宋_GB2312" w:cs="仿宋_GB2312"/>
                <w:b/>
                <w:bCs/>
                <w:i w:val="0"/>
                <w:caps w:val="0"/>
                <w:color w:val="000000"/>
                <w:spacing w:val="0"/>
                <w:kern w:val="0"/>
                <w:sz w:val="24"/>
                <w:szCs w:val="24"/>
                <w:lang w:val="en-US" w:eastAsia="zh-CN" w:bidi="ar"/>
              </w:rPr>
              <w:t>知识目标：</w:t>
            </w:r>
            <w:r>
              <w:rPr>
                <w:rFonts w:hint="eastAsia" w:ascii="仿宋_GB2312" w:hAnsi="仿宋_GB2312" w:eastAsia="仿宋_GB2312" w:cs="仿宋_GB2312"/>
                <w:i w:val="0"/>
                <w:caps w:val="0"/>
                <w:color w:val="000000"/>
                <w:spacing w:val="0"/>
                <w:kern w:val="0"/>
                <w:sz w:val="24"/>
                <w:szCs w:val="24"/>
                <w:lang w:val="en-US" w:eastAsia="zh-CN" w:bidi="ar"/>
              </w:rPr>
              <w:t>掌握汽车各系统及零部件的英文术语，理解英文维修手册、技术参数表的表达方式；了解汽车行业常用英文缩写（如 ABS、ECU、VIN）的含义。</w:t>
            </w:r>
          </w:p>
          <w:p w14:paraId="4921E66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i w:val="0"/>
                <w:caps w:val="0"/>
                <w:color w:val="000000"/>
                <w:spacing w:val="0"/>
                <w:kern w:val="0"/>
                <w:sz w:val="24"/>
                <w:szCs w:val="24"/>
                <w:lang w:val="en-US" w:eastAsia="zh-CN" w:bidi="ar"/>
              </w:rPr>
            </w:pPr>
            <w:r>
              <w:rPr>
                <w:rFonts w:hint="eastAsia" w:ascii="仿宋_GB2312" w:hAnsi="仿宋_GB2312" w:eastAsia="仿宋_GB2312" w:cs="仿宋_GB2312"/>
                <w:b/>
                <w:bCs/>
                <w:i w:val="0"/>
                <w:caps w:val="0"/>
                <w:color w:val="000000"/>
                <w:spacing w:val="0"/>
                <w:kern w:val="0"/>
                <w:sz w:val="24"/>
                <w:szCs w:val="24"/>
                <w:lang w:val="en-US" w:eastAsia="zh-CN" w:bidi="ar"/>
              </w:rPr>
              <w:t>能力目标：</w:t>
            </w:r>
            <w:r>
              <w:rPr>
                <w:rFonts w:hint="eastAsia" w:ascii="仿宋_GB2312" w:hAnsi="仿宋_GB2312" w:eastAsia="仿宋_GB2312" w:cs="仿宋_GB2312"/>
                <w:i w:val="0"/>
                <w:caps w:val="0"/>
                <w:color w:val="000000"/>
                <w:spacing w:val="0"/>
                <w:kern w:val="0"/>
                <w:sz w:val="24"/>
                <w:szCs w:val="24"/>
                <w:lang w:val="en-US" w:eastAsia="zh-CN" w:bidi="ar"/>
              </w:rPr>
              <w:t>能准确翻译汽车零部件名称与简单技术说明，阅读并理解英文维修步骤与故障代码含义；具备简单英文技术交流（如邮件沟通、配件查询）的能力。</w:t>
            </w:r>
          </w:p>
          <w:p w14:paraId="533AD5A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i w:val="0"/>
                <w:caps w:val="0"/>
                <w:color w:val="000000"/>
                <w:spacing w:val="0"/>
                <w:kern w:val="0"/>
                <w:sz w:val="24"/>
                <w:szCs w:val="24"/>
                <w:lang w:val="en-US" w:eastAsia="zh-CN" w:bidi="ar"/>
              </w:rPr>
            </w:pPr>
            <w:r>
              <w:rPr>
                <w:rFonts w:hint="eastAsia" w:ascii="仿宋_GB2312" w:hAnsi="仿宋_GB2312" w:eastAsia="仿宋_GB2312" w:cs="仿宋_GB2312"/>
                <w:b/>
                <w:bCs/>
                <w:i w:val="0"/>
                <w:caps w:val="0"/>
                <w:color w:val="000000"/>
                <w:spacing w:val="0"/>
                <w:kern w:val="0"/>
                <w:sz w:val="24"/>
                <w:szCs w:val="24"/>
                <w:lang w:val="en-US" w:eastAsia="zh-CN" w:bidi="ar"/>
              </w:rPr>
              <w:t>素质目标：</w:t>
            </w:r>
            <w:r>
              <w:rPr>
                <w:rFonts w:hint="eastAsia" w:ascii="仿宋_GB2312" w:hAnsi="仿宋_GB2312" w:eastAsia="仿宋_GB2312" w:cs="仿宋_GB2312"/>
                <w:i w:val="0"/>
                <w:caps w:val="0"/>
                <w:color w:val="000000"/>
                <w:spacing w:val="0"/>
                <w:kern w:val="0"/>
                <w:sz w:val="24"/>
                <w:szCs w:val="24"/>
                <w:lang w:val="en-US" w:eastAsia="zh-CN" w:bidi="ar"/>
              </w:rPr>
              <w:t>培养专业英语的应用意识，提升查阅英文技术资料的主动性；为国际先进汽车技术的学习与应用奠定基础。</w:t>
            </w:r>
          </w:p>
          <w:p w14:paraId="48BB2A9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i w:val="0"/>
                <w:caps w:val="0"/>
                <w:color w:val="000000"/>
                <w:spacing w:val="0"/>
                <w:kern w:val="0"/>
                <w:sz w:val="24"/>
                <w:szCs w:val="24"/>
                <w:lang w:val="en-US" w:eastAsia="zh-CN" w:bidi="ar"/>
              </w:rPr>
            </w:pPr>
            <w:r>
              <w:rPr>
                <w:rFonts w:hint="eastAsia" w:ascii="仿宋_GB2312" w:hAnsi="仿宋_GB2312" w:eastAsia="仿宋_GB2312" w:cs="仿宋_GB2312"/>
                <w:b/>
                <w:bCs/>
                <w:i w:val="0"/>
                <w:caps w:val="0"/>
                <w:color w:val="000000"/>
                <w:spacing w:val="0"/>
                <w:kern w:val="0"/>
                <w:sz w:val="24"/>
                <w:szCs w:val="24"/>
                <w:lang w:val="en-US" w:eastAsia="zh-CN" w:bidi="ar"/>
              </w:rPr>
              <w:t>课程思政育人目标：</w:t>
            </w:r>
            <w:r>
              <w:rPr>
                <w:rFonts w:hint="eastAsia" w:ascii="仿宋_GB2312" w:hAnsi="仿宋_GB2312" w:eastAsia="仿宋_GB2312" w:cs="仿宋_GB2312"/>
                <w:i w:val="0"/>
                <w:caps w:val="0"/>
                <w:color w:val="000000"/>
                <w:spacing w:val="0"/>
                <w:kern w:val="0"/>
                <w:sz w:val="24"/>
                <w:szCs w:val="24"/>
                <w:lang w:val="en-US" w:eastAsia="zh-CN" w:bidi="ar"/>
              </w:rPr>
              <w:t>通过对比中外汽车技术术语的规范表达，强调技术交流的准确性与严谨性，引导学生以开放心态学习国际先进技术，同时注重本土技术的英文表达输出。</w:t>
            </w:r>
          </w:p>
          <w:p w14:paraId="1959ADA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yellow"/>
              </w:rPr>
            </w:pPr>
          </w:p>
        </w:tc>
        <w:tc>
          <w:tcPr>
            <w:tcW w:w="2817" w:type="dxa"/>
            <w:vAlign w:val="top"/>
          </w:tcPr>
          <w:p w14:paraId="04019316">
            <w:pPr>
              <w:keepNext w:val="0"/>
              <w:keepLines w:val="0"/>
              <w:pageBreakBefore w:val="0"/>
              <w:widowControl w:val="0"/>
              <w:numPr>
                <w:ilvl w:val="0"/>
                <w:numId w:val="2"/>
              </w:numPr>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i w:val="0"/>
                <w:caps w:val="0"/>
                <w:color w:val="000000"/>
                <w:spacing w:val="0"/>
                <w:kern w:val="0"/>
                <w:sz w:val="24"/>
                <w:szCs w:val="24"/>
                <w:lang w:val="en-US" w:eastAsia="zh-CN" w:bidi="ar"/>
              </w:rPr>
            </w:pPr>
            <w:r>
              <w:rPr>
                <w:rFonts w:hint="eastAsia" w:ascii="仿宋_GB2312" w:hAnsi="仿宋_GB2312" w:eastAsia="仿宋_GB2312" w:cs="仿宋_GB2312"/>
                <w:i w:val="0"/>
                <w:caps w:val="0"/>
                <w:color w:val="000000"/>
                <w:spacing w:val="0"/>
                <w:kern w:val="0"/>
                <w:sz w:val="24"/>
                <w:szCs w:val="24"/>
                <w:lang w:val="en-US" w:eastAsia="zh-CN" w:bidi="ar"/>
              </w:rPr>
              <w:t>核心词汇：汽车各系统（Engine, Chassis, Electrical System）、零部件（Gear, Bearing, Sensor）的中英文对照；</w:t>
            </w:r>
            <w:r>
              <w:rPr>
                <w:rFonts w:hint="eastAsia" w:ascii="仿宋_GB2312" w:hAnsi="仿宋_GB2312" w:eastAsia="仿宋_GB2312" w:cs="仿宋_GB2312"/>
                <w:i w:val="0"/>
                <w:caps w:val="0"/>
                <w:color w:val="000000"/>
                <w:spacing w:val="0"/>
                <w:kern w:val="0"/>
                <w:sz w:val="24"/>
                <w:szCs w:val="24"/>
                <w:lang w:val="en-US" w:eastAsia="zh-CN" w:bidi="ar"/>
              </w:rPr>
              <w:br w:type="textWrapping"/>
            </w:r>
            <w:r>
              <w:rPr>
                <w:rFonts w:hint="eastAsia" w:ascii="仿宋_GB2312" w:hAnsi="仿宋_GB2312" w:eastAsia="仿宋_GB2312" w:cs="仿宋_GB2312"/>
                <w:i w:val="0"/>
                <w:caps w:val="0"/>
                <w:color w:val="000000"/>
                <w:spacing w:val="0"/>
                <w:kern w:val="0"/>
                <w:sz w:val="24"/>
                <w:szCs w:val="24"/>
                <w:lang w:val="en-US" w:eastAsia="zh-CN" w:bidi="ar"/>
              </w:rPr>
              <w:t>2.技术文档：英文零件图标题栏、技术参数表的识读，维修手册（Service Manual）常见句型（如故障诊断步骤描述）；</w:t>
            </w:r>
            <w:r>
              <w:rPr>
                <w:rFonts w:hint="eastAsia" w:ascii="仿宋_GB2312" w:hAnsi="仿宋_GB2312" w:eastAsia="仿宋_GB2312" w:cs="仿宋_GB2312"/>
                <w:i w:val="0"/>
                <w:caps w:val="0"/>
                <w:color w:val="000000"/>
                <w:spacing w:val="0"/>
                <w:kern w:val="0"/>
                <w:sz w:val="24"/>
                <w:szCs w:val="24"/>
                <w:lang w:val="en-US" w:eastAsia="zh-CN" w:bidi="ar"/>
              </w:rPr>
              <w:br w:type="textWrapping"/>
            </w:r>
            <w:r>
              <w:rPr>
                <w:rFonts w:hint="eastAsia" w:ascii="仿宋_GB2312" w:hAnsi="仿宋_GB2312" w:eastAsia="仿宋_GB2312" w:cs="仿宋_GB2312"/>
                <w:i w:val="0"/>
                <w:caps w:val="0"/>
                <w:color w:val="000000"/>
                <w:spacing w:val="0"/>
                <w:kern w:val="0"/>
                <w:sz w:val="24"/>
                <w:szCs w:val="24"/>
                <w:lang w:val="en-US" w:eastAsia="zh-CN" w:bidi="ar"/>
              </w:rPr>
              <w:t>3.行业场景：汽车品牌英文名称及缩写（如 BMW, Toyota），简单技术交流对话（如询问配件规格、描述故障现象）；</w:t>
            </w:r>
            <w:r>
              <w:rPr>
                <w:rFonts w:hint="eastAsia" w:ascii="仿宋_GB2312" w:hAnsi="仿宋_GB2312" w:eastAsia="仿宋_GB2312" w:cs="仿宋_GB2312"/>
                <w:i w:val="0"/>
                <w:caps w:val="0"/>
                <w:color w:val="000000"/>
                <w:spacing w:val="0"/>
                <w:kern w:val="0"/>
                <w:sz w:val="24"/>
                <w:szCs w:val="24"/>
                <w:lang w:val="en-US" w:eastAsia="zh-CN" w:bidi="ar"/>
              </w:rPr>
              <w:br w:type="textWrapping"/>
            </w:r>
            <w:r>
              <w:rPr>
                <w:rFonts w:hint="eastAsia" w:ascii="仿宋_GB2312" w:hAnsi="仿宋_GB2312" w:eastAsia="仿宋_GB2312" w:cs="仿宋_GB2312"/>
                <w:i w:val="0"/>
                <w:caps w:val="0"/>
                <w:color w:val="000000"/>
                <w:spacing w:val="0"/>
                <w:kern w:val="0"/>
                <w:sz w:val="24"/>
                <w:szCs w:val="24"/>
                <w:lang w:val="en-US" w:eastAsia="zh-CN" w:bidi="ar"/>
              </w:rPr>
              <w:t>4.语法应用：被动语态在技术说明中的使用（如 “These parts are made of alloy steel”），专业术语的复数形式（如 Pistons, Gears）。</w:t>
            </w:r>
          </w:p>
        </w:tc>
        <w:tc>
          <w:tcPr>
            <w:tcW w:w="2175" w:type="dxa"/>
            <w:vAlign w:val="top"/>
          </w:tcPr>
          <w:p w14:paraId="31D09B0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yellow"/>
              </w:rPr>
            </w:pPr>
            <w:r>
              <w:rPr>
                <w:rFonts w:hint="eastAsia" w:ascii="仿宋_GB2312" w:hAnsi="仿宋_GB2312" w:eastAsia="仿宋_GB2312" w:cs="仿宋_GB2312"/>
                <w:i w:val="0"/>
                <w:caps w:val="0"/>
                <w:color w:val="000000"/>
                <w:spacing w:val="0"/>
                <w:kern w:val="0"/>
                <w:sz w:val="24"/>
                <w:szCs w:val="24"/>
                <w:lang w:val="en-US" w:eastAsia="zh-CN" w:bidi="ar"/>
              </w:rPr>
              <w:t>1.能准确翻译汽车基本部件的英文名称；</w:t>
            </w:r>
            <w:r>
              <w:rPr>
                <w:rFonts w:hint="eastAsia" w:ascii="仿宋_GB2312" w:hAnsi="仿宋_GB2312" w:eastAsia="仿宋_GB2312" w:cs="仿宋_GB2312"/>
                <w:i w:val="0"/>
                <w:caps w:val="0"/>
                <w:color w:val="000000"/>
                <w:spacing w:val="0"/>
                <w:kern w:val="0"/>
                <w:sz w:val="24"/>
                <w:szCs w:val="24"/>
                <w:lang w:val="en-US" w:eastAsia="zh-CN" w:bidi="ar"/>
              </w:rPr>
              <w:br w:type="textWrapping"/>
            </w:r>
            <w:r>
              <w:rPr>
                <w:rFonts w:hint="eastAsia" w:ascii="仿宋_GB2312" w:hAnsi="仿宋_GB2312" w:eastAsia="仿宋_GB2312" w:cs="仿宋_GB2312"/>
                <w:i w:val="0"/>
                <w:caps w:val="0"/>
                <w:color w:val="000000"/>
                <w:spacing w:val="0"/>
                <w:kern w:val="0"/>
                <w:sz w:val="24"/>
                <w:szCs w:val="24"/>
                <w:lang w:val="en-US" w:eastAsia="zh-CN" w:bidi="ar"/>
              </w:rPr>
              <w:t>2.识读英文技术文档中的常见符号（如电路图中的接地符号 “GND”）；</w:t>
            </w:r>
            <w:r>
              <w:rPr>
                <w:rFonts w:hint="eastAsia" w:ascii="仿宋_GB2312" w:hAnsi="仿宋_GB2312" w:eastAsia="仿宋_GB2312" w:cs="仿宋_GB2312"/>
                <w:i w:val="0"/>
                <w:caps w:val="0"/>
                <w:color w:val="000000"/>
                <w:spacing w:val="0"/>
                <w:kern w:val="0"/>
                <w:sz w:val="24"/>
                <w:szCs w:val="24"/>
                <w:lang w:val="en-US" w:eastAsia="zh-CN" w:bidi="ar"/>
              </w:rPr>
              <w:br w:type="textWrapping"/>
            </w:r>
            <w:r>
              <w:rPr>
                <w:rFonts w:hint="eastAsia" w:ascii="仿宋_GB2312" w:hAnsi="仿宋_GB2312" w:eastAsia="仿宋_GB2312" w:cs="仿宋_GB2312"/>
                <w:i w:val="0"/>
                <w:caps w:val="0"/>
                <w:color w:val="000000"/>
                <w:spacing w:val="0"/>
                <w:kern w:val="0"/>
                <w:sz w:val="24"/>
                <w:szCs w:val="24"/>
                <w:lang w:val="en-US" w:eastAsia="zh-CN" w:bidi="ar"/>
              </w:rPr>
              <w:t>3.撰写简单英文邮件（如预约维修服务、反馈配件问题）。</w:t>
            </w:r>
          </w:p>
        </w:tc>
      </w:tr>
      <w:bookmarkEnd w:id="6"/>
    </w:tbl>
    <w:p w14:paraId="0FB17EF1">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2.专业核心课程</w:t>
      </w:r>
      <w:bookmarkEnd w:id="7"/>
    </w:p>
    <w:p w14:paraId="20D7BAEF">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bookmarkStart w:id="8" w:name="OLE_LINK7"/>
      <w:r>
        <w:rPr>
          <w:rFonts w:hint="eastAsia" w:ascii="仿宋_GB2312" w:hAnsi="仿宋_GB2312" w:eastAsia="仿宋_GB2312" w:cs="仿宋_GB2312"/>
          <w:color w:val="auto"/>
          <w:sz w:val="32"/>
          <w:szCs w:val="32"/>
          <w:highlight w:val="none"/>
        </w:rPr>
        <w:t>专业核心课是</w:t>
      </w:r>
      <w:bookmarkEnd w:id="8"/>
      <w:r>
        <w:rPr>
          <w:rFonts w:hint="eastAsia" w:ascii="仿宋_GB2312" w:hAnsi="仿宋_GB2312" w:eastAsia="仿宋_GB2312" w:cs="仿宋_GB2312"/>
          <w:color w:val="auto"/>
          <w:sz w:val="32"/>
          <w:szCs w:val="32"/>
          <w:lang w:val="en-US" w:eastAsia="zh-CN"/>
        </w:rPr>
        <w:t>面向汽车维修，售后，服务，理赔等岗位（群），结合质量与性能检测</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lang w:val="en-US" w:eastAsia="zh-CN"/>
        </w:rPr>
        <w:t>汽车故障返修</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lang w:val="en-US" w:eastAsia="zh-CN"/>
        </w:rPr>
        <w:t>汽车机电维修</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lang w:val="en-US" w:eastAsia="zh-CN"/>
        </w:rPr>
        <w:t>服务顾问的就业岗位，建立汽车检测与维修技术专业核心课程，培养学生汽车检测与维修等方面的能力。包括汽车发动机检修、汽车底盘检修、汽车电气设备检修、汽车维修业务接待、汽车车载网络系统检修、汽车检测与故障诊断课程。</w:t>
      </w:r>
    </w:p>
    <w:p w14:paraId="14586DBE">
      <w:pPr>
        <w:overflowPunct w:val="0"/>
        <w:adjustRightInd w:val="0"/>
        <w:spacing w:line="520" w:lineRule="exact"/>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表4专业核心课</w:t>
      </w:r>
      <w:r>
        <w:rPr>
          <w:rFonts w:hint="eastAsia" w:ascii="仿宋_GB2312" w:hAnsi="仿宋_GB2312" w:eastAsia="仿宋_GB2312" w:cs="仿宋_GB2312"/>
          <w:color w:val="auto"/>
          <w:sz w:val="32"/>
          <w:szCs w:val="32"/>
          <w:highlight w:val="none"/>
          <w:lang w:val="en-US" w:eastAsia="zh-CN"/>
        </w:rPr>
        <w:t>课程目标、主要教学内容与要求</w:t>
      </w:r>
    </w:p>
    <w:tbl>
      <w:tblPr>
        <w:tblStyle w:val="8"/>
        <w:tblW w:w="104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5"/>
        <w:gridCol w:w="775"/>
        <w:gridCol w:w="4594"/>
        <w:gridCol w:w="2375"/>
        <w:gridCol w:w="2230"/>
      </w:tblGrid>
      <w:tr w14:paraId="3860B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75" w:type="dxa"/>
            <w:vAlign w:val="center"/>
          </w:tcPr>
          <w:p w14:paraId="773CCE63">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序号</w:t>
            </w:r>
          </w:p>
        </w:tc>
        <w:tc>
          <w:tcPr>
            <w:tcW w:w="775" w:type="dxa"/>
            <w:vAlign w:val="center"/>
          </w:tcPr>
          <w:p w14:paraId="3381F87A">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课程名称</w:t>
            </w:r>
          </w:p>
        </w:tc>
        <w:tc>
          <w:tcPr>
            <w:tcW w:w="4594" w:type="dxa"/>
            <w:vAlign w:val="center"/>
          </w:tcPr>
          <w:p w14:paraId="006C63E4">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课程</w:t>
            </w:r>
            <w:r>
              <w:rPr>
                <w:rFonts w:hint="eastAsia" w:ascii="仿宋_GB2312" w:hAnsi="仿宋_GB2312" w:eastAsia="仿宋_GB2312" w:cs="仿宋_GB2312"/>
                <w:color w:val="auto"/>
                <w:sz w:val="24"/>
                <w:szCs w:val="24"/>
              </w:rPr>
              <w:t>目标</w:t>
            </w:r>
          </w:p>
        </w:tc>
        <w:tc>
          <w:tcPr>
            <w:tcW w:w="2375" w:type="dxa"/>
            <w:vAlign w:val="center"/>
          </w:tcPr>
          <w:p w14:paraId="770B35C3">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p>
        </w:tc>
        <w:tc>
          <w:tcPr>
            <w:tcW w:w="2230" w:type="dxa"/>
            <w:vAlign w:val="center"/>
          </w:tcPr>
          <w:p w14:paraId="75965204">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教学要求</w:t>
            </w:r>
          </w:p>
        </w:tc>
      </w:tr>
      <w:tr w14:paraId="6D324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75" w:type="dxa"/>
            <w:vAlign w:val="center"/>
          </w:tcPr>
          <w:p w14:paraId="56E1B253">
            <w:pPr>
              <w:overflowPunct w:val="0"/>
              <w:adjustRightInd w:val="0"/>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w:t>
            </w:r>
          </w:p>
        </w:tc>
        <w:tc>
          <w:tcPr>
            <w:tcW w:w="775" w:type="dxa"/>
            <w:vAlign w:val="center"/>
          </w:tcPr>
          <w:p w14:paraId="2A9E45C9">
            <w:pPr>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汽车发动机检修</w:t>
            </w:r>
          </w:p>
        </w:tc>
        <w:tc>
          <w:tcPr>
            <w:tcW w:w="4594" w:type="dxa"/>
            <w:vAlign w:val="top"/>
          </w:tcPr>
          <w:p w14:paraId="6189EB1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系统掌握汽车发动机（含汽油机、柴油机）的整体构造、各系统（曲柄连杆机构、配气机构、燃油供给系统等）的工作原理；熟悉发动机常见故障（如怠速不稳、动力下降、异响等）的类型、成因及诊断标准；了解发动机拆装、检测与维修的行业标准和安全规范。</w:t>
            </w:r>
          </w:p>
          <w:p w14:paraId="63845B7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独立完成发动机总成的拆装作业，正确使用气缸压力表、示波器、解码器等检测仪器；具备对发动机机械系统及电控系统进行性能检测的能力，能根据故障现象制定排查方案并排除典型故障；能规范填写维修记录和诊断报告。</w:t>
            </w:r>
          </w:p>
          <w:p w14:paraId="7CBB4DA0">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培养严谨细致的工作态度和安全操作意识，树立 “质量第一” 的职业理念；增强团队协作能力，在实训中做到工具共享、分工配合；养成按技术规范操作的职业习惯。</w:t>
            </w:r>
          </w:p>
          <w:p w14:paraId="560666F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通过发动机维修精度对整车性能的影响案例，弘扬精益求精的工匠精神；结合我国发动机技术的自主创新历程</w:t>
            </w:r>
            <w:r>
              <w:rPr>
                <w:rFonts w:hint="eastAsia" w:ascii="仿宋_GB2312" w:hAnsi="仿宋_GB2312" w:eastAsia="仿宋_GB2312" w:cs="仿宋_GB2312"/>
                <w:color w:val="auto"/>
                <w:spacing w:val="-6"/>
                <w:sz w:val="24"/>
                <w:szCs w:val="24"/>
                <w:lang w:val="en-US" w:eastAsia="zh-CN"/>
              </w:rPr>
              <w:t>，增强民族自豪感和技术攻坚意识。</w:t>
            </w:r>
          </w:p>
        </w:tc>
        <w:tc>
          <w:tcPr>
            <w:tcW w:w="2375" w:type="dxa"/>
            <w:vAlign w:val="top"/>
          </w:tcPr>
          <w:p w14:paraId="7D08F3E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汽车发动机检测与发动机的主要性能及评价指标</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rPr>
              <w:t>发动机的基本拆装测量</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rPr>
              <w:t>发动机各机构与维修</w:t>
            </w:r>
          </w:p>
        </w:tc>
        <w:tc>
          <w:tcPr>
            <w:tcW w:w="2230" w:type="dxa"/>
            <w:vAlign w:val="top"/>
          </w:tcPr>
          <w:p w14:paraId="5BEECAD6">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2"/>
                <w:sz w:val="24"/>
                <w:szCs w:val="24"/>
                <w:vertAlign w:val="baseline"/>
                <w:lang w:val="en-US" w:eastAsia="zh-CN" w:bidi="ar-SA"/>
              </w:rPr>
              <w:t>本课程要求教师系统讲解发动机各系统构造原理，借助模型、实物、多媒体等直观呈现。着重实践教学，指导学生规范使用工具，精准进行零部件拆装、检测与维修，培养故障诊断能力。注重培养学生安全意识、质量意识、创新思维及团队协作精神，使其能熟练应对发动机维修工作并持续提升专业素养。</w:t>
            </w:r>
          </w:p>
        </w:tc>
      </w:tr>
      <w:tr w14:paraId="76DE1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75" w:type="dxa"/>
            <w:vAlign w:val="center"/>
          </w:tcPr>
          <w:p w14:paraId="35963664">
            <w:pPr>
              <w:overflowPunct w:val="0"/>
              <w:adjustRightInd w:val="0"/>
              <w:spacing w:line="360" w:lineRule="exact"/>
              <w:jc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2</w:t>
            </w:r>
          </w:p>
        </w:tc>
        <w:tc>
          <w:tcPr>
            <w:tcW w:w="775" w:type="dxa"/>
            <w:vAlign w:val="center"/>
          </w:tcPr>
          <w:p w14:paraId="5271080D">
            <w:pPr>
              <w:spacing w:line="360" w:lineRule="exact"/>
              <w:jc w:val="center"/>
              <w:rPr>
                <w:rFonts w:hint="default" w:ascii="仿宋_GB2312" w:hAnsi="仿宋_GB2312" w:eastAsia="仿宋_GB2312" w:cs="仿宋_GB2312"/>
                <w:color w:val="auto"/>
                <w:sz w:val="24"/>
                <w:lang w:val="en-US"/>
              </w:rPr>
            </w:pPr>
            <w:r>
              <w:rPr>
                <w:rFonts w:hint="eastAsia" w:ascii="仿宋_GB2312" w:hAnsi="仿宋_GB2312" w:eastAsia="仿宋_GB2312" w:cs="仿宋_GB2312"/>
                <w:color w:val="auto"/>
                <w:sz w:val="24"/>
                <w:szCs w:val="24"/>
                <w:lang w:val="en-US" w:eastAsia="zh-CN"/>
              </w:rPr>
              <w:t>汽车底盘检修</w:t>
            </w:r>
          </w:p>
        </w:tc>
        <w:tc>
          <w:tcPr>
            <w:tcW w:w="4594" w:type="dxa"/>
            <w:vAlign w:val="top"/>
          </w:tcPr>
          <w:p w14:paraId="4E8B198A">
            <w:pPr>
              <w:pStyle w:val="6"/>
              <w:keepNext w:val="0"/>
              <w:keepLines w:val="0"/>
              <w:widowControl/>
              <w:suppressLineNumbers w:val="0"/>
              <w:spacing w:before="0" w:beforeAutospacing="0" w:after="0" w:afterAutospacing="0"/>
              <w:ind w:right="0"/>
              <w:jc w:val="both"/>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知识目标：</w:t>
            </w:r>
            <w:r>
              <w:rPr>
                <w:rFonts w:hint="eastAsia" w:ascii="仿宋_GB2312" w:hAnsi="仿宋_GB2312" w:eastAsia="仿宋_GB2312" w:cs="仿宋_GB2312"/>
                <w:color w:val="auto"/>
                <w:sz w:val="24"/>
              </w:rPr>
              <w:t>掌握汽车底盘四大系统（传动系、行驶系、转向系、制动系）的组成、结构及工作原理；熟悉底盘常见故障（如异响、跑偏、制动失效等）的特征及成因；了解底盘检测设备（四轮定位仪、制动试验台等）的工作原理和操作规范。</w:t>
            </w:r>
          </w:p>
          <w:p w14:paraId="7C208F40">
            <w:pPr>
              <w:pStyle w:val="6"/>
              <w:keepNext w:val="0"/>
              <w:keepLines w:val="0"/>
              <w:widowControl/>
              <w:suppressLineNumbers w:val="0"/>
              <w:spacing w:before="0" w:beforeAutospacing="0" w:after="0" w:afterAutospacing="0"/>
              <w:ind w:right="0"/>
              <w:jc w:val="both"/>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能力目标：</w:t>
            </w:r>
            <w:r>
              <w:rPr>
                <w:rFonts w:hint="eastAsia" w:ascii="仿宋_GB2312" w:hAnsi="仿宋_GB2312" w:eastAsia="仿宋_GB2312" w:cs="仿宋_GB2312"/>
                <w:color w:val="auto"/>
                <w:sz w:val="24"/>
              </w:rPr>
              <w:t>能对底盘各系统进行拆装、检查和调整，如离合器分离轴承更换、减震器阻尼测试；能操作检测设备完成四轮定位、制动性能测试等项目；能根据故障现象（如转向沉重、制动跑偏）定位故障部件并制定维修方案。</w:t>
            </w:r>
          </w:p>
          <w:p w14:paraId="6DDA3B11">
            <w:pPr>
              <w:pStyle w:val="6"/>
              <w:keepNext w:val="0"/>
              <w:keepLines w:val="0"/>
              <w:widowControl/>
              <w:suppressLineNumbers w:val="0"/>
              <w:spacing w:before="0" w:beforeAutospacing="0" w:after="0" w:afterAutospacing="0"/>
              <w:ind w:right="0"/>
              <w:jc w:val="both"/>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素质目标：</w:t>
            </w:r>
            <w:r>
              <w:rPr>
                <w:rFonts w:hint="eastAsia" w:ascii="仿宋_GB2312" w:hAnsi="仿宋_GB2312" w:eastAsia="仿宋_GB2312" w:cs="仿宋_GB2312"/>
                <w:color w:val="auto"/>
                <w:sz w:val="24"/>
              </w:rPr>
              <w:t>培养耐心细致的排查思维，在复杂故障中能按“先简单后复杂”的逻辑逐步分析；强化安全责任意识，认识到底盘性能对行车安全的直接影响；提升团队协作能力，在大型部件拆装（如变速器）中能有效配合。</w:t>
            </w:r>
          </w:p>
          <w:p w14:paraId="5B2F8AD1">
            <w:pPr>
              <w:pStyle w:val="6"/>
              <w:keepNext w:val="0"/>
              <w:keepLines w:val="0"/>
              <w:widowControl/>
              <w:suppressLineNumbers w:val="0"/>
              <w:spacing w:before="0" w:beforeAutospacing="0" w:after="0" w:afterAutospacing="0"/>
              <w:ind w:right="0"/>
              <w:jc w:val="both"/>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课程思政育人目标：</w:t>
            </w:r>
            <w:r>
              <w:rPr>
                <w:rFonts w:hint="eastAsia" w:ascii="仿宋_GB2312" w:hAnsi="仿宋_GB2312" w:eastAsia="仿宋_GB2312" w:cs="仿宋_GB2312"/>
                <w:color w:val="auto"/>
                <w:sz w:val="24"/>
              </w:rPr>
              <w:t>通过底盘系统的协同工作原理，渗透“系统思维”和“团队精神”；结合绿色维修理念，引导学生在维修中采用环保型制动液、润滑剂，减少环境污染。</w:t>
            </w:r>
          </w:p>
        </w:tc>
        <w:tc>
          <w:tcPr>
            <w:tcW w:w="2375" w:type="dxa"/>
            <w:vAlign w:val="top"/>
          </w:tcPr>
          <w:p w14:paraId="2508F152">
            <w:pPr>
              <w:spacing w:line="360" w:lineRule="exact"/>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底盘系统部件、总成拆装与测量</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rPr>
              <w:t>汽车底盘各部件及总成的质量检验与性能测试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rPr>
              <w:t>底盘系统故障诊断与维修等</w:t>
            </w:r>
          </w:p>
        </w:tc>
        <w:tc>
          <w:tcPr>
            <w:tcW w:w="2230" w:type="dxa"/>
            <w:vAlign w:val="top"/>
          </w:tcPr>
          <w:p w14:paraId="16133AD8">
            <w:pPr>
              <w:spacing w:after="240" w:line="320" w:lineRule="exact"/>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2"/>
                <w:sz w:val="24"/>
                <w:szCs w:val="24"/>
                <w:vertAlign w:val="baseline"/>
                <w:lang w:val="en-US" w:eastAsia="zh-CN" w:bidi="ar-SA"/>
              </w:rPr>
              <w:t>在教学中主要采用讲授法、讨论法、案例教学法，以充分调动学生进行思考，激发学生主动性和参与性，增加学生在课堂中的获得感，提高教学实效，注重围绕创新创业，结合学科和专业积极开展实习实训，提高学生的专业素养。</w:t>
            </w:r>
          </w:p>
        </w:tc>
      </w:tr>
      <w:tr w14:paraId="1F550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75" w:type="dxa"/>
            <w:vAlign w:val="center"/>
          </w:tcPr>
          <w:p w14:paraId="69919EAE">
            <w:pPr>
              <w:overflowPunct w:val="0"/>
              <w:adjustRightInd w:val="0"/>
              <w:spacing w:line="360" w:lineRule="exact"/>
              <w:jc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3</w:t>
            </w:r>
          </w:p>
        </w:tc>
        <w:tc>
          <w:tcPr>
            <w:tcW w:w="775" w:type="dxa"/>
            <w:vAlign w:val="center"/>
          </w:tcPr>
          <w:p w14:paraId="40E71409">
            <w:pPr>
              <w:spacing w:line="360" w:lineRule="exact"/>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lang w:val="en-US" w:eastAsia="zh-CN"/>
              </w:rPr>
              <w:t>汽车电气设备检修</w:t>
            </w:r>
          </w:p>
        </w:tc>
        <w:tc>
          <w:tcPr>
            <w:tcW w:w="4594" w:type="dxa"/>
            <w:vAlign w:val="top"/>
          </w:tcPr>
          <w:p w14:paraId="51F35FBA">
            <w:pPr>
              <w:pStyle w:val="6"/>
              <w:keepNext w:val="0"/>
              <w:keepLines w:val="0"/>
              <w:widowControl/>
              <w:suppressLineNumbers w:val="0"/>
              <w:spacing w:before="0" w:beforeAutospacing="0" w:after="0" w:afterAutospacing="0"/>
              <w:ind w:right="0"/>
              <w:jc w:val="both"/>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知识目标：</w:t>
            </w:r>
            <w:r>
              <w:rPr>
                <w:rFonts w:hint="eastAsia" w:ascii="仿宋_GB2312" w:hAnsi="仿宋_GB2312" w:eastAsia="仿宋_GB2312" w:cs="仿宋_GB2312"/>
                <w:color w:val="auto"/>
                <w:sz w:val="24"/>
              </w:rPr>
              <w:t>掌握汽车电气系统（电源、起动、照明、仪表、辅助电器等）的组成及工作原理；熟悉各类电气元件（蓄电池、发电机、起动机、传感器等）的性能参数及检测方法；了解汽车电路图的识读规则和电气故障的诊断逻辑。</w:t>
            </w:r>
          </w:p>
          <w:p w14:paraId="289DD32C">
            <w:pPr>
              <w:pStyle w:val="6"/>
              <w:keepNext w:val="0"/>
              <w:keepLines w:val="0"/>
              <w:widowControl/>
              <w:suppressLineNumbers w:val="0"/>
              <w:spacing w:before="0" w:beforeAutospacing="0" w:after="0" w:afterAutospacing="0"/>
              <w:ind w:right="0"/>
              <w:jc w:val="both"/>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能力目标：</w:t>
            </w:r>
            <w:r>
              <w:rPr>
                <w:rFonts w:hint="eastAsia" w:ascii="仿宋_GB2312" w:hAnsi="仿宋_GB2312" w:eastAsia="仿宋_GB2312" w:cs="仿宋_GB2312"/>
                <w:color w:val="auto"/>
                <w:sz w:val="24"/>
              </w:rPr>
              <w:t>能使用万用表、示波器等工具检测电气元件的性能（如蓄电池容量测试、发电机输出电压测量）；能识读汽车电路图并据此排查电路故障（如短路、断路、接触不良）；能完成简单电气设备的拆装与更换（如起动机碳刷更换、灯光总成维修）。</w:t>
            </w:r>
          </w:p>
          <w:p w14:paraId="1CCD617F">
            <w:pPr>
              <w:pStyle w:val="6"/>
              <w:keepNext w:val="0"/>
              <w:keepLines w:val="0"/>
              <w:widowControl/>
              <w:suppressLineNumbers w:val="0"/>
              <w:spacing w:before="0" w:beforeAutospacing="0" w:after="0" w:afterAutospacing="0"/>
              <w:ind w:right="0"/>
              <w:jc w:val="both"/>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素质目标：</w:t>
            </w:r>
            <w:r>
              <w:rPr>
                <w:rFonts w:hint="eastAsia" w:ascii="仿宋_GB2312" w:hAnsi="仿宋_GB2312" w:eastAsia="仿宋_GB2312" w:cs="仿宋_GB2312"/>
                <w:color w:val="auto"/>
                <w:sz w:val="24"/>
              </w:rPr>
              <w:t>培养规范操作意识，在检测高压电路时能做好绝缘防护；提升逻辑推理能力，能从故障现象反向推导电路问题；树立安全用电理念，杜绝违规改装（如私拉乱接线路）。</w:t>
            </w:r>
          </w:p>
          <w:p w14:paraId="5E85CC6F">
            <w:pPr>
              <w:pStyle w:val="6"/>
              <w:keepNext w:val="0"/>
              <w:keepLines w:val="0"/>
              <w:widowControl/>
              <w:suppressLineNumbers w:val="0"/>
              <w:spacing w:before="0" w:beforeAutospacing="0" w:after="0" w:afterAutospacing="0"/>
              <w:ind w:right="0"/>
              <w:jc w:val="both"/>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课程思政育人目标：</w:t>
            </w:r>
            <w:r>
              <w:rPr>
                <w:rFonts w:hint="eastAsia" w:ascii="仿宋_GB2312" w:hAnsi="仿宋_GB2312" w:eastAsia="仿宋_GB2312" w:cs="仿宋_GB2312"/>
                <w:color w:val="auto"/>
                <w:sz w:val="24"/>
              </w:rPr>
              <w:t>通过电气系统的 “安全第一” 原则，强调技术伦理的重要性；结合我国汽车电子技术的发展成果，激发学生对新技术的学习热情和创新意识。</w:t>
            </w:r>
          </w:p>
        </w:tc>
        <w:tc>
          <w:tcPr>
            <w:tcW w:w="2375" w:type="dxa"/>
            <w:vAlign w:val="top"/>
          </w:tcPr>
          <w:p w14:paraId="3AD117AE">
            <w:pPr>
              <w:spacing w:line="360" w:lineRule="exact"/>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汽车常用电子元件及电路知识</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rPr>
              <w:t>汽车电路读图与分析</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rPr>
              <w:t>汽车常用电器装备的拆装与测量、质量检验与性能测试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rPr>
              <w:t>电气系统常见故障诊断等</w:t>
            </w:r>
          </w:p>
        </w:tc>
        <w:tc>
          <w:tcPr>
            <w:tcW w:w="2230" w:type="dxa"/>
            <w:vAlign w:val="top"/>
          </w:tcPr>
          <w:p w14:paraId="76C8399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本课程需系统讲解汽车电气各系统构造原理与电路，运用实物、多媒体等直观展示。着重实践教学，指导学生熟练操作检测仪器，精准诊断维修故障，规范拆装电气设备。培养学生电路分析、问题解决能力，强化安全意识与团队协作精神，使其能胜任汽车电气相关工作并持续提升专业技能。</w:t>
            </w:r>
          </w:p>
          <w:p w14:paraId="2F921AD1">
            <w:pPr>
              <w:spacing w:after="240" w:line="320" w:lineRule="exact"/>
              <w:jc w:val="both"/>
              <w:rPr>
                <w:rFonts w:hint="eastAsia" w:ascii="仿宋_GB2312" w:hAnsi="仿宋_GB2312" w:eastAsia="仿宋_GB2312" w:cs="仿宋_GB2312"/>
                <w:color w:val="auto"/>
                <w:sz w:val="24"/>
              </w:rPr>
            </w:pPr>
          </w:p>
        </w:tc>
      </w:tr>
      <w:tr w14:paraId="58732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75" w:type="dxa"/>
            <w:vAlign w:val="center"/>
          </w:tcPr>
          <w:p w14:paraId="579E289E">
            <w:pPr>
              <w:overflowPunct w:val="0"/>
              <w:adjustRightInd w:val="0"/>
              <w:spacing w:line="360" w:lineRule="exact"/>
              <w:jc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4</w:t>
            </w:r>
          </w:p>
        </w:tc>
        <w:tc>
          <w:tcPr>
            <w:tcW w:w="775" w:type="dxa"/>
            <w:vAlign w:val="center"/>
          </w:tcPr>
          <w:p w14:paraId="4F8B9095">
            <w:pPr>
              <w:spacing w:line="360" w:lineRule="exact"/>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lang w:val="en-US" w:eastAsia="zh-CN"/>
              </w:rPr>
              <w:t>汽车维修业务接待</w:t>
            </w:r>
          </w:p>
        </w:tc>
        <w:tc>
          <w:tcPr>
            <w:tcW w:w="4594" w:type="dxa"/>
            <w:vAlign w:val="top"/>
          </w:tcPr>
          <w:p w14:paraId="7A60F74F">
            <w:pPr>
              <w:pStyle w:val="6"/>
              <w:keepNext w:val="0"/>
              <w:keepLines w:val="0"/>
              <w:widowControl/>
              <w:suppressLineNumbers w:val="0"/>
              <w:spacing w:before="0" w:beforeAutospacing="0" w:after="0" w:afterAutospacing="0"/>
              <w:ind w:right="0"/>
              <w:jc w:val="both"/>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知识目标：</w:t>
            </w:r>
            <w:r>
              <w:rPr>
                <w:rFonts w:hint="eastAsia" w:ascii="仿宋_GB2312" w:hAnsi="仿宋_GB2312" w:eastAsia="仿宋_GB2312" w:cs="仿宋_GB2312"/>
                <w:color w:val="auto"/>
                <w:sz w:val="24"/>
              </w:rPr>
              <w:t>熟悉汽车维修服务的全流程（预约、接待、诊断、维修、交车、回访）；掌握客户沟通技巧、维修工单填写规范及维修费用核算方法；了解汽车维修行业的服务标准和客户投诉处理机制。</w:t>
            </w:r>
          </w:p>
          <w:p w14:paraId="632E2AE3">
            <w:pPr>
              <w:pStyle w:val="6"/>
              <w:keepNext w:val="0"/>
              <w:keepLines w:val="0"/>
              <w:widowControl/>
              <w:suppressLineNumbers w:val="0"/>
              <w:spacing w:before="0" w:beforeAutospacing="0" w:after="0" w:afterAutospacing="0"/>
              <w:ind w:right="0"/>
              <w:jc w:val="both"/>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能力目标：</w:t>
            </w:r>
            <w:r>
              <w:rPr>
                <w:rFonts w:hint="eastAsia" w:ascii="仿宋_GB2312" w:hAnsi="仿宋_GB2312" w:eastAsia="仿宋_GB2312" w:cs="仿宋_GB2312"/>
                <w:color w:val="auto"/>
                <w:sz w:val="24"/>
              </w:rPr>
              <w:t>能规范完成接车检查（环车检查、故障记录）并与客户确认维修项目；能准确传达维修方案（含技术术语通俗化解释）及费用预估；能妥善处理客户投诉</w:t>
            </w:r>
            <w:r>
              <w:rPr>
                <w:rFonts w:hint="eastAsia" w:ascii="仿宋_GB2312" w:hAnsi="仿宋_GB2312" w:eastAsia="仿宋_GB2312" w:cs="仿宋_GB2312"/>
                <w:color w:val="auto"/>
                <w:spacing w:val="-6"/>
                <w:sz w:val="24"/>
              </w:rPr>
              <w:t>（如维修周期延误、费用争议）并跟进闭环。</w:t>
            </w:r>
          </w:p>
          <w:p w14:paraId="5CF2773A">
            <w:pPr>
              <w:pStyle w:val="6"/>
              <w:keepNext w:val="0"/>
              <w:keepLines w:val="0"/>
              <w:widowControl/>
              <w:suppressLineNumbers w:val="0"/>
              <w:spacing w:before="0" w:beforeAutospacing="0" w:after="0" w:afterAutospacing="0"/>
              <w:ind w:right="0"/>
              <w:jc w:val="both"/>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素质目标：</w:t>
            </w:r>
            <w:r>
              <w:rPr>
                <w:rFonts w:hint="eastAsia" w:ascii="仿宋_GB2312" w:hAnsi="仿宋_GB2312" w:eastAsia="仿宋_GB2312" w:cs="仿宋_GB2312"/>
                <w:color w:val="auto"/>
                <w:sz w:val="24"/>
              </w:rPr>
              <w:t>培养良好的服务礼仪和沟通表达能力，能耐心倾听客户诉求；提升应变能力，在突发情况（如配件缺货）时能及时与客户协商解决方案；树立诚信服务理</w:t>
            </w:r>
            <w:r>
              <w:rPr>
                <w:rFonts w:hint="eastAsia" w:ascii="仿宋_GB2312" w:hAnsi="仿宋_GB2312" w:eastAsia="仿宋_GB2312" w:cs="仿宋_GB2312"/>
                <w:color w:val="auto"/>
                <w:spacing w:val="-6"/>
                <w:sz w:val="24"/>
              </w:rPr>
              <w:t>念，不夸大故障、不推荐不必要的维修项目。</w:t>
            </w:r>
          </w:p>
          <w:p w14:paraId="2F54F652">
            <w:pPr>
              <w:pStyle w:val="6"/>
              <w:keepNext w:val="0"/>
              <w:keepLines w:val="0"/>
              <w:widowControl/>
              <w:suppressLineNumbers w:val="0"/>
              <w:spacing w:before="0" w:beforeAutospacing="0" w:after="0" w:afterAutospacing="0"/>
              <w:ind w:right="0"/>
              <w:jc w:val="both"/>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课程思政育人目标：</w:t>
            </w:r>
            <w:r>
              <w:rPr>
                <w:rFonts w:hint="eastAsia" w:ascii="仿宋_GB2312" w:hAnsi="仿宋_GB2312" w:eastAsia="仿宋_GB2312" w:cs="仿宋_GB2312"/>
                <w:color w:val="auto"/>
                <w:sz w:val="24"/>
              </w:rPr>
              <w:t>通过真实案例强调 “诚信为本” 的职业操守，引导学生认识到服务质量对企业品牌的重要性；结合行业劳模的服务事迹，培育爱岗敬业的职业精神。</w:t>
            </w:r>
          </w:p>
        </w:tc>
        <w:tc>
          <w:tcPr>
            <w:tcW w:w="2375" w:type="dxa"/>
            <w:vAlign w:val="top"/>
          </w:tcPr>
          <w:p w14:paraId="0F471618">
            <w:pPr>
              <w:spacing w:line="360" w:lineRule="exact"/>
              <w:jc w:val="both"/>
              <w:rPr>
                <w:rFonts w:hint="eastAsia" w:ascii="仿宋_GB2312" w:hAnsi="仿宋_GB2312" w:eastAsia="仿宋_GB2312" w:cs="仿宋_GB2312"/>
                <w:color w:val="auto"/>
                <w:sz w:val="24"/>
              </w:rPr>
            </w:pPr>
            <w:r>
              <w:rPr>
                <w:rFonts w:hint="eastAsia" w:ascii="仿宋_GB2312" w:hAnsi="仿宋_GB2312" w:eastAsia="仿宋_GB2312" w:cs="仿宋_GB2312"/>
                <w:i w:val="0"/>
                <w:caps w:val="0"/>
                <w:color w:val="000000"/>
                <w:spacing w:val="0"/>
                <w:kern w:val="0"/>
                <w:sz w:val="24"/>
                <w:szCs w:val="24"/>
                <w:lang w:val="en-US" w:eastAsia="zh-CN" w:bidi="ar"/>
              </w:rPr>
              <w:t>1.接待流程：预约接待、环车检查、故障初步诊</w:t>
            </w:r>
            <w:r>
              <w:rPr>
                <w:rFonts w:hint="eastAsia" w:ascii="仿宋_GB2312" w:hAnsi="仿宋_GB2312" w:eastAsia="仿宋_GB2312" w:cs="仿宋_GB2312"/>
                <w:i w:val="0"/>
                <w:caps w:val="0"/>
                <w:color w:val="000000"/>
                <w:spacing w:val="0"/>
                <w:kern w:val="0"/>
                <w:sz w:val="24"/>
                <w:szCs w:val="24"/>
                <w:highlight w:val="none"/>
                <w:lang w:val="en-US" w:eastAsia="zh-CN" w:bidi="ar"/>
              </w:rPr>
              <w:t>断</w:t>
            </w:r>
            <w:r>
              <w:rPr>
                <w:rFonts w:hint="eastAsia" w:ascii="仿宋_GB2312" w:hAnsi="仿宋_GB2312" w:eastAsia="仿宋_GB2312" w:cs="仿宋_GB2312"/>
                <w:i w:val="0"/>
                <w:caps w:val="0"/>
                <w:color w:val="000000"/>
                <w:spacing w:val="0"/>
                <w:kern w:val="0"/>
                <w:sz w:val="24"/>
                <w:szCs w:val="24"/>
                <w:lang w:val="en-US" w:eastAsia="zh-CN" w:bidi="ar"/>
              </w:rPr>
              <w:t>沟通技巧；</w:t>
            </w:r>
            <w:r>
              <w:rPr>
                <w:rFonts w:hint="eastAsia" w:ascii="仿宋_GB2312" w:hAnsi="仿宋_GB2312" w:eastAsia="仿宋_GB2312" w:cs="仿宋_GB2312"/>
                <w:i w:val="0"/>
                <w:caps w:val="0"/>
                <w:color w:val="000000"/>
                <w:spacing w:val="0"/>
                <w:kern w:val="0"/>
                <w:sz w:val="24"/>
                <w:szCs w:val="24"/>
                <w:lang w:val="en-US" w:eastAsia="zh-CN" w:bidi="ar"/>
              </w:rPr>
              <w:br w:type="textWrapping"/>
            </w:r>
            <w:r>
              <w:rPr>
                <w:rFonts w:hint="eastAsia" w:ascii="仿宋_GB2312" w:hAnsi="仿宋_GB2312" w:eastAsia="仿宋_GB2312" w:cs="仿宋_GB2312"/>
                <w:i w:val="0"/>
                <w:caps w:val="0"/>
                <w:color w:val="000000"/>
                <w:spacing w:val="0"/>
                <w:kern w:val="0"/>
                <w:sz w:val="24"/>
                <w:szCs w:val="24"/>
                <w:lang w:val="en-US" w:eastAsia="zh-CN" w:bidi="ar"/>
              </w:rPr>
              <w:t>2.业务管理：维修项目报价核算、工单录入与进度跟踪、配件需求对接；</w:t>
            </w:r>
            <w:r>
              <w:rPr>
                <w:rFonts w:hint="eastAsia" w:ascii="仿宋_GB2312" w:hAnsi="仿宋_GB2312" w:eastAsia="仿宋_GB2312" w:cs="仿宋_GB2312"/>
                <w:i w:val="0"/>
                <w:caps w:val="0"/>
                <w:color w:val="000000"/>
                <w:spacing w:val="0"/>
                <w:kern w:val="0"/>
                <w:sz w:val="24"/>
                <w:szCs w:val="24"/>
                <w:lang w:val="en-US" w:eastAsia="zh-CN" w:bidi="ar"/>
              </w:rPr>
              <w:br w:type="textWrapping"/>
            </w:r>
            <w:r>
              <w:rPr>
                <w:rFonts w:hint="eastAsia" w:ascii="仿宋_GB2312" w:hAnsi="仿宋_GB2312" w:eastAsia="仿宋_GB2312" w:cs="仿宋_GB2312"/>
                <w:i w:val="0"/>
                <w:caps w:val="0"/>
                <w:color w:val="000000"/>
                <w:spacing w:val="0"/>
                <w:kern w:val="0"/>
                <w:sz w:val="24"/>
                <w:szCs w:val="24"/>
                <w:lang w:val="en-US" w:eastAsia="zh-CN" w:bidi="ar"/>
              </w:rPr>
              <w:t>3.客户服务：维修方案解释（含技术术语通俗化转化）、费用结算说明、售后回访流程；</w:t>
            </w:r>
            <w:r>
              <w:rPr>
                <w:rFonts w:hint="eastAsia" w:ascii="仿宋_GB2312" w:hAnsi="仿宋_GB2312" w:eastAsia="仿宋_GB2312" w:cs="仿宋_GB2312"/>
                <w:i w:val="0"/>
                <w:caps w:val="0"/>
                <w:color w:val="000000"/>
                <w:spacing w:val="0"/>
                <w:kern w:val="0"/>
                <w:sz w:val="24"/>
                <w:szCs w:val="24"/>
                <w:lang w:val="en-US" w:eastAsia="zh-CN" w:bidi="ar"/>
              </w:rPr>
              <w:br w:type="textWrapping"/>
            </w:r>
            <w:r>
              <w:rPr>
                <w:rFonts w:hint="eastAsia" w:ascii="仿宋_GB2312" w:hAnsi="仿宋_GB2312" w:eastAsia="仿宋_GB2312" w:cs="仿宋_GB2312"/>
                <w:i w:val="0"/>
                <w:caps w:val="0"/>
                <w:color w:val="000000"/>
                <w:spacing w:val="0"/>
                <w:kern w:val="0"/>
                <w:sz w:val="24"/>
                <w:szCs w:val="24"/>
                <w:lang w:val="en-US" w:eastAsia="zh-CN" w:bidi="ar"/>
              </w:rPr>
              <w:t>4.实战场景：客户投诉处理（如维修周期延误、费用争议）、客户满意度提升策略。</w:t>
            </w:r>
          </w:p>
        </w:tc>
        <w:tc>
          <w:tcPr>
            <w:tcW w:w="2230" w:type="dxa"/>
            <w:vAlign w:val="top"/>
          </w:tcPr>
          <w:p w14:paraId="42323B68">
            <w:pPr>
              <w:spacing w:after="240" w:line="320" w:lineRule="exact"/>
              <w:jc w:val="both"/>
              <w:rPr>
                <w:rFonts w:hint="eastAsia" w:ascii="仿宋_GB2312" w:hAnsi="仿宋_GB2312" w:eastAsia="仿宋_GB2312" w:cs="仿宋_GB2312"/>
                <w:color w:val="auto"/>
                <w:sz w:val="24"/>
              </w:rPr>
            </w:pPr>
            <w:r>
              <w:rPr>
                <w:rFonts w:hint="eastAsia" w:ascii="仿宋_GB2312" w:hAnsi="仿宋_GB2312" w:eastAsia="仿宋_GB2312" w:cs="仿宋_GB2312"/>
                <w:i w:val="0"/>
                <w:caps w:val="0"/>
                <w:color w:val="000000"/>
                <w:spacing w:val="0"/>
                <w:kern w:val="0"/>
                <w:sz w:val="24"/>
                <w:szCs w:val="24"/>
                <w:lang w:val="en-US" w:eastAsia="zh-CN" w:bidi="ar"/>
              </w:rPr>
              <w:t>1.遵循汽车维修行业服务标准（如 “接车 诊断 报价 维修 交付 回访” 六步法）；</w:t>
            </w:r>
            <w:r>
              <w:rPr>
                <w:rFonts w:hint="eastAsia" w:ascii="仿宋_GB2312" w:hAnsi="仿宋_GB2312" w:eastAsia="仿宋_GB2312" w:cs="仿宋_GB2312"/>
                <w:i w:val="0"/>
                <w:caps w:val="0"/>
                <w:color w:val="000000"/>
                <w:spacing w:val="0"/>
                <w:kern w:val="0"/>
                <w:sz w:val="24"/>
                <w:szCs w:val="24"/>
                <w:lang w:val="en-US" w:eastAsia="zh-CN" w:bidi="ar"/>
              </w:rPr>
              <w:br w:type="textWrapping"/>
            </w:r>
            <w:r>
              <w:rPr>
                <w:rFonts w:hint="eastAsia" w:ascii="仿宋_GB2312" w:hAnsi="仿宋_GB2312" w:eastAsia="仿宋_GB2312" w:cs="仿宋_GB2312"/>
                <w:i w:val="0"/>
                <w:caps w:val="0"/>
                <w:color w:val="000000"/>
                <w:spacing w:val="0"/>
                <w:kern w:val="0"/>
                <w:sz w:val="24"/>
                <w:szCs w:val="24"/>
                <w:lang w:val="en-US" w:eastAsia="zh-CN" w:bidi="ar"/>
              </w:rPr>
              <w:t>2.能熟练使用维修管理系统（如 EAS、快修店管理软件）录入工单与查询配件；</w:t>
            </w:r>
            <w:r>
              <w:rPr>
                <w:rFonts w:hint="eastAsia" w:ascii="仿宋_GB2312" w:hAnsi="仿宋_GB2312" w:eastAsia="仿宋_GB2312" w:cs="仿宋_GB2312"/>
                <w:i w:val="0"/>
                <w:caps w:val="0"/>
                <w:color w:val="000000"/>
                <w:spacing w:val="0"/>
                <w:kern w:val="0"/>
                <w:sz w:val="24"/>
                <w:szCs w:val="24"/>
                <w:lang w:val="en-US" w:eastAsia="zh-CN" w:bidi="ar"/>
              </w:rPr>
              <w:br w:type="textWrapping"/>
            </w:r>
            <w:r>
              <w:rPr>
                <w:rFonts w:hint="eastAsia" w:ascii="仿宋_GB2312" w:hAnsi="仿宋_GB2312" w:eastAsia="仿宋_GB2312" w:cs="仿宋_GB2312"/>
                <w:i w:val="0"/>
                <w:caps w:val="0"/>
                <w:color w:val="000000"/>
                <w:spacing w:val="0"/>
                <w:kern w:val="0"/>
                <w:sz w:val="24"/>
                <w:szCs w:val="24"/>
                <w:lang w:val="en-US" w:eastAsia="zh-CN" w:bidi="ar"/>
              </w:rPr>
              <w:t>3.掌握客户沟通技巧（如倾听技巧、技术问题可视化表达），能准确传递维修方案与费用明细；</w:t>
            </w:r>
            <w:r>
              <w:rPr>
                <w:rFonts w:hint="eastAsia" w:ascii="仿宋_GB2312" w:hAnsi="仿宋_GB2312" w:eastAsia="仿宋_GB2312" w:cs="仿宋_GB2312"/>
                <w:i w:val="0"/>
                <w:caps w:val="0"/>
                <w:color w:val="000000"/>
                <w:spacing w:val="0"/>
                <w:kern w:val="0"/>
                <w:sz w:val="24"/>
                <w:szCs w:val="24"/>
                <w:lang w:val="en-US" w:eastAsia="zh-CN" w:bidi="ar"/>
              </w:rPr>
              <w:br w:type="textWrapping"/>
            </w:r>
            <w:r>
              <w:rPr>
                <w:rFonts w:hint="eastAsia" w:ascii="仿宋_GB2312" w:hAnsi="仿宋_GB2312" w:eastAsia="仿宋_GB2312" w:cs="仿宋_GB2312"/>
                <w:i w:val="0"/>
                <w:caps w:val="0"/>
                <w:color w:val="000000"/>
                <w:spacing w:val="0"/>
                <w:kern w:val="0"/>
                <w:sz w:val="24"/>
                <w:szCs w:val="24"/>
                <w:lang w:val="en-US" w:eastAsia="zh-CN" w:bidi="ar"/>
              </w:rPr>
              <w:t>4.培养责任心与同理心，确保客户信息保密，及时反馈维修进度并处理突发问题。</w:t>
            </w:r>
          </w:p>
        </w:tc>
      </w:tr>
      <w:tr w14:paraId="27416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75" w:type="dxa"/>
            <w:vAlign w:val="center"/>
          </w:tcPr>
          <w:p w14:paraId="37DB34B3">
            <w:pPr>
              <w:overflowPunct w:val="0"/>
              <w:adjustRightInd w:val="0"/>
              <w:spacing w:line="360" w:lineRule="exact"/>
              <w:jc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5</w:t>
            </w:r>
          </w:p>
        </w:tc>
        <w:tc>
          <w:tcPr>
            <w:tcW w:w="775" w:type="dxa"/>
            <w:vAlign w:val="center"/>
          </w:tcPr>
          <w:p w14:paraId="3DA8D016">
            <w:pPr>
              <w:spacing w:line="360" w:lineRule="exact"/>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lang w:val="en-US" w:eastAsia="zh-CN"/>
              </w:rPr>
              <w:t>汽车车载网络系统检修</w:t>
            </w:r>
          </w:p>
        </w:tc>
        <w:tc>
          <w:tcPr>
            <w:tcW w:w="4594" w:type="dxa"/>
            <w:vAlign w:val="top"/>
          </w:tcPr>
          <w:p w14:paraId="13769EFF">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0" w:afterAutospacing="0" w:line="279" w:lineRule="auto"/>
              <w:jc w:val="both"/>
              <w:textAlignment w:val="auto"/>
              <w:rPr>
                <w:rFonts w:hint="eastAsia" w:ascii="仿宋_GB2312" w:hAnsi="仿宋_GB2312" w:eastAsia="仿宋_GB2312" w:cs="仿宋_GB2312"/>
                <w:color w:val="auto"/>
                <w:kern w:val="0"/>
                <w:sz w:val="24"/>
                <w:szCs w:val="24"/>
                <w:lang w:val="en-US" w:eastAsia="zh-CN" w:bidi="ar-SA"/>
              </w:rPr>
            </w:pPr>
            <w:r>
              <w:rPr>
                <w:rFonts w:hint="eastAsia"/>
                <w:b/>
                <w:bCs/>
              </w:rPr>
              <w:t>知识目标：</w:t>
            </w:r>
            <w:r>
              <w:rPr>
                <w:rFonts w:hint="eastAsia" w:ascii="仿宋_GB2312" w:hAnsi="仿宋_GB2312" w:eastAsia="仿宋_GB2312" w:cs="仿宋_GB2312"/>
                <w:color w:val="auto"/>
                <w:kern w:val="0"/>
                <w:sz w:val="24"/>
                <w:szCs w:val="24"/>
                <w:lang w:val="en-US" w:eastAsia="zh-CN" w:bidi="ar-SA"/>
              </w:rPr>
              <w:t>掌握汽车车载网络（CAN 总线、LIN 总线、MOST 总线等）的拓扑结构、通信协议及数据传输原理；熟悉车载网络系统的控制单元（ECU）、网关、终端电阻等核心部件的功能；了解车载网络常见故障（如通信中断、数据错误）的诊断方法。</w:t>
            </w:r>
          </w:p>
          <w:p w14:paraId="743EC84B">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0" w:afterAutospacing="0" w:line="279" w:lineRule="auto"/>
              <w:jc w:val="both"/>
              <w:textAlignment w:val="auto"/>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b/>
                <w:bCs/>
                <w:color w:val="auto"/>
                <w:kern w:val="0"/>
                <w:sz w:val="24"/>
                <w:szCs w:val="24"/>
                <w:lang w:val="en-US" w:eastAsia="zh-CN" w:bidi="ar-SA"/>
              </w:rPr>
              <w:t>能力目标：</w:t>
            </w:r>
            <w:r>
              <w:rPr>
                <w:rFonts w:hint="eastAsia" w:ascii="仿宋_GB2312" w:hAnsi="仿宋_GB2312" w:eastAsia="仿宋_GB2312" w:cs="仿宋_GB2312"/>
                <w:color w:val="auto"/>
                <w:kern w:val="0"/>
                <w:sz w:val="24"/>
                <w:szCs w:val="24"/>
                <w:lang w:val="en-US" w:eastAsia="zh-CN" w:bidi="ar-SA"/>
              </w:rPr>
              <w:t>能识别不同类型车载网络的线束标识（如 CAN_H/CAN_L 导线颜色）；能使用诊断仪读取车载网络故障码并分析数据流（如报文传输速率）；能检测终端电阻、排查节点故障，修复简单的网络通信问题。</w:t>
            </w:r>
          </w:p>
          <w:p w14:paraId="5DEED3F3">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0" w:afterAutospacing="0" w:line="279" w:lineRule="auto"/>
              <w:jc w:val="both"/>
              <w:textAlignment w:val="auto"/>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b/>
                <w:bCs/>
                <w:color w:val="auto"/>
                <w:kern w:val="0"/>
                <w:sz w:val="24"/>
                <w:szCs w:val="24"/>
                <w:lang w:val="en-US" w:eastAsia="zh-CN" w:bidi="ar-SA"/>
              </w:rPr>
              <w:t>素质目标：</w:t>
            </w:r>
            <w:r>
              <w:rPr>
                <w:rFonts w:hint="eastAsia" w:ascii="仿宋_GB2312" w:hAnsi="仿宋_GB2312" w:eastAsia="仿宋_GB2312" w:cs="仿宋_GB2312"/>
                <w:color w:val="auto"/>
                <w:kern w:val="0"/>
                <w:sz w:val="24"/>
                <w:szCs w:val="24"/>
                <w:lang w:val="en-US" w:eastAsia="zh-CN" w:bidi="ar-SA"/>
              </w:rPr>
              <w:t>培养适应汽车智能化发展的学习能力，关注车载网络技术的更新迭代；强化数据安全意识，认识到车载网络数据（如驾驶习惯、位置信息）的隐私保护重要性；提升逻辑分析能力，在多系统联动故障中能从网络层面定位原因。</w:t>
            </w:r>
          </w:p>
          <w:p w14:paraId="4B9D52B2">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0" w:afterAutospacing="0" w:line="279" w:lineRule="auto"/>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szCs w:val="24"/>
                <w:lang w:val="en-US" w:eastAsia="zh-CN" w:bidi="ar-SA"/>
              </w:rPr>
              <w:t>课程思政育人目标：通过车载网络的 “协同通信” 原理，渗透团队协作的重要性；结合我国智能网联汽车的发展战略</w:t>
            </w:r>
            <w:r>
              <w:rPr>
                <w:rFonts w:hint="eastAsia" w:ascii="仿宋_GB2312" w:hAnsi="仿宋_GB2312" w:eastAsia="仿宋_GB2312" w:cs="仿宋_GB2312"/>
                <w:color w:val="auto"/>
                <w:spacing w:val="-6"/>
                <w:kern w:val="0"/>
                <w:sz w:val="24"/>
                <w:szCs w:val="24"/>
                <w:lang w:val="en-US" w:eastAsia="zh-CN" w:bidi="ar-SA"/>
              </w:rPr>
              <w:t>，引导学生树立技术创新意识，严守数据安全法规。</w:t>
            </w:r>
          </w:p>
        </w:tc>
        <w:tc>
          <w:tcPr>
            <w:tcW w:w="2375" w:type="dxa"/>
            <w:vAlign w:val="top"/>
          </w:tcPr>
          <w:p w14:paraId="65766DCD">
            <w:pPr>
              <w:spacing w:line="360" w:lineRule="exact"/>
              <w:jc w:val="both"/>
              <w:rPr>
                <w:rFonts w:hint="eastAsia" w:ascii="仿宋_GB2312" w:hAnsi="仿宋_GB2312" w:eastAsia="仿宋_GB2312" w:cs="仿宋_GB2312"/>
                <w:color w:val="auto"/>
                <w:sz w:val="24"/>
              </w:rPr>
            </w:pPr>
            <w:r>
              <w:rPr>
                <w:rFonts w:hint="eastAsia" w:ascii="仿宋_GB2312" w:hAnsi="仿宋_GB2312" w:eastAsia="仿宋_GB2312" w:cs="仿宋_GB2312"/>
                <w:i w:val="0"/>
                <w:caps w:val="0"/>
                <w:color w:val="000000"/>
                <w:spacing w:val="0"/>
                <w:kern w:val="0"/>
                <w:sz w:val="24"/>
                <w:szCs w:val="24"/>
                <w:lang w:val="en-US" w:eastAsia="zh-CN" w:bidi="ar"/>
              </w:rPr>
              <w:t>1.基础理论：CAN 总线（高速 / 低速）、LIN 总线的拓扑结构、数据传输特点及应用场景；</w:t>
            </w:r>
            <w:r>
              <w:rPr>
                <w:rFonts w:hint="eastAsia" w:ascii="仿宋_GB2312" w:hAnsi="仿宋_GB2312" w:eastAsia="仿宋_GB2312" w:cs="仿宋_GB2312"/>
                <w:i w:val="0"/>
                <w:caps w:val="0"/>
                <w:color w:val="000000"/>
                <w:spacing w:val="0"/>
                <w:kern w:val="0"/>
                <w:sz w:val="24"/>
                <w:szCs w:val="24"/>
                <w:lang w:val="en-US" w:eastAsia="zh-CN" w:bidi="ar"/>
              </w:rPr>
              <w:br w:type="textWrapping"/>
            </w:r>
            <w:r>
              <w:rPr>
                <w:rFonts w:hint="eastAsia" w:ascii="仿宋_GB2312" w:hAnsi="仿宋_GB2312" w:eastAsia="仿宋_GB2312" w:cs="仿宋_GB2312"/>
                <w:i w:val="0"/>
                <w:caps w:val="0"/>
                <w:color w:val="000000"/>
                <w:spacing w:val="0"/>
                <w:kern w:val="0"/>
                <w:sz w:val="24"/>
                <w:szCs w:val="24"/>
                <w:lang w:val="en-US" w:eastAsia="zh-CN" w:bidi="ar"/>
              </w:rPr>
              <w:t>2.硬件组成：控制单元（ECU）、网关、终端电阻的功能与安装位置；</w:t>
            </w:r>
            <w:r>
              <w:rPr>
                <w:rFonts w:hint="eastAsia" w:ascii="仿宋_GB2312" w:hAnsi="仿宋_GB2312" w:eastAsia="仿宋_GB2312" w:cs="仿宋_GB2312"/>
                <w:i w:val="0"/>
                <w:caps w:val="0"/>
                <w:color w:val="000000"/>
                <w:spacing w:val="0"/>
                <w:kern w:val="0"/>
                <w:sz w:val="24"/>
                <w:szCs w:val="24"/>
                <w:lang w:val="en-US" w:eastAsia="zh-CN" w:bidi="ar"/>
              </w:rPr>
              <w:br w:type="textWrapping"/>
            </w:r>
            <w:r>
              <w:rPr>
                <w:rFonts w:hint="eastAsia" w:ascii="仿宋_GB2312" w:hAnsi="仿宋_GB2312" w:eastAsia="仿宋_GB2312" w:cs="仿宋_GB2312"/>
                <w:i w:val="0"/>
                <w:caps w:val="0"/>
                <w:color w:val="000000"/>
                <w:spacing w:val="0"/>
                <w:kern w:val="0"/>
                <w:sz w:val="24"/>
                <w:szCs w:val="24"/>
                <w:lang w:val="en-US" w:eastAsia="zh-CN" w:bidi="ar"/>
              </w:rPr>
              <w:t>3. 故障诊断：网络信号波形分析（电压幅值、传输速率）、终端电阻阻值检测、节点故障定位方法；</w:t>
            </w:r>
            <w:r>
              <w:rPr>
                <w:rFonts w:hint="eastAsia" w:ascii="仿宋_GB2312" w:hAnsi="仿宋_GB2312" w:eastAsia="仿宋_GB2312" w:cs="仿宋_GB2312"/>
                <w:i w:val="0"/>
                <w:caps w:val="0"/>
                <w:color w:val="000000"/>
                <w:spacing w:val="0"/>
                <w:kern w:val="0"/>
                <w:sz w:val="24"/>
                <w:szCs w:val="24"/>
                <w:lang w:val="en-US" w:eastAsia="zh-CN" w:bidi="ar"/>
              </w:rPr>
              <w:br w:type="textWrapping"/>
            </w:r>
            <w:r>
              <w:rPr>
                <w:rFonts w:hint="eastAsia" w:ascii="仿宋_GB2312" w:hAnsi="仿宋_GB2312" w:eastAsia="仿宋_GB2312" w:cs="仿宋_GB2312"/>
                <w:i w:val="0"/>
                <w:caps w:val="0"/>
                <w:color w:val="000000"/>
                <w:spacing w:val="0"/>
                <w:kern w:val="0"/>
                <w:sz w:val="24"/>
                <w:szCs w:val="24"/>
                <w:lang w:val="en-US" w:eastAsia="zh-CN" w:bidi="ar"/>
              </w:rPr>
              <w:t>4.典型案例：车载网络导致的多系统联动故障（如仪表盘异常、舒适系统失灵）排查流程。</w:t>
            </w:r>
          </w:p>
        </w:tc>
        <w:tc>
          <w:tcPr>
            <w:tcW w:w="2230" w:type="dxa"/>
            <w:vAlign w:val="top"/>
          </w:tcPr>
          <w:p w14:paraId="6201CC56">
            <w:pPr>
              <w:spacing w:after="240" w:line="320" w:lineRule="exact"/>
              <w:jc w:val="both"/>
              <w:rPr>
                <w:rFonts w:hint="eastAsia" w:ascii="仿宋_GB2312" w:hAnsi="仿宋_GB2312" w:eastAsia="仿宋_GB2312" w:cs="仿宋_GB2312"/>
                <w:color w:val="auto"/>
                <w:sz w:val="24"/>
              </w:rPr>
            </w:pPr>
            <w:r>
              <w:rPr>
                <w:rFonts w:hint="eastAsia" w:ascii="仿宋_GB2312" w:hAnsi="仿宋_GB2312" w:eastAsia="仿宋_GB2312" w:cs="仿宋_GB2312"/>
                <w:i w:val="0"/>
                <w:caps w:val="0"/>
                <w:color w:val="000000"/>
                <w:spacing w:val="0"/>
                <w:kern w:val="0"/>
                <w:sz w:val="24"/>
                <w:szCs w:val="24"/>
                <w:lang w:val="en-US" w:eastAsia="zh-CN" w:bidi="ar"/>
              </w:rPr>
              <w:t>1.识别不同车载网络协议的标识符号（如 CAN_H/CAN_L 信号）及线束颜色编码；</w:t>
            </w:r>
            <w:r>
              <w:rPr>
                <w:rFonts w:hint="eastAsia" w:ascii="仿宋_GB2312" w:hAnsi="仿宋_GB2312" w:eastAsia="仿宋_GB2312" w:cs="仿宋_GB2312"/>
                <w:i w:val="0"/>
                <w:caps w:val="0"/>
                <w:color w:val="000000"/>
                <w:spacing w:val="0"/>
                <w:kern w:val="0"/>
                <w:sz w:val="24"/>
                <w:szCs w:val="24"/>
                <w:lang w:val="en-US" w:eastAsia="zh-CN" w:bidi="ar"/>
              </w:rPr>
              <w:br w:type="textWrapping"/>
            </w:r>
            <w:r>
              <w:rPr>
                <w:rFonts w:hint="eastAsia" w:ascii="仿宋_GB2312" w:hAnsi="仿宋_GB2312" w:eastAsia="仿宋_GB2312" w:cs="仿宋_GB2312"/>
                <w:i w:val="0"/>
                <w:caps w:val="0"/>
                <w:color w:val="000000"/>
                <w:spacing w:val="0"/>
                <w:kern w:val="0"/>
                <w:sz w:val="24"/>
                <w:szCs w:val="24"/>
                <w:lang w:val="en-US" w:eastAsia="zh-CN" w:bidi="ar"/>
              </w:rPr>
              <w:t>2.熟练使用汽车诊断仪（如 X-431、元征）读取网络故障码并分析含义；</w:t>
            </w:r>
            <w:r>
              <w:rPr>
                <w:rFonts w:hint="eastAsia" w:ascii="仿宋_GB2312" w:hAnsi="仿宋_GB2312" w:eastAsia="仿宋_GB2312" w:cs="仿宋_GB2312"/>
                <w:i w:val="0"/>
                <w:caps w:val="0"/>
                <w:color w:val="000000"/>
                <w:spacing w:val="0"/>
                <w:kern w:val="0"/>
                <w:sz w:val="24"/>
                <w:szCs w:val="24"/>
                <w:lang w:val="en-US" w:eastAsia="zh-CN" w:bidi="ar"/>
              </w:rPr>
              <w:br w:type="textWrapping"/>
            </w:r>
            <w:r>
              <w:rPr>
                <w:rFonts w:hint="eastAsia" w:ascii="仿宋_GB2312" w:hAnsi="仿宋_GB2312" w:eastAsia="仿宋_GB2312" w:cs="仿宋_GB2312"/>
                <w:i w:val="0"/>
                <w:caps w:val="0"/>
                <w:color w:val="000000"/>
                <w:spacing w:val="0"/>
                <w:kern w:val="0"/>
                <w:sz w:val="24"/>
                <w:szCs w:val="24"/>
                <w:lang w:val="en-US" w:eastAsia="zh-CN" w:bidi="ar"/>
              </w:rPr>
              <w:t>3.能使用示波器测量总线波形，判断信号干扰、短路 / 断路等硬件故障；</w:t>
            </w:r>
            <w:r>
              <w:rPr>
                <w:rFonts w:hint="eastAsia" w:ascii="仿宋_GB2312" w:hAnsi="仿宋_GB2312" w:eastAsia="仿宋_GB2312" w:cs="仿宋_GB2312"/>
                <w:i w:val="0"/>
                <w:caps w:val="0"/>
                <w:color w:val="000000"/>
                <w:spacing w:val="0"/>
                <w:kern w:val="0"/>
                <w:sz w:val="24"/>
                <w:szCs w:val="24"/>
                <w:lang w:val="en-US" w:eastAsia="zh-CN" w:bidi="ar"/>
              </w:rPr>
              <w:br w:type="textWrapping"/>
            </w:r>
            <w:r>
              <w:rPr>
                <w:rFonts w:hint="eastAsia" w:ascii="仿宋_GB2312" w:hAnsi="仿宋_GB2312" w:eastAsia="仿宋_GB2312" w:cs="仿宋_GB2312"/>
                <w:i w:val="0"/>
                <w:caps w:val="0"/>
                <w:color w:val="000000"/>
                <w:spacing w:val="0"/>
                <w:kern w:val="0"/>
                <w:sz w:val="24"/>
                <w:szCs w:val="24"/>
                <w:lang w:val="en-US" w:eastAsia="zh-CN" w:bidi="ar"/>
              </w:rPr>
              <w:t>4.遵守高压安全规范（如断开蓄电池前的放电操作），培养严谨的故障排查逻辑。</w:t>
            </w:r>
          </w:p>
        </w:tc>
      </w:tr>
      <w:tr w14:paraId="0DE5E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75" w:type="dxa"/>
            <w:vAlign w:val="center"/>
          </w:tcPr>
          <w:p w14:paraId="279058E6">
            <w:pPr>
              <w:overflowPunct w:val="0"/>
              <w:adjustRightInd w:val="0"/>
              <w:spacing w:line="360" w:lineRule="exact"/>
              <w:jc w:val="center"/>
              <w:rPr>
                <w:rFonts w:hint="eastAsia" w:ascii="仿宋_GB2312" w:hAnsi="仿宋_GB2312" w:eastAsia="仿宋_GB2312" w:cs="仿宋_GB2312"/>
                <w:color w:val="auto"/>
                <w:sz w:val="24"/>
                <w:lang w:val="en-US" w:eastAsia="zh-CN"/>
              </w:rPr>
            </w:pPr>
          </w:p>
          <w:p w14:paraId="21DF1764">
            <w:pPr>
              <w:overflowPunct w:val="0"/>
              <w:adjustRightInd w:val="0"/>
              <w:spacing w:line="360" w:lineRule="exact"/>
              <w:jc w:val="center"/>
              <w:rPr>
                <w:rFonts w:hint="eastAsia" w:ascii="仿宋_GB2312" w:hAnsi="仿宋_GB2312" w:eastAsia="仿宋_GB2312" w:cs="仿宋_GB2312"/>
                <w:color w:val="auto"/>
                <w:sz w:val="24"/>
                <w:lang w:val="en-US" w:eastAsia="zh-CN"/>
              </w:rPr>
            </w:pPr>
          </w:p>
          <w:p w14:paraId="256E75A9">
            <w:pPr>
              <w:overflowPunct w:val="0"/>
              <w:adjustRightInd w:val="0"/>
              <w:spacing w:line="360" w:lineRule="exact"/>
              <w:jc w:val="center"/>
              <w:rPr>
                <w:rFonts w:hint="eastAsia" w:ascii="仿宋_GB2312" w:hAnsi="仿宋_GB2312" w:eastAsia="仿宋_GB2312" w:cs="仿宋_GB2312"/>
                <w:color w:val="auto"/>
                <w:sz w:val="24"/>
                <w:lang w:val="en-US" w:eastAsia="zh-CN"/>
              </w:rPr>
            </w:pPr>
          </w:p>
          <w:p w14:paraId="7C321163">
            <w:pPr>
              <w:overflowPunct w:val="0"/>
              <w:adjustRightInd w:val="0"/>
              <w:spacing w:line="360" w:lineRule="exact"/>
              <w:jc w:val="center"/>
              <w:rPr>
                <w:rFonts w:hint="eastAsia" w:ascii="仿宋_GB2312" w:hAnsi="仿宋_GB2312" w:eastAsia="仿宋_GB2312" w:cs="仿宋_GB2312"/>
                <w:color w:val="auto"/>
                <w:sz w:val="24"/>
                <w:lang w:val="en-US" w:eastAsia="zh-CN"/>
              </w:rPr>
            </w:pPr>
          </w:p>
          <w:p w14:paraId="71437486">
            <w:pPr>
              <w:overflowPunct w:val="0"/>
              <w:adjustRightInd w:val="0"/>
              <w:spacing w:line="360" w:lineRule="exact"/>
              <w:jc w:val="center"/>
              <w:rPr>
                <w:rFonts w:hint="eastAsia" w:ascii="仿宋_GB2312" w:hAnsi="仿宋_GB2312" w:eastAsia="仿宋_GB2312" w:cs="仿宋_GB2312"/>
                <w:color w:val="auto"/>
                <w:sz w:val="24"/>
                <w:lang w:val="en-US" w:eastAsia="zh-CN"/>
              </w:rPr>
            </w:pPr>
          </w:p>
          <w:p w14:paraId="019437EB">
            <w:pPr>
              <w:overflowPunct w:val="0"/>
              <w:adjustRightInd w:val="0"/>
              <w:spacing w:line="360" w:lineRule="exact"/>
              <w:jc w:val="center"/>
              <w:rPr>
                <w:rFonts w:hint="eastAsia" w:ascii="仿宋_GB2312" w:hAnsi="仿宋_GB2312" w:eastAsia="仿宋_GB2312" w:cs="仿宋_GB2312"/>
                <w:color w:val="auto"/>
                <w:sz w:val="24"/>
                <w:lang w:val="en-US" w:eastAsia="zh-CN"/>
              </w:rPr>
            </w:pPr>
          </w:p>
          <w:p w14:paraId="0BCFA293">
            <w:pPr>
              <w:overflowPunct w:val="0"/>
              <w:adjustRightInd w:val="0"/>
              <w:spacing w:line="360" w:lineRule="exact"/>
              <w:jc w:val="center"/>
              <w:rPr>
                <w:rFonts w:hint="eastAsia" w:ascii="仿宋_GB2312" w:hAnsi="仿宋_GB2312" w:eastAsia="仿宋_GB2312" w:cs="仿宋_GB2312"/>
                <w:color w:val="auto"/>
                <w:sz w:val="24"/>
                <w:lang w:val="en-US" w:eastAsia="zh-CN"/>
              </w:rPr>
            </w:pPr>
          </w:p>
          <w:p w14:paraId="0C4457D9">
            <w:pPr>
              <w:overflowPunct w:val="0"/>
              <w:adjustRightInd w:val="0"/>
              <w:spacing w:line="360" w:lineRule="exact"/>
              <w:jc w:val="center"/>
              <w:rPr>
                <w:rFonts w:hint="eastAsia" w:ascii="仿宋_GB2312" w:hAnsi="仿宋_GB2312" w:eastAsia="仿宋_GB2312" w:cs="仿宋_GB2312"/>
                <w:color w:val="auto"/>
                <w:sz w:val="24"/>
                <w:lang w:val="en-US" w:eastAsia="zh-CN"/>
              </w:rPr>
            </w:pPr>
          </w:p>
          <w:p w14:paraId="6987A8E2">
            <w:pPr>
              <w:overflowPunct w:val="0"/>
              <w:adjustRightInd w:val="0"/>
              <w:spacing w:line="360" w:lineRule="exact"/>
              <w:jc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6</w:t>
            </w:r>
          </w:p>
        </w:tc>
        <w:tc>
          <w:tcPr>
            <w:tcW w:w="775" w:type="dxa"/>
            <w:vAlign w:val="center"/>
          </w:tcPr>
          <w:p w14:paraId="426D307A">
            <w:pPr>
              <w:spacing w:line="360" w:lineRule="exact"/>
              <w:jc w:val="center"/>
              <w:rPr>
                <w:rFonts w:hint="eastAsia" w:ascii="仿宋_GB2312" w:hAnsi="仿宋_GB2312" w:eastAsia="仿宋_GB2312" w:cs="仿宋_GB2312"/>
                <w:color w:val="auto"/>
                <w:sz w:val="24"/>
                <w:szCs w:val="24"/>
                <w:lang w:val="en-US" w:eastAsia="zh-CN"/>
              </w:rPr>
            </w:pPr>
          </w:p>
          <w:p w14:paraId="48C57000">
            <w:pPr>
              <w:spacing w:line="360" w:lineRule="exact"/>
              <w:jc w:val="center"/>
              <w:rPr>
                <w:rFonts w:hint="eastAsia" w:ascii="仿宋_GB2312" w:hAnsi="仿宋_GB2312" w:eastAsia="仿宋_GB2312" w:cs="仿宋_GB2312"/>
                <w:color w:val="auto"/>
                <w:sz w:val="24"/>
                <w:szCs w:val="24"/>
                <w:lang w:val="en-US" w:eastAsia="zh-CN"/>
              </w:rPr>
            </w:pPr>
          </w:p>
          <w:p w14:paraId="11ACA840">
            <w:pPr>
              <w:spacing w:line="360" w:lineRule="exact"/>
              <w:jc w:val="center"/>
              <w:rPr>
                <w:rFonts w:hint="eastAsia" w:ascii="仿宋_GB2312" w:hAnsi="仿宋_GB2312" w:eastAsia="仿宋_GB2312" w:cs="仿宋_GB2312"/>
                <w:color w:val="auto"/>
                <w:sz w:val="24"/>
                <w:szCs w:val="24"/>
                <w:lang w:val="en-US" w:eastAsia="zh-CN"/>
              </w:rPr>
            </w:pPr>
          </w:p>
          <w:p w14:paraId="684B6D07">
            <w:pPr>
              <w:spacing w:line="360" w:lineRule="exact"/>
              <w:jc w:val="center"/>
              <w:rPr>
                <w:rFonts w:hint="eastAsia" w:ascii="仿宋_GB2312" w:hAnsi="仿宋_GB2312" w:eastAsia="仿宋_GB2312" w:cs="仿宋_GB2312"/>
                <w:color w:val="auto"/>
                <w:sz w:val="24"/>
                <w:szCs w:val="24"/>
                <w:lang w:val="en-US" w:eastAsia="zh-CN"/>
              </w:rPr>
            </w:pPr>
          </w:p>
          <w:p w14:paraId="30646189">
            <w:pPr>
              <w:spacing w:line="360" w:lineRule="exact"/>
              <w:jc w:val="center"/>
              <w:rPr>
                <w:rFonts w:hint="eastAsia" w:ascii="仿宋_GB2312" w:hAnsi="仿宋_GB2312" w:eastAsia="仿宋_GB2312" w:cs="仿宋_GB2312"/>
                <w:color w:val="auto"/>
                <w:sz w:val="24"/>
                <w:szCs w:val="24"/>
                <w:lang w:val="en-US" w:eastAsia="zh-CN"/>
              </w:rPr>
            </w:pPr>
          </w:p>
          <w:p w14:paraId="2126D094">
            <w:pPr>
              <w:spacing w:line="360" w:lineRule="exact"/>
              <w:jc w:val="center"/>
              <w:rPr>
                <w:rFonts w:hint="eastAsia" w:ascii="仿宋_GB2312" w:hAnsi="仿宋_GB2312" w:eastAsia="仿宋_GB2312" w:cs="仿宋_GB2312"/>
                <w:color w:val="auto"/>
                <w:sz w:val="24"/>
                <w:szCs w:val="24"/>
                <w:lang w:val="en-US" w:eastAsia="zh-CN"/>
              </w:rPr>
            </w:pPr>
          </w:p>
          <w:p w14:paraId="201497AE">
            <w:pPr>
              <w:spacing w:line="360" w:lineRule="exact"/>
              <w:jc w:val="center"/>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24"/>
                <w:szCs w:val="24"/>
                <w:lang w:val="en-US" w:eastAsia="zh-CN"/>
              </w:rPr>
              <w:t>汽车检测与故障诊断</w:t>
            </w:r>
          </w:p>
        </w:tc>
        <w:tc>
          <w:tcPr>
            <w:tcW w:w="4594" w:type="dxa"/>
            <w:vAlign w:val="top"/>
          </w:tcPr>
          <w:p w14:paraId="383B01EB">
            <w:pPr>
              <w:pStyle w:val="6"/>
              <w:keepNext w:val="0"/>
              <w:keepLines w:val="0"/>
              <w:widowControl/>
              <w:suppressLineNumbers w:val="0"/>
              <w:spacing w:before="0" w:beforeAutospacing="0" w:after="0" w:afterAutospacing="0"/>
              <w:ind w:right="0"/>
              <w:jc w:val="both"/>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知识目标：</w:t>
            </w:r>
            <w:r>
              <w:rPr>
                <w:rFonts w:hint="eastAsia" w:ascii="仿宋_GB2312" w:hAnsi="仿宋_GB2312" w:eastAsia="仿宋_GB2312" w:cs="仿宋_GB2312"/>
                <w:color w:val="auto"/>
                <w:sz w:val="24"/>
              </w:rPr>
              <w:t>掌握汽车性能检测（动力性、经济性、制动性、排放性等）的国家标准（如 GB 7258）；熟悉汽车综合故障的诊断流程（问诊、检测、分析、验证）及常用诊断方法（故障码分析、数据流分析、经验法等）；了解汽车检测线的组成及各设备的检测原理。</w:t>
            </w:r>
          </w:p>
          <w:p w14:paraId="32D36E0D">
            <w:pPr>
              <w:pStyle w:val="6"/>
              <w:keepNext w:val="0"/>
              <w:keepLines w:val="0"/>
              <w:widowControl/>
              <w:suppressLineNumbers w:val="0"/>
              <w:spacing w:before="0" w:beforeAutospacing="0" w:after="0" w:afterAutospacing="0"/>
              <w:ind w:right="0"/>
              <w:jc w:val="both"/>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能力目标：</w:t>
            </w:r>
            <w:r>
              <w:rPr>
                <w:rFonts w:hint="eastAsia" w:ascii="仿宋_GB2312" w:hAnsi="仿宋_GB2312" w:eastAsia="仿宋_GB2312" w:cs="仿宋_GB2312"/>
                <w:color w:val="auto"/>
                <w:sz w:val="24"/>
              </w:rPr>
              <w:t>能操作底盘测功机、尾气分析仪、制动试验台等设备完成整车性能检测；能结合故障现象和检测数据制定综合故障排查方案（如发动机动力不足同时排放超标的原因分析</w:t>
            </w:r>
            <w:r>
              <w:rPr>
                <w:rFonts w:hint="eastAsia" w:ascii="仿宋_GB2312" w:hAnsi="仿宋_GB2312" w:eastAsia="仿宋_GB2312" w:cs="仿宋_GB2312"/>
                <w:color w:val="auto"/>
                <w:spacing w:val="-6"/>
                <w:sz w:val="24"/>
              </w:rPr>
              <w:t>）；能撰写规范的故障诊断报告，包含故障原因、处理方法及预防建议。</w:t>
            </w:r>
          </w:p>
          <w:p w14:paraId="601EFB61">
            <w:pPr>
              <w:pStyle w:val="6"/>
              <w:keepNext w:val="0"/>
              <w:keepLines w:val="0"/>
              <w:widowControl/>
              <w:suppressLineNumbers w:val="0"/>
              <w:spacing w:before="0" w:beforeAutospacing="0" w:after="0" w:afterAutospacing="0"/>
              <w:ind w:right="0"/>
              <w:jc w:val="both"/>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素质目标：</w:t>
            </w:r>
            <w:r>
              <w:rPr>
                <w:rFonts w:hint="eastAsia" w:ascii="仿宋_GB2312" w:hAnsi="仿宋_GB2312" w:eastAsia="仿宋_GB2312" w:cs="仿宋_GB2312"/>
                <w:color w:val="auto"/>
                <w:sz w:val="24"/>
              </w:rPr>
              <w:t>培养系统化思维，能从整车角度分析多系统关联故障；强化标准意识，严格按国家标准进行检测操作；提升解决复杂问题的能力，在疑难故障中能通过查阅资料、团队讨论找到解决方案。</w:t>
            </w:r>
          </w:p>
          <w:p w14:paraId="15BF500C">
            <w:pPr>
              <w:pStyle w:val="6"/>
              <w:keepNext w:val="0"/>
              <w:keepLines w:val="0"/>
              <w:widowControl/>
              <w:suppressLineNumbers w:val="0"/>
              <w:spacing w:before="0" w:beforeAutospacing="0" w:after="0" w:afterAutospacing="0"/>
              <w:ind w:right="0"/>
              <w:jc w:val="both"/>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课程思政育人目标：</w:t>
            </w:r>
            <w:r>
              <w:rPr>
                <w:rFonts w:hint="eastAsia" w:ascii="仿宋_GB2312" w:hAnsi="仿宋_GB2312" w:eastAsia="仿宋_GB2312" w:cs="仿宋_GB2312"/>
                <w:color w:val="auto"/>
                <w:sz w:val="24"/>
              </w:rPr>
              <w:t>通过严格执行排放检测标准，强化环保意识，践行 “绿水青山就是金山银山” 的理念；结合检测数据的真实性要求，培养诚信为本的职业操守，杜绝数据造假。</w:t>
            </w:r>
          </w:p>
        </w:tc>
        <w:tc>
          <w:tcPr>
            <w:tcW w:w="2375" w:type="dxa"/>
            <w:vAlign w:val="top"/>
          </w:tcPr>
          <w:p w14:paraId="0BF50D96">
            <w:pPr>
              <w:spacing w:line="360" w:lineRule="exact"/>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汽车性能及其检测方法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rPr>
              <w:t>汽车典型检测设备的使用</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rPr>
              <w:t>汽车检测线相关知识</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rPr>
              <w:t>汽车检测技术的发展动态</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rPr>
              <w:t>汽车综合故障诊断与排除等</w:t>
            </w:r>
          </w:p>
        </w:tc>
        <w:tc>
          <w:tcPr>
            <w:tcW w:w="2230" w:type="dxa"/>
            <w:vAlign w:val="top"/>
          </w:tcPr>
          <w:p w14:paraId="19C1EC7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在教学中主要采用讲授法、讨论法、案例教学法，以充分调动学生进行思考，激发学生主动性和参与性，增加学生在课堂中的获得感，提高教学实效，注重围绕创新创业，结合学科和专业积极开展实习实训，提高学生的专业素养。</w:t>
            </w:r>
          </w:p>
          <w:p w14:paraId="09D4BCBC">
            <w:pPr>
              <w:spacing w:after="240" w:line="320" w:lineRule="exact"/>
              <w:jc w:val="both"/>
              <w:rPr>
                <w:rFonts w:hint="eastAsia" w:ascii="仿宋_GB2312" w:hAnsi="仿宋_GB2312" w:eastAsia="仿宋_GB2312" w:cs="仿宋_GB2312"/>
                <w:color w:val="auto"/>
                <w:sz w:val="24"/>
              </w:rPr>
            </w:pPr>
          </w:p>
        </w:tc>
      </w:tr>
    </w:tbl>
    <w:p w14:paraId="1667487D">
      <w:pPr>
        <w:keepNext w:val="0"/>
        <w:keepLines w:val="0"/>
        <w:pageBreakBefore w:val="0"/>
        <w:widowControl w:val="0"/>
        <w:numPr>
          <w:ilvl w:val="0"/>
          <w:numId w:val="0"/>
        </w:numPr>
        <w:kinsoku/>
        <w:wordWrap/>
        <w:overflowPunct/>
        <w:topLinePunct w:val="0"/>
        <w:autoSpaceDE/>
        <w:autoSpaceDN/>
        <w:bidi w:val="0"/>
        <w:adjustRightInd w:val="0"/>
        <w:snapToGrid w:val="0"/>
        <w:spacing w:after="0" w:line="50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专业拓展课程</w:t>
      </w:r>
      <w:bookmarkEnd w:id="1"/>
    </w:p>
    <w:p w14:paraId="7BB52C0C">
      <w:pPr>
        <w:keepNext w:val="0"/>
        <w:keepLines w:val="0"/>
        <w:pageBreakBefore w:val="0"/>
        <w:widowControl w:val="0"/>
        <w:numPr>
          <w:ilvl w:val="0"/>
          <w:numId w:val="0"/>
        </w:numPr>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专业拓展课程是按照岗位迁移，根据</w:t>
      </w:r>
      <w:r>
        <w:rPr>
          <w:rFonts w:hint="eastAsia" w:ascii="仿宋" w:hAnsi="仿宋" w:eastAsia="仿宋" w:cs="仿宋"/>
          <w:color w:val="auto"/>
          <w:spacing w:val="-2"/>
          <w:sz w:val="32"/>
          <w:szCs w:val="32"/>
          <w:lang w:val="en-US" w:eastAsia="zh-CN"/>
        </w:rPr>
        <w:t>汽车维修</w:t>
      </w:r>
      <w:r>
        <w:rPr>
          <w:rFonts w:hint="eastAsia" w:ascii="仿宋" w:hAnsi="仿宋" w:eastAsia="仿宋" w:cs="仿宋"/>
          <w:color w:val="auto"/>
          <w:spacing w:val="-2"/>
          <w:sz w:val="32"/>
          <w:szCs w:val="32"/>
          <w:lang w:eastAsia="zh-CN"/>
        </w:rPr>
        <w:t>行业</w:t>
      </w:r>
      <w:r>
        <w:rPr>
          <w:rFonts w:hint="eastAsia" w:ascii="仿宋_GB2312" w:hAnsi="仿宋_GB2312" w:eastAsia="仿宋_GB2312" w:cs="仿宋_GB2312"/>
          <w:color w:val="auto"/>
          <w:sz w:val="32"/>
          <w:szCs w:val="32"/>
        </w:rPr>
        <w:t>发展的趋势，依据企业用人需求调研，企业对</w:t>
      </w:r>
      <w:r>
        <w:rPr>
          <w:rFonts w:hint="eastAsia" w:ascii="仿宋" w:hAnsi="仿宋" w:eastAsia="仿宋" w:cs="仿宋"/>
          <w:color w:val="auto"/>
          <w:spacing w:val="-2"/>
          <w:sz w:val="32"/>
          <w:szCs w:val="32"/>
          <w:lang w:val="en-US" w:eastAsia="zh-CN"/>
        </w:rPr>
        <w:t>理赔，服务</w:t>
      </w:r>
      <w:r>
        <w:rPr>
          <w:rFonts w:hint="eastAsia" w:ascii="仿宋_GB2312" w:hAnsi="仿宋_GB2312" w:eastAsia="仿宋_GB2312" w:cs="仿宋_GB2312"/>
          <w:color w:val="auto"/>
          <w:sz w:val="32"/>
          <w:szCs w:val="32"/>
        </w:rPr>
        <w:t>等方面日益增加的需求，建立了汽车检测与维修技术专业拓展课，并将辅修方向课程纳入其中。由新能源汽车技术</w:t>
      </w:r>
      <w:r>
        <w:rPr>
          <w:rFonts w:hint="eastAsia" w:ascii="仿宋_GB2312" w:hAnsi="仿宋_GB2312" w:eastAsia="仿宋_GB2312" w:cs="仿宋_GB2312"/>
          <w:color w:val="auto"/>
          <w:sz w:val="32"/>
          <w:szCs w:val="32"/>
          <w:lang w:eastAsia="zh-CN"/>
        </w:rPr>
        <w:t>、汽车智能共享出行概论、单片机技术与应用、智能网联汽车概论、二手车鉴定与评估、汽车车险查勘与定损、汽车车身修复技术、汽车配件管理、汽车法律法规、汽车营销技术</w:t>
      </w:r>
      <w:r>
        <w:rPr>
          <w:rFonts w:hint="eastAsia" w:ascii="仿宋_GB2312" w:hAnsi="仿宋_GB2312" w:eastAsia="仿宋_GB2312" w:cs="仿宋_GB2312"/>
          <w:color w:val="auto"/>
          <w:sz w:val="32"/>
          <w:szCs w:val="32"/>
        </w:rPr>
        <w:t>课程构成专业拓展课。</w:t>
      </w:r>
    </w:p>
    <w:p w14:paraId="62A1827D">
      <w:pPr>
        <w:overflowPunct w:val="0"/>
        <w:adjustRightInd w:val="0"/>
        <w:spacing w:line="520" w:lineRule="exact"/>
        <w:jc w:val="center"/>
        <w:rPr>
          <w:rFonts w:hint="eastAsia" w:ascii="仿宋_GB2312" w:hAnsi="仿宋_GB2312" w:eastAsia="仿宋_GB2312" w:cs="仿宋_GB2312"/>
          <w:color w:val="auto"/>
          <w:sz w:val="32"/>
          <w:szCs w:val="32"/>
          <w:highlight w:val="green"/>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专业拓展</w:t>
      </w:r>
      <w:r>
        <w:rPr>
          <w:rFonts w:hint="eastAsia" w:ascii="仿宋_GB2312" w:hAnsi="仿宋_GB2312" w:eastAsia="仿宋_GB2312" w:cs="仿宋_GB2312"/>
          <w:color w:val="000000" w:themeColor="text1"/>
          <w:sz w:val="32"/>
          <w:szCs w:val="32"/>
          <w:highlight w:val="none"/>
          <w14:textFill>
            <w14:solidFill>
              <w14:schemeClr w14:val="tx1"/>
            </w14:solidFill>
          </w14:textFill>
        </w:rPr>
        <w:t>课</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课程目标、主要教学内容与要求</w:t>
      </w:r>
    </w:p>
    <w:tbl>
      <w:tblPr>
        <w:tblStyle w:val="8"/>
        <w:tblpPr w:leftFromText="180" w:rightFromText="180" w:vertAnchor="text" w:tblpXSpec="center" w:tblpY="1"/>
        <w:tblOverlap w:val="never"/>
        <w:tblW w:w="106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2"/>
        <w:gridCol w:w="791"/>
        <w:gridCol w:w="4427"/>
        <w:gridCol w:w="2471"/>
        <w:gridCol w:w="2163"/>
      </w:tblGrid>
      <w:tr w14:paraId="4C2BD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72" w:type="dxa"/>
            <w:vAlign w:val="center"/>
          </w:tcPr>
          <w:p w14:paraId="50FF293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序号</w:t>
            </w:r>
          </w:p>
        </w:tc>
        <w:tc>
          <w:tcPr>
            <w:tcW w:w="791" w:type="dxa"/>
            <w:vAlign w:val="center"/>
          </w:tcPr>
          <w:p w14:paraId="6B887737">
            <w:pPr>
              <w:keepNext w:val="0"/>
              <w:keepLines w:val="0"/>
              <w:pageBreakBefore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课程</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名称</w:t>
            </w:r>
          </w:p>
        </w:tc>
        <w:tc>
          <w:tcPr>
            <w:tcW w:w="4427" w:type="dxa"/>
            <w:vAlign w:val="center"/>
          </w:tcPr>
          <w:p w14:paraId="1C4F995F">
            <w:pPr>
              <w:keepNext w:val="0"/>
              <w:keepLines w:val="0"/>
              <w:pageBreakBefore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课程</w:t>
            </w:r>
            <w:r>
              <w:rPr>
                <w:rFonts w:hint="eastAsia" w:ascii="仿宋_GB2312" w:hAnsi="仿宋_GB2312" w:eastAsia="仿宋_GB2312" w:cs="仿宋_GB2312"/>
                <w:color w:val="auto"/>
                <w:sz w:val="24"/>
                <w:szCs w:val="24"/>
              </w:rPr>
              <w:t>目标</w:t>
            </w:r>
          </w:p>
        </w:tc>
        <w:tc>
          <w:tcPr>
            <w:tcW w:w="2471" w:type="dxa"/>
            <w:vAlign w:val="center"/>
          </w:tcPr>
          <w:p w14:paraId="6908E3AC">
            <w:pPr>
              <w:keepNext w:val="0"/>
              <w:keepLines w:val="0"/>
              <w:pageBreakBefore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p>
        </w:tc>
        <w:tc>
          <w:tcPr>
            <w:tcW w:w="2163" w:type="dxa"/>
            <w:vAlign w:val="center"/>
          </w:tcPr>
          <w:p w14:paraId="0410B6EB">
            <w:pPr>
              <w:keepNext w:val="0"/>
              <w:keepLines w:val="0"/>
              <w:pageBreakBefore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教学要求</w:t>
            </w:r>
          </w:p>
        </w:tc>
      </w:tr>
      <w:tr w14:paraId="314C6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72" w:type="dxa"/>
            <w:vAlign w:val="center"/>
          </w:tcPr>
          <w:p w14:paraId="292AF13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791" w:type="dxa"/>
            <w:vAlign w:val="center"/>
          </w:tcPr>
          <w:p w14:paraId="6285067F">
            <w:pPr>
              <w:keepNext w:val="0"/>
              <w:keepLines w:val="0"/>
              <w:pageBreakBefore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p>
          <w:p w14:paraId="664F1F39">
            <w:pPr>
              <w:keepNext w:val="0"/>
              <w:keepLines w:val="0"/>
              <w:pageBreakBefore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新能源汽车技术</w:t>
            </w:r>
          </w:p>
        </w:tc>
        <w:tc>
          <w:tcPr>
            <w:tcW w:w="4427" w:type="dxa"/>
            <w:vAlign w:val="top"/>
          </w:tcPr>
          <w:p w14:paraId="30E77FC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系统掌握纯电动汽车（BEV）、插电式混合动力汽车（PHEV）、燃料电池汽车（FCEV）的动力系统构成（动力电池、驱动电机、电控系统）及工作原理；熟悉高压安全防护规范（如绝缘检测、漏电保护）、动力电池管理技术（充电策略、热管理）及电机控制逻辑。</w:t>
            </w:r>
          </w:p>
          <w:p w14:paraId="7822533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能独立完成高压系统断电操作及安全防护措施，使用专用诊断仪检测动力电池状态（容量、健康度）和电机故障；具备分析充电故障（如充不进电、充电中断）、续航骤降等常见问题的能力，并制定维修方案。</w:t>
            </w:r>
          </w:p>
          <w:p w14:paraId="3C0CFDB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培养高压电安全操作意识，严格遵守 “断电 - 验电 - 挂牌” 作业流程；关注新能源汽车技术迭代，形成持续学习习惯；树立绿色低碳理念，理解新能源汽车对环境保护的意义。</w:t>
            </w:r>
          </w:p>
          <w:p w14:paraId="71A3730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结合我国新能源汽车产业的自主创新成果，增强民族自豪感；通过高压安全规范教育，强化 “安全第一、生命至上”的职业操守，践行国家 “双碳” 战略。</w:t>
            </w:r>
          </w:p>
        </w:tc>
        <w:tc>
          <w:tcPr>
            <w:tcW w:w="2471" w:type="dxa"/>
            <w:vAlign w:val="top"/>
          </w:tcPr>
          <w:p w14:paraId="0756973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val="0"/>
                <w:bCs w:val="0"/>
                <w:i w:val="0"/>
                <w:caps w:val="0"/>
                <w:color w:val="000000"/>
                <w:spacing w:val="0"/>
                <w:kern w:val="0"/>
                <w:sz w:val="24"/>
                <w:szCs w:val="24"/>
                <w:lang w:val="en-US" w:eastAsia="zh-CN" w:bidi="ar"/>
              </w:rPr>
              <w:t>1.</w:t>
            </w:r>
            <w:r>
              <w:rPr>
                <w:rStyle w:val="10"/>
                <w:rFonts w:hint="eastAsia" w:ascii="仿宋_GB2312" w:hAnsi="仿宋_GB2312" w:eastAsia="仿宋_GB2312" w:cs="仿宋_GB2312"/>
                <w:b w:val="0"/>
                <w:bCs w:val="0"/>
                <w:i w:val="0"/>
                <w:caps w:val="0"/>
                <w:color w:val="000000"/>
                <w:spacing w:val="0"/>
                <w:kern w:val="0"/>
                <w:sz w:val="24"/>
                <w:szCs w:val="24"/>
                <w:lang w:val="en-US" w:eastAsia="zh-CN" w:bidi="ar"/>
              </w:rPr>
              <w:t>技术原理</w:t>
            </w:r>
            <w:r>
              <w:rPr>
                <w:rFonts w:hint="eastAsia" w:ascii="仿宋_GB2312" w:hAnsi="仿宋_GB2312" w:eastAsia="仿宋_GB2312" w:cs="仿宋_GB2312"/>
                <w:b w:val="0"/>
                <w:bCs w:val="0"/>
                <w:i w:val="0"/>
                <w:caps w:val="0"/>
                <w:color w:val="000000"/>
                <w:spacing w:val="0"/>
                <w:kern w:val="0"/>
                <w:sz w:val="24"/>
                <w:szCs w:val="24"/>
                <w:lang w:val="en-US" w:eastAsia="zh-CN" w:bidi="ar"/>
              </w:rPr>
              <w:t>：</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纯电动汽车（BEV）、插电式混合动力汽车（PHEV）、燃料电池汽车（FCEV）的技术路线，对比动力电池（三元锂 / 磷酸铁锂）的性能参数、充电原理及热管理系统。电机类型（永磁同步 / 交流异步）与电控系统（电机控制器、能量回收逻辑）</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2.</w:t>
            </w:r>
            <w:r>
              <w:rPr>
                <w:rStyle w:val="10"/>
                <w:rFonts w:hint="eastAsia" w:ascii="仿宋_GB2312" w:hAnsi="仿宋_GB2312" w:eastAsia="仿宋_GB2312" w:cs="仿宋_GB2312"/>
                <w:b w:val="0"/>
                <w:bCs w:val="0"/>
                <w:i w:val="0"/>
                <w:caps w:val="0"/>
                <w:color w:val="000000"/>
                <w:spacing w:val="0"/>
                <w:kern w:val="0"/>
                <w:sz w:val="24"/>
                <w:szCs w:val="24"/>
                <w:lang w:val="en-US" w:eastAsia="zh-CN" w:bidi="ar"/>
              </w:rPr>
              <w:t>安全技术</w:t>
            </w:r>
            <w:r>
              <w:rPr>
                <w:rFonts w:hint="eastAsia" w:ascii="仿宋_GB2312" w:hAnsi="仿宋_GB2312" w:eastAsia="仿宋_GB2312" w:cs="仿宋_GB2312"/>
                <w:b w:val="0"/>
                <w:bCs w:val="0"/>
                <w:i w:val="0"/>
                <w:caps w:val="0"/>
                <w:color w:val="000000"/>
                <w:spacing w:val="0"/>
                <w:kern w:val="0"/>
                <w:sz w:val="24"/>
                <w:szCs w:val="24"/>
                <w:lang w:val="en-US" w:eastAsia="zh-CN" w:bidi="ar"/>
              </w:rPr>
              <w:t>：</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高压电系统安全防护（互锁回路、漏电检测、绝缘电阻标准）</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电池包拆装规范（断电步骤、扭矩要求、防触电保护）</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3.</w:t>
            </w:r>
            <w:r>
              <w:rPr>
                <w:rStyle w:val="10"/>
                <w:rFonts w:hint="eastAsia" w:ascii="仿宋_GB2312" w:hAnsi="仿宋_GB2312" w:eastAsia="仿宋_GB2312" w:cs="仿宋_GB2312"/>
                <w:b w:val="0"/>
                <w:bCs w:val="0"/>
                <w:i w:val="0"/>
                <w:caps w:val="0"/>
                <w:color w:val="000000"/>
                <w:spacing w:val="0"/>
                <w:kern w:val="0"/>
                <w:sz w:val="24"/>
                <w:szCs w:val="24"/>
                <w:lang w:val="en-US" w:eastAsia="zh-CN" w:bidi="ar"/>
              </w:rPr>
              <w:t>故障诊断</w:t>
            </w:r>
            <w:r>
              <w:rPr>
                <w:rFonts w:hint="eastAsia" w:ascii="仿宋_GB2312" w:hAnsi="仿宋_GB2312" w:eastAsia="仿宋_GB2312" w:cs="仿宋_GB2312"/>
                <w:b w:val="0"/>
                <w:bCs w:val="0"/>
                <w:i w:val="0"/>
                <w:caps w:val="0"/>
                <w:color w:val="000000"/>
                <w:spacing w:val="0"/>
                <w:kern w:val="0"/>
                <w:sz w:val="24"/>
                <w:szCs w:val="24"/>
                <w:lang w:val="en-US" w:eastAsia="zh-CN" w:bidi="ar"/>
              </w:rPr>
              <w:t>：</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常见故障（续航骤降、充电失败、电机异响）的排查流程、专用诊断仪（如元征新能源诊断仪）的使用方法</w:t>
            </w:r>
          </w:p>
        </w:tc>
        <w:tc>
          <w:tcPr>
            <w:tcW w:w="2163" w:type="dxa"/>
            <w:vAlign w:val="top"/>
          </w:tcPr>
          <w:p w14:paraId="130BFF4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i w:val="0"/>
                <w:caps w:val="0"/>
                <w:color w:val="000000"/>
                <w:spacing w:val="0"/>
                <w:kern w:val="0"/>
                <w:sz w:val="24"/>
                <w:szCs w:val="24"/>
                <w:lang w:val="en-US" w:eastAsia="zh-CN" w:bidi="ar"/>
              </w:rPr>
              <w:t>1.能识别不同新能源汽车类型的动力系统结构（如区分 PHEV 的单 / 双电机布局）</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2.掌握高压安全操作规范（如佩戴绝缘手套、使用电压检测仪确认无电）</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3.能根据故障码（如 P0A07 电机温度过高）初步判断故障范围</w:t>
            </w:r>
          </w:p>
        </w:tc>
      </w:tr>
      <w:tr w14:paraId="3A002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72" w:type="dxa"/>
            <w:vAlign w:val="center"/>
          </w:tcPr>
          <w:p w14:paraId="1E1E781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791" w:type="dxa"/>
            <w:vAlign w:val="center"/>
          </w:tcPr>
          <w:p w14:paraId="71AC5676">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汽车智能共享出行概论</w:t>
            </w:r>
          </w:p>
        </w:tc>
        <w:tc>
          <w:tcPr>
            <w:tcW w:w="4427" w:type="dxa"/>
            <w:vAlign w:val="top"/>
          </w:tcPr>
          <w:p w14:paraId="15E1176F">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right="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color w:val="auto"/>
                <w:sz w:val="24"/>
                <w:szCs w:val="24"/>
                <w:highlight w:val="none"/>
              </w:rPr>
              <w:t>全面了解分时租赁、网约车、共享租车等多种共享出行模式的运营逻辑、商业模式特点及市场定位，熟悉支撑共享出行的核心技术（车联网 T-BOX 远程控车、车辆状态实时监控、智能调度算法），掌握共享出行相关政策法规（如《网络预约出租汽车经营服务管理暂行办法》）的核心内容及对行业的规范要求。</w:t>
            </w:r>
          </w:p>
          <w:p w14:paraId="1C605B70">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right="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color w:val="auto"/>
                <w:sz w:val="24"/>
                <w:szCs w:val="24"/>
                <w:highlight w:val="none"/>
              </w:rPr>
              <w:t>能够对比分析不同共享出行模式的优劣势及适用场景，具备运用车联网技术知识解读共享汽车运营数据的初步能力，能针对共享出行中的用户痛点（如车辆续航、服务覆盖）提出合理化优化建议。</w:t>
            </w:r>
          </w:p>
          <w:p w14:paraId="0FE94655">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right="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color w:val="auto"/>
                <w:sz w:val="24"/>
                <w:szCs w:val="24"/>
                <w:highlight w:val="none"/>
              </w:rPr>
              <w:t>培养基于共享经济的创新思维，增强对城市交通可持续发展的关注度，提升对新兴行业商业模式的分析与适应能力。</w:t>
            </w:r>
          </w:p>
          <w:p w14:paraId="43C9337A">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right="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color w:val="auto"/>
                <w:sz w:val="24"/>
                <w:szCs w:val="24"/>
                <w:highlight w:val="none"/>
              </w:rPr>
              <w:t>强化行业合规意识，深刻认识政策法规对市场秩序的保障作用，在分析行业案例时树立遵守法律法规、规范经营的职业理念。</w:t>
            </w:r>
          </w:p>
        </w:tc>
        <w:tc>
          <w:tcPr>
            <w:tcW w:w="2471" w:type="dxa"/>
            <w:vAlign w:val="top"/>
          </w:tcPr>
          <w:p w14:paraId="335CAC42">
            <w:pPr>
              <w:keepNext w:val="0"/>
              <w:keepLines w:val="0"/>
              <w:pageBreakBefore w:val="0"/>
              <w:numPr>
                <w:ilvl w:val="0"/>
                <w:numId w:val="3"/>
              </w:numPr>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i w:val="0"/>
                <w:caps w:val="0"/>
                <w:color w:val="000000"/>
                <w:spacing w:val="0"/>
                <w:kern w:val="0"/>
                <w:sz w:val="24"/>
                <w:szCs w:val="24"/>
                <w:lang w:val="en-US" w:eastAsia="zh-CN" w:bidi="ar"/>
              </w:rPr>
            </w:pPr>
            <w:r>
              <w:rPr>
                <w:rStyle w:val="10"/>
                <w:rFonts w:hint="eastAsia" w:ascii="仿宋_GB2312" w:hAnsi="仿宋_GB2312" w:eastAsia="仿宋_GB2312" w:cs="仿宋_GB2312"/>
                <w:b w:val="0"/>
                <w:bCs w:val="0"/>
                <w:i w:val="0"/>
                <w:caps w:val="0"/>
                <w:color w:val="000000"/>
                <w:spacing w:val="0"/>
                <w:kern w:val="0"/>
                <w:sz w:val="24"/>
                <w:szCs w:val="24"/>
                <w:lang w:val="en-US" w:eastAsia="zh-CN" w:bidi="ar"/>
              </w:rPr>
              <w:t>模式解析</w:t>
            </w:r>
            <w:r>
              <w:rPr>
                <w:rFonts w:hint="eastAsia" w:ascii="仿宋_GB2312" w:hAnsi="仿宋_GB2312" w:eastAsia="仿宋_GB2312" w:cs="仿宋_GB2312"/>
                <w:b w:val="0"/>
                <w:bCs w:val="0"/>
                <w:i w:val="0"/>
                <w:caps w:val="0"/>
                <w:color w:val="000000"/>
                <w:spacing w:val="0"/>
                <w:kern w:val="0"/>
                <w:sz w:val="24"/>
                <w:szCs w:val="24"/>
                <w:lang w:val="en-US" w:eastAsia="zh-CN" w:bidi="ar"/>
              </w:rPr>
              <w:t>：</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共享出行分类（B2C 分时租赁、C2C 共享租车、网约车平台）的运营特点</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典型案例（滴滴、Uber、曹操出行）的商业模式对比</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2.</w:t>
            </w:r>
            <w:r>
              <w:rPr>
                <w:rStyle w:val="10"/>
                <w:rFonts w:hint="eastAsia" w:ascii="仿宋_GB2312" w:hAnsi="仿宋_GB2312" w:eastAsia="仿宋_GB2312" w:cs="仿宋_GB2312"/>
                <w:b w:val="0"/>
                <w:bCs w:val="0"/>
                <w:i w:val="0"/>
                <w:caps w:val="0"/>
                <w:color w:val="000000"/>
                <w:spacing w:val="0"/>
                <w:kern w:val="0"/>
                <w:sz w:val="24"/>
                <w:szCs w:val="24"/>
                <w:lang w:val="en-US" w:eastAsia="zh-CN" w:bidi="ar"/>
              </w:rPr>
              <w:t>技术基础</w:t>
            </w:r>
            <w:r>
              <w:rPr>
                <w:rFonts w:hint="eastAsia" w:ascii="仿宋_GB2312" w:hAnsi="仿宋_GB2312" w:eastAsia="仿宋_GB2312" w:cs="仿宋_GB2312"/>
                <w:b w:val="0"/>
                <w:bCs w:val="0"/>
                <w:i w:val="0"/>
                <w:caps w:val="0"/>
                <w:color w:val="000000"/>
                <w:spacing w:val="0"/>
                <w:kern w:val="0"/>
                <w:sz w:val="24"/>
                <w:szCs w:val="24"/>
                <w:lang w:val="en-US" w:eastAsia="zh-CN" w:bidi="ar"/>
              </w:rPr>
              <w:t>：</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车联网技术（T-BOX 远程控车、车辆状态实时监控）</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智能调度算法（供需匹配、动态定价模型）</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3.</w:t>
            </w:r>
            <w:r>
              <w:rPr>
                <w:rStyle w:val="10"/>
                <w:rFonts w:hint="eastAsia" w:ascii="仿宋_GB2312" w:hAnsi="仿宋_GB2312" w:eastAsia="仿宋_GB2312" w:cs="仿宋_GB2312"/>
                <w:b w:val="0"/>
                <w:bCs w:val="0"/>
                <w:i w:val="0"/>
                <w:caps w:val="0"/>
                <w:color w:val="000000"/>
                <w:spacing w:val="0"/>
                <w:kern w:val="0"/>
                <w:sz w:val="24"/>
                <w:szCs w:val="24"/>
                <w:lang w:val="en-US" w:eastAsia="zh-CN" w:bidi="ar"/>
              </w:rPr>
              <w:t>行业影响</w:t>
            </w:r>
            <w:r>
              <w:rPr>
                <w:rFonts w:hint="eastAsia" w:ascii="仿宋_GB2312" w:hAnsi="仿宋_GB2312" w:eastAsia="仿宋_GB2312" w:cs="仿宋_GB2312"/>
                <w:b w:val="0"/>
                <w:bCs w:val="0"/>
                <w:i w:val="0"/>
                <w:caps w:val="0"/>
                <w:color w:val="000000"/>
                <w:spacing w:val="0"/>
                <w:kern w:val="0"/>
                <w:sz w:val="24"/>
                <w:szCs w:val="24"/>
                <w:lang w:val="en-US" w:eastAsia="zh-CN" w:bidi="ar"/>
              </w:rPr>
              <w:t>：</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共享出行对汽车保有量、城市停车位规划的影响</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政策法规（如《网络预约出租汽车经营服务管理暂行办法》）对行业的规范</w:t>
            </w:r>
          </w:p>
          <w:p w14:paraId="23F97668">
            <w:pPr>
              <w:keepNext w:val="0"/>
              <w:keepLines w:val="0"/>
              <w:pageBreakBefore w:val="0"/>
              <w:numPr>
                <w:ilvl w:val="0"/>
                <w:numId w:val="0"/>
              </w:numPr>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i w:val="0"/>
                <w:caps w:val="0"/>
                <w:color w:val="000000"/>
                <w:spacing w:val="0"/>
                <w:kern w:val="0"/>
                <w:sz w:val="24"/>
                <w:szCs w:val="24"/>
                <w:lang w:val="en-US" w:eastAsia="zh-CN" w:bidi="ar"/>
              </w:rPr>
            </w:pPr>
          </w:p>
        </w:tc>
        <w:tc>
          <w:tcPr>
            <w:tcW w:w="2163" w:type="dxa"/>
            <w:vAlign w:val="top"/>
          </w:tcPr>
          <w:p w14:paraId="0E6791F5">
            <w:pPr>
              <w:keepNext w:val="0"/>
              <w:keepLines w:val="0"/>
              <w:pageBreakBefore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i w:val="0"/>
                <w:caps w:val="0"/>
                <w:color w:val="000000"/>
                <w:spacing w:val="0"/>
                <w:kern w:val="0"/>
                <w:sz w:val="24"/>
                <w:szCs w:val="24"/>
                <w:lang w:val="en-US" w:eastAsia="zh-CN" w:bidi="ar"/>
              </w:rPr>
              <w:t>1.能区分不同共享出行模式的核心差异（如分时租赁 vs 网约车的用户群体）</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2.理解车联网技术在共享汽车中的应用场景（如远程解锁、电量监控）</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3.能分析共享出行行业的用户痛点（如车辆续航焦虑、服务覆盖不足）</w:t>
            </w:r>
          </w:p>
        </w:tc>
      </w:tr>
      <w:tr w14:paraId="273617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72" w:type="dxa"/>
            <w:vAlign w:val="center"/>
          </w:tcPr>
          <w:p w14:paraId="68CA01F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w:t>
            </w:r>
          </w:p>
        </w:tc>
        <w:tc>
          <w:tcPr>
            <w:tcW w:w="791" w:type="dxa"/>
            <w:vAlign w:val="center"/>
          </w:tcPr>
          <w:p w14:paraId="0E7ABF9B">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单片机技术与应用</w:t>
            </w:r>
          </w:p>
        </w:tc>
        <w:tc>
          <w:tcPr>
            <w:tcW w:w="4427" w:type="dxa"/>
            <w:vAlign w:val="top"/>
          </w:tcPr>
          <w:p w14:paraId="73F82F0E">
            <w:pPr>
              <w:keepNext w:val="0"/>
              <w:keepLines w:val="0"/>
              <w:pageBreakBefore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i w:val="0"/>
                <w:caps w:val="0"/>
                <w:color w:val="000000"/>
                <w:spacing w:val="0"/>
                <w:kern w:val="0"/>
                <w:sz w:val="24"/>
                <w:szCs w:val="24"/>
                <w:lang w:val="en-US" w:eastAsia="zh-CN" w:bidi="ar"/>
              </w:rPr>
              <w:t>知识目标：</w:t>
            </w:r>
            <w:r>
              <w:rPr>
                <w:rFonts w:hint="eastAsia" w:ascii="仿宋_GB2312" w:hAnsi="仿宋_GB2312" w:eastAsia="仿宋_GB2312" w:cs="仿宋_GB2312"/>
                <w:b w:val="0"/>
                <w:bCs w:val="0"/>
                <w:i w:val="0"/>
                <w:caps w:val="0"/>
                <w:color w:val="000000"/>
                <w:spacing w:val="0"/>
                <w:kern w:val="0"/>
                <w:sz w:val="24"/>
                <w:szCs w:val="24"/>
                <w:lang w:val="en-US" w:eastAsia="zh-CN" w:bidi="ar"/>
              </w:rPr>
              <w:t>深入掌握单片机（如 STM32）的基本架构（CPU、存储器、I/O 接口）、工作原理及指令系统（数据传送、算术运算、逻辑控制指令），熟悉 C 语言在单片机编程中的应用规范，了解单片机在汽车电子控制领域的典型应用场景（如车灯控制、温度采集）及相关接口电路设计。</w:t>
            </w:r>
            <w:r>
              <w:rPr>
                <w:rFonts w:hint="default" w:ascii="仿宋_GB2312" w:hAnsi="仿宋_GB2312" w:eastAsia="仿宋_GB2312" w:cs="仿宋_GB2312"/>
                <w:b w:val="0"/>
                <w:bCs w:val="0"/>
                <w:i w:val="0"/>
                <w:caps w:val="0"/>
                <w:color w:val="000000"/>
                <w:spacing w:val="0"/>
                <w:kern w:val="0"/>
                <w:sz w:val="24"/>
                <w:szCs w:val="24"/>
                <w:lang w:val="en-US" w:eastAsia="zh-CN" w:bidi="ar"/>
              </w:rPr>
              <w:br w:type="textWrapping"/>
            </w:r>
            <w:r>
              <w:rPr>
                <w:rFonts w:hint="default" w:ascii="仿宋_GB2312" w:hAnsi="仿宋_GB2312" w:eastAsia="仿宋_GB2312" w:cs="仿宋_GB2312"/>
                <w:b/>
                <w:bCs/>
                <w:i w:val="0"/>
                <w:caps w:val="0"/>
                <w:color w:val="000000"/>
                <w:spacing w:val="0"/>
                <w:kern w:val="0"/>
                <w:sz w:val="24"/>
                <w:szCs w:val="24"/>
                <w:lang w:val="en-US" w:eastAsia="zh-CN" w:bidi="ar"/>
              </w:rPr>
              <w:t>能力目标：</w:t>
            </w:r>
            <w:r>
              <w:rPr>
                <w:rFonts w:hint="default" w:ascii="仿宋_GB2312" w:hAnsi="仿宋_GB2312" w:eastAsia="仿宋_GB2312" w:cs="仿宋_GB2312"/>
                <w:b w:val="0"/>
                <w:bCs w:val="0"/>
                <w:i w:val="0"/>
                <w:caps w:val="0"/>
                <w:color w:val="000000"/>
                <w:spacing w:val="0"/>
                <w:kern w:val="0"/>
                <w:sz w:val="24"/>
                <w:szCs w:val="24"/>
                <w:lang w:val="en-US" w:eastAsia="zh-CN" w:bidi="ar"/>
              </w:rPr>
              <w:t>能够独立搭建单片机最小系统电路，运用C语言编写简单的控制程序（如实现车灯闪烁、温度传感器数据采集与显示），并通过仿真工具（Proteus）验证程序逻辑，具备对程序运行中的简单错误进行排查与调试的能力。</w:t>
            </w:r>
            <w:r>
              <w:rPr>
                <w:rFonts w:hint="default" w:ascii="仿宋_GB2312" w:hAnsi="仿宋_GB2312" w:eastAsia="仿宋_GB2312" w:cs="仿宋_GB2312"/>
                <w:b w:val="0"/>
                <w:bCs w:val="0"/>
                <w:i w:val="0"/>
                <w:caps w:val="0"/>
                <w:color w:val="000000"/>
                <w:spacing w:val="0"/>
                <w:kern w:val="0"/>
                <w:sz w:val="24"/>
                <w:szCs w:val="24"/>
                <w:lang w:val="en-US" w:eastAsia="zh-CN" w:bidi="ar"/>
              </w:rPr>
              <w:br w:type="textWrapping"/>
            </w:r>
            <w:r>
              <w:rPr>
                <w:rFonts w:hint="default" w:ascii="仿宋_GB2312" w:hAnsi="仿宋_GB2312" w:eastAsia="仿宋_GB2312" w:cs="仿宋_GB2312"/>
                <w:b/>
                <w:bCs/>
                <w:i w:val="0"/>
                <w:caps w:val="0"/>
                <w:color w:val="000000"/>
                <w:spacing w:val="0"/>
                <w:kern w:val="0"/>
                <w:sz w:val="24"/>
                <w:szCs w:val="24"/>
                <w:lang w:val="en-US" w:eastAsia="zh-CN" w:bidi="ar"/>
              </w:rPr>
              <w:t>素质目标：</w:t>
            </w:r>
            <w:r>
              <w:rPr>
                <w:rFonts w:hint="default" w:ascii="仿宋_GB2312" w:hAnsi="仿宋_GB2312" w:eastAsia="仿宋_GB2312" w:cs="仿宋_GB2312"/>
                <w:b w:val="0"/>
                <w:bCs w:val="0"/>
                <w:i w:val="0"/>
                <w:caps w:val="0"/>
                <w:color w:val="000000"/>
                <w:spacing w:val="0"/>
                <w:kern w:val="0"/>
                <w:sz w:val="24"/>
                <w:szCs w:val="24"/>
                <w:lang w:val="en-US" w:eastAsia="zh-CN" w:bidi="ar"/>
              </w:rPr>
              <w:t>培养严谨的逻辑思维与硬件设计能力，养成规范编程与反复调试的科学研究习惯，提升对嵌入式技术的学习兴趣与探究精神。</w:t>
            </w:r>
            <w:r>
              <w:rPr>
                <w:rFonts w:hint="default" w:ascii="仿宋_GB2312" w:hAnsi="仿宋_GB2312" w:eastAsia="仿宋_GB2312" w:cs="仿宋_GB2312"/>
                <w:b w:val="0"/>
                <w:bCs w:val="0"/>
                <w:i w:val="0"/>
                <w:caps w:val="0"/>
                <w:color w:val="000000"/>
                <w:spacing w:val="0"/>
                <w:kern w:val="0"/>
                <w:sz w:val="24"/>
                <w:szCs w:val="24"/>
                <w:lang w:val="en-US" w:eastAsia="zh-CN" w:bidi="ar"/>
              </w:rPr>
              <w:br w:type="textWrapping"/>
            </w:r>
            <w:r>
              <w:rPr>
                <w:rFonts w:hint="default" w:ascii="仿宋_GB2312" w:hAnsi="仿宋_GB2312" w:eastAsia="仿宋_GB2312" w:cs="仿宋_GB2312"/>
                <w:b/>
                <w:bCs/>
                <w:i w:val="0"/>
                <w:caps w:val="0"/>
                <w:color w:val="000000"/>
                <w:spacing w:val="0"/>
                <w:kern w:val="0"/>
                <w:sz w:val="24"/>
                <w:szCs w:val="24"/>
                <w:lang w:val="en-US" w:eastAsia="zh-CN" w:bidi="ar"/>
              </w:rPr>
              <w:t>课程思政育人目标：</w:t>
            </w:r>
            <w:r>
              <w:rPr>
                <w:rFonts w:hint="default" w:ascii="仿宋_GB2312" w:hAnsi="仿宋_GB2312" w:eastAsia="仿宋_GB2312" w:cs="仿宋_GB2312"/>
                <w:b w:val="0"/>
                <w:bCs w:val="0"/>
                <w:i w:val="0"/>
                <w:caps w:val="0"/>
                <w:color w:val="000000"/>
                <w:spacing w:val="0"/>
                <w:kern w:val="0"/>
                <w:sz w:val="24"/>
                <w:szCs w:val="24"/>
                <w:lang w:val="en-US" w:eastAsia="zh-CN" w:bidi="ar"/>
              </w:rPr>
              <w:t>鼓励自主创新意识，在学习过程中树立尊重知识产权的理念，杜绝抄袭等学术不端行为，培养科技工作者的诚信品格。</w:t>
            </w:r>
          </w:p>
        </w:tc>
        <w:tc>
          <w:tcPr>
            <w:tcW w:w="2471" w:type="dxa"/>
            <w:vAlign w:val="top"/>
          </w:tcPr>
          <w:p w14:paraId="2750B8C4">
            <w:pPr>
              <w:keepNext w:val="0"/>
              <w:keepLines w:val="0"/>
              <w:pageBreakBefore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i w:val="0"/>
                <w:caps w:val="0"/>
                <w:color w:val="000000"/>
                <w:spacing w:val="0"/>
                <w:kern w:val="0"/>
                <w:sz w:val="24"/>
                <w:szCs w:val="24"/>
                <w:lang w:val="en-US" w:eastAsia="zh-CN" w:bidi="ar"/>
              </w:rPr>
              <w:t>1.</w:t>
            </w:r>
            <w:r>
              <w:rPr>
                <w:rStyle w:val="10"/>
                <w:rFonts w:hint="eastAsia" w:ascii="仿宋_GB2312" w:hAnsi="仿宋_GB2312" w:eastAsia="仿宋_GB2312" w:cs="仿宋_GB2312"/>
                <w:b w:val="0"/>
                <w:bCs w:val="0"/>
                <w:i w:val="0"/>
                <w:caps w:val="0"/>
                <w:color w:val="000000"/>
                <w:spacing w:val="0"/>
                <w:kern w:val="0"/>
                <w:sz w:val="24"/>
                <w:szCs w:val="24"/>
                <w:lang w:val="en-US" w:eastAsia="zh-CN" w:bidi="ar"/>
              </w:rPr>
              <w:t>基础理论</w:t>
            </w:r>
            <w:r>
              <w:rPr>
                <w:rFonts w:hint="eastAsia" w:ascii="仿宋_GB2312" w:hAnsi="仿宋_GB2312" w:eastAsia="仿宋_GB2312" w:cs="仿宋_GB2312"/>
                <w:b w:val="0"/>
                <w:bCs w:val="0"/>
                <w:i w:val="0"/>
                <w:caps w:val="0"/>
                <w:color w:val="000000"/>
                <w:spacing w:val="0"/>
                <w:kern w:val="0"/>
                <w:sz w:val="24"/>
                <w:szCs w:val="24"/>
                <w:lang w:val="en-US" w:eastAsia="zh-CN" w:bidi="ar"/>
              </w:rPr>
              <w:t>：</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单片机 CPU、存储器、I/O 接口的功能与配置</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指令系统（数据传送、算术运算、逻辑控制指令）</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2.</w:t>
            </w:r>
            <w:r>
              <w:rPr>
                <w:rStyle w:val="10"/>
                <w:rFonts w:hint="eastAsia" w:ascii="仿宋_GB2312" w:hAnsi="仿宋_GB2312" w:eastAsia="仿宋_GB2312" w:cs="仿宋_GB2312"/>
                <w:b w:val="0"/>
                <w:bCs w:val="0"/>
                <w:i w:val="0"/>
                <w:caps w:val="0"/>
                <w:color w:val="000000"/>
                <w:spacing w:val="0"/>
                <w:kern w:val="0"/>
                <w:sz w:val="24"/>
                <w:szCs w:val="24"/>
                <w:lang w:val="en-US" w:eastAsia="zh-CN" w:bidi="ar"/>
              </w:rPr>
              <w:t>编程实践</w:t>
            </w:r>
            <w:r>
              <w:rPr>
                <w:rFonts w:hint="eastAsia" w:ascii="仿宋_GB2312" w:hAnsi="仿宋_GB2312" w:eastAsia="仿宋_GB2312" w:cs="仿宋_GB2312"/>
                <w:b w:val="0"/>
                <w:bCs w:val="0"/>
                <w:i w:val="0"/>
                <w:caps w:val="0"/>
                <w:color w:val="000000"/>
                <w:spacing w:val="0"/>
                <w:kern w:val="0"/>
                <w:sz w:val="24"/>
                <w:szCs w:val="24"/>
                <w:lang w:val="en-US" w:eastAsia="zh-CN" w:bidi="ar"/>
              </w:rPr>
              <w:t>：</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开发环境使用与程序烧录流程</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定时 / 计数器、中断系统的编程应用（如实现 LED 闪烁、按键响应）</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3.</w:t>
            </w:r>
            <w:r>
              <w:rPr>
                <w:rStyle w:val="10"/>
                <w:rFonts w:hint="eastAsia" w:ascii="仿宋_GB2312" w:hAnsi="仿宋_GB2312" w:eastAsia="仿宋_GB2312" w:cs="仿宋_GB2312"/>
                <w:b w:val="0"/>
                <w:bCs w:val="0"/>
                <w:i w:val="0"/>
                <w:caps w:val="0"/>
                <w:color w:val="000000"/>
                <w:spacing w:val="0"/>
                <w:kern w:val="0"/>
                <w:sz w:val="24"/>
                <w:szCs w:val="24"/>
                <w:lang w:val="en-US" w:eastAsia="zh-CN" w:bidi="ar"/>
              </w:rPr>
              <w:t>汽车应用</w:t>
            </w:r>
            <w:r>
              <w:rPr>
                <w:rFonts w:hint="eastAsia" w:ascii="仿宋_GB2312" w:hAnsi="仿宋_GB2312" w:eastAsia="仿宋_GB2312" w:cs="仿宋_GB2312"/>
                <w:b w:val="0"/>
                <w:bCs w:val="0"/>
                <w:i w:val="0"/>
                <w:caps w:val="0"/>
                <w:color w:val="000000"/>
                <w:spacing w:val="0"/>
                <w:kern w:val="0"/>
                <w:sz w:val="24"/>
                <w:szCs w:val="24"/>
                <w:lang w:val="en-US" w:eastAsia="zh-CN" w:bidi="ar"/>
              </w:rPr>
              <w:t>：</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单片机控制汽车转向灯闪烁（I/O 口驱动继电器）</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温度传感器（DS18B20）数据采集与显示</w:t>
            </w:r>
          </w:p>
        </w:tc>
        <w:tc>
          <w:tcPr>
            <w:tcW w:w="2163" w:type="dxa"/>
            <w:vAlign w:val="top"/>
          </w:tcPr>
          <w:p w14:paraId="375C711D">
            <w:pPr>
              <w:keepNext w:val="0"/>
              <w:keepLines w:val="0"/>
              <w:pageBreakBefore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i w:val="0"/>
                <w:caps w:val="0"/>
                <w:color w:val="000000"/>
                <w:spacing w:val="0"/>
                <w:kern w:val="0"/>
                <w:sz w:val="24"/>
                <w:szCs w:val="24"/>
                <w:lang w:val="en-US" w:eastAsia="zh-CN" w:bidi="ar"/>
              </w:rPr>
              <w:t>1.能读懂单片机最小系统电路图</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2.掌握 C 语言编程基本语法（循环、分支、数组），能编写简单控制程序</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3.学会使用仿真工具（Proteus）验证程序逻辑</w:t>
            </w:r>
          </w:p>
        </w:tc>
      </w:tr>
      <w:tr w14:paraId="4D80C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72" w:type="dxa"/>
            <w:vAlign w:val="center"/>
          </w:tcPr>
          <w:p w14:paraId="0E1B407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791" w:type="dxa"/>
            <w:vAlign w:val="center"/>
          </w:tcPr>
          <w:p w14:paraId="1938EA72">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智能网联汽车概论</w:t>
            </w:r>
          </w:p>
        </w:tc>
        <w:tc>
          <w:tcPr>
            <w:tcW w:w="4427" w:type="dxa"/>
            <w:vAlign w:val="top"/>
          </w:tcPr>
          <w:p w14:paraId="608A29E4">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right="0"/>
              <w:jc w:val="both"/>
              <w:textAlignment w:val="auto"/>
              <w:rPr>
                <w:rFonts w:hint="default" w:ascii="仿宋_GB2312" w:hAnsi="仿宋_GB2312" w:eastAsia="仿宋_GB2312" w:cs="仿宋_GB2312"/>
                <w:b w:val="0"/>
                <w:bCs w:val="0"/>
                <w:i w:val="0"/>
                <w:caps w:val="0"/>
                <w:color w:val="000000"/>
                <w:spacing w:val="0"/>
                <w:kern w:val="0"/>
                <w:sz w:val="24"/>
                <w:szCs w:val="24"/>
                <w:lang w:val="en-US" w:eastAsia="zh-CN" w:bidi="ar"/>
              </w:rPr>
            </w:pPr>
            <w:r>
              <w:rPr>
                <w:rFonts w:hint="eastAsia" w:ascii="仿宋_GB2312" w:hAnsi="仿宋_GB2312" w:eastAsia="仿宋_GB2312" w:cs="仿宋_GB2312"/>
                <w:b/>
                <w:bCs/>
                <w:i w:val="0"/>
                <w:caps w:val="0"/>
                <w:color w:val="000000"/>
                <w:spacing w:val="0"/>
                <w:kern w:val="0"/>
                <w:sz w:val="24"/>
                <w:szCs w:val="24"/>
                <w:lang w:val="en-US" w:eastAsia="zh-CN" w:bidi="ar"/>
              </w:rPr>
              <w:t>知识目标：</w:t>
            </w:r>
            <w:r>
              <w:rPr>
                <w:rFonts w:hint="eastAsia" w:ascii="仿宋_GB2312" w:hAnsi="仿宋_GB2312" w:eastAsia="仿宋_GB2312" w:cs="仿宋_GB2312"/>
                <w:b w:val="0"/>
                <w:bCs w:val="0"/>
                <w:i w:val="0"/>
                <w:caps w:val="0"/>
                <w:color w:val="000000"/>
                <w:spacing w:val="0"/>
                <w:kern w:val="0"/>
                <w:sz w:val="24"/>
                <w:szCs w:val="24"/>
                <w:lang w:val="en-US" w:eastAsia="zh-CN" w:bidi="ar"/>
              </w:rPr>
              <w:t>系统理解自动驾驶分级（L0-L5）的核心定义及各等级典型功能（自动泊车、ACC 自适应巡航），熟悉智能网联汽车的技术架构（感知层传感器融合、网络层 V2X 通信、应用层功能实现），掌握传感器（激光雷达、毫米波雷达、摄像头）的工作原理及适用场景，了解《汽车数据安全管理若干规定》《智能网联汽车道路测试管理规范》等相关法规对数据安全与功能安全的要求。</w:t>
            </w:r>
            <w:r>
              <w:rPr>
                <w:rFonts w:hint="default" w:ascii="仿宋_GB2312" w:hAnsi="仿宋_GB2312" w:eastAsia="仿宋_GB2312" w:cs="仿宋_GB2312"/>
                <w:b w:val="0"/>
                <w:bCs w:val="0"/>
                <w:i w:val="0"/>
                <w:caps w:val="0"/>
                <w:color w:val="000000"/>
                <w:spacing w:val="0"/>
                <w:kern w:val="0"/>
                <w:sz w:val="24"/>
                <w:szCs w:val="24"/>
                <w:lang w:val="en-US" w:eastAsia="zh-CN" w:bidi="ar"/>
              </w:rPr>
              <w:br w:type="textWrapping"/>
            </w:r>
            <w:r>
              <w:rPr>
                <w:rFonts w:hint="default" w:ascii="仿宋_GB2312" w:hAnsi="仿宋_GB2312" w:eastAsia="仿宋_GB2312" w:cs="仿宋_GB2312"/>
                <w:b/>
                <w:bCs/>
                <w:i w:val="0"/>
                <w:caps w:val="0"/>
                <w:color w:val="000000"/>
                <w:spacing w:val="0"/>
                <w:kern w:val="0"/>
                <w:sz w:val="24"/>
                <w:szCs w:val="24"/>
                <w:lang w:val="en-US" w:eastAsia="zh-CN" w:bidi="ar"/>
              </w:rPr>
              <w:t>能力目标：</w:t>
            </w:r>
            <w:r>
              <w:rPr>
                <w:rFonts w:hint="default" w:ascii="仿宋_GB2312" w:hAnsi="仿宋_GB2312" w:eastAsia="仿宋_GB2312" w:cs="仿宋_GB2312"/>
                <w:b w:val="0"/>
                <w:bCs w:val="0"/>
                <w:i w:val="0"/>
                <w:caps w:val="0"/>
                <w:color w:val="000000"/>
                <w:spacing w:val="0"/>
                <w:kern w:val="0"/>
                <w:sz w:val="24"/>
                <w:szCs w:val="24"/>
                <w:lang w:val="en-US" w:eastAsia="zh-CN" w:bidi="ar"/>
              </w:rPr>
              <w:t>能够准确识别不同自动驾驶等级的关键特征及技术差异，具备分析传感器融合技术在复杂路况中应用的初步能力，能解读智能网联汽车系统架构图并识别常见传感器故障的表现形式。</w:t>
            </w:r>
            <w:r>
              <w:rPr>
                <w:rFonts w:hint="default" w:ascii="仿宋_GB2312" w:hAnsi="仿宋_GB2312" w:eastAsia="仿宋_GB2312" w:cs="仿宋_GB2312"/>
                <w:b w:val="0"/>
                <w:bCs w:val="0"/>
                <w:i w:val="0"/>
                <w:caps w:val="0"/>
                <w:color w:val="000000"/>
                <w:spacing w:val="0"/>
                <w:kern w:val="0"/>
                <w:sz w:val="24"/>
                <w:szCs w:val="24"/>
                <w:lang w:val="en-US" w:eastAsia="zh-CN" w:bidi="ar"/>
              </w:rPr>
              <w:br w:type="textWrapping"/>
            </w:r>
            <w:r>
              <w:rPr>
                <w:rFonts w:hint="default" w:ascii="仿宋_GB2312" w:hAnsi="仿宋_GB2312" w:eastAsia="仿宋_GB2312" w:cs="仿宋_GB2312"/>
                <w:b/>
                <w:bCs/>
                <w:i w:val="0"/>
                <w:caps w:val="0"/>
                <w:color w:val="000000"/>
                <w:spacing w:val="0"/>
                <w:kern w:val="0"/>
                <w:sz w:val="24"/>
                <w:szCs w:val="24"/>
                <w:lang w:val="en-US" w:eastAsia="zh-CN" w:bidi="ar"/>
              </w:rPr>
              <w:t>素质目标：</w:t>
            </w:r>
            <w:r>
              <w:rPr>
                <w:rFonts w:hint="default" w:ascii="仿宋_GB2312" w:hAnsi="仿宋_GB2312" w:eastAsia="仿宋_GB2312" w:cs="仿宋_GB2312"/>
                <w:b w:val="0"/>
                <w:bCs w:val="0"/>
                <w:i w:val="0"/>
                <w:caps w:val="0"/>
                <w:color w:val="000000"/>
                <w:spacing w:val="0"/>
                <w:kern w:val="0"/>
                <w:sz w:val="24"/>
                <w:szCs w:val="24"/>
                <w:lang w:val="en-US" w:eastAsia="zh-CN" w:bidi="ar"/>
              </w:rPr>
              <w:t>增强对汽车智能化、网联化发展趋势的敏感度，培养对新兴技术的学习与适应能力，树立数据安全与技术伦理意识。</w:t>
            </w:r>
            <w:r>
              <w:rPr>
                <w:rFonts w:hint="default" w:ascii="仿宋_GB2312" w:hAnsi="仿宋_GB2312" w:eastAsia="仿宋_GB2312" w:cs="仿宋_GB2312"/>
                <w:b w:val="0"/>
                <w:bCs w:val="0"/>
                <w:i w:val="0"/>
                <w:caps w:val="0"/>
                <w:color w:val="000000"/>
                <w:spacing w:val="0"/>
                <w:kern w:val="0"/>
                <w:sz w:val="24"/>
                <w:szCs w:val="24"/>
                <w:lang w:val="en-US" w:eastAsia="zh-CN" w:bidi="ar"/>
              </w:rPr>
              <w:br w:type="textWrapping"/>
            </w:r>
            <w:r>
              <w:rPr>
                <w:rFonts w:hint="default" w:ascii="仿宋_GB2312" w:hAnsi="仿宋_GB2312" w:eastAsia="仿宋_GB2312" w:cs="仿宋_GB2312"/>
                <w:b/>
                <w:bCs/>
                <w:i w:val="0"/>
                <w:caps w:val="0"/>
                <w:color w:val="000000"/>
                <w:spacing w:val="0"/>
                <w:kern w:val="0"/>
                <w:sz w:val="24"/>
                <w:szCs w:val="24"/>
                <w:lang w:val="en-US" w:eastAsia="zh-CN" w:bidi="ar"/>
              </w:rPr>
              <w:t>课程思政育人目标：</w:t>
            </w:r>
            <w:r>
              <w:rPr>
                <w:rFonts w:hint="default" w:ascii="仿宋_GB2312" w:hAnsi="仿宋_GB2312" w:eastAsia="仿宋_GB2312" w:cs="仿宋_GB2312"/>
                <w:b w:val="0"/>
                <w:bCs w:val="0"/>
                <w:i w:val="0"/>
                <w:caps w:val="0"/>
                <w:color w:val="000000"/>
                <w:spacing w:val="0"/>
                <w:kern w:val="0"/>
                <w:sz w:val="24"/>
                <w:szCs w:val="24"/>
                <w:lang w:val="en-US" w:eastAsia="zh-CN" w:bidi="ar"/>
              </w:rPr>
              <w:t>强调技术研发与应用的合规性，深刻认识法律法规对技术创新的引导与规范作用，在分析行业案例时注重维护用户隐私与公共安全。</w:t>
            </w:r>
          </w:p>
          <w:p w14:paraId="2333916C">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right="0"/>
              <w:jc w:val="both"/>
              <w:textAlignment w:val="auto"/>
              <w:rPr>
                <w:rFonts w:hint="default" w:ascii="仿宋_GB2312" w:hAnsi="仿宋_GB2312" w:eastAsia="仿宋_GB2312" w:cs="仿宋_GB2312"/>
                <w:b w:val="0"/>
                <w:bCs w:val="0"/>
                <w:i w:val="0"/>
                <w:caps w:val="0"/>
                <w:color w:val="000000"/>
                <w:spacing w:val="0"/>
                <w:kern w:val="0"/>
                <w:sz w:val="24"/>
                <w:szCs w:val="24"/>
                <w:lang w:val="en-US" w:eastAsia="zh-CN" w:bidi="ar"/>
              </w:rPr>
            </w:pPr>
          </w:p>
          <w:p w14:paraId="78355A31">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right="0"/>
              <w:jc w:val="both"/>
              <w:textAlignment w:val="auto"/>
              <w:rPr>
                <w:rFonts w:hint="eastAsia" w:ascii="仿宋_GB2312" w:hAnsi="仿宋_GB2312" w:eastAsia="仿宋_GB2312" w:cs="仿宋_GB2312"/>
                <w:b w:val="0"/>
                <w:bCs w:val="0"/>
                <w:i w:val="0"/>
                <w:caps w:val="0"/>
                <w:color w:val="000000"/>
                <w:spacing w:val="0"/>
                <w:kern w:val="0"/>
                <w:sz w:val="24"/>
                <w:szCs w:val="24"/>
                <w:lang w:val="en-US" w:eastAsia="zh-CN" w:bidi="ar"/>
              </w:rPr>
            </w:pPr>
          </w:p>
        </w:tc>
        <w:tc>
          <w:tcPr>
            <w:tcW w:w="2471" w:type="dxa"/>
            <w:vAlign w:val="top"/>
          </w:tcPr>
          <w:p w14:paraId="19AA4771">
            <w:pPr>
              <w:keepNext w:val="0"/>
              <w:keepLines w:val="0"/>
              <w:pageBreakBefore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i w:val="0"/>
                <w:caps w:val="0"/>
                <w:color w:val="000000"/>
                <w:spacing w:val="0"/>
                <w:kern w:val="0"/>
                <w:sz w:val="24"/>
                <w:szCs w:val="24"/>
                <w:lang w:val="en-US" w:eastAsia="zh-CN" w:bidi="ar"/>
              </w:rPr>
              <w:t>1.</w:t>
            </w:r>
            <w:r>
              <w:rPr>
                <w:rStyle w:val="10"/>
                <w:rFonts w:hint="eastAsia" w:ascii="仿宋_GB2312" w:hAnsi="仿宋_GB2312" w:eastAsia="仿宋_GB2312" w:cs="仿宋_GB2312"/>
                <w:b w:val="0"/>
                <w:bCs w:val="0"/>
                <w:i w:val="0"/>
                <w:caps w:val="0"/>
                <w:color w:val="000000"/>
                <w:spacing w:val="0"/>
                <w:kern w:val="0"/>
                <w:sz w:val="24"/>
                <w:szCs w:val="24"/>
                <w:lang w:val="en-US" w:eastAsia="zh-CN" w:bidi="ar"/>
              </w:rPr>
              <w:t>技术架构</w:t>
            </w:r>
            <w:r>
              <w:rPr>
                <w:rFonts w:hint="eastAsia" w:ascii="仿宋_GB2312" w:hAnsi="仿宋_GB2312" w:eastAsia="仿宋_GB2312" w:cs="仿宋_GB2312"/>
                <w:b w:val="0"/>
                <w:bCs w:val="0"/>
                <w:i w:val="0"/>
                <w:caps w:val="0"/>
                <w:color w:val="000000"/>
                <w:spacing w:val="0"/>
                <w:kern w:val="0"/>
                <w:sz w:val="24"/>
                <w:szCs w:val="24"/>
                <w:lang w:val="en-US" w:eastAsia="zh-CN" w:bidi="ar"/>
              </w:rPr>
              <w:t>：</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自动驾驶分级（L0-L5）及典型功能（自动泊车、ACC 自适应巡航）</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车联网三层架构（感知层、网络层、应用层）</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2.</w:t>
            </w:r>
            <w:r>
              <w:rPr>
                <w:rStyle w:val="10"/>
                <w:rFonts w:hint="eastAsia" w:ascii="仿宋_GB2312" w:hAnsi="仿宋_GB2312" w:eastAsia="仿宋_GB2312" w:cs="仿宋_GB2312"/>
                <w:b w:val="0"/>
                <w:bCs w:val="0"/>
                <w:i w:val="0"/>
                <w:caps w:val="0"/>
                <w:color w:val="000000"/>
                <w:spacing w:val="0"/>
                <w:kern w:val="0"/>
                <w:sz w:val="24"/>
                <w:szCs w:val="24"/>
                <w:lang w:val="en-US" w:eastAsia="zh-CN" w:bidi="ar"/>
              </w:rPr>
              <w:t>核心技术</w:t>
            </w:r>
            <w:r>
              <w:rPr>
                <w:rFonts w:hint="eastAsia" w:ascii="仿宋_GB2312" w:hAnsi="仿宋_GB2312" w:eastAsia="仿宋_GB2312" w:cs="仿宋_GB2312"/>
                <w:b w:val="0"/>
                <w:bCs w:val="0"/>
                <w:i w:val="0"/>
                <w:caps w:val="0"/>
                <w:color w:val="000000"/>
                <w:spacing w:val="0"/>
                <w:kern w:val="0"/>
                <w:sz w:val="24"/>
                <w:szCs w:val="24"/>
                <w:lang w:val="en-US" w:eastAsia="zh-CN" w:bidi="ar"/>
              </w:rPr>
              <w:t>：</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传感器融合（多传感器数据校准与融合算法）</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V2X 通信（车与车、车与基础设施的信息交互）</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3.</w:t>
            </w:r>
            <w:r>
              <w:rPr>
                <w:rStyle w:val="10"/>
                <w:rFonts w:hint="eastAsia" w:ascii="仿宋_GB2312" w:hAnsi="仿宋_GB2312" w:eastAsia="仿宋_GB2312" w:cs="仿宋_GB2312"/>
                <w:b w:val="0"/>
                <w:bCs w:val="0"/>
                <w:i w:val="0"/>
                <w:caps w:val="0"/>
                <w:color w:val="000000"/>
                <w:spacing w:val="0"/>
                <w:kern w:val="0"/>
                <w:sz w:val="24"/>
                <w:szCs w:val="24"/>
                <w:lang w:val="en-US" w:eastAsia="zh-CN" w:bidi="ar"/>
              </w:rPr>
              <w:t>安全与法规</w:t>
            </w:r>
            <w:r>
              <w:rPr>
                <w:rFonts w:hint="eastAsia" w:ascii="仿宋_GB2312" w:hAnsi="仿宋_GB2312" w:eastAsia="仿宋_GB2312" w:cs="仿宋_GB2312"/>
                <w:b w:val="0"/>
                <w:bCs w:val="0"/>
                <w:i w:val="0"/>
                <w:caps w:val="0"/>
                <w:color w:val="000000"/>
                <w:spacing w:val="0"/>
                <w:kern w:val="0"/>
                <w:sz w:val="24"/>
                <w:szCs w:val="24"/>
                <w:lang w:val="en-US" w:eastAsia="zh-CN" w:bidi="ar"/>
              </w:rPr>
              <w:t>：</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汽车数据安全（用户隐私保护、数据跨境传输规定）</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功能安全标准（ISO 26262）对自动驾驶系统的要求</w:t>
            </w:r>
          </w:p>
        </w:tc>
        <w:tc>
          <w:tcPr>
            <w:tcW w:w="2163" w:type="dxa"/>
            <w:vAlign w:val="top"/>
          </w:tcPr>
          <w:p w14:paraId="26D1483C">
            <w:pPr>
              <w:keepNext w:val="0"/>
              <w:keepLines w:val="0"/>
              <w:pageBreakBefore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i w:val="0"/>
                <w:caps w:val="0"/>
                <w:color w:val="000000"/>
                <w:spacing w:val="0"/>
                <w:kern w:val="0"/>
                <w:sz w:val="24"/>
                <w:szCs w:val="24"/>
                <w:lang w:val="en-US" w:eastAsia="zh-CN" w:bidi="ar"/>
              </w:rPr>
              <w:t>1.能识别不同自动驾驶等级的关键特征（如 L2 级需驾驶员持续监控）</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2.区分毫米波雷达与激光雷达的适用场景（如雨天 vs 高速场景）</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3.了解《智能网联汽车道路测试管理规范》对车辆的基本要求</w:t>
            </w:r>
          </w:p>
        </w:tc>
      </w:tr>
      <w:tr w14:paraId="54F1E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72" w:type="dxa"/>
            <w:vAlign w:val="center"/>
          </w:tcPr>
          <w:p w14:paraId="5E24E4E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w:t>
            </w:r>
          </w:p>
        </w:tc>
        <w:tc>
          <w:tcPr>
            <w:tcW w:w="791" w:type="dxa"/>
            <w:vAlign w:val="center"/>
          </w:tcPr>
          <w:p w14:paraId="38473EE7">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二手车鉴定与评估</w:t>
            </w:r>
          </w:p>
        </w:tc>
        <w:tc>
          <w:tcPr>
            <w:tcW w:w="4427" w:type="dxa"/>
            <w:vAlign w:val="top"/>
          </w:tcPr>
          <w:p w14:paraId="14A8B259">
            <w:pPr>
              <w:keepNext w:val="0"/>
              <w:keepLines w:val="0"/>
              <w:pageBreakBefore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i w:val="0"/>
                <w:caps w:val="0"/>
                <w:color w:val="000000"/>
                <w:spacing w:val="0"/>
                <w:kern w:val="0"/>
                <w:sz w:val="24"/>
                <w:szCs w:val="24"/>
                <w:lang w:val="en-US" w:eastAsia="zh-CN" w:bidi="ar"/>
              </w:rPr>
            </w:pPr>
            <w:r>
              <w:rPr>
                <w:rFonts w:hint="eastAsia" w:ascii="仿宋_GB2312" w:hAnsi="仿宋_GB2312" w:eastAsia="仿宋_GB2312" w:cs="仿宋_GB2312"/>
                <w:b/>
                <w:bCs/>
                <w:i w:val="0"/>
                <w:caps w:val="0"/>
                <w:color w:val="000000"/>
                <w:spacing w:val="0"/>
                <w:kern w:val="0"/>
                <w:sz w:val="24"/>
                <w:szCs w:val="24"/>
                <w:lang w:val="en-US" w:eastAsia="zh-CN" w:bidi="ar"/>
              </w:rPr>
              <w:t>知识目标：</w:t>
            </w:r>
            <w:r>
              <w:rPr>
                <w:rFonts w:hint="eastAsia" w:ascii="仿宋_GB2312" w:hAnsi="仿宋_GB2312" w:eastAsia="仿宋_GB2312" w:cs="仿宋_GB2312"/>
                <w:b w:val="0"/>
                <w:bCs w:val="0"/>
                <w:i w:val="0"/>
                <w:caps w:val="0"/>
                <w:color w:val="000000"/>
                <w:spacing w:val="0"/>
                <w:kern w:val="0"/>
                <w:sz w:val="24"/>
                <w:szCs w:val="24"/>
                <w:lang w:val="en-US" w:eastAsia="zh-CN" w:bidi="ar"/>
              </w:rPr>
              <w:t>全面掌握二手车静态检查（外观漆面、内饰磨损、车架结构）、动态检测（发动机性能、变速箱换挡、制动性能）的标准流程与操作方法，熟悉二手车评估的主要方法（重置成本法、市场比较法、收益现值法）及适用条件，深入理解《二手车流通管理办法》中关于车辆鉴定、交易流程、消费者权益保护的核心条款。</w:t>
            </w:r>
            <w:r>
              <w:rPr>
                <w:rFonts w:hint="default" w:ascii="仿宋_GB2312" w:hAnsi="仿宋_GB2312" w:eastAsia="仿宋_GB2312" w:cs="仿宋_GB2312"/>
                <w:b w:val="0"/>
                <w:bCs w:val="0"/>
                <w:i w:val="0"/>
                <w:caps w:val="0"/>
                <w:color w:val="000000"/>
                <w:spacing w:val="0"/>
                <w:kern w:val="0"/>
                <w:sz w:val="24"/>
                <w:szCs w:val="24"/>
                <w:lang w:val="en-US" w:eastAsia="zh-CN" w:bidi="ar"/>
              </w:rPr>
              <w:br w:type="textWrapping"/>
            </w:r>
            <w:r>
              <w:rPr>
                <w:rFonts w:hint="default" w:ascii="仿宋_GB2312" w:hAnsi="仿宋_GB2312" w:eastAsia="仿宋_GB2312" w:cs="仿宋_GB2312"/>
                <w:b/>
                <w:bCs/>
                <w:i w:val="0"/>
                <w:caps w:val="0"/>
                <w:color w:val="000000"/>
                <w:spacing w:val="0"/>
                <w:kern w:val="0"/>
                <w:sz w:val="24"/>
                <w:szCs w:val="24"/>
                <w:lang w:val="en-US" w:eastAsia="zh-CN" w:bidi="ar"/>
              </w:rPr>
              <w:t>能力目标：</w:t>
            </w:r>
            <w:r>
              <w:rPr>
                <w:rFonts w:hint="default" w:ascii="仿宋_GB2312" w:hAnsi="仿宋_GB2312" w:eastAsia="仿宋_GB2312" w:cs="仿宋_GB2312"/>
                <w:b w:val="0"/>
                <w:bCs w:val="0"/>
                <w:i w:val="0"/>
                <w:caps w:val="0"/>
                <w:color w:val="000000"/>
                <w:spacing w:val="0"/>
                <w:kern w:val="0"/>
                <w:sz w:val="24"/>
                <w:szCs w:val="24"/>
                <w:lang w:val="en-US" w:eastAsia="zh-CN" w:bidi="ar"/>
              </w:rPr>
              <w:t>能够熟练使用漆面测厚仪、OBD 检测仪等工具对车辆进行检测，准确识别事故车、泡水车、火烧车等问题车辆，运用评估方法计算车辆合理价格并规范撰写二手车评估报告，具备处理二手车交易中常见手续（过户、保险转移）的能力。</w:t>
            </w:r>
            <w:r>
              <w:rPr>
                <w:rFonts w:hint="default" w:ascii="仿宋_GB2312" w:hAnsi="仿宋_GB2312" w:eastAsia="仿宋_GB2312" w:cs="仿宋_GB2312"/>
                <w:b w:val="0"/>
                <w:bCs w:val="0"/>
                <w:i w:val="0"/>
                <w:caps w:val="0"/>
                <w:color w:val="000000"/>
                <w:spacing w:val="0"/>
                <w:kern w:val="0"/>
                <w:sz w:val="24"/>
                <w:szCs w:val="24"/>
                <w:lang w:val="en-US" w:eastAsia="zh-CN" w:bidi="ar"/>
              </w:rPr>
              <w:br w:type="textWrapping"/>
            </w:r>
            <w:r>
              <w:rPr>
                <w:rFonts w:hint="default" w:ascii="仿宋_GB2312" w:hAnsi="仿宋_GB2312" w:eastAsia="仿宋_GB2312" w:cs="仿宋_GB2312"/>
                <w:b/>
                <w:bCs/>
                <w:i w:val="0"/>
                <w:caps w:val="0"/>
                <w:color w:val="000000"/>
                <w:spacing w:val="0"/>
                <w:kern w:val="0"/>
                <w:sz w:val="24"/>
                <w:szCs w:val="24"/>
                <w:lang w:val="en-US" w:eastAsia="zh-CN" w:bidi="ar"/>
              </w:rPr>
              <w:t>素质目标：</w:t>
            </w:r>
            <w:r>
              <w:rPr>
                <w:rFonts w:hint="default" w:ascii="仿宋_GB2312" w:hAnsi="仿宋_GB2312" w:eastAsia="仿宋_GB2312" w:cs="仿宋_GB2312"/>
                <w:b w:val="0"/>
                <w:bCs w:val="0"/>
                <w:i w:val="0"/>
                <w:caps w:val="0"/>
                <w:color w:val="000000"/>
                <w:spacing w:val="0"/>
                <w:kern w:val="0"/>
                <w:sz w:val="24"/>
                <w:szCs w:val="24"/>
                <w:lang w:val="en-US" w:eastAsia="zh-CN" w:bidi="ar"/>
              </w:rPr>
              <w:t>培养诚信公正的职业操守，养成细致严谨的工作态度，提升对车辆技术状况的判断与分析能力，树立维护消费者合法权益的服务意识。</w:t>
            </w:r>
            <w:r>
              <w:rPr>
                <w:rFonts w:hint="default" w:ascii="仿宋_GB2312" w:hAnsi="仿宋_GB2312" w:eastAsia="仿宋_GB2312" w:cs="仿宋_GB2312"/>
                <w:b w:val="0"/>
                <w:bCs w:val="0"/>
                <w:i w:val="0"/>
                <w:caps w:val="0"/>
                <w:color w:val="000000"/>
                <w:spacing w:val="0"/>
                <w:kern w:val="0"/>
                <w:sz w:val="24"/>
                <w:szCs w:val="24"/>
                <w:lang w:val="en-US" w:eastAsia="zh-CN" w:bidi="ar"/>
              </w:rPr>
              <w:br w:type="textWrapping"/>
            </w:r>
            <w:r>
              <w:rPr>
                <w:rFonts w:hint="default" w:ascii="仿宋_GB2312" w:hAnsi="仿宋_GB2312" w:eastAsia="仿宋_GB2312" w:cs="仿宋_GB2312"/>
                <w:b/>
                <w:bCs/>
                <w:i w:val="0"/>
                <w:caps w:val="0"/>
                <w:color w:val="000000"/>
                <w:spacing w:val="0"/>
                <w:kern w:val="0"/>
                <w:sz w:val="24"/>
                <w:szCs w:val="24"/>
                <w:lang w:val="en-US" w:eastAsia="zh-CN" w:bidi="ar"/>
              </w:rPr>
              <w:t>课程思政育人目标：</w:t>
            </w:r>
            <w:r>
              <w:rPr>
                <w:rFonts w:hint="default" w:ascii="仿宋_GB2312" w:hAnsi="仿宋_GB2312" w:eastAsia="仿宋_GB2312" w:cs="仿宋_GB2312"/>
                <w:b w:val="0"/>
                <w:bCs w:val="0"/>
                <w:i w:val="0"/>
                <w:caps w:val="0"/>
                <w:color w:val="000000"/>
                <w:spacing w:val="0"/>
                <w:kern w:val="0"/>
                <w:sz w:val="24"/>
                <w:szCs w:val="24"/>
                <w:lang w:val="en-US" w:eastAsia="zh-CN" w:bidi="ar"/>
              </w:rPr>
              <w:t>严格遵守行业法规与职业道德准则，坚决杜绝虚假评估、隐瞒车辆缺陷等失信行为，在执业过程中践行诚信经营理念，维护二手车市场的公平秩序。</w:t>
            </w:r>
          </w:p>
        </w:tc>
        <w:tc>
          <w:tcPr>
            <w:tcW w:w="2471" w:type="dxa"/>
            <w:vAlign w:val="top"/>
          </w:tcPr>
          <w:p w14:paraId="1A94BE76">
            <w:pPr>
              <w:keepNext w:val="0"/>
              <w:keepLines w:val="0"/>
              <w:pageBreakBefore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i w:val="0"/>
                <w:caps w:val="0"/>
                <w:color w:val="000000"/>
                <w:spacing w:val="0"/>
                <w:kern w:val="0"/>
                <w:sz w:val="24"/>
                <w:szCs w:val="24"/>
                <w:lang w:val="en-US" w:eastAsia="zh-CN" w:bidi="ar"/>
              </w:rPr>
              <w:t>1.</w:t>
            </w:r>
            <w:r>
              <w:rPr>
                <w:rStyle w:val="10"/>
                <w:rFonts w:hint="eastAsia" w:ascii="仿宋_GB2312" w:hAnsi="仿宋_GB2312" w:eastAsia="仿宋_GB2312" w:cs="仿宋_GB2312"/>
                <w:b w:val="0"/>
                <w:bCs w:val="0"/>
                <w:i w:val="0"/>
                <w:caps w:val="0"/>
                <w:color w:val="000000"/>
                <w:spacing w:val="0"/>
                <w:kern w:val="0"/>
                <w:sz w:val="24"/>
                <w:szCs w:val="24"/>
                <w:lang w:val="en-US" w:eastAsia="zh-CN" w:bidi="ar"/>
              </w:rPr>
              <w:t>鉴定技术</w:t>
            </w:r>
            <w:r>
              <w:rPr>
                <w:rFonts w:hint="eastAsia" w:ascii="仿宋_GB2312" w:hAnsi="仿宋_GB2312" w:eastAsia="仿宋_GB2312" w:cs="仿宋_GB2312"/>
                <w:b w:val="0"/>
                <w:bCs w:val="0"/>
                <w:i w:val="0"/>
                <w:caps w:val="0"/>
                <w:color w:val="000000"/>
                <w:spacing w:val="0"/>
                <w:kern w:val="0"/>
                <w:sz w:val="24"/>
                <w:szCs w:val="24"/>
                <w:lang w:val="en-US" w:eastAsia="zh-CN" w:bidi="ar"/>
              </w:rPr>
              <w:t>：</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静态检查：外观漆面（色差检测）、内饰磨损（座椅皮革老化）、车架结构（焊点检查）</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动态检测：发动机异响、变速箱换挡平顺性、制动距离测试</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仪器检测：OBD 故障码读取、漆面测厚仪使用</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2.</w:t>
            </w:r>
            <w:r>
              <w:rPr>
                <w:rStyle w:val="10"/>
                <w:rFonts w:hint="eastAsia" w:ascii="仿宋_GB2312" w:hAnsi="仿宋_GB2312" w:eastAsia="仿宋_GB2312" w:cs="仿宋_GB2312"/>
                <w:b w:val="0"/>
                <w:bCs w:val="0"/>
                <w:i w:val="0"/>
                <w:caps w:val="0"/>
                <w:color w:val="000000"/>
                <w:spacing w:val="0"/>
                <w:kern w:val="0"/>
                <w:sz w:val="24"/>
                <w:szCs w:val="24"/>
                <w:lang w:val="en-US" w:eastAsia="zh-CN" w:bidi="ar"/>
              </w:rPr>
              <w:t>评估方法</w:t>
            </w:r>
            <w:r>
              <w:rPr>
                <w:rFonts w:hint="eastAsia" w:ascii="仿宋_GB2312" w:hAnsi="仿宋_GB2312" w:eastAsia="仿宋_GB2312" w:cs="仿宋_GB2312"/>
                <w:b w:val="0"/>
                <w:bCs w:val="0"/>
                <w:i w:val="0"/>
                <w:caps w:val="0"/>
                <w:color w:val="000000"/>
                <w:spacing w:val="0"/>
                <w:kern w:val="0"/>
                <w:sz w:val="24"/>
                <w:szCs w:val="24"/>
                <w:lang w:val="en-US" w:eastAsia="zh-CN" w:bidi="ar"/>
              </w:rPr>
              <w:t>：</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重置成本法、收益现值法、市场比较法的应用场景</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事故车判定标准（结构性损伤 vs 覆盖件损伤）</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3. </w:t>
            </w:r>
            <w:r>
              <w:rPr>
                <w:rStyle w:val="10"/>
                <w:rFonts w:hint="eastAsia" w:ascii="仿宋_GB2312" w:hAnsi="仿宋_GB2312" w:eastAsia="仿宋_GB2312" w:cs="仿宋_GB2312"/>
                <w:b w:val="0"/>
                <w:bCs w:val="0"/>
                <w:i w:val="0"/>
                <w:caps w:val="0"/>
                <w:color w:val="000000"/>
                <w:spacing w:val="0"/>
                <w:kern w:val="0"/>
                <w:sz w:val="24"/>
                <w:szCs w:val="24"/>
                <w:lang w:val="en-US" w:eastAsia="zh-CN" w:bidi="ar"/>
              </w:rPr>
              <w:t>交易流程</w:t>
            </w:r>
            <w:r>
              <w:rPr>
                <w:rFonts w:hint="eastAsia" w:ascii="仿宋_GB2312" w:hAnsi="仿宋_GB2312" w:eastAsia="仿宋_GB2312" w:cs="仿宋_GB2312"/>
                <w:b w:val="0"/>
                <w:bCs w:val="0"/>
                <w:i w:val="0"/>
                <w:caps w:val="0"/>
                <w:color w:val="000000"/>
                <w:spacing w:val="0"/>
                <w:kern w:val="0"/>
                <w:sz w:val="24"/>
                <w:szCs w:val="24"/>
                <w:lang w:val="en-US" w:eastAsia="zh-CN" w:bidi="ar"/>
              </w:rPr>
              <w:t>：</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11"/>
                <w:kern w:val="0"/>
                <w:sz w:val="24"/>
                <w:szCs w:val="24"/>
                <w:lang w:val="en-US" w:eastAsia="zh-CN" w:bidi="ar"/>
              </w:rPr>
              <w:t>过户手续（行驶证、登</w:t>
            </w:r>
            <w:r>
              <w:rPr>
                <w:rFonts w:hint="eastAsia" w:ascii="仿宋_GB2312" w:hAnsi="仿宋_GB2312" w:eastAsia="仿宋_GB2312" w:cs="仿宋_GB2312"/>
                <w:b w:val="0"/>
                <w:bCs w:val="0"/>
                <w:i w:val="0"/>
                <w:caps w:val="0"/>
                <w:color w:val="000000"/>
                <w:spacing w:val="-17"/>
                <w:kern w:val="0"/>
                <w:sz w:val="24"/>
                <w:szCs w:val="24"/>
                <w:lang w:val="en-US" w:eastAsia="zh-CN" w:bidi="ar"/>
              </w:rPr>
              <w:t>记证、购置税证明）保险过户与违章处理要点</w:t>
            </w:r>
          </w:p>
        </w:tc>
        <w:tc>
          <w:tcPr>
            <w:tcW w:w="2163" w:type="dxa"/>
            <w:vAlign w:val="top"/>
          </w:tcPr>
          <w:p w14:paraId="16FE46AB">
            <w:pPr>
              <w:keepNext w:val="0"/>
              <w:keepLines w:val="0"/>
              <w:pageBreakBefore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i w:val="0"/>
                <w:caps w:val="0"/>
                <w:color w:val="000000"/>
                <w:spacing w:val="0"/>
                <w:kern w:val="0"/>
                <w:sz w:val="24"/>
                <w:szCs w:val="24"/>
                <w:lang w:val="en-US" w:eastAsia="zh-CN" w:bidi="ar"/>
              </w:rPr>
              <w:t>1.能通过 VIN 码（车辆识别代号）查询车辆历史信息（生产年份、产地）</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2.掌握二手车评估报告撰写规范（车况描述、评估结论、风险提示）</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3.遵守《二手车流通管理办法》，拒绝评估盗抢车、拼装车</w:t>
            </w:r>
          </w:p>
        </w:tc>
      </w:tr>
      <w:tr w14:paraId="77037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72" w:type="dxa"/>
            <w:vAlign w:val="center"/>
          </w:tcPr>
          <w:p w14:paraId="0D70E9D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w:t>
            </w:r>
          </w:p>
        </w:tc>
        <w:tc>
          <w:tcPr>
            <w:tcW w:w="791" w:type="dxa"/>
            <w:vAlign w:val="center"/>
          </w:tcPr>
          <w:p w14:paraId="4281FE78">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汽车车险查勘与定损</w:t>
            </w:r>
          </w:p>
        </w:tc>
        <w:tc>
          <w:tcPr>
            <w:tcW w:w="4427" w:type="dxa"/>
            <w:vAlign w:val="top"/>
          </w:tcPr>
          <w:p w14:paraId="141848E0">
            <w:pPr>
              <w:keepNext w:val="0"/>
              <w:keepLines w:val="0"/>
              <w:pageBreakBefore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i w:val="0"/>
                <w:caps w:val="0"/>
                <w:color w:val="000000"/>
                <w:spacing w:val="0"/>
                <w:kern w:val="0"/>
                <w:sz w:val="24"/>
                <w:szCs w:val="24"/>
                <w:lang w:val="en-US" w:eastAsia="zh-CN" w:bidi="ar"/>
              </w:rPr>
            </w:pPr>
            <w:r>
              <w:rPr>
                <w:rFonts w:hint="eastAsia" w:ascii="仿宋_GB2312" w:hAnsi="仿宋_GB2312" w:eastAsia="仿宋_GB2312" w:cs="仿宋_GB2312"/>
                <w:b/>
                <w:bCs/>
                <w:i w:val="0"/>
                <w:caps w:val="0"/>
                <w:color w:val="000000"/>
                <w:spacing w:val="0"/>
                <w:kern w:val="0"/>
                <w:sz w:val="24"/>
                <w:szCs w:val="24"/>
                <w:lang w:val="en-US" w:eastAsia="zh-CN" w:bidi="ar"/>
              </w:rPr>
              <w:t>知识目标：</w:t>
            </w:r>
            <w:r>
              <w:rPr>
                <w:rFonts w:hint="eastAsia" w:ascii="仿宋_GB2312" w:hAnsi="仿宋_GB2312" w:eastAsia="仿宋_GB2312" w:cs="仿宋_GB2312"/>
                <w:b w:val="0"/>
                <w:bCs w:val="0"/>
                <w:i w:val="0"/>
                <w:caps w:val="0"/>
                <w:color w:val="000000"/>
                <w:spacing w:val="0"/>
                <w:kern w:val="0"/>
                <w:sz w:val="24"/>
                <w:szCs w:val="24"/>
                <w:lang w:val="en-US" w:eastAsia="zh-CN" w:bidi="ar"/>
              </w:rPr>
              <w:t>系统掌握汽车保险的种类（交强险、车损险、第三者责任险等）及各自的保障范围、免责条款、赔偿限额，熟悉车险查勘的现场处理流程（安全警示、证据固定、当事人询问）、事故责任划分依据（《</w:t>
            </w:r>
            <w:r>
              <w:rPr>
                <w:rFonts w:hint="eastAsia" w:ascii="仿宋_GB2312" w:hAnsi="仿宋_GB2312" w:eastAsia="仿宋_GB2312" w:cs="仿宋_GB2312"/>
                <w:b w:val="0"/>
                <w:bCs w:val="0"/>
                <w:i w:val="0"/>
                <w:caps w:val="0"/>
                <w:color w:val="000000"/>
                <w:spacing w:val="0"/>
                <w:kern w:val="0"/>
                <w:sz w:val="24"/>
                <w:szCs w:val="24"/>
                <w:highlight w:val="none"/>
                <w:lang w:val="en-US" w:eastAsia="zh-CN" w:bidi="ar"/>
              </w:rPr>
              <w:t>道路交通安全法</w:t>
            </w:r>
            <w:r>
              <w:rPr>
                <w:rFonts w:hint="eastAsia" w:ascii="仿宋_GB2312" w:hAnsi="仿宋_GB2312" w:eastAsia="仿宋_GB2312" w:cs="仿宋_GB2312"/>
                <w:b w:val="0"/>
                <w:bCs w:val="0"/>
                <w:i w:val="0"/>
                <w:caps w:val="0"/>
                <w:color w:val="000000"/>
                <w:spacing w:val="0"/>
                <w:kern w:val="0"/>
                <w:sz w:val="24"/>
                <w:szCs w:val="24"/>
                <w:lang w:val="en-US" w:eastAsia="zh-CN" w:bidi="ar"/>
              </w:rPr>
              <w:t>》相关条款），了解定损工作中零部件损伤判定标准（更换与修复界限）及维修费用估算方法。</w:t>
            </w:r>
            <w:r>
              <w:rPr>
                <w:rFonts w:hint="default" w:ascii="仿宋_GB2312" w:hAnsi="仿宋_GB2312" w:eastAsia="仿宋_GB2312" w:cs="仿宋_GB2312"/>
                <w:b w:val="0"/>
                <w:bCs w:val="0"/>
                <w:i w:val="0"/>
                <w:caps w:val="0"/>
                <w:color w:val="000000"/>
                <w:spacing w:val="0"/>
                <w:kern w:val="0"/>
                <w:sz w:val="24"/>
                <w:szCs w:val="24"/>
                <w:lang w:val="en-US" w:eastAsia="zh-CN" w:bidi="ar"/>
              </w:rPr>
              <w:br w:type="textWrapping"/>
            </w:r>
            <w:r>
              <w:rPr>
                <w:rFonts w:hint="default" w:ascii="仿宋_GB2312" w:hAnsi="仿宋_GB2312" w:eastAsia="仿宋_GB2312" w:cs="仿宋_GB2312"/>
                <w:b/>
                <w:bCs/>
                <w:i w:val="0"/>
                <w:caps w:val="0"/>
                <w:color w:val="000000"/>
                <w:spacing w:val="0"/>
                <w:kern w:val="0"/>
                <w:sz w:val="24"/>
                <w:szCs w:val="24"/>
                <w:lang w:val="en-US" w:eastAsia="zh-CN" w:bidi="ar"/>
              </w:rPr>
              <w:t>能力目标：</w:t>
            </w:r>
            <w:r>
              <w:rPr>
                <w:rFonts w:hint="default" w:ascii="仿宋_GB2312" w:hAnsi="仿宋_GB2312" w:eastAsia="仿宋_GB2312" w:cs="仿宋_GB2312"/>
                <w:b w:val="0"/>
                <w:bCs w:val="0"/>
                <w:i w:val="0"/>
                <w:caps w:val="0"/>
                <w:color w:val="000000"/>
                <w:spacing w:val="0"/>
                <w:kern w:val="0"/>
                <w:sz w:val="24"/>
                <w:szCs w:val="24"/>
                <w:lang w:val="en-US" w:eastAsia="zh-CN" w:bidi="ar"/>
              </w:rPr>
              <w:t>能够独立完成事故现场的查勘工作，准确拍摄现场照片（全景、特写、号牌）并记录关键信息，根据事故情况合理划分责任，运用估损软件或市场报价对车辆损失进行核定，规范填写《查勘报告》与《定损单》，具备识别常见骗保行为（二次碰撞、夸大损失）的能力。</w:t>
            </w:r>
            <w:r>
              <w:rPr>
                <w:rFonts w:hint="default" w:ascii="仿宋_GB2312" w:hAnsi="仿宋_GB2312" w:eastAsia="仿宋_GB2312" w:cs="仿宋_GB2312"/>
                <w:b w:val="0"/>
                <w:bCs w:val="0"/>
                <w:i w:val="0"/>
                <w:caps w:val="0"/>
                <w:color w:val="000000"/>
                <w:spacing w:val="0"/>
                <w:kern w:val="0"/>
                <w:sz w:val="24"/>
                <w:szCs w:val="24"/>
                <w:lang w:val="en-US" w:eastAsia="zh-CN" w:bidi="ar"/>
              </w:rPr>
              <w:br w:type="textWrapping"/>
            </w:r>
            <w:r>
              <w:rPr>
                <w:rFonts w:hint="default" w:ascii="仿宋_GB2312" w:hAnsi="仿宋_GB2312" w:eastAsia="仿宋_GB2312" w:cs="仿宋_GB2312"/>
                <w:b/>
                <w:bCs/>
                <w:i w:val="0"/>
                <w:caps w:val="0"/>
                <w:color w:val="000000"/>
                <w:spacing w:val="0"/>
                <w:kern w:val="0"/>
                <w:sz w:val="24"/>
                <w:szCs w:val="24"/>
                <w:lang w:val="en-US" w:eastAsia="zh-CN" w:bidi="ar"/>
              </w:rPr>
              <w:t>素质目标：</w:t>
            </w:r>
            <w:r>
              <w:rPr>
                <w:rFonts w:hint="default" w:ascii="仿宋_GB2312" w:hAnsi="仿宋_GB2312" w:eastAsia="仿宋_GB2312" w:cs="仿宋_GB2312"/>
                <w:b w:val="0"/>
                <w:bCs w:val="0"/>
                <w:i w:val="0"/>
                <w:caps w:val="0"/>
                <w:color w:val="000000"/>
                <w:spacing w:val="0"/>
                <w:kern w:val="0"/>
                <w:sz w:val="24"/>
                <w:szCs w:val="24"/>
                <w:lang w:val="en-US" w:eastAsia="zh-CN" w:bidi="ar"/>
              </w:rPr>
              <w:t>培养公正严谨的职业态度与责任意识，养成客观记录、准确判断的工作习惯，提升应对复杂事故现场的应变能力与沟通能力。</w:t>
            </w:r>
            <w:r>
              <w:rPr>
                <w:rFonts w:hint="default" w:ascii="仿宋_GB2312" w:hAnsi="仿宋_GB2312" w:eastAsia="仿宋_GB2312" w:cs="仿宋_GB2312"/>
                <w:b w:val="0"/>
                <w:bCs w:val="0"/>
                <w:i w:val="0"/>
                <w:caps w:val="0"/>
                <w:color w:val="000000"/>
                <w:spacing w:val="0"/>
                <w:kern w:val="0"/>
                <w:sz w:val="24"/>
                <w:szCs w:val="24"/>
                <w:lang w:val="en-US" w:eastAsia="zh-CN" w:bidi="ar"/>
              </w:rPr>
              <w:br w:type="textWrapping"/>
            </w:r>
            <w:r>
              <w:rPr>
                <w:rFonts w:hint="default" w:ascii="仿宋_GB2312" w:hAnsi="仿宋_GB2312" w:eastAsia="仿宋_GB2312" w:cs="仿宋_GB2312"/>
                <w:b/>
                <w:bCs/>
                <w:i w:val="0"/>
                <w:caps w:val="0"/>
                <w:color w:val="000000"/>
                <w:spacing w:val="0"/>
                <w:kern w:val="0"/>
                <w:sz w:val="24"/>
                <w:szCs w:val="24"/>
                <w:lang w:val="en-US" w:eastAsia="zh-CN" w:bidi="ar"/>
              </w:rPr>
              <w:t>课程思政育人目标：</w:t>
            </w:r>
            <w:r>
              <w:rPr>
                <w:rFonts w:hint="default" w:ascii="仿宋_GB2312" w:hAnsi="仿宋_GB2312" w:eastAsia="仿宋_GB2312" w:cs="仿宋_GB2312"/>
                <w:b w:val="0"/>
                <w:bCs w:val="0"/>
                <w:i w:val="0"/>
                <w:caps w:val="0"/>
                <w:color w:val="000000"/>
                <w:spacing w:val="0"/>
                <w:kern w:val="0"/>
                <w:sz w:val="24"/>
                <w:szCs w:val="24"/>
                <w:lang w:val="en-US" w:eastAsia="zh-CN" w:bidi="ar"/>
              </w:rPr>
              <w:t>坚决抵制骗保等违法违规行为，在工作中坚守公平公正原则，维护保险市场的正常秩序，树立廉洁自律的职业操守。</w:t>
            </w:r>
          </w:p>
        </w:tc>
        <w:tc>
          <w:tcPr>
            <w:tcW w:w="2471" w:type="dxa"/>
            <w:vAlign w:val="top"/>
          </w:tcPr>
          <w:p w14:paraId="2FEAE6F1">
            <w:pPr>
              <w:keepNext w:val="0"/>
              <w:keepLines w:val="0"/>
              <w:pageBreakBefore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i w:val="0"/>
                <w:caps w:val="0"/>
                <w:color w:val="000000"/>
                <w:spacing w:val="0"/>
                <w:kern w:val="0"/>
                <w:sz w:val="24"/>
                <w:szCs w:val="24"/>
                <w:lang w:val="en-US" w:eastAsia="zh-CN" w:bidi="ar"/>
              </w:rPr>
              <w:t>1.</w:t>
            </w:r>
            <w:r>
              <w:rPr>
                <w:rStyle w:val="10"/>
                <w:rFonts w:hint="eastAsia" w:ascii="仿宋_GB2312" w:hAnsi="仿宋_GB2312" w:eastAsia="仿宋_GB2312" w:cs="仿宋_GB2312"/>
                <w:b w:val="0"/>
                <w:bCs w:val="0"/>
                <w:i w:val="0"/>
                <w:caps w:val="0"/>
                <w:color w:val="000000"/>
                <w:spacing w:val="0"/>
                <w:kern w:val="0"/>
                <w:sz w:val="24"/>
                <w:szCs w:val="24"/>
                <w:lang w:val="en-US" w:eastAsia="zh-CN" w:bidi="ar"/>
              </w:rPr>
              <w:t>保险基础</w:t>
            </w:r>
            <w:r>
              <w:rPr>
                <w:rFonts w:hint="eastAsia" w:ascii="仿宋_GB2312" w:hAnsi="仿宋_GB2312" w:eastAsia="仿宋_GB2312" w:cs="仿宋_GB2312"/>
                <w:b w:val="0"/>
                <w:bCs w:val="0"/>
                <w:i w:val="0"/>
                <w:caps w:val="0"/>
                <w:color w:val="000000"/>
                <w:spacing w:val="0"/>
                <w:kern w:val="0"/>
                <w:sz w:val="24"/>
                <w:szCs w:val="24"/>
                <w:lang w:val="en-US" w:eastAsia="zh-CN" w:bidi="ar"/>
              </w:rPr>
              <w:t>：</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险种分类（交强险、车损险、三者险）的保障范围</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保险合同条款（免责条款、免赔额、赔偿限额）</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2.</w:t>
            </w:r>
            <w:r>
              <w:rPr>
                <w:rStyle w:val="10"/>
                <w:rFonts w:hint="eastAsia" w:ascii="仿宋_GB2312" w:hAnsi="仿宋_GB2312" w:eastAsia="仿宋_GB2312" w:cs="仿宋_GB2312"/>
                <w:b w:val="0"/>
                <w:bCs w:val="0"/>
                <w:i w:val="0"/>
                <w:caps w:val="0"/>
                <w:color w:val="000000"/>
                <w:spacing w:val="0"/>
                <w:kern w:val="0"/>
                <w:sz w:val="24"/>
                <w:szCs w:val="24"/>
                <w:lang w:val="en-US" w:eastAsia="zh-CN" w:bidi="ar"/>
              </w:rPr>
              <w:t>查勘实务</w:t>
            </w:r>
            <w:r>
              <w:rPr>
                <w:rFonts w:hint="eastAsia" w:ascii="仿宋_GB2312" w:hAnsi="仿宋_GB2312" w:eastAsia="仿宋_GB2312" w:cs="仿宋_GB2312"/>
                <w:b w:val="0"/>
                <w:bCs w:val="0"/>
                <w:i w:val="0"/>
                <w:caps w:val="0"/>
                <w:color w:val="000000"/>
                <w:spacing w:val="0"/>
                <w:kern w:val="0"/>
                <w:sz w:val="24"/>
                <w:szCs w:val="24"/>
                <w:lang w:val="en-US" w:eastAsia="zh-CN" w:bidi="ar"/>
              </w:rPr>
              <w:t>：</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现场查勘流程（安全警示、证据固定、当事人询问）</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事故责任划分（依据《</w:t>
            </w:r>
            <w:r>
              <w:rPr>
                <w:rFonts w:hint="eastAsia" w:ascii="仿宋_GB2312" w:hAnsi="仿宋_GB2312" w:eastAsia="仿宋_GB2312" w:cs="仿宋_GB2312"/>
                <w:b w:val="0"/>
                <w:bCs w:val="0"/>
                <w:i w:val="0"/>
                <w:caps w:val="0"/>
                <w:color w:val="000000"/>
                <w:spacing w:val="0"/>
                <w:kern w:val="0"/>
                <w:sz w:val="24"/>
                <w:szCs w:val="24"/>
                <w:highlight w:val="none"/>
                <w:lang w:val="en-US" w:eastAsia="zh-CN" w:bidi="ar"/>
              </w:rPr>
              <w:t>道路交通安全法</w:t>
            </w:r>
            <w:r>
              <w:rPr>
                <w:rFonts w:hint="eastAsia" w:ascii="仿宋_GB2312" w:hAnsi="仿宋_GB2312" w:eastAsia="仿宋_GB2312" w:cs="仿宋_GB2312"/>
                <w:b w:val="0"/>
                <w:bCs w:val="0"/>
                <w:i w:val="0"/>
                <w:caps w:val="0"/>
                <w:color w:val="000000"/>
                <w:spacing w:val="0"/>
                <w:kern w:val="0"/>
                <w:sz w:val="24"/>
                <w:szCs w:val="24"/>
                <w:lang w:val="en-US" w:eastAsia="zh-CN" w:bidi="ar"/>
              </w:rPr>
              <w:t>》判断主次责）</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3.</w:t>
            </w:r>
            <w:r>
              <w:rPr>
                <w:rStyle w:val="10"/>
                <w:rFonts w:hint="eastAsia" w:ascii="仿宋_GB2312" w:hAnsi="仿宋_GB2312" w:eastAsia="仿宋_GB2312" w:cs="仿宋_GB2312"/>
                <w:b w:val="0"/>
                <w:bCs w:val="0"/>
                <w:i w:val="0"/>
                <w:caps w:val="0"/>
                <w:color w:val="000000"/>
                <w:spacing w:val="0"/>
                <w:kern w:val="0"/>
                <w:sz w:val="24"/>
                <w:szCs w:val="24"/>
                <w:lang w:val="en-US" w:eastAsia="zh-CN" w:bidi="ar"/>
              </w:rPr>
              <w:t>定损技术</w:t>
            </w:r>
            <w:r>
              <w:rPr>
                <w:rFonts w:hint="eastAsia" w:ascii="仿宋_GB2312" w:hAnsi="仿宋_GB2312" w:eastAsia="仿宋_GB2312" w:cs="仿宋_GB2312"/>
                <w:b w:val="0"/>
                <w:bCs w:val="0"/>
                <w:i w:val="0"/>
                <w:caps w:val="0"/>
                <w:color w:val="000000"/>
                <w:spacing w:val="0"/>
                <w:kern w:val="0"/>
                <w:sz w:val="24"/>
                <w:szCs w:val="24"/>
                <w:lang w:val="en-US" w:eastAsia="zh-CN" w:bidi="ar"/>
              </w:rPr>
              <w:t>：</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零部件损伤判定（更换</w:t>
            </w:r>
            <w:r>
              <w:rPr>
                <w:rFonts w:hint="eastAsia" w:ascii="仿宋_GB2312" w:hAnsi="仿宋_GB2312" w:eastAsia="仿宋_GB2312" w:cs="仿宋_GB2312"/>
                <w:b w:val="0"/>
                <w:bCs w:val="0"/>
                <w:i w:val="0"/>
                <w:caps w:val="0"/>
                <w:color w:val="000000"/>
                <w:spacing w:val="-6"/>
                <w:kern w:val="0"/>
                <w:sz w:val="24"/>
                <w:szCs w:val="24"/>
                <w:lang w:val="en-US" w:eastAsia="zh-CN" w:bidi="ar"/>
              </w:rPr>
              <w:t xml:space="preserve"> vs 修复标准，如前保险杠开裂是否更换）</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维修费用估算（参考 4S 店报价与市场均价，使用估损软件）</w:t>
            </w:r>
          </w:p>
        </w:tc>
        <w:tc>
          <w:tcPr>
            <w:tcW w:w="2163" w:type="dxa"/>
            <w:vAlign w:val="top"/>
          </w:tcPr>
          <w:p w14:paraId="3F175CE3">
            <w:pPr>
              <w:keepNext w:val="0"/>
              <w:keepLines w:val="0"/>
              <w:pageBreakBefore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i w:val="0"/>
                <w:caps w:val="0"/>
                <w:color w:val="000000"/>
                <w:spacing w:val="0"/>
                <w:kern w:val="0"/>
                <w:sz w:val="24"/>
                <w:szCs w:val="24"/>
                <w:lang w:val="en-US" w:eastAsia="zh-CN" w:bidi="ar"/>
              </w:rPr>
              <w:t>1.能识别常见骗保行为（如二次碰撞造假、夸大损失）</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2.掌握事故现场拍照规范（全景、特写、号牌清晰）</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3.准确填写《查勘报告》与《定损单》，确保数据与现场一致</w:t>
            </w:r>
          </w:p>
        </w:tc>
      </w:tr>
      <w:tr w14:paraId="5A7BD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72" w:type="dxa"/>
            <w:vAlign w:val="center"/>
          </w:tcPr>
          <w:p w14:paraId="7BD6D76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7</w:t>
            </w:r>
          </w:p>
        </w:tc>
        <w:tc>
          <w:tcPr>
            <w:tcW w:w="791" w:type="dxa"/>
            <w:vAlign w:val="center"/>
          </w:tcPr>
          <w:p w14:paraId="481304E7">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汽车车身修复技术</w:t>
            </w:r>
          </w:p>
        </w:tc>
        <w:tc>
          <w:tcPr>
            <w:tcW w:w="4427" w:type="dxa"/>
            <w:vAlign w:val="top"/>
          </w:tcPr>
          <w:p w14:paraId="2127F069">
            <w:pPr>
              <w:keepNext w:val="0"/>
              <w:keepLines w:val="0"/>
              <w:pageBreakBefore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i w:val="0"/>
                <w:caps w:val="0"/>
                <w:color w:val="000000"/>
                <w:spacing w:val="0"/>
                <w:kern w:val="0"/>
                <w:sz w:val="24"/>
                <w:szCs w:val="24"/>
                <w:lang w:val="en-US" w:eastAsia="zh-CN" w:bidi="ar"/>
              </w:rPr>
              <w:t>知识目标：</w:t>
            </w:r>
            <w:r>
              <w:rPr>
                <w:rFonts w:hint="eastAsia" w:ascii="仿宋_GB2312" w:hAnsi="仿宋_GB2312" w:eastAsia="仿宋_GB2312" w:cs="仿宋_GB2312"/>
                <w:b w:val="0"/>
                <w:bCs w:val="0"/>
                <w:i w:val="0"/>
                <w:caps w:val="0"/>
                <w:color w:val="000000"/>
                <w:spacing w:val="0"/>
                <w:kern w:val="0"/>
                <w:sz w:val="24"/>
                <w:szCs w:val="24"/>
                <w:lang w:val="en-US" w:eastAsia="zh-CN" w:bidi="ar"/>
              </w:rPr>
              <w:t>深入了解汽车车身的结构类型（承载式、非承载式）及常用材料（钢板、铝合金、高强度钢）的物理化学特性，掌握车身不同部件（覆盖件、结构件、加强件）的修复原则与工艺差异，熟悉钣金修复（凹陷拉拔、应力释放）、焊接（电阻点焊、二氧化碳保护焊）、涂装（原子灰刮涂、面漆喷涂）等工艺的操作规范及质量标准。</w:t>
            </w:r>
            <w:r>
              <w:rPr>
                <w:rFonts w:hint="default" w:ascii="仿宋_GB2312" w:hAnsi="仿宋_GB2312" w:eastAsia="仿宋_GB2312" w:cs="仿宋_GB2312"/>
                <w:b w:val="0"/>
                <w:bCs w:val="0"/>
                <w:i w:val="0"/>
                <w:caps w:val="0"/>
                <w:color w:val="000000"/>
                <w:spacing w:val="0"/>
                <w:kern w:val="0"/>
                <w:sz w:val="24"/>
                <w:szCs w:val="24"/>
                <w:lang w:val="en-US" w:eastAsia="zh-CN" w:bidi="ar"/>
              </w:rPr>
              <w:br w:type="textWrapping"/>
            </w:r>
            <w:r>
              <w:rPr>
                <w:rFonts w:hint="default" w:ascii="仿宋_GB2312" w:hAnsi="仿宋_GB2312" w:eastAsia="仿宋_GB2312" w:cs="仿宋_GB2312"/>
                <w:b/>
                <w:bCs/>
                <w:i w:val="0"/>
                <w:caps w:val="0"/>
                <w:color w:val="000000"/>
                <w:spacing w:val="0"/>
                <w:kern w:val="0"/>
                <w:sz w:val="24"/>
                <w:szCs w:val="24"/>
                <w:lang w:val="en-US" w:eastAsia="zh-CN" w:bidi="ar"/>
              </w:rPr>
              <w:t>能力目标：</w:t>
            </w:r>
            <w:r>
              <w:rPr>
                <w:rFonts w:hint="default" w:ascii="仿宋_GB2312" w:hAnsi="仿宋_GB2312" w:eastAsia="仿宋_GB2312" w:cs="仿宋_GB2312"/>
                <w:b w:val="0"/>
                <w:bCs w:val="0"/>
                <w:i w:val="0"/>
                <w:caps w:val="0"/>
                <w:color w:val="000000"/>
                <w:spacing w:val="0"/>
                <w:kern w:val="0"/>
                <w:sz w:val="24"/>
                <w:szCs w:val="24"/>
                <w:lang w:val="en-US" w:eastAsia="zh-CN" w:bidi="ar"/>
              </w:rPr>
              <w:t>能够使用介子机、三维测量系统等工具完成车身凹陷修复与尺寸校正，熟练操作焊接设备进行不同材料的焊接作业，掌握原子灰刮涂、打磨及面漆喷涂的技能，确保修复后车身的平整度、强度及防腐性能符合标准。</w:t>
            </w:r>
            <w:r>
              <w:rPr>
                <w:rFonts w:hint="default" w:ascii="仿宋_GB2312" w:hAnsi="仿宋_GB2312" w:eastAsia="仿宋_GB2312" w:cs="仿宋_GB2312"/>
                <w:b w:val="0"/>
                <w:bCs w:val="0"/>
                <w:i w:val="0"/>
                <w:caps w:val="0"/>
                <w:color w:val="000000"/>
                <w:spacing w:val="0"/>
                <w:kern w:val="0"/>
                <w:sz w:val="24"/>
                <w:szCs w:val="24"/>
                <w:lang w:val="en-US" w:eastAsia="zh-CN" w:bidi="ar"/>
              </w:rPr>
              <w:br w:type="textWrapping"/>
            </w:r>
            <w:r>
              <w:rPr>
                <w:rFonts w:hint="default" w:ascii="仿宋_GB2312" w:hAnsi="仿宋_GB2312" w:eastAsia="仿宋_GB2312" w:cs="仿宋_GB2312"/>
                <w:b/>
                <w:bCs/>
                <w:i w:val="0"/>
                <w:caps w:val="0"/>
                <w:color w:val="000000"/>
                <w:spacing w:val="0"/>
                <w:kern w:val="0"/>
                <w:sz w:val="24"/>
                <w:szCs w:val="24"/>
                <w:lang w:val="en-US" w:eastAsia="zh-CN" w:bidi="ar"/>
              </w:rPr>
              <w:t>素质目标：</w:t>
            </w:r>
            <w:r>
              <w:rPr>
                <w:rFonts w:hint="default" w:ascii="仿宋_GB2312" w:hAnsi="仿宋_GB2312" w:eastAsia="仿宋_GB2312" w:cs="仿宋_GB2312"/>
                <w:b w:val="0"/>
                <w:bCs w:val="0"/>
                <w:i w:val="0"/>
                <w:caps w:val="0"/>
                <w:color w:val="000000"/>
                <w:spacing w:val="0"/>
                <w:kern w:val="0"/>
                <w:sz w:val="24"/>
                <w:szCs w:val="24"/>
                <w:lang w:val="en-US" w:eastAsia="zh-CN" w:bidi="ar"/>
              </w:rPr>
              <w:t>强化精益求精的工匠精神，养成注重细节、追求质量的工作态度，增强对车身修复工艺的钻研精神与创新意识。</w:t>
            </w:r>
            <w:r>
              <w:rPr>
                <w:rFonts w:hint="default" w:ascii="仿宋_GB2312" w:hAnsi="仿宋_GB2312" w:eastAsia="仿宋_GB2312" w:cs="仿宋_GB2312"/>
                <w:b w:val="0"/>
                <w:bCs w:val="0"/>
                <w:i w:val="0"/>
                <w:caps w:val="0"/>
                <w:color w:val="000000"/>
                <w:spacing w:val="0"/>
                <w:kern w:val="0"/>
                <w:sz w:val="24"/>
                <w:szCs w:val="24"/>
                <w:lang w:val="en-US" w:eastAsia="zh-CN" w:bidi="ar"/>
              </w:rPr>
              <w:br w:type="textWrapping"/>
            </w:r>
            <w:r>
              <w:rPr>
                <w:rFonts w:hint="default" w:ascii="仿宋_GB2312" w:hAnsi="仿宋_GB2312" w:eastAsia="仿宋_GB2312" w:cs="仿宋_GB2312"/>
                <w:b/>
                <w:bCs/>
                <w:i w:val="0"/>
                <w:caps w:val="0"/>
                <w:color w:val="000000"/>
                <w:spacing w:val="0"/>
                <w:kern w:val="0"/>
                <w:sz w:val="24"/>
                <w:szCs w:val="24"/>
                <w:lang w:val="en-US" w:eastAsia="zh-CN" w:bidi="ar"/>
              </w:rPr>
              <w:t>课程思政育人目标：</w:t>
            </w:r>
            <w:r>
              <w:rPr>
                <w:rFonts w:hint="default" w:ascii="仿宋_GB2312" w:hAnsi="仿宋_GB2312" w:eastAsia="仿宋_GB2312" w:cs="仿宋_GB2312"/>
                <w:b w:val="0"/>
                <w:bCs w:val="0"/>
                <w:i w:val="0"/>
                <w:caps w:val="0"/>
                <w:color w:val="000000"/>
                <w:spacing w:val="0"/>
                <w:kern w:val="0"/>
                <w:sz w:val="24"/>
                <w:szCs w:val="24"/>
                <w:lang w:val="en-US" w:eastAsia="zh-CN" w:bidi="ar"/>
              </w:rPr>
              <w:t>倡导绿色环保的修复理念，在涂装等环节注重减少 VOC 排放，遵守环境保护相关法规，培养生态环境保护意识。</w:t>
            </w:r>
          </w:p>
        </w:tc>
        <w:tc>
          <w:tcPr>
            <w:tcW w:w="2471" w:type="dxa"/>
            <w:vAlign w:val="top"/>
          </w:tcPr>
          <w:p w14:paraId="57D6597B">
            <w:pPr>
              <w:keepNext w:val="0"/>
              <w:keepLines w:val="0"/>
              <w:pageBreakBefore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i w:val="0"/>
                <w:caps w:val="0"/>
                <w:color w:val="000000"/>
                <w:spacing w:val="0"/>
                <w:kern w:val="0"/>
                <w:sz w:val="24"/>
                <w:szCs w:val="24"/>
                <w:lang w:val="en-US" w:eastAsia="zh-CN" w:bidi="ar"/>
              </w:rPr>
              <w:t>1.</w:t>
            </w:r>
            <w:r>
              <w:rPr>
                <w:rStyle w:val="10"/>
                <w:rFonts w:hint="eastAsia" w:ascii="仿宋_GB2312" w:hAnsi="仿宋_GB2312" w:eastAsia="仿宋_GB2312" w:cs="仿宋_GB2312"/>
                <w:b w:val="0"/>
                <w:bCs w:val="0"/>
                <w:i w:val="0"/>
                <w:caps w:val="0"/>
                <w:color w:val="000000"/>
                <w:spacing w:val="0"/>
                <w:kern w:val="0"/>
                <w:sz w:val="24"/>
                <w:szCs w:val="24"/>
                <w:lang w:val="en-US" w:eastAsia="zh-CN" w:bidi="ar"/>
              </w:rPr>
              <w:t>结构与材料</w:t>
            </w:r>
            <w:r>
              <w:rPr>
                <w:rFonts w:hint="eastAsia" w:ascii="仿宋_GB2312" w:hAnsi="仿宋_GB2312" w:eastAsia="仿宋_GB2312" w:cs="仿宋_GB2312"/>
                <w:b w:val="0"/>
                <w:bCs w:val="0"/>
                <w:i w:val="0"/>
                <w:caps w:val="0"/>
                <w:color w:val="000000"/>
                <w:spacing w:val="0"/>
                <w:kern w:val="0"/>
                <w:sz w:val="24"/>
                <w:szCs w:val="24"/>
                <w:lang w:val="en-US" w:eastAsia="zh-CN" w:bidi="ar"/>
              </w:rPr>
              <w:t>：</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车身部件分类（覆盖件、结构件、加强件）的修复原则</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铝合金车身与传统钢材车身的修复差异（焊接工艺、防腐处理）</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2.</w:t>
            </w:r>
            <w:r>
              <w:rPr>
                <w:rStyle w:val="10"/>
                <w:rFonts w:hint="eastAsia" w:ascii="仿宋_GB2312" w:hAnsi="仿宋_GB2312" w:eastAsia="仿宋_GB2312" w:cs="仿宋_GB2312"/>
                <w:b w:val="0"/>
                <w:bCs w:val="0"/>
                <w:i w:val="0"/>
                <w:caps w:val="0"/>
                <w:color w:val="000000"/>
                <w:spacing w:val="0"/>
                <w:kern w:val="0"/>
                <w:sz w:val="24"/>
                <w:szCs w:val="24"/>
                <w:lang w:val="en-US" w:eastAsia="zh-CN" w:bidi="ar"/>
              </w:rPr>
              <w:t>修复技术</w:t>
            </w:r>
            <w:r>
              <w:rPr>
                <w:rFonts w:hint="eastAsia" w:ascii="仿宋_GB2312" w:hAnsi="仿宋_GB2312" w:eastAsia="仿宋_GB2312" w:cs="仿宋_GB2312"/>
                <w:b w:val="0"/>
                <w:bCs w:val="0"/>
                <w:i w:val="0"/>
                <w:caps w:val="0"/>
                <w:color w:val="000000"/>
                <w:spacing w:val="0"/>
                <w:kern w:val="0"/>
                <w:sz w:val="24"/>
                <w:szCs w:val="24"/>
                <w:lang w:val="en-US" w:eastAsia="zh-CN" w:bidi="ar"/>
              </w:rPr>
              <w:t>：</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钣金修复：凹陷拉拔（介子机使用）、应力释放、车身尺寸校正（三维测量系统）</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焊接工艺：电阻点焊、二氧化碳保护焊的操作规范</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3.</w:t>
            </w:r>
            <w:r>
              <w:rPr>
                <w:rStyle w:val="10"/>
                <w:rFonts w:hint="eastAsia" w:ascii="仿宋_GB2312" w:hAnsi="仿宋_GB2312" w:eastAsia="仿宋_GB2312" w:cs="仿宋_GB2312"/>
                <w:b w:val="0"/>
                <w:bCs w:val="0"/>
                <w:i w:val="0"/>
                <w:caps w:val="0"/>
                <w:color w:val="000000"/>
                <w:spacing w:val="0"/>
                <w:kern w:val="0"/>
                <w:sz w:val="24"/>
                <w:szCs w:val="24"/>
                <w:lang w:val="en-US" w:eastAsia="zh-CN" w:bidi="ar"/>
              </w:rPr>
              <w:t>涂装工艺</w:t>
            </w:r>
            <w:r>
              <w:rPr>
                <w:rFonts w:hint="eastAsia" w:ascii="仿宋_GB2312" w:hAnsi="仿宋_GB2312" w:eastAsia="仿宋_GB2312" w:cs="仿宋_GB2312"/>
                <w:b w:val="0"/>
                <w:bCs w:val="0"/>
                <w:i w:val="0"/>
                <w:caps w:val="0"/>
                <w:color w:val="000000"/>
                <w:spacing w:val="0"/>
                <w:kern w:val="0"/>
                <w:sz w:val="24"/>
                <w:szCs w:val="24"/>
                <w:lang w:val="en-US" w:eastAsia="zh-CN" w:bidi="ar"/>
              </w:rPr>
              <w:t>：</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原子灰刮涂与打磨（平整度要求≤0.1mm）</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面漆喷涂（色差控制、流挂预防）</w:t>
            </w:r>
          </w:p>
        </w:tc>
        <w:tc>
          <w:tcPr>
            <w:tcW w:w="2163" w:type="dxa"/>
            <w:vAlign w:val="top"/>
          </w:tcPr>
          <w:p w14:paraId="611EC352">
            <w:pPr>
              <w:keepNext w:val="0"/>
              <w:keepLines w:val="0"/>
              <w:pageBreakBefore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i w:val="0"/>
                <w:caps w:val="0"/>
                <w:color w:val="000000"/>
                <w:spacing w:val="0"/>
                <w:kern w:val="0"/>
                <w:sz w:val="24"/>
                <w:szCs w:val="24"/>
                <w:lang w:val="en-US" w:eastAsia="zh-CN" w:bidi="ar"/>
              </w:rPr>
              <w:t>1.能使用车身测量系统（如机械式三维尺）检测车身变形量</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2.遵守焊接安全规范（佩戴防护面罩、通风良好）</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3.理解涂装质量对车身防腐性能的影响（如底漆厚度不足导致生锈）</w:t>
            </w:r>
          </w:p>
        </w:tc>
      </w:tr>
      <w:tr w14:paraId="3E91E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72" w:type="dxa"/>
            <w:vAlign w:val="center"/>
          </w:tcPr>
          <w:p w14:paraId="18A9780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8</w:t>
            </w:r>
          </w:p>
        </w:tc>
        <w:tc>
          <w:tcPr>
            <w:tcW w:w="791" w:type="dxa"/>
            <w:vAlign w:val="center"/>
          </w:tcPr>
          <w:p w14:paraId="2EBEE0F9">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汽车配件管理</w:t>
            </w:r>
          </w:p>
        </w:tc>
        <w:tc>
          <w:tcPr>
            <w:tcW w:w="4427" w:type="dxa"/>
            <w:vAlign w:val="top"/>
          </w:tcPr>
          <w:p w14:paraId="5E073039">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right="0"/>
              <w:jc w:val="both"/>
              <w:textAlignment w:val="auto"/>
              <w:rPr>
                <w:rFonts w:hint="eastAsia" w:ascii="仿宋_GB2312" w:hAnsi="仿宋_GB2312" w:eastAsia="仿宋_GB2312" w:cs="仿宋_GB2312"/>
                <w:b w:val="0"/>
                <w:bCs w:val="0"/>
                <w:i w:val="0"/>
                <w:caps w:val="0"/>
                <w:color w:val="000000"/>
                <w:spacing w:val="0"/>
                <w:kern w:val="0"/>
                <w:sz w:val="24"/>
                <w:szCs w:val="24"/>
                <w:lang w:val="en-US" w:eastAsia="zh-CN" w:bidi="ar"/>
              </w:rPr>
            </w:pPr>
            <w:r>
              <w:rPr>
                <w:rFonts w:hint="eastAsia" w:ascii="仿宋_GB2312" w:hAnsi="仿宋_GB2312" w:eastAsia="仿宋_GB2312" w:cs="仿宋_GB2312"/>
                <w:b/>
                <w:bCs/>
                <w:i w:val="0"/>
                <w:caps w:val="0"/>
                <w:color w:val="000000"/>
                <w:spacing w:val="0"/>
                <w:kern w:val="0"/>
                <w:sz w:val="24"/>
                <w:szCs w:val="24"/>
                <w:lang w:val="en-US" w:eastAsia="zh-CN" w:bidi="ar"/>
              </w:rPr>
              <w:t>知识目标：</w:t>
            </w:r>
            <w:r>
              <w:rPr>
                <w:rFonts w:hint="eastAsia" w:ascii="仿宋_GB2312" w:hAnsi="仿宋_GB2312" w:eastAsia="仿宋_GB2312" w:cs="仿宋_GB2312"/>
                <w:b w:val="0"/>
                <w:bCs w:val="0"/>
                <w:i w:val="0"/>
                <w:caps w:val="0"/>
                <w:color w:val="000000"/>
                <w:spacing w:val="0"/>
                <w:kern w:val="0"/>
                <w:sz w:val="24"/>
                <w:szCs w:val="24"/>
                <w:lang w:val="en-US" w:eastAsia="zh-CN" w:bidi="ar"/>
              </w:rPr>
              <w:t>全面掌握汽车配件的分类方法（按功能、车型、供应渠道）及常用配件编码规则（如大众零件号结构），熟悉库存管理的核心方法（ABC 分类法）、安全库存设定原则及呆滞库存处理策略，了解配件采购流程、质量检验标准及防伪验证方法。</w:t>
            </w:r>
            <w:r>
              <w:rPr>
                <w:rFonts w:hint="default" w:ascii="仿宋_GB2312" w:hAnsi="仿宋_GB2312" w:eastAsia="仿宋_GB2312" w:cs="仿宋_GB2312"/>
                <w:b w:val="0"/>
                <w:bCs w:val="0"/>
                <w:i w:val="0"/>
                <w:caps w:val="0"/>
                <w:color w:val="000000"/>
                <w:spacing w:val="0"/>
                <w:kern w:val="0"/>
                <w:sz w:val="24"/>
                <w:szCs w:val="24"/>
                <w:lang w:val="en-US" w:eastAsia="zh-CN" w:bidi="ar"/>
              </w:rPr>
              <w:br w:type="textWrapping"/>
            </w:r>
            <w:r>
              <w:rPr>
                <w:rFonts w:hint="default" w:ascii="仿宋_GB2312" w:hAnsi="仿宋_GB2312" w:eastAsia="仿宋_GB2312" w:cs="仿宋_GB2312"/>
                <w:b/>
                <w:bCs/>
                <w:i w:val="0"/>
                <w:caps w:val="0"/>
                <w:color w:val="000000"/>
                <w:spacing w:val="0"/>
                <w:kern w:val="0"/>
                <w:sz w:val="24"/>
                <w:szCs w:val="24"/>
                <w:lang w:val="en-US" w:eastAsia="zh-CN" w:bidi="ar"/>
              </w:rPr>
              <w:t>能力目标：</w:t>
            </w:r>
            <w:r>
              <w:rPr>
                <w:rFonts w:hint="default" w:ascii="仿宋_GB2312" w:hAnsi="仿宋_GB2312" w:eastAsia="仿宋_GB2312" w:cs="仿宋_GB2312"/>
                <w:b w:val="0"/>
                <w:bCs w:val="0"/>
                <w:i w:val="0"/>
                <w:caps w:val="0"/>
                <w:color w:val="000000"/>
                <w:spacing w:val="0"/>
                <w:kern w:val="0"/>
                <w:sz w:val="24"/>
                <w:szCs w:val="24"/>
                <w:lang w:val="en-US" w:eastAsia="zh-CN" w:bidi="ar"/>
              </w:rPr>
              <w:t>能够根据车型年款、配置准确查询适配配件，运用 ABC 分类法对库存配件进行科学管理，合理设定安全库存以平衡断货与积压风险，具备处理出入库记录、库存盘点及呆滞件处理的能力。</w:t>
            </w:r>
            <w:r>
              <w:rPr>
                <w:rFonts w:hint="default" w:ascii="仿宋_GB2312" w:hAnsi="仿宋_GB2312" w:eastAsia="仿宋_GB2312" w:cs="仿宋_GB2312"/>
                <w:b w:val="0"/>
                <w:bCs w:val="0"/>
                <w:i w:val="0"/>
                <w:caps w:val="0"/>
                <w:color w:val="000000"/>
                <w:spacing w:val="0"/>
                <w:kern w:val="0"/>
                <w:sz w:val="24"/>
                <w:szCs w:val="24"/>
                <w:lang w:val="en-US" w:eastAsia="zh-CN" w:bidi="ar"/>
              </w:rPr>
              <w:br w:type="textWrapping"/>
            </w:r>
            <w:r>
              <w:rPr>
                <w:rFonts w:hint="default" w:ascii="仿宋_GB2312" w:hAnsi="仿宋_GB2312" w:eastAsia="仿宋_GB2312" w:cs="仿宋_GB2312"/>
                <w:b/>
                <w:bCs/>
                <w:i w:val="0"/>
                <w:caps w:val="0"/>
                <w:color w:val="000000"/>
                <w:spacing w:val="0"/>
                <w:kern w:val="0"/>
                <w:sz w:val="24"/>
                <w:szCs w:val="24"/>
                <w:lang w:val="en-US" w:eastAsia="zh-CN" w:bidi="ar"/>
              </w:rPr>
              <w:t>素质目标：</w:t>
            </w:r>
            <w:r>
              <w:rPr>
                <w:rFonts w:hint="default" w:ascii="仿宋_GB2312" w:hAnsi="仿宋_GB2312" w:eastAsia="仿宋_GB2312" w:cs="仿宋_GB2312"/>
                <w:b w:val="0"/>
                <w:bCs w:val="0"/>
                <w:i w:val="0"/>
                <w:caps w:val="0"/>
                <w:color w:val="000000"/>
                <w:spacing w:val="0"/>
                <w:kern w:val="0"/>
                <w:sz w:val="24"/>
                <w:szCs w:val="24"/>
                <w:lang w:val="en-US" w:eastAsia="zh-CN" w:bidi="ar"/>
              </w:rPr>
              <w:t>培养成本控制意识与供应链管理思维，养成规范记录、细致核对的工作习惯，提升对配件市场动态的敏感度与分析能力。</w:t>
            </w:r>
            <w:r>
              <w:rPr>
                <w:rFonts w:hint="default" w:ascii="仿宋_GB2312" w:hAnsi="仿宋_GB2312" w:eastAsia="仿宋_GB2312" w:cs="仿宋_GB2312"/>
                <w:b w:val="0"/>
                <w:bCs w:val="0"/>
                <w:i w:val="0"/>
                <w:caps w:val="0"/>
                <w:color w:val="000000"/>
                <w:spacing w:val="0"/>
                <w:kern w:val="0"/>
                <w:sz w:val="24"/>
                <w:szCs w:val="24"/>
                <w:lang w:val="en-US" w:eastAsia="zh-CN" w:bidi="ar"/>
              </w:rPr>
              <w:br w:type="textWrapping"/>
            </w:r>
            <w:r>
              <w:rPr>
                <w:rFonts w:hint="default" w:ascii="仿宋_GB2312" w:hAnsi="仿宋_GB2312" w:eastAsia="仿宋_GB2312" w:cs="仿宋_GB2312"/>
                <w:b/>
                <w:bCs/>
                <w:i w:val="0"/>
                <w:caps w:val="0"/>
                <w:color w:val="000000"/>
                <w:spacing w:val="0"/>
                <w:kern w:val="0"/>
                <w:sz w:val="24"/>
                <w:szCs w:val="24"/>
                <w:lang w:val="en-US" w:eastAsia="zh-CN" w:bidi="ar"/>
              </w:rPr>
              <w:t>课程思政育人目标：</w:t>
            </w:r>
            <w:r>
              <w:rPr>
                <w:rFonts w:hint="default" w:ascii="仿宋_GB2312" w:hAnsi="仿宋_GB2312" w:eastAsia="仿宋_GB2312" w:cs="仿宋_GB2312"/>
                <w:b w:val="0"/>
                <w:bCs w:val="0"/>
                <w:i w:val="0"/>
                <w:caps w:val="0"/>
                <w:color w:val="000000"/>
                <w:spacing w:val="0"/>
                <w:kern w:val="0"/>
                <w:sz w:val="24"/>
                <w:szCs w:val="24"/>
                <w:lang w:val="en-US" w:eastAsia="zh-CN" w:bidi="ar"/>
              </w:rPr>
              <w:t>坚决杜绝假冒伪劣配件流入维修环节，严格执行配件防伪验证流程，在工作中坚守质量底线，维护消费者生命财产安全。</w:t>
            </w:r>
          </w:p>
        </w:tc>
        <w:tc>
          <w:tcPr>
            <w:tcW w:w="2471" w:type="dxa"/>
            <w:vAlign w:val="top"/>
          </w:tcPr>
          <w:p w14:paraId="018A3F35">
            <w:pPr>
              <w:keepNext w:val="0"/>
              <w:keepLines w:val="0"/>
              <w:pageBreakBefore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i w:val="0"/>
                <w:caps w:val="0"/>
                <w:color w:val="000000"/>
                <w:spacing w:val="0"/>
                <w:kern w:val="0"/>
                <w:sz w:val="24"/>
                <w:szCs w:val="24"/>
                <w:lang w:val="en-US" w:eastAsia="zh-CN" w:bidi="ar"/>
              </w:rPr>
              <w:t>1.</w:t>
            </w:r>
            <w:r>
              <w:rPr>
                <w:rStyle w:val="10"/>
                <w:rFonts w:hint="eastAsia" w:ascii="仿宋_GB2312" w:hAnsi="仿宋_GB2312" w:eastAsia="仿宋_GB2312" w:cs="仿宋_GB2312"/>
                <w:b w:val="0"/>
                <w:bCs w:val="0"/>
                <w:i w:val="0"/>
                <w:caps w:val="0"/>
                <w:color w:val="000000"/>
                <w:spacing w:val="0"/>
                <w:kern w:val="0"/>
                <w:sz w:val="24"/>
                <w:szCs w:val="24"/>
                <w:lang w:val="en-US" w:eastAsia="zh-CN" w:bidi="ar"/>
              </w:rPr>
              <w:t>配件基础</w:t>
            </w:r>
            <w:r>
              <w:rPr>
                <w:rFonts w:hint="eastAsia" w:ascii="仿宋_GB2312" w:hAnsi="仿宋_GB2312" w:eastAsia="仿宋_GB2312" w:cs="仿宋_GB2312"/>
                <w:b w:val="0"/>
                <w:bCs w:val="0"/>
                <w:i w:val="0"/>
                <w:caps w:val="0"/>
                <w:color w:val="000000"/>
                <w:spacing w:val="0"/>
                <w:kern w:val="0"/>
                <w:sz w:val="24"/>
                <w:szCs w:val="24"/>
                <w:lang w:val="en-US" w:eastAsia="zh-CN" w:bidi="ar"/>
              </w:rPr>
              <w:t>：</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配件分类方法（按功能、车型、供应渠道）</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常用配件编码规则（如大众零件号结构：1KD 823 301）</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2.</w:t>
            </w:r>
            <w:r>
              <w:rPr>
                <w:rStyle w:val="10"/>
                <w:rFonts w:hint="eastAsia" w:ascii="仿宋_GB2312" w:hAnsi="仿宋_GB2312" w:eastAsia="仿宋_GB2312" w:cs="仿宋_GB2312"/>
                <w:b w:val="0"/>
                <w:bCs w:val="0"/>
                <w:i w:val="0"/>
                <w:caps w:val="0"/>
                <w:color w:val="000000"/>
                <w:spacing w:val="0"/>
                <w:kern w:val="0"/>
                <w:sz w:val="24"/>
                <w:szCs w:val="24"/>
                <w:lang w:val="en-US" w:eastAsia="zh-CN" w:bidi="ar"/>
              </w:rPr>
              <w:t>库存管理</w:t>
            </w:r>
            <w:r>
              <w:rPr>
                <w:rFonts w:hint="eastAsia" w:ascii="仿宋_GB2312" w:hAnsi="仿宋_GB2312" w:eastAsia="仿宋_GB2312" w:cs="仿宋_GB2312"/>
                <w:b w:val="0"/>
                <w:bCs w:val="0"/>
                <w:i w:val="0"/>
                <w:caps w:val="0"/>
                <w:color w:val="000000"/>
                <w:spacing w:val="0"/>
                <w:kern w:val="0"/>
                <w:sz w:val="24"/>
                <w:szCs w:val="24"/>
                <w:lang w:val="en-US" w:eastAsia="zh-CN" w:bidi="ar"/>
              </w:rPr>
              <w:t>：</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ABC 分类法（A 类高价值配件重点管控）</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安全库存设定（避免断货与积压，参考历史销量数据）</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3.</w:t>
            </w:r>
            <w:r>
              <w:rPr>
                <w:rStyle w:val="10"/>
                <w:rFonts w:hint="eastAsia" w:ascii="仿宋_GB2312" w:hAnsi="仿宋_GB2312" w:eastAsia="仿宋_GB2312" w:cs="仿宋_GB2312"/>
                <w:b w:val="0"/>
                <w:bCs w:val="0"/>
                <w:i w:val="0"/>
                <w:caps w:val="0"/>
                <w:color w:val="000000"/>
                <w:spacing w:val="0"/>
                <w:kern w:val="0"/>
                <w:sz w:val="24"/>
                <w:szCs w:val="24"/>
                <w:lang w:val="en-US" w:eastAsia="zh-CN" w:bidi="ar"/>
              </w:rPr>
              <w:t>信息化操作</w:t>
            </w:r>
            <w:r>
              <w:rPr>
                <w:rFonts w:hint="eastAsia" w:ascii="仿宋_GB2312" w:hAnsi="仿宋_GB2312" w:eastAsia="仿宋_GB2312" w:cs="仿宋_GB2312"/>
                <w:b w:val="0"/>
                <w:bCs w:val="0"/>
                <w:i w:val="0"/>
                <w:caps w:val="0"/>
                <w:color w:val="000000"/>
                <w:spacing w:val="0"/>
                <w:kern w:val="0"/>
                <w:sz w:val="24"/>
                <w:szCs w:val="24"/>
                <w:lang w:val="en-US" w:eastAsia="zh-CN" w:bidi="ar"/>
              </w:rPr>
              <w:t>：</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配件查询（通过车型 VIN 码匹配适用配件）</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出入库记录（扫码录入、批次管理、保质期监控）</w:t>
            </w:r>
          </w:p>
        </w:tc>
        <w:tc>
          <w:tcPr>
            <w:tcW w:w="2163" w:type="dxa"/>
            <w:vAlign w:val="top"/>
          </w:tcPr>
          <w:p w14:paraId="25B4EAFE">
            <w:pPr>
              <w:keepNext w:val="0"/>
              <w:keepLines w:val="0"/>
              <w:pageBreakBefore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i w:val="0"/>
                <w:caps w:val="0"/>
                <w:color w:val="000000"/>
                <w:spacing w:val="0"/>
                <w:kern w:val="0"/>
                <w:sz w:val="24"/>
                <w:szCs w:val="24"/>
                <w:lang w:val="en-US" w:eastAsia="zh-CN" w:bidi="ar"/>
              </w:rPr>
              <w:t>1.能根据车型年款、配置准确查询适配配件（如区分 1.5T 与2.0T 发动机的机油滤芯）</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2.掌握库存盘点流程（账物相符率≥98%），处理呆滞件（超 6 个月未动销配件）</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3.遵守配件防伪验证流程（核对防伪码、查询溯源信息）</w:t>
            </w:r>
          </w:p>
        </w:tc>
      </w:tr>
      <w:tr w14:paraId="0D635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72" w:type="dxa"/>
            <w:vAlign w:val="center"/>
          </w:tcPr>
          <w:p w14:paraId="009781C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9</w:t>
            </w:r>
          </w:p>
        </w:tc>
        <w:tc>
          <w:tcPr>
            <w:tcW w:w="791" w:type="dxa"/>
            <w:vAlign w:val="center"/>
          </w:tcPr>
          <w:p w14:paraId="3778936B">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汽车法律法规</w:t>
            </w:r>
          </w:p>
        </w:tc>
        <w:tc>
          <w:tcPr>
            <w:tcW w:w="4427" w:type="dxa"/>
            <w:vAlign w:val="top"/>
          </w:tcPr>
          <w:p w14:paraId="48D4FE0C">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right="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i w:val="0"/>
                <w:caps w:val="0"/>
                <w:color w:val="000000"/>
                <w:spacing w:val="0"/>
                <w:kern w:val="0"/>
                <w:sz w:val="24"/>
                <w:szCs w:val="24"/>
                <w:lang w:val="en-US" w:eastAsia="zh-CN" w:bidi="ar"/>
              </w:rPr>
              <w:t>知识目标：</w:t>
            </w:r>
            <w:r>
              <w:rPr>
                <w:rFonts w:hint="eastAsia" w:ascii="仿宋_GB2312" w:hAnsi="仿宋_GB2312" w:eastAsia="仿宋_GB2312" w:cs="仿宋_GB2312"/>
                <w:b w:val="0"/>
                <w:bCs w:val="0"/>
                <w:i w:val="0"/>
                <w:caps w:val="0"/>
                <w:color w:val="000000"/>
                <w:spacing w:val="0"/>
                <w:kern w:val="0"/>
                <w:sz w:val="24"/>
                <w:szCs w:val="24"/>
                <w:lang w:val="en-US" w:eastAsia="zh-CN" w:bidi="ar"/>
              </w:rPr>
              <w:t>系统掌握与汽车行业相关的法律法规，包括《</w:t>
            </w:r>
            <w:r>
              <w:rPr>
                <w:rFonts w:hint="eastAsia" w:ascii="仿宋_GB2312" w:hAnsi="仿宋_GB2312" w:eastAsia="仿宋_GB2312" w:cs="仿宋_GB2312"/>
                <w:b w:val="0"/>
                <w:bCs w:val="0"/>
                <w:i w:val="0"/>
                <w:caps w:val="0"/>
                <w:color w:val="000000"/>
                <w:spacing w:val="0"/>
                <w:kern w:val="0"/>
                <w:sz w:val="24"/>
                <w:szCs w:val="24"/>
                <w:highlight w:val="none"/>
                <w:lang w:val="en-US" w:eastAsia="zh-CN" w:bidi="ar"/>
              </w:rPr>
              <w:t>道路交通安全法</w:t>
            </w:r>
            <w:r>
              <w:rPr>
                <w:rFonts w:hint="eastAsia" w:ascii="仿宋_GB2312" w:hAnsi="仿宋_GB2312" w:eastAsia="仿宋_GB2312" w:cs="仿宋_GB2312"/>
                <w:b w:val="0"/>
                <w:bCs w:val="0"/>
                <w:i w:val="0"/>
                <w:caps w:val="0"/>
                <w:color w:val="000000"/>
                <w:spacing w:val="0"/>
                <w:kern w:val="0"/>
                <w:sz w:val="24"/>
                <w:szCs w:val="24"/>
                <w:lang w:val="en-US" w:eastAsia="zh-CN" w:bidi="ar"/>
              </w:rPr>
              <w:t>》中关于车辆行驶、事故处理的核心条款，《</w:t>
            </w:r>
            <w:r>
              <w:rPr>
                <w:rFonts w:hint="eastAsia" w:ascii="仿宋_GB2312" w:hAnsi="仿宋_GB2312" w:eastAsia="仿宋_GB2312" w:cs="仿宋_GB2312"/>
                <w:b w:val="0"/>
                <w:bCs w:val="0"/>
                <w:i w:val="0"/>
                <w:caps w:val="0"/>
                <w:color w:val="000000"/>
                <w:spacing w:val="0"/>
                <w:kern w:val="0"/>
                <w:sz w:val="24"/>
                <w:szCs w:val="24"/>
                <w:highlight w:val="none"/>
                <w:lang w:val="en-US" w:eastAsia="zh-CN" w:bidi="ar"/>
              </w:rPr>
              <w:t>大气污染防治法</w:t>
            </w:r>
            <w:r>
              <w:rPr>
                <w:rFonts w:hint="eastAsia" w:ascii="仿宋_GB2312" w:hAnsi="仿宋_GB2312" w:eastAsia="仿宋_GB2312" w:cs="仿宋_GB2312"/>
                <w:b w:val="0"/>
                <w:bCs w:val="0"/>
                <w:i w:val="0"/>
                <w:caps w:val="0"/>
                <w:color w:val="000000"/>
                <w:spacing w:val="0"/>
                <w:kern w:val="0"/>
                <w:sz w:val="24"/>
                <w:szCs w:val="24"/>
                <w:lang w:val="en-US" w:eastAsia="zh-CN" w:bidi="ar"/>
              </w:rPr>
              <w:t>》《新能源汽车动力蓄电池回收利用管理办法》等环境保护相关法规，《</w:t>
            </w:r>
            <w:r>
              <w:rPr>
                <w:rFonts w:hint="eastAsia" w:ascii="仿宋_GB2312" w:hAnsi="仿宋_GB2312" w:eastAsia="仿宋_GB2312" w:cs="仿宋_GB2312"/>
                <w:b w:val="0"/>
                <w:bCs w:val="0"/>
                <w:i w:val="0"/>
                <w:caps w:val="0"/>
                <w:color w:val="000000"/>
                <w:spacing w:val="0"/>
                <w:kern w:val="0"/>
                <w:sz w:val="24"/>
                <w:szCs w:val="24"/>
                <w:highlight w:val="none"/>
                <w:lang w:val="en-US" w:eastAsia="zh-CN" w:bidi="ar"/>
              </w:rPr>
              <w:t>消费者权益保护法</w:t>
            </w:r>
            <w:r>
              <w:rPr>
                <w:rFonts w:hint="eastAsia" w:ascii="仿宋_GB2312" w:hAnsi="仿宋_GB2312" w:eastAsia="仿宋_GB2312" w:cs="仿宋_GB2312"/>
                <w:b w:val="0"/>
                <w:bCs w:val="0"/>
                <w:i w:val="0"/>
                <w:caps w:val="0"/>
                <w:color w:val="000000"/>
                <w:spacing w:val="0"/>
                <w:kern w:val="0"/>
                <w:sz w:val="24"/>
                <w:szCs w:val="24"/>
                <w:lang w:val="en-US" w:eastAsia="zh-CN" w:bidi="ar"/>
              </w:rPr>
              <w:t>》《家用汽车产品修理、更换、退货责任规定》（三包政策）中关于消费者权益保护的内容，以及《汽车数据安全管理若干规定》对用户信息保护的要求。</w:t>
            </w:r>
            <w:r>
              <w:rPr>
                <w:rFonts w:hint="default" w:ascii="仿宋_GB2312" w:hAnsi="仿宋_GB2312" w:eastAsia="仿宋_GB2312" w:cs="仿宋_GB2312"/>
                <w:b w:val="0"/>
                <w:bCs w:val="0"/>
                <w:i w:val="0"/>
                <w:caps w:val="0"/>
                <w:color w:val="000000"/>
                <w:spacing w:val="0"/>
                <w:kern w:val="0"/>
                <w:sz w:val="24"/>
                <w:szCs w:val="24"/>
                <w:lang w:val="en-US" w:eastAsia="zh-CN" w:bidi="ar"/>
              </w:rPr>
              <w:br w:type="textWrapping"/>
            </w:r>
            <w:r>
              <w:rPr>
                <w:rFonts w:hint="default" w:ascii="仿宋_GB2312" w:hAnsi="仿宋_GB2312" w:eastAsia="仿宋_GB2312" w:cs="仿宋_GB2312"/>
                <w:b/>
                <w:bCs/>
                <w:i w:val="0"/>
                <w:caps w:val="0"/>
                <w:color w:val="000000"/>
                <w:spacing w:val="0"/>
                <w:kern w:val="0"/>
                <w:sz w:val="24"/>
                <w:szCs w:val="24"/>
                <w:lang w:val="en-US" w:eastAsia="zh-CN" w:bidi="ar"/>
              </w:rPr>
              <w:t>能力目标：</w:t>
            </w:r>
            <w:r>
              <w:rPr>
                <w:rFonts w:hint="default" w:ascii="仿宋_GB2312" w:hAnsi="仿宋_GB2312" w:eastAsia="仿宋_GB2312" w:cs="仿宋_GB2312"/>
                <w:b w:val="0"/>
                <w:bCs w:val="0"/>
                <w:i w:val="0"/>
                <w:caps w:val="0"/>
                <w:color w:val="000000"/>
                <w:spacing w:val="0"/>
                <w:kern w:val="0"/>
                <w:sz w:val="24"/>
                <w:szCs w:val="24"/>
                <w:lang w:val="en-US" w:eastAsia="zh-CN" w:bidi="ar"/>
              </w:rPr>
              <w:t>能够运用相关法律法规分析处理汽车质量纠纷、保险理赔、交通事故责任认定等实际问题，准确引用法律条款为客户提供咨询服务，具备识别常见违法行为（如拼装车、未年检车辆上路）及其法律后果的能力。</w:t>
            </w:r>
            <w:r>
              <w:rPr>
                <w:rFonts w:hint="default" w:ascii="仿宋_GB2312" w:hAnsi="仿宋_GB2312" w:eastAsia="仿宋_GB2312" w:cs="仿宋_GB2312"/>
                <w:b w:val="0"/>
                <w:bCs w:val="0"/>
                <w:i w:val="0"/>
                <w:caps w:val="0"/>
                <w:color w:val="000000"/>
                <w:spacing w:val="0"/>
                <w:kern w:val="0"/>
                <w:sz w:val="24"/>
                <w:szCs w:val="24"/>
                <w:lang w:val="en-US" w:eastAsia="zh-CN" w:bidi="ar"/>
              </w:rPr>
              <w:br w:type="textWrapping"/>
            </w:r>
            <w:r>
              <w:rPr>
                <w:rFonts w:hint="default" w:ascii="仿宋_GB2312" w:hAnsi="仿宋_GB2312" w:eastAsia="仿宋_GB2312" w:cs="仿宋_GB2312"/>
                <w:b/>
                <w:bCs/>
                <w:i w:val="0"/>
                <w:caps w:val="0"/>
                <w:color w:val="000000"/>
                <w:spacing w:val="0"/>
                <w:kern w:val="0"/>
                <w:sz w:val="24"/>
                <w:szCs w:val="24"/>
                <w:lang w:val="en-US" w:eastAsia="zh-CN" w:bidi="ar"/>
              </w:rPr>
              <w:t>素质目标：</w:t>
            </w:r>
            <w:r>
              <w:rPr>
                <w:rFonts w:hint="default" w:ascii="仿宋_GB2312" w:hAnsi="仿宋_GB2312" w:eastAsia="仿宋_GB2312" w:cs="仿宋_GB2312"/>
                <w:b w:val="0"/>
                <w:bCs w:val="0"/>
                <w:i w:val="0"/>
                <w:caps w:val="0"/>
                <w:color w:val="000000"/>
                <w:spacing w:val="0"/>
                <w:kern w:val="0"/>
                <w:sz w:val="24"/>
                <w:szCs w:val="24"/>
                <w:lang w:val="en-US" w:eastAsia="zh-CN" w:bidi="ar"/>
              </w:rPr>
              <w:t>强化依法从业意识，养成遇事找法、解决问题靠法的思维习惯，提升对法律条文的理解与应用能力。</w:t>
            </w:r>
            <w:r>
              <w:rPr>
                <w:rFonts w:hint="default" w:ascii="仿宋_GB2312" w:hAnsi="仿宋_GB2312" w:eastAsia="仿宋_GB2312" w:cs="仿宋_GB2312"/>
                <w:b w:val="0"/>
                <w:bCs w:val="0"/>
                <w:i w:val="0"/>
                <w:caps w:val="0"/>
                <w:color w:val="000000"/>
                <w:spacing w:val="0"/>
                <w:kern w:val="0"/>
                <w:sz w:val="24"/>
                <w:szCs w:val="24"/>
                <w:lang w:val="en-US" w:eastAsia="zh-CN" w:bidi="ar"/>
              </w:rPr>
              <w:br w:type="textWrapping"/>
            </w:r>
            <w:r>
              <w:rPr>
                <w:rFonts w:hint="default" w:ascii="仿宋_GB2312" w:hAnsi="仿宋_GB2312" w:eastAsia="仿宋_GB2312" w:cs="仿宋_GB2312"/>
                <w:b/>
                <w:bCs/>
                <w:i w:val="0"/>
                <w:caps w:val="0"/>
                <w:color w:val="000000"/>
                <w:spacing w:val="0"/>
                <w:kern w:val="0"/>
                <w:sz w:val="24"/>
                <w:szCs w:val="24"/>
                <w:lang w:val="en-US" w:eastAsia="zh-CN" w:bidi="ar"/>
              </w:rPr>
              <w:t>课程思政育人目标：</w:t>
            </w:r>
            <w:r>
              <w:rPr>
                <w:rFonts w:hint="default" w:ascii="仿宋_GB2312" w:hAnsi="仿宋_GB2312" w:eastAsia="仿宋_GB2312" w:cs="仿宋_GB2312"/>
                <w:b w:val="0"/>
                <w:bCs w:val="0"/>
                <w:i w:val="0"/>
                <w:caps w:val="0"/>
                <w:color w:val="000000"/>
                <w:spacing w:val="0"/>
                <w:kern w:val="0"/>
                <w:sz w:val="24"/>
                <w:szCs w:val="24"/>
                <w:lang w:val="en-US" w:eastAsia="zh-CN" w:bidi="ar"/>
              </w:rPr>
              <w:t>弘扬社会主义法治精神，深刻认识法律法规在规范市场秩序、保障公平正义中的重要作用，在职业活动中自觉守法、用法，推动行业规范化发展。</w:t>
            </w:r>
          </w:p>
        </w:tc>
        <w:tc>
          <w:tcPr>
            <w:tcW w:w="2471" w:type="dxa"/>
            <w:vAlign w:val="top"/>
          </w:tcPr>
          <w:p w14:paraId="3509F0D5">
            <w:pPr>
              <w:keepNext w:val="0"/>
              <w:keepLines w:val="0"/>
              <w:pageBreakBefore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i w:val="0"/>
                <w:caps w:val="0"/>
                <w:color w:val="000000"/>
                <w:spacing w:val="0"/>
                <w:kern w:val="0"/>
                <w:sz w:val="24"/>
                <w:szCs w:val="24"/>
                <w:lang w:val="en-US" w:eastAsia="zh-CN" w:bidi="ar"/>
              </w:rPr>
              <w:t>1.</w:t>
            </w:r>
            <w:r>
              <w:rPr>
                <w:rStyle w:val="10"/>
                <w:rFonts w:hint="eastAsia" w:ascii="仿宋_GB2312" w:hAnsi="仿宋_GB2312" w:eastAsia="仿宋_GB2312" w:cs="仿宋_GB2312"/>
                <w:b w:val="0"/>
                <w:bCs w:val="0"/>
                <w:i w:val="0"/>
                <w:caps w:val="0"/>
                <w:color w:val="000000"/>
                <w:spacing w:val="0"/>
                <w:kern w:val="0"/>
                <w:sz w:val="24"/>
                <w:szCs w:val="24"/>
                <w:lang w:val="en-US" w:eastAsia="zh-CN" w:bidi="ar"/>
              </w:rPr>
              <w:t>法规分类</w:t>
            </w:r>
            <w:r>
              <w:rPr>
                <w:rFonts w:hint="eastAsia" w:ascii="仿宋_GB2312" w:hAnsi="仿宋_GB2312" w:eastAsia="仿宋_GB2312" w:cs="仿宋_GB2312"/>
                <w:b w:val="0"/>
                <w:bCs w:val="0"/>
                <w:i w:val="0"/>
                <w:caps w:val="0"/>
                <w:color w:val="000000"/>
                <w:spacing w:val="0"/>
                <w:kern w:val="0"/>
                <w:sz w:val="24"/>
                <w:szCs w:val="24"/>
                <w:lang w:val="en-US" w:eastAsia="zh-CN" w:bidi="ar"/>
              </w:rPr>
              <w:t>：</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交通安全：《</w:t>
            </w:r>
            <w:r>
              <w:rPr>
                <w:rFonts w:hint="eastAsia" w:ascii="仿宋_GB2312" w:hAnsi="仿宋_GB2312" w:eastAsia="仿宋_GB2312" w:cs="仿宋_GB2312"/>
                <w:b w:val="0"/>
                <w:bCs w:val="0"/>
                <w:i w:val="0"/>
                <w:caps w:val="0"/>
                <w:color w:val="000000"/>
                <w:spacing w:val="0"/>
                <w:kern w:val="0"/>
                <w:sz w:val="24"/>
                <w:szCs w:val="24"/>
                <w:highlight w:val="none"/>
                <w:lang w:val="en-US" w:eastAsia="zh-CN" w:bidi="ar"/>
              </w:rPr>
              <w:t>道路交通安全法</w:t>
            </w:r>
            <w:r>
              <w:rPr>
                <w:rFonts w:hint="eastAsia" w:ascii="仿宋_GB2312" w:hAnsi="仿宋_GB2312" w:eastAsia="仿宋_GB2312" w:cs="仿宋_GB2312"/>
                <w:b w:val="0"/>
                <w:bCs w:val="0"/>
                <w:i w:val="0"/>
                <w:caps w:val="0"/>
                <w:color w:val="000000"/>
                <w:spacing w:val="0"/>
                <w:kern w:val="0"/>
                <w:sz w:val="24"/>
                <w:szCs w:val="24"/>
                <w:lang w:val="en-US" w:eastAsia="zh-CN" w:bidi="ar"/>
              </w:rPr>
              <w:t>》《机动车驾驶证申领和使用规定》</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环境保护：《</w:t>
            </w:r>
            <w:r>
              <w:rPr>
                <w:rFonts w:hint="eastAsia" w:ascii="仿宋_GB2312" w:hAnsi="仿宋_GB2312" w:eastAsia="仿宋_GB2312" w:cs="仿宋_GB2312"/>
                <w:b w:val="0"/>
                <w:bCs w:val="0"/>
                <w:i w:val="0"/>
                <w:caps w:val="0"/>
                <w:color w:val="000000"/>
                <w:spacing w:val="0"/>
                <w:kern w:val="0"/>
                <w:sz w:val="24"/>
                <w:szCs w:val="24"/>
                <w:highlight w:val="none"/>
                <w:lang w:val="en-US" w:eastAsia="zh-CN" w:bidi="ar"/>
              </w:rPr>
              <w:t>大气污染防治法</w:t>
            </w:r>
            <w:r>
              <w:rPr>
                <w:rFonts w:hint="eastAsia" w:ascii="仿宋_GB2312" w:hAnsi="仿宋_GB2312" w:eastAsia="仿宋_GB2312" w:cs="仿宋_GB2312"/>
                <w:b w:val="0"/>
                <w:bCs w:val="0"/>
                <w:i w:val="0"/>
                <w:caps w:val="0"/>
                <w:color w:val="000000"/>
                <w:spacing w:val="0"/>
                <w:kern w:val="0"/>
                <w:sz w:val="24"/>
                <w:szCs w:val="24"/>
                <w:lang w:val="en-US" w:eastAsia="zh-CN" w:bidi="ar"/>
              </w:rPr>
              <w:t>》《新能源汽车动力蓄电池回收利用管理办法》</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消费者权益：《</w:t>
            </w:r>
            <w:r>
              <w:rPr>
                <w:rFonts w:hint="eastAsia" w:ascii="仿宋_GB2312" w:hAnsi="仿宋_GB2312" w:eastAsia="仿宋_GB2312" w:cs="仿宋_GB2312"/>
                <w:b w:val="0"/>
                <w:bCs w:val="0"/>
                <w:i w:val="0"/>
                <w:caps w:val="0"/>
                <w:color w:val="000000"/>
                <w:spacing w:val="0"/>
                <w:kern w:val="0"/>
                <w:sz w:val="24"/>
                <w:szCs w:val="24"/>
                <w:highlight w:val="none"/>
                <w:lang w:val="en-US" w:eastAsia="zh-CN" w:bidi="ar"/>
              </w:rPr>
              <w:t>消费者权益保护法</w:t>
            </w:r>
            <w:r>
              <w:rPr>
                <w:rFonts w:hint="eastAsia" w:ascii="仿宋_GB2312" w:hAnsi="仿宋_GB2312" w:eastAsia="仿宋_GB2312" w:cs="仿宋_GB2312"/>
                <w:b w:val="0"/>
                <w:bCs w:val="0"/>
                <w:i w:val="0"/>
                <w:caps w:val="0"/>
                <w:color w:val="000000"/>
                <w:spacing w:val="0"/>
                <w:kern w:val="0"/>
                <w:sz w:val="24"/>
                <w:szCs w:val="24"/>
                <w:lang w:val="en-US" w:eastAsia="zh-CN" w:bidi="ar"/>
              </w:rPr>
              <w:t>》《家用汽车产品修理、更换、退货责任规定》（三包政策）</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2.</w:t>
            </w:r>
            <w:r>
              <w:rPr>
                <w:rStyle w:val="10"/>
                <w:rFonts w:hint="eastAsia" w:ascii="仿宋_GB2312" w:hAnsi="仿宋_GB2312" w:eastAsia="仿宋_GB2312" w:cs="仿宋_GB2312"/>
                <w:b w:val="0"/>
                <w:bCs w:val="0"/>
                <w:i w:val="0"/>
                <w:caps w:val="0"/>
                <w:color w:val="000000"/>
                <w:spacing w:val="0"/>
                <w:kern w:val="0"/>
                <w:sz w:val="24"/>
                <w:szCs w:val="24"/>
                <w:lang w:val="en-US" w:eastAsia="zh-CN" w:bidi="ar"/>
              </w:rPr>
              <w:t>典型案例</w:t>
            </w:r>
            <w:r>
              <w:rPr>
                <w:rFonts w:hint="eastAsia" w:ascii="仿宋_GB2312" w:hAnsi="仿宋_GB2312" w:eastAsia="仿宋_GB2312" w:cs="仿宋_GB2312"/>
                <w:b w:val="0"/>
                <w:bCs w:val="0"/>
                <w:i w:val="0"/>
                <w:caps w:val="0"/>
                <w:color w:val="000000"/>
                <w:spacing w:val="0"/>
                <w:kern w:val="0"/>
                <w:sz w:val="24"/>
                <w:szCs w:val="24"/>
                <w:lang w:val="en-US" w:eastAsia="zh-CN" w:bidi="ar"/>
              </w:rPr>
              <w:t>：</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事故责任认定纠纷（如酒驾事故责任划分）</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质量投诉处理（发动机故障是否符合退换车条件）</w:t>
            </w:r>
          </w:p>
        </w:tc>
        <w:tc>
          <w:tcPr>
            <w:tcW w:w="2163" w:type="dxa"/>
            <w:vAlign w:val="top"/>
          </w:tcPr>
          <w:p w14:paraId="0CA3EFF0">
            <w:pPr>
              <w:keepNext w:val="0"/>
              <w:keepLines w:val="0"/>
              <w:pageBreakBefore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i w:val="0"/>
                <w:caps w:val="0"/>
                <w:color w:val="000000"/>
                <w:spacing w:val="0"/>
                <w:kern w:val="0"/>
                <w:sz w:val="24"/>
                <w:szCs w:val="24"/>
                <w:lang w:val="en-US" w:eastAsia="zh-CN" w:bidi="ar"/>
              </w:rPr>
              <w:t>1.能识别常见违法行为（如拼装车上路、未定期年检）的法律后果</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2.准确</w:t>
            </w:r>
            <w:r>
              <w:rPr>
                <w:rFonts w:hint="eastAsia" w:ascii="仿宋_GB2312" w:hAnsi="仿宋_GB2312" w:eastAsia="仿宋_GB2312" w:cs="仿宋_GB2312"/>
                <w:b w:val="0"/>
                <w:bCs w:val="0"/>
                <w:i w:val="0"/>
                <w:caps w:val="0"/>
                <w:color w:val="000000"/>
                <w:spacing w:val="0"/>
                <w:kern w:val="0"/>
                <w:sz w:val="24"/>
                <w:szCs w:val="24"/>
                <w:highlight w:val="none"/>
                <w:lang w:val="en-US" w:eastAsia="zh-CN" w:bidi="ar"/>
              </w:rPr>
              <w:t>引用</w:t>
            </w:r>
            <w:r>
              <w:rPr>
                <w:rFonts w:hint="eastAsia" w:ascii="仿宋_GB2312" w:hAnsi="仿宋_GB2312" w:eastAsia="仿宋_GB2312" w:cs="仿宋_GB2312"/>
                <w:b w:val="0"/>
                <w:bCs w:val="0"/>
                <w:i w:val="0"/>
                <w:caps w:val="0"/>
                <w:color w:val="000000"/>
                <w:spacing w:val="0"/>
                <w:kern w:val="0"/>
                <w:sz w:val="24"/>
                <w:szCs w:val="24"/>
                <w:lang w:val="en-US" w:eastAsia="zh-CN" w:bidi="ar"/>
              </w:rPr>
              <w:t>三包政策条款（如 60 日 / 3000 公里内发动机故障可退换车）</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3.理解汽车数据安全法规（如《汽车数据安全管理若干规定》对用户信息的保护要求）</w:t>
            </w:r>
          </w:p>
        </w:tc>
      </w:tr>
      <w:tr w14:paraId="627AC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9" w:hRule="atLeast"/>
          <w:jc w:val="center"/>
        </w:trPr>
        <w:tc>
          <w:tcPr>
            <w:tcW w:w="772" w:type="dxa"/>
            <w:vAlign w:val="center"/>
          </w:tcPr>
          <w:p w14:paraId="5D5D88E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10</w:t>
            </w:r>
          </w:p>
        </w:tc>
        <w:tc>
          <w:tcPr>
            <w:tcW w:w="791" w:type="dxa"/>
            <w:vAlign w:val="center"/>
          </w:tcPr>
          <w:p w14:paraId="7B88AD68">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汽车营销技术</w:t>
            </w:r>
          </w:p>
        </w:tc>
        <w:tc>
          <w:tcPr>
            <w:tcW w:w="4427" w:type="dxa"/>
            <w:vAlign w:val="top"/>
          </w:tcPr>
          <w:p w14:paraId="02AF564C">
            <w:pPr>
              <w:keepNext w:val="0"/>
              <w:keepLines w:val="0"/>
              <w:pageBreakBefore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i w:val="0"/>
                <w:caps w:val="0"/>
                <w:color w:val="000000"/>
                <w:spacing w:val="0"/>
                <w:kern w:val="0"/>
                <w:sz w:val="24"/>
                <w:szCs w:val="24"/>
                <w:lang w:val="en-US" w:eastAsia="zh-CN" w:bidi="ar"/>
              </w:rPr>
              <w:t>知识目标：</w:t>
            </w:r>
            <w:r>
              <w:rPr>
                <w:rFonts w:hint="eastAsia" w:ascii="仿宋_GB2312" w:hAnsi="仿宋_GB2312" w:eastAsia="仿宋_GB2312" w:cs="仿宋_GB2312"/>
                <w:b w:val="0"/>
                <w:bCs w:val="0"/>
                <w:i w:val="0"/>
                <w:caps w:val="0"/>
                <w:color w:val="000000"/>
                <w:spacing w:val="0"/>
                <w:kern w:val="0"/>
                <w:sz w:val="24"/>
                <w:szCs w:val="24"/>
                <w:lang w:val="en-US" w:eastAsia="zh-CN" w:bidi="ar"/>
              </w:rPr>
              <w:t>深入了解汽车市场营销的基本理论，包括市场细分、目标客户定位、定价策略（成本加成法、竞争导向定价），掌握汽车销售的实务技巧（六方位绕车介绍、客户异议处理），熟悉数字化营销（短视频推广、直播看车、电商平台购车）的策略与流程，了解《汽车销售管理办法》中关于禁止强制捆绑销售等规范要求。</w:t>
            </w:r>
            <w:r>
              <w:rPr>
                <w:rFonts w:hint="default" w:ascii="仿宋_GB2312" w:hAnsi="仿宋_GB2312" w:eastAsia="仿宋_GB2312" w:cs="仿宋_GB2312"/>
                <w:b w:val="0"/>
                <w:bCs w:val="0"/>
                <w:i w:val="0"/>
                <w:caps w:val="0"/>
                <w:color w:val="000000"/>
                <w:spacing w:val="0"/>
                <w:kern w:val="0"/>
                <w:sz w:val="24"/>
                <w:szCs w:val="24"/>
                <w:lang w:val="en-US" w:eastAsia="zh-CN" w:bidi="ar"/>
              </w:rPr>
              <w:br w:type="textWrapping"/>
            </w:r>
            <w:r>
              <w:rPr>
                <w:rFonts w:hint="default" w:ascii="仿宋_GB2312" w:hAnsi="仿宋_GB2312" w:eastAsia="仿宋_GB2312" w:cs="仿宋_GB2312"/>
                <w:b/>
                <w:bCs/>
                <w:i w:val="0"/>
                <w:caps w:val="0"/>
                <w:color w:val="000000"/>
                <w:spacing w:val="0"/>
                <w:kern w:val="0"/>
                <w:sz w:val="24"/>
                <w:szCs w:val="24"/>
                <w:lang w:val="en-US" w:eastAsia="zh-CN" w:bidi="ar"/>
              </w:rPr>
              <w:t>能力目标：</w:t>
            </w:r>
            <w:r>
              <w:rPr>
                <w:rFonts w:hint="default" w:ascii="仿宋_GB2312" w:hAnsi="仿宋_GB2312" w:eastAsia="仿宋_GB2312" w:cs="仿宋_GB2312"/>
                <w:b w:val="0"/>
                <w:bCs w:val="0"/>
                <w:i w:val="0"/>
                <w:caps w:val="0"/>
                <w:color w:val="000000"/>
                <w:spacing w:val="0"/>
                <w:kern w:val="0"/>
                <w:sz w:val="24"/>
                <w:szCs w:val="24"/>
                <w:lang w:val="en-US" w:eastAsia="zh-CN" w:bidi="ar"/>
              </w:rPr>
              <w:t>能够完成对汽车车型卖点的分析与提炼，运用六方位绕车法向客户进行专业介绍，针对客户提出的价格、油耗等异议进行有效回应，具备设计简单促销方案及运用社交媒体进行车型推广的能力。</w:t>
            </w:r>
            <w:r>
              <w:rPr>
                <w:rFonts w:hint="default" w:ascii="仿宋_GB2312" w:hAnsi="仿宋_GB2312" w:eastAsia="仿宋_GB2312" w:cs="仿宋_GB2312"/>
                <w:b w:val="0"/>
                <w:bCs w:val="0"/>
                <w:i w:val="0"/>
                <w:caps w:val="0"/>
                <w:color w:val="000000"/>
                <w:spacing w:val="0"/>
                <w:kern w:val="0"/>
                <w:sz w:val="24"/>
                <w:szCs w:val="24"/>
                <w:lang w:val="en-US" w:eastAsia="zh-CN" w:bidi="ar"/>
              </w:rPr>
              <w:br w:type="textWrapping"/>
            </w:r>
            <w:r>
              <w:rPr>
                <w:rFonts w:hint="default" w:ascii="仿宋_GB2312" w:hAnsi="仿宋_GB2312" w:eastAsia="仿宋_GB2312" w:cs="仿宋_GB2312"/>
                <w:b/>
                <w:bCs/>
                <w:i w:val="0"/>
                <w:caps w:val="0"/>
                <w:color w:val="000000"/>
                <w:spacing w:val="0"/>
                <w:kern w:val="0"/>
                <w:sz w:val="24"/>
                <w:szCs w:val="24"/>
                <w:lang w:val="en-US" w:eastAsia="zh-CN" w:bidi="ar"/>
              </w:rPr>
              <w:t>素质目标：</w:t>
            </w:r>
            <w:r>
              <w:rPr>
                <w:rFonts w:hint="default" w:ascii="仿宋_GB2312" w:hAnsi="仿宋_GB2312" w:eastAsia="仿宋_GB2312" w:cs="仿宋_GB2312"/>
                <w:b w:val="0"/>
                <w:bCs w:val="0"/>
                <w:i w:val="0"/>
                <w:caps w:val="0"/>
                <w:color w:val="000000"/>
                <w:spacing w:val="0"/>
                <w:kern w:val="0"/>
                <w:sz w:val="24"/>
                <w:szCs w:val="24"/>
                <w:lang w:val="en-US" w:eastAsia="zh-CN" w:bidi="ar"/>
              </w:rPr>
              <w:t>培养以客户为中心的服务思维，养成积极沟通、灵活应变的职业素养，提升市场洞察力与创新营销能力。</w:t>
            </w:r>
            <w:r>
              <w:rPr>
                <w:rFonts w:hint="default" w:ascii="仿宋_GB2312" w:hAnsi="仿宋_GB2312" w:eastAsia="仿宋_GB2312" w:cs="仿宋_GB2312"/>
                <w:b w:val="0"/>
                <w:bCs w:val="0"/>
                <w:i w:val="0"/>
                <w:caps w:val="0"/>
                <w:color w:val="000000"/>
                <w:spacing w:val="0"/>
                <w:kern w:val="0"/>
                <w:sz w:val="24"/>
                <w:szCs w:val="24"/>
                <w:lang w:val="en-US" w:eastAsia="zh-CN" w:bidi="ar"/>
              </w:rPr>
              <w:br w:type="textWrapping"/>
            </w:r>
            <w:r>
              <w:rPr>
                <w:rFonts w:hint="default" w:ascii="仿宋_GB2312" w:hAnsi="仿宋_GB2312" w:eastAsia="仿宋_GB2312" w:cs="仿宋_GB2312"/>
                <w:b/>
                <w:bCs/>
                <w:i w:val="0"/>
                <w:caps w:val="0"/>
                <w:color w:val="000000"/>
                <w:spacing w:val="0"/>
                <w:kern w:val="0"/>
                <w:sz w:val="24"/>
                <w:szCs w:val="24"/>
                <w:lang w:val="en-US" w:eastAsia="zh-CN" w:bidi="ar"/>
              </w:rPr>
              <w:t>课程思政育人目标：</w:t>
            </w:r>
            <w:r>
              <w:rPr>
                <w:rFonts w:hint="default" w:ascii="仿宋_GB2312" w:hAnsi="仿宋_GB2312" w:eastAsia="仿宋_GB2312" w:cs="仿宋_GB2312"/>
                <w:b w:val="0"/>
                <w:bCs w:val="0"/>
                <w:i w:val="0"/>
                <w:caps w:val="0"/>
                <w:color w:val="000000"/>
                <w:spacing w:val="0"/>
                <w:kern w:val="0"/>
                <w:sz w:val="24"/>
                <w:szCs w:val="24"/>
                <w:lang w:val="en-US" w:eastAsia="zh-CN" w:bidi="ar"/>
              </w:rPr>
              <w:t>坚决反对虚假宣传、强制消费等不正当营销行为，在销售过程中践行诚信原则，尊重客户知情权与选择权，维护行业诚信形象。</w:t>
            </w:r>
          </w:p>
        </w:tc>
        <w:tc>
          <w:tcPr>
            <w:tcW w:w="2471" w:type="dxa"/>
            <w:vAlign w:val="top"/>
          </w:tcPr>
          <w:p w14:paraId="4556B8BF">
            <w:pPr>
              <w:keepNext w:val="0"/>
              <w:keepLines w:val="0"/>
              <w:pageBreakBefore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i w:val="0"/>
                <w:caps w:val="0"/>
                <w:color w:val="000000"/>
                <w:spacing w:val="0"/>
                <w:kern w:val="0"/>
                <w:sz w:val="24"/>
                <w:szCs w:val="24"/>
                <w:lang w:val="en-US" w:eastAsia="zh-CN" w:bidi="ar"/>
              </w:rPr>
              <w:t>1. </w:t>
            </w:r>
            <w:r>
              <w:rPr>
                <w:rStyle w:val="10"/>
                <w:rFonts w:hint="eastAsia" w:ascii="仿宋_GB2312" w:hAnsi="仿宋_GB2312" w:eastAsia="仿宋_GB2312" w:cs="仿宋_GB2312"/>
                <w:b w:val="0"/>
                <w:bCs w:val="0"/>
                <w:i w:val="0"/>
                <w:caps w:val="0"/>
                <w:color w:val="000000"/>
                <w:spacing w:val="0"/>
                <w:kern w:val="0"/>
                <w:sz w:val="24"/>
                <w:szCs w:val="24"/>
                <w:lang w:val="en-US" w:eastAsia="zh-CN" w:bidi="ar"/>
              </w:rPr>
              <w:t>理论基础</w:t>
            </w:r>
            <w:r>
              <w:rPr>
                <w:rFonts w:hint="eastAsia" w:ascii="仿宋_GB2312" w:hAnsi="仿宋_GB2312" w:eastAsia="仿宋_GB2312" w:cs="仿宋_GB2312"/>
                <w:b w:val="0"/>
                <w:bCs w:val="0"/>
                <w:i w:val="0"/>
                <w:caps w:val="0"/>
                <w:color w:val="000000"/>
                <w:spacing w:val="0"/>
                <w:kern w:val="0"/>
                <w:sz w:val="24"/>
                <w:szCs w:val="24"/>
                <w:lang w:val="en-US" w:eastAsia="zh-CN" w:bidi="ar"/>
              </w:rPr>
              <w:t>：</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市场细分与目标客户定位（如 SUV 车型针对家庭用户）</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定价策略（成本加成法、竞争导向定价）</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2. </w:t>
            </w:r>
            <w:r>
              <w:rPr>
                <w:rStyle w:val="10"/>
                <w:rFonts w:hint="eastAsia" w:ascii="仿宋_GB2312" w:hAnsi="仿宋_GB2312" w:eastAsia="仿宋_GB2312" w:cs="仿宋_GB2312"/>
                <w:b w:val="0"/>
                <w:bCs w:val="0"/>
                <w:i w:val="0"/>
                <w:caps w:val="0"/>
                <w:color w:val="000000"/>
                <w:spacing w:val="0"/>
                <w:kern w:val="0"/>
                <w:sz w:val="24"/>
                <w:szCs w:val="24"/>
                <w:lang w:val="en-US" w:eastAsia="zh-CN" w:bidi="ar"/>
              </w:rPr>
              <w:t>销售实务</w:t>
            </w:r>
            <w:r>
              <w:rPr>
                <w:rFonts w:hint="eastAsia" w:ascii="仿宋_GB2312" w:hAnsi="仿宋_GB2312" w:eastAsia="仿宋_GB2312" w:cs="仿宋_GB2312"/>
                <w:b w:val="0"/>
                <w:bCs w:val="0"/>
                <w:i w:val="0"/>
                <w:caps w:val="0"/>
                <w:color w:val="000000"/>
                <w:spacing w:val="0"/>
                <w:kern w:val="0"/>
                <w:sz w:val="24"/>
                <w:szCs w:val="24"/>
                <w:lang w:val="en-US" w:eastAsia="zh-CN" w:bidi="ar"/>
              </w:rPr>
              <w:t>：</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六方位绕车介绍（发动机舱、驾驶室、后排、</w:t>
            </w:r>
            <w:r>
              <w:rPr>
                <w:rFonts w:hint="eastAsia" w:ascii="仿宋_GB2312" w:hAnsi="仿宋_GB2312" w:eastAsia="仿宋_GB2312" w:cs="仿宋_GB2312"/>
                <w:b w:val="0"/>
                <w:bCs w:val="0"/>
                <w:i w:val="0"/>
                <w:caps w:val="0"/>
                <w:color w:val="000000"/>
                <w:spacing w:val="0"/>
                <w:kern w:val="0"/>
                <w:sz w:val="24"/>
                <w:szCs w:val="24"/>
                <w:highlight w:val="none"/>
                <w:lang w:val="en-US" w:eastAsia="zh-CN" w:bidi="ar"/>
              </w:rPr>
              <w:t>后备厢</w:t>
            </w:r>
            <w:r>
              <w:rPr>
                <w:rFonts w:hint="eastAsia" w:ascii="仿宋_GB2312" w:hAnsi="仿宋_GB2312" w:eastAsia="仿宋_GB2312" w:cs="仿宋_GB2312"/>
                <w:b w:val="0"/>
                <w:bCs w:val="0"/>
                <w:i w:val="0"/>
                <w:caps w:val="0"/>
                <w:color w:val="000000"/>
                <w:spacing w:val="0"/>
                <w:kern w:val="0"/>
                <w:sz w:val="24"/>
                <w:szCs w:val="24"/>
                <w:lang w:val="en-US" w:eastAsia="zh-CN" w:bidi="ar"/>
              </w:rPr>
              <w:t>、侧面、前部）</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客户异议处理（如 “价格太贵”“油耗太高” 的应对话术）</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3. </w:t>
            </w:r>
            <w:r>
              <w:rPr>
                <w:rStyle w:val="10"/>
                <w:rFonts w:hint="eastAsia" w:ascii="仿宋_GB2312" w:hAnsi="仿宋_GB2312" w:eastAsia="仿宋_GB2312" w:cs="仿宋_GB2312"/>
                <w:b w:val="0"/>
                <w:bCs w:val="0"/>
                <w:i w:val="0"/>
                <w:caps w:val="0"/>
                <w:color w:val="000000"/>
                <w:spacing w:val="0"/>
                <w:kern w:val="0"/>
                <w:sz w:val="24"/>
                <w:szCs w:val="24"/>
                <w:lang w:val="en-US" w:eastAsia="zh-CN" w:bidi="ar"/>
              </w:rPr>
              <w:t>数字化营销</w:t>
            </w:r>
            <w:r>
              <w:rPr>
                <w:rFonts w:hint="eastAsia" w:ascii="仿宋_GB2312" w:hAnsi="仿宋_GB2312" w:eastAsia="仿宋_GB2312" w:cs="仿宋_GB2312"/>
                <w:b w:val="0"/>
                <w:bCs w:val="0"/>
                <w:i w:val="0"/>
                <w:caps w:val="0"/>
                <w:color w:val="000000"/>
                <w:spacing w:val="0"/>
                <w:kern w:val="0"/>
                <w:sz w:val="24"/>
                <w:szCs w:val="24"/>
                <w:lang w:val="en-US" w:eastAsia="zh-CN" w:bidi="ar"/>
              </w:rPr>
              <w:t>：</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社交媒体营销（短视频平台车型推广）</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电商平台购车流程（线上预约、直播看车、金融方案申请）</w:t>
            </w:r>
          </w:p>
        </w:tc>
        <w:tc>
          <w:tcPr>
            <w:tcW w:w="2163" w:type="dxa"/>
            <w:vAlign w:val="top"/>
          </w:tcPr>
          <w:p w14:paraId="5ABCE7ED">
            <w:pPr>
              <w:keepNext w:val="0"/>
              <w:keepLines w:val="0"/>
              <w:pageBreakBefore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i w:val="0"/>
                <w:caps w:val="0"/>
                <w:color w:val="000000"/>
                <w:spacing w:val="0"/>
                <w:kern w:val="0"/>
                <w:sz w:val="24"/>
                <w:szCs w:val="24"/>
                <w:lang w:val="en-US" w:eastAsia="zh-CN" w:bidi="ar"/>
              </w:rPr>
              <w:t>1.能撰写简单的车型卖点分析表（对比竞品优势）</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2.掌握汽车销售合同签订要点（配置确认、交车时间、附加条款）</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3.遵守《汽车销售管理办法》，禁止强制捆绑销售（如加装装饰件）</w:t>
            </w:r>
          </w:p>
        </w:tc>
      </w:tr>
    </w:tbl>
    <w:p w14:paraId="4F8177A3">
      <w:pPr>
        <w:keepNext w:val="0"/>
        <w:keepLines w:val="0"/>
        <w:pageBreakBefore w:val="0"/>
        <w:widowControl w:val="0"/>
        <w:kinsoku/>
        <w:wordWrap/>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.实践</w:t>
      </w:r>
      <w:r>
        <w:rPr>
          <w:rFonts w:hint="eastAsia" w:ascii="仿宋_GB2312" w:hAnsi="仿宋_GB2312" w:eastAsia="仿宋_GB2312" w:cs="仿宋_GB2312"/>
          <w:color w:val="auto"/>
          <w:sz w:val="32"/>
          <w:szCs w:val="32"/>
          <w:lang w:val="en-US" w:eastAsia="zh-CN"/>
        </w:rPr>
        <w:t>性</w:t>
      </w:r>
      <w:r>
        <w:rPr>
          <w:rFonts w:hint="eastAsia" w:ascii="仿宋_GB2312" w:hAnsi="仿宋_GB2312" w:eastAsia="仿宋_GB2312" w:cs="仿宋_GB2312"/>
          <w:color w:val="auto"/>
          <w:sz w:val="32"/>
          <w:szCs w:val="32"/>
        </w:rPr>
        <w:t>教学环节 ：主要实践性课程：</w:t>
      </w:r>
      <w:r>
        <w:rPr>
          <w:rFonts w:hint="eastAsia" w:ascii="仿宋_GB2312" w:hAnsi="仿宋_GB2312" w:eastAsia="仿宋_GB2312" w:cs="仿宋_GB2312"/>
          <w:color w:val="auto"/>
          <w:sz w:val="32"/>
          <w:szCs w:val="32"/>
          <w:lang w:val="en-US" w:eastAsia="zh-CN"/>
        </w:rPr>
        <w:t>汽车维护</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汽车发动机检修、汽车底盘检修、汽车故障诊断、汽车电气设备检修、汽车性能检测、</w:t>
      </w:r>
      <w:r>
        <w:rPr>
          <w:rFonts w:hint="eastAsia" w:ascii="仿宋_GB2312" w:hAnsi="仿宋_GB2312" w:eastAsia="仿宋_GB2312" w:cs="仿宋_GB2312"/>
          <w:color w:val="auto"/>
          <w:sz w:val="32"/>
          <w:szCs w:val="32"/>
        </w:rPr>
        <w:t>毕业设计、</w:t>
      </w:r>
      <w:r>
        <w:rPr>
          <w:rFonts w:hint="eastAsia" w:ascii="仿宋_GB2312" w:hAnsi="仿宋_GB2312" w:eastAsia="仿宋_GB2312" w:cs="仿宋_GB2312"/>
          <w:color w:val="auto"/>
          <w:sz w:val="32"/>
          <w:szCs w:val="32"/>
          <w:lang w:eastAsia="zh-CN"/>
        </w:rPr>
        <w:t>岗位实习</w:t>
      </w:r>
      <w:r>
        <w:rPr>
          <w:rFonts w:hint="eastAsia" w:ascii="仿宋_GB2312" w:hAnsi="仿宋_GB2312" w:eastAsia="仿宋_GB2312" w:cs="仿宋_GB2312"/>
          <w:color w:val="auto"/>
          <w:sz w:val="32"/>
          <w:szCs w:val="32"/>
          <w:lang w:val="en-US" w:eastAsia="zh-CN"/>
        </w:rPr>
        <w:t>等课程。</w:t>
      </w:r>
    </w:p>
    <w:p w14:paraId="1AC374CB">
      <w:pPr>
        <w:keepNext w:val="0"/>
        <w:keepLines w:val="0"/>
        <w:pageBreakBefore w:val="0"/>
        <w:widowControl w:val="0"/>
        <w:kinsoku/>
        <w:wordWrap/>
        <w:overflowPunct w:val="0"/>
        <w:topLinePunct w:val="0"/>
        <w:autoSpaceDE/>
        <w:autoSpaceDN/>
        <w:bidi w:val="0"/>
        <w:adjustRightInd w:val="0"/>
        <w:spacing w:after="0" w:line="520" w:lineRule="exact"/>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highlight w:val="none"/>
        </w:rPr>
        <w:t>实践</w:t>
      </w:r>
      <w:r>
        <w:rPr>
          <w:rFonts w:hint="eastAsia" w:ascii="仿宋_GB2312" w:hAnsi="仿宋_GB2312" w:eastAsia="仿宋_GB2312" w:cs="仿宋_GB2312"/>
          <w:color w:val="auto"/>
          <w:sz w:val="32"/>
          <w:szCs w:val="32"/>
          <w:highlight w:val="none"/>
          <w:lang w:val="en-US" w:eastAsia="zh-CN"/>
        </w:rPr>
        <w:t>性</w:t>
      </w:r>
      <w:r>
        <w:rPr>
          <w:rFonts w:hint="eastAsia" w:ascii="仿宋_GB2312" w:hAnsi="仿宋_GB2312" w:eastAsia="仿宋_GB2312" w:cs="仿宋_GB2312"/>
          <w:color w:val="auto"/>
          <w:sz w:val="32"/>
          <w:szCs w:val="32"/>
          <w:highlight w:val="none"/>
        </w:rPr>
        <w:t>教学环节课程</w:t>
      </w:r>
      <w:r>
        <w:rPr>
          <w:rFonts w:hint="eastAsia" w:ascii="仿宋_GB2312" w:hAnsi="仿宋_GB2312" w:eastAsia="仿宋_GB2312" w:cs="仿宋_GB2312"/>
          <w:color w:val="auto"/>
          <w:sz w:val="32"/>
          <w:szCs w:val="32"/>
          <w:highlight w:val="none"/>
          <w:lang w:val="en-US" w:eastAsia="zh-CN"/>
        </w:rPr>
        <w:t>目标、主要教学内容与要求</w:t>
      </w:r>
    </w:p>
    <w:tbl>
      <w:tblPr>
        <w:tblStyle w:val="8"/>
        <w:tblW w:w="99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6"/>
        <w:gridCol w:w="856"/>
        <w:gridCol w:w="4452"/>
        <w:gridCol w:w="2117"/>
        <w:gridCol w:w="1645"/>
      </w:tblGrid>
      <w:tr w14:paraId="6E8D4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76" w:type="dxa"/>
            <w:vAlign w:val="center"/>
          </w:tcPr>
          <w:p w14:paraId="2BBE8A20">
            <w:pPr>
              <w:overflowPunct w:val="0"/>
              <w:adjustRightInd w:val="0"/>
              <w:spacing w:line="360" w:lineRule="exact"/>
              <w:jc w:val="center"/>
              <w:rPr>
                <w:rFonts w:hint="eastAsia" w:ascii="仿宋_GB2312" w:hAnsi="仿宋_GB2312" w:eastAsia="仿宋_GB2312" w:cs="仿宋_GB2312"/>
                <w:color w:val="auto"/>
                <w:sz w:val="24"/>
              </w:rPr>
            </w:pPr>
            <w:bookmarkStart w:id="9" w:name="OLE_LINK21"/>
            <w:r>
              <w:rPr>
                <w:rFonts w:hint="eastAsia" w:ascii="仿宋_GB2312" w:hAnsi="仿宋_GB2312" w:eastAsia="仿宋_GB2312" w:cs="仿宋_GB2312"/>
                <w:color w:val="auto"/>
                <w:sz w:val="24"/>
              </w:rPr>
              <w:t>序号</w:t>
            </w:r>
          </w:p>
        </w:tc>
        <w:tc>
          <w:tcPr>
            <w:tcW w:w="856" w:type="dxa"/>
            <w:vAlign w:val="center"/>
          </w:tcPr>
          <w:p w14:paraId="7B9060A4">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课程</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名称</w:t>
            </w:r>
          </w:p>
        </w:tc>
        <w:tc>
          <w:tcPr>
            <w:tcW w:w="4452" w:type="dxa"/>
            <w:vAlign w:val="center"/>
          </w:tcPr>
          <w:p w14:paraId="794DCAA5">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课程</w:t>
            </w:r>
            <w:r>
              <w:rPr>
                <w:rFonts w:hint="eastAsia" w:ascii="仿宋_GB2312" w:hAnsi="仿宋_GB2312" w:eastAsia="仿宋_GB2312" w:cs="仿宋_GB2312"/>
                <w:color w:val="auto"/>
                <w:sz w:val="24"/>
                <w:szCs w:val="24"/>
              </w:rPr>
              <w:t>目标</w:t>
            </w:r>
          </w:p>
        </w:tc>
        <w:tc>
          <w:tcPr>
            <w:tcW w:w="2117" w:type="dxa"/>
            <w:vAlign w:val="center"/>
          </w:tcPr>
          <w:p w14:paraId="320ACF2C">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p>
        </w:tc>
        <w:tc>
          <w:tcPr>
            <w:tcW w:w="1645" w:type="dxa"/>
            <w:vAlign w:val="center"/>
          </w:tcPr>
          <w:p w14:paraId="52040C69">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教学要求</w:t>
            </w:r>
          </w:p>
        </w:tc>
      </w:tr>
      <w:tr w14:paraId="38648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76" w:type="dxa"/>
            <w:vAlign w:val="center"/>
          </w:tcPr>
          <w:p w14:paraId="77AD2A87">
            <w:pPr>
              <w:overflowPunct w:val="0"/>
              <w:adjustRightInd w:val="0"/>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w:t>
            </w:r>
          </w:p>
        </w:tc>
        <w:tc>
          <w:tcPr>
            <w:tcW w:w="856" w:type="dxa"/>
            <w:vAlign w:val="center"/>
          </w:tcPr>
          <w:p w14:paraId="5337752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汽车维护</w:t>
            </w:r>
          </w:p>
        </w:tc>
        <w:tc>
          <w:tcPr>
            <w:tcW w:w="4452" w:type="dxa"/>
            <w:vAlign w:val="top"/>
          </w:tcPr>
          <w:p w14:paraId="578F8BBC">
            <w:pPr>
              <w:pStyle w:val="6"/>
              <w:keepNext w:val="0"/>
              <w:keepLines w:val="0"/>
              <w:widowControl/>
              <w:suppressLineNumbers w:val="0"/>
              <w:spacing w:before="0" w:beforeAutospacing="0" w:after="0" w:afterAutospacing="0"/>
              <w:ind w:right="0"/>
              <w:jc w:val="both"/>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系统掌握汽车日常维护、一级维护、二级维护的全套作业流程及技术标准，包括油液检查与更换、轮胎保养、制动系统检测等核心内容；熟悉举升机、扭力扳手、胎压计等维护工具和设备的安全操作规程及日常保养方法。</w:t>
            </w:r>
          </w:p>
          <w:p w14:paraId="3E4D34F1">
            <w:pPr>
              <w:pStyle w:val="6"/>
              <w:keepNext w:val="0"/>
              <w:keepLines w:val="0"/>
              <w:widowControl/>
              <w:suppressLineNumbers w:val="0"/>
              <w:spacing w:before="0" w:beforeAutospacing="0" w:after="0" w:afterAutospacing="0"/>
              <w:ind w:right="0"/>
              <w:jc w:val="both"/>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独立完成车辆油液（机油、冷却液、制动液等）的液位检查与规范更换，精准执行轮胎换位、动平衡检测及胎压调整；能通过目视检查和简单工具检测底盘部件（如悬架、传动系）的松动或磨损情况，并规范填写《汽车维护工单》，清晰记录维护项目、耗材型号及异常问题。</w:t>
            </w:r>
          </w:p>
          <w:p w14:paraId="790D0A6D">
            <w:pPr>
              <w:pStyle w:val="6"/>
              <w:keepNext w:val="0"/>
              <w:keepLines w:val="0"/>
              <w:widowControl/>
              <w:suppressLineNumbers w:val="0"/>
              <w:spacing w:before="0" w:beforeAutospacing="0" w:after="0" w:afterAutospacing="0"/>
              <w:ind w:right="0"/>
              <w:jc w:val="both"/>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培养细致严谨的工作态度，养成“按规程操作、按标准检验”的职业习惯；强化安全操作意识（如举升机使用前确认锁止）和环保意识（如废油回收处理），树立 “预防为主、养修结合” 的维修理念。</w:t>
            </w:r>
          </w:p>
          <w:p w14:paraId="306A4609">
            <w:pPr>
              <w:pStyle w:val="6"/>
              <w:keepNext w:val="0"/>
              <w:keepLines w:val="0"/>
              <w:widowControl/>
              <w:suppressLineNumbers w:val="0"/>
              <w:spacing w:before="0" w:beforeAutospacing="0" w:after="0" w:afterAutospacing="0"/>
              <w:ind w:right="0"/>
              <w:jc w:val="both"/>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通过规范的维护作业流程，弘扬 “精益求精” 的工匠精神，引导学生认识到每一项基础维护对车辆安全运行的重要性，培养对客户负责、对安全负责的职业担当。</w:t>
            </w:r>
          </w:p>
        </w:tc>
        <w:tc>
          <w:tcPr>
            <w:tcW w:w="2117" w:type="dxa"/>
            <w:vAlign w:val="top"/>
          </w:tcPr>
          <w:p w14:paraId="7257EB2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b w:val="0"/>
                <w:bCs w:val="0"/>
                <w:i w:val="0"/>
                <w:caps w:val="0"/>
                <w:color w:val="000000"/>
                <w:spacing w:val="0"/>
                <w:kern w:val="0"/>
                <w:sz w:val="24"/>
                <w:szCs w:val="24"/>
                <w:lang w:val="en-US" w:eastAsia="zh-CN" w:bidi="ar"/>
              </w:rPr>
              <w:t>1.</w:t>
            </w:r>
            <w:r>
              <w:rPr>
                <w:rStyle w:val="10"/>
                <w:rFonts w:hint="eastAsia" w:ascii="仿宋_GB2312" w:hAnsi="仿宋_GB2312" w:eastAsia="仿宋_GB2312" w:cs="仿宋_GB2312"/>
                <w:b w:val="0"/>
                <w:bCs w:val="0"/>
                <w:i w:val="0"/>
                <w:caps w:val="0"/>
                <w:color w:val="000000"/>
                <w:spacing w:val="0"/>
                <w:kern w:val="0"/>
                <w:sz w:val="24"/>
                <w:szCs w:val="24"/>
                <w:lang w:val="en-US" w:eastAsia="zh-CN" w:bidi="ar"/>
              </w:rPr>
              <w:t>日常维护</w:t>
            </w:r>
            <w:r>
              <w:rPr>
                <w:rFonts w:hint="eastAsia" w:ascii="仿宋_GB2312" w:hAnsi="仿宋_GB2312" w:eastAsia="仿宋_GB2312" w:cs="仿宋_GB2312"/>
                <w:b w:val="0"/>
                <w:bCs w:val="0"/>
                <w:i w:val="0"/>
                <w:caps w:val="0"/>
                <w:color w:val="000000"/>
                <w:spacing w:val="0"/>
                <w:kern w:val="0"/>
                <w:sz w:val="24"/>
                <w:szCs w:val="24"/>
                <w:lang w:val="en-US" w:eastAsia="zh-CN" w:bidi="ar"/>
              </w:rPr>
              <w:t>：</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2.</w:t>
            </w:r>
            <w:r>
              <w:rPr>
                <w:rStyle w:val="10"/>
                <w:rFonts w:hint="eastAsia" w:ascii="仿宋_GB2312" w:hAnsi="仿宋_GB2312" w:eastAsia="仿宋_GB2312" w:cs="仿宋_GB2312"/>
                <w:b w:val="0"/>
                <w:bCs w:val="0"/>
                <w:i w:val="0"/>
                <w:caps w:val="0"/>
                <w:color w:val="000000"/>
                <w:spacing w:val="0"/>
                <w:kern w:val="0"/>
                <w:sz w:val="24"/>
                <w:szCs w:val="24"/>
                <w:lang w:val="en-US" w:eastAsia="zh-CN" w:bidi="ar"/>
              </w:rPr>
              <w:t>一级维护</w:t>
            </w:r>
            <w:r>
              <w:rPr>
                <w:rFonts w:hint="eastAsia" w:ascii="仿宋_GB2312" w:hAnsi="仿宋_GB2312" w:eastAsia="仿宋_GB2312" w:cs="仿宋_GB2312"/>
                <w:b w:val="0"/>
                <w:bCs w:val="0"/>
                <w:i w:val="0"/>
                <w:caps w:val="0"/>
                <w:color w:val="000000"/>
                <w:spacing w:val="0"/>
                <w:kern w:val="0"/>
                <w:sz w:val="24"/>
                <w:szCs w:val="24"/>
                <w:lang w:val="en-US" w:eastAsia="zh-CN" w:bidi="ar"/>
              </w:rPr>
              <w:t>：</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3.</w:t>
            </w:r>
            <w:r>
              <w:rPr>
                <w:rStyle w:val="10"/>
                <w:rFonts w:hint="eastAsia" w:ascii="仿宋_GB2312" w:hAnsi="仿宋_GB2312" w:eastAsia="仿宋_GB2312" w:cs="仿宋_GB2312"/>
                <w:b w:val="0"/>
                <w:bCs w:val="0"/>
                <w:i w:val="0"/>
                <w:caps w:val="0"/>
                <w:color w:val="000000"/>
                <w:spacing w:val="0"/>
                <w:kern w:val="0"/>
                <w:sz w:val="24"/>
                <w:szCs w:val="24"/>
                <w:lang w:val="en-US" w:eastAsia="zh-CN" w:bidi="ar"/>
              </w:rPr>
              <w:t>二级维护</w:t>
            </w:r>
            <w:r>
              <w:rPr>
                <w:rFonts w:hint="eastAsia" w:ascii="仿宋_GB2312" w:hAnsi="仿宋_GB2312" w:eastAsia="仿宋_GB2312" w:cs="仿宋_GB2312"/>
                <w:b w:val="0"/>
                <w:bCs w:val="0"/>
                <w:i w:val="0"/>
                <w:caps w:val="0"/>
                <w:color w:val="000000"/>
                <w:spacing w:val="0"/>
                <w:kern w:val="0"/>
                <w:sz w:val="24"/>
                <w:szCs w:val="24"/>
                <w:lang w:val="en-US" w:eastAsia="zh-CN" w:bidi="ar"/>
              </w:rPr>
              <w:t>：</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4.</w:t>
            </w:r>
            <w:r>
              <w:rPr>
                <w:rStyle w:val="10"/>
                <w:rFonts w:hint="eastAsia" w:ascii="仿宋_GB2312" w:hAnsi="仿宋_GB2312" w:eastAsia="仿宋_GB2312" w:cs="仿宋_GB2312"/>
                <w:b w:val="0"/>
                <w:bCs w:val="0"/>
                <w:i w:val="0"/>
                <w:caps w:val="0"/>
                <w:color w:val="000000"/>
                <w:spacing w:val="0"/>
                <w:kern w:val="0"/>
                <w:sz w:val="24"/>
                <w:szCs w:val="24"/>
                <w:lang w:val="en-US" w:eastAsia="zh-CN" w:bidi="ar"/>
              </w:rPr>
              <w:t>维护记录</w:t>
            </w:r>
            <w:r>
              <w:rPr>
                <w:rFonts w:hint="eastAsia" w:ascii="仿宋_GB2312" w:hAnsi="仿宋_GB2312" w:eastAsia="仿宋_GB2312" w:cs="仿宋_GB2312"/>
                <w:b w:val="0"/>
                <w:bCs w:val="0"/>
                <w:i w:val="0"/>
                <w:caps w:val="0"/>
                <w:color w:val="000000"/>
                <w:spacing w:val="0"/>
                <w:kern w:val="0"/>
                <w:sz w:val="24"/>
                <w:szCs w:val="24"/>
                <w:lang w:val="en-US" w:eastAsia="zh-CN" w:bidi="ar"/>
              </w:rPr>
              <w:t>：填写《汽车维护工单》，记录维护项目、耗材型号、部件状态及异常问题</w:t>
            </w:r>
          </w:p>
        </w:tc>
        <w:tc>
          <w:tcPr>
            <w:tcW w:w="1645" w:type="dxa"/>
            <w:vAlign w:val="top"/>
          </w:tcPr>
          <w:p w14:paraId="3D4DF74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b w:val="0"/>
                <w:bCs w:val="0"/>
                <w:i w:val="0"/>
                <w:caps w:val="0"/>
                <w:color w:val="000000"/>
                <w:spacing w:val="0"/>
                <w:kern w:val="0"/>
                <w:sz w:val="24"/>
                <w:szCs w:val="24"/>
                <w:lang w:val="en-US" w:eastAsia="zh-CN" w:bidi="ar"/>
              </w:rPr>
              <w:t>1.严格遵循《汽车维护手册》规定的扭矩标准（如机油滤芯拧紧力矩 20</w:t>
            </w:r>
            <w:r>
              <w:rPr>
                <w:rFonts w:hint="eastAsia" w:ascii="仿宋_GB2312" w:hAnsi="仿宋_GB2312" w:eastAsia="仿宋_GB2312" w:cs="仿宋_GB2312"/>
                <w:b w:val="0"/>
                <w:bCs w:val="0"/>
                <w:i w:val="0"/>
                <w:caps w:val="0"/>
                <w:color w:val="000000"/>
                <w:spacing w:val="0"/>
                <w:kern w:val="0"/>
                <w:sz w:val="24"/>
                <w:szCs w:val="24"/>
                <w:highlight w:val="none"/>
                <w:lang w:val="en-US" w:eastAsia="zh-CN" w:bidi="ar"/>
              </w:rPr>
              <w:t>-</w:t>
            </w:r>
            <w:r>
              <w:rPr>
                <w:rFonts w:hint="eastAsia" w:ascii="仿宋_GB2312" w:hAnsi="仿宋_GB2312" w:eastAsia="仿宋_GB2312" w:cs="仿宋_GB2312"/>
                <w:b w:val="0"/>
                <w:bCs w:val="0"/>
                <w:i w:val="0"/>
                <w:caps w:val="0"/>
                <w:color w:val="000000"/>
                <w:spacing w:val="0"/>
                <w:kern w:val="0"/>
                <w:sz w:val="24"/>
                <w:szCs w:val="24"/>
                <w:lang w:val="en-US" w:eastAsia="zh-CN" w:bidi="ar"/>
              </w:rPr>
              <w:t>30N・m）</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2.正确使用举升机（车辆停稳后拉驻车制动，举升过程中禁止进入车底）</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3.能识别维护中发现的异常现象（如底盘漏油、皮带裂纹）并及时反馈</w:t>
            </w:r>
          </w:p>
        </w:tc>
      </w:tr>
      <w:tr w14:paraId="5429C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76" w:type="dxa"/>
            <w:vAlign w:val="center"/>
          </w:tcPr>
          <w:p w14:paraId="318D7687">
            <w:pPr>
              <w:overflowPunct w:val="0"/>
              <w:adjustRightInd w:val="0"/>
              <w:spacing w:line="360" w:lineRule="exact"/>
              <w:jc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2</w:t>
            </w:r>
          </w:p>
        </w:tc>
        <w:tc>
          <w:tcPr>
            <w:tcW w:w="856" w:type="dxa"/>
            <w:vAlign w:val="center"/>
          </w:tcPr>
          <w:p w14:paraId="2D2AC04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汽车发动机检修</w:t>
            </w:r>
          </w:p>
        </w:tc>
        <w:tc>
          <w:tcPr>
            <w:tcW w:w="4452" w:type="dxa"/>
            <w:vAlign w:val="top"/>
          </w:tcPr>
          <w:p w14:paraId="3962F602">
            <w:pPr>
              <w:pStyle w:val="6"/>
              <w:keepNext w:val="0"/>
              <w:keepLines w:val="0"/>
              <w:widowControl/>
              <w:suppressLineNumbers w:val="0"/>
              <w:spacing w:before="0" w:beforeAutospacing="0" w:after="0" w:afterAutospacing="0"/>
              <w:ind w:right="0"/>
              <w:jc w:val="both"/>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知识目标：</w:t>
            </w:r>
            <w:r>
              <w:rPr>
                <w:rFonts w:hint="eastAsia" w:ascii="仿宋_GB2312" w:hAnsi="仿宋_GB2312" w:eastAsia="仿宋_GB2312" w:cs="仿宋_GB2312"/>
                <w:color w:val="auto"/>
                <w:sz w:val="24"/>
              </w:rPr>
              <w:t>深入掌握发动机机械系统（曲柄连杆机构、配气机构）和电控系统（燃油喷射、点火系统）的结构原理及装配关系；熟悉发动机总成拆装的工艺流程、零部件检测标准（如活塞与气缸间隙、气门间隙）及常见故障（怠速不稳、动力不足、异响）的诊断逻辑。</w:t>
            </w:r>
          </w:p>
          <w:p w14:paraId="65EBC1FF">
            <w:pPr>
              <w:pStyle w:val="6"/>
              <w:keepNext w:val="0"/>
              <w:keepLines w:val="0"/>
              <w:widowControl/>
              <w:suppressLineNumbers w:val="0"/>
              <w:spacing w:before="0" w:beforeAutospacing="0" w:after="0" w:afterAutospacing="0"/>
              <w:ind w:right="0"/>
              <w:jc w:val="both"/>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能力目标：</w:t>
            </w:r>
            <w:r>
              <w:rPr>
                <w:rFonts w:hint="eastAsia" w:ascii="仿宋_GB2312" w:hAnsi="仿宋_GB2312" w:eastAsia="仿宋_GB2312" w:cs="仿宋_GB2312"/>
                <w:color w:val="auto"/>
                <w:sz w:val="24"/>
              </w:rPr>
              <w:t>能使用专用工具（如活塞环拆装钳、扭力扳手）规范完成发动机总成的拆卸、清洗、零部件检测与装配；能运用气缸压力表、真空表、示波器等设备检测发动机性能参数（如气缸压力、进气歧管真空度）；能针对典型故障现象（如冷启动困难）制定排查方案，完成节气门体清洗、喷油器检测等修复作业。</w:t>
            </w:r>
          </w:p>
          <w:p w14:paraId="2E3E3013">
            <w:pPr>
              <w:pStyle w:val="6"/>
              <w:keepNext w:val="0"/>
              <w:keepLines w:val="0"/>
              <w:widowControl/>
              <w:suppressLineNumbers w:val="0"/>
              <w:spacing w:before="0" w:beforeAutospacing="0" w:after="0" w:afterAutospacing="0"/>
              <w:ind w:right="0"/>
              <w:jc w:val="both"/>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素质目标：</w:t>
            </w:r>
            <w:r>
              <w:rPr>
                <w:rFonts w:hint="eastAsia" w:ascii="仿宋_GB2312" w:hAnsi="仿宋_GB2312" w:eastAsia="仿宋_GB2312" w:cs="仿宋_GB2312"/>
                <w:color w:val="auto"/>
                <w:sz w:val="24"/>
              </w:rPr>
              <w:t>培养逻辑分析能力和团队协作精神，在拆装过程中养成 “轻拿轻放、按序摆放” 的习惯；强化质量意识，对检测数据严格把关，杜绝不合格部件装机；提升应对复杂故障的耐心与专注力。</w:t>
            </w:r>
          </w:p>
          <w:p w14:paraId="380948F4">
            <w:pPr>
              <w:pStyle w:val="6"/>
              <w:keepNext w:val="0"/>
              <w:keepLines w:val="0"/>
              <w:widowControl/>
              <w:suppressLineNumbers w:val="0"/>
              <w:spacing w:before="0" w:beforeAutospacing="0" w:after="0" w:afterAutospacing="0"/>
              <w:ind w:right="0"/>
              <w:jc w:val="both"/>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课程思政育人目标：</w:t>
            </w:r>
            <w:r>
              <w:rPr>
                <w:rFonts w:hint="eastAsia" w:ascii="仿宋_GB2312" w:hAnsi="仿宋_GB2312" w:eastAsia="仿宋_GB2312" w:cs="仿宋_GB2312"/>
                <w:color w:val="auto"/>
                <w:sz w:val="24"/>
              </w:rPr>
              <w:t>通过发动机精密部件的拆装与检测，强化 “质量至上” 的理念，反对 “野蛮维修”，引导学生认识到每一个零件的装配精度都直接影响发动机性能，培养严谨务实的职业操守。</w:t>
            </w:r>
          </w:p>
          <w:p w14:paraId="5BA0A807">
            <w:pPr>
              <w:pStyle w:val="6"/>
              <w:keepNext w:val="0"/>
              <w:keepLines w:val="0"/>
              <w:widowControl/>
              <w:suppressLineNumbers w:val="0"/>
              <w:spacing w:before="0" w:beforeAutospacing="0" w:after="0" w:afterAutospacing="0"/>
              <w:ind w:right="0"/>
              <w:jc w:val="both"/>
              <w:rPr>
                <w:rFonts w:hint="eastAsia" w:ascii="仿宋_GB2312" w:hAnsi="仿宋_GB2312" w:eastAsia="仿宋_GB2312" w:cs="仿宋_GB2312"/>
                <w:color w:val="auto"/>
                <w:sz w:val="24"/>
              </w:rPr>
            </w:pPr>
          </w:p>
        </w:tc>
        <w:tc>
          <w:tcPr>
            <w:tcW w:w="2117" w:type="dxa"/>
            <w:vAlign w:val="top"/>
          </w:tcPr>
          <w:p w14:paraId="6CD2DC43">
            <w:pPr>
              <w:spacing w:line="360" w:lineRule="exact"/>
              <w:jc w:val="both"/>
              <w:rPr>
                <w:rFonts w:hint="eastAsia" w:ascii="仿宋_GB2312" w:hAnsi="仿宋_GB2312" w:eastAsia="仿宋_GB2312" w:cs="仿宋_GB2312"/>
                <w:color w:val="auto"/>
                <w:sz w:val="24"/>
              </w:rPr>
            </w:pPr>
            <w:r>
              <w:rPr>
                <w:rFonts w:hint="eastAsia" w:ascii="仿宋_GB2312" w:hAnsi="仿宋_GB2312" w:eastAsia="仿宋_GB2312" w:cs="仿宋_GB2312"/>
                <w:b w:val="0"/>
                <w:bCs w:val="0"/>
                <w:i w:val="0"/>
                <w:caps w:val="0"/>
                <w:color w:val="000000"/>
                <w:spacing w:val="0"/>
                <w:kern w:val="0"/>
                <w:sz w:val="24"/>
                <w:szCs w:val="24"/>
                <w:lang w:val="en-US" w:eastAsia="zh-CN" w:bidi="ar"/>
              </w:rPr>
              <w:t>1.</w:t>
            </w:r>
            <w:r>
              <w:rPr>
                <w:rStyle w:val="10"/>
                <w:rFonts w:hint="eastAsia" w:ascii="仿宋_GB2312" w:hAnsi="仿宋_GB2312" w:eastAsia="仿宋_GB2312" w:cs="仿宋_GB2312"/>
                <w:b w:val="0"/>
                <w:bCs w:val="0"/>
                <w:i w:val="0"/>
                <w:caps w:val="0"/>
                <w:color w:val="000000"/>
                <w:spacing w:val="0"/>
                <w:kern w:val="0"/>
                <w:sz w:val="24"/>
                <w:szCs w:val="24"/>
                <w:lang w:val="en-US" w:eastAsia="zh-CN" w:bidi="ar"/>
              </w:rPr>
              <w:t>发动机拆装实训</w:t>
            </w:r>
            <w:r>
              <w:rPr>
                <w:rFonts w:hint="eastAsia" w:ascii="仿宋_GB2312" w:hAnsi="仿宋_GB2312" w:eastAsia="仿宋_GB2312" w:cs="仿宋_GB2312"/>
                <w:b w:val="0"/>
                <w:bCs w:val="0"/>
                <w:i w:val="0"/>
                <w:caps w:val="0"/>
                <w:color w:val="000000"/>
                <w:spacing w:val="0"/>
                <w:kern w:val="0"/>
                <w:sz w:val="24"/>
                <w:szCs w:val="24"/>
                <w:lang w:val="en-US" w:eastAsia="zh-CN" w:bidi="ar"/>
              </w:rPr>
              <w:t>：</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2.</w:t>
            </w:r>
            <w:r>
              <w:rPr>
                <w:rStyle w:val="10"/>
                <w:rFonts w:hint="eastAsia" w:ascii="仿宋_GB2312" w:hAnsi="仿宋_GB2312" w:eastAsia="仿宋_GB2312" w:cs="仿宋_GB2312"/>
                <w:b w:val="0"/>
                <w:bCs w:val="0"/>
                <w:i w:val="0"/>
                <w:caps w:val="0"/>
                <w:color w:val="000000"/>
                <w:spacing w:val="0"/>
                <w:kern w:val="0"/>
                <w:sz w:val="24"/>
                <w:szCs w:val="24"/>
                <w:lang w:val="en-US" w:eastAsia="zh-CN" w:bidi="ar"/>
              </w:rPr>
              <w:t>部件检测实训</w:t>
            </w:r>
            <w:r>
              <w:rPr>
                <w:rFonts w:hint="eastAsia" w:ascii="仿宋_GB2312" w:hAnsi="仿宋_GB2312" w:eastAsia="仿宋_GB2312" w:cs="仿宋_GB2312"/>
                <w:b w:val="0"/>
                <w:bCs w:val="0"/>
                <w:i w:val="0"/>
                <w:caps w:val="0"/>
                <w:color w:val="000000"/>
                <w:spacing w:val="0"/>
                <w:kern w:val="0"/>
                <w:sz w:val="24"/>
                <w:szCs w:val="24"/>
                <w:lang w:val="en-US" w:eastAsia="zh-CN" w:bidi="ar"/>
              </w:rPr>
              <w:t>：</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3.</w:t>
            </w:r>
            <w:r>
              <w:rPr>
                <w:rStyle w:val="10"/>
                <w:rFonts w:hint="eastAsia" w:ascii="仿宋_GB2312" w:hAnsi="仿宋_GB2312" w:eastAsia="仿宋_GB2312" w:cs="仿宋_GB2312"/>
                <w:b w:val="0"/>
                <w:bCs w:val="0"/>
                <w:i w:val="0"/>
                <w:caps w:val="0"/>
                <w:color w:val="000000"/>
                <w:spacing w:val="0"/>
                <w:kern w:val="0"/>
                <w:sz w:val="24"/>
                <w:szCs w:val="24"/>
                <w:lang w:val="en-US" w:eastAsia="zh-CN" w:bidi="ar"/>
              </w:rPr>
              <w:t>故障修复实训</w:t>
            </w:r>
            <w:r>
              <w:rPr>
                <w:rFonts w:hint="eastAsia" w:ascii="仿宋_GB2312" w:hAnsi="仿宋_GB2312" w:eastAsia="仿宋_GB2312" w:cs="仿宋_GB2312"/>
                <w:b w:val="0"/>
                <w:bCs w:val="0"/>
                <w:i w:val="0"/>
                <w:caps w:val="0"/>
                <w:color w:val="000000"/>
                <w:spacing w:val="0"/>
                <w:kern w:val="0"/>
                <w:sz w:val="24"/>
                <w:szCs w:val="24"/>
                <w:lang w:val="en-US" w:eastAsia="zh-CN" w:bidi="ar"/>
              </w:rPr>
              <w:t>：</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节气门体清洗与怠速学习（使用专用清洗剂，清洗后用诊断仪匹配）</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喷油器雾化测试（喷油器试验台，要求雾化均匀、无滴漏）</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气缸压力检测（气缸压力表，各缸压力差＜10% 为正常）</w:t>
            </w:r>
          </w:p>
        </w:tc>
        <w:tc>
          <w:tcPr>
            <w:tcW w:w="1645" w:type="dxa"/>
            <w:vAlign w:val="top"/>
          </w:tcPr>
          <w:p w14:paraId="4963B6D8">
            <w:pPr>
              <w:spacing w:after="240" w:line="320" w:lineRule="exact"/>
              <w:jc w:val="both"/>
              <w:rPr>
                <w:rFonts w:hint="eastAsia" w:ascii="仿宋_GB2312" w:hAnsi="仿宋_GB2312" w:eastAsia="仿宋_GB2312" w:cs="仿宋_GB2312"/>
                <w:color w:val="auto"/>
                <w:sz w:val="24"/>
              </w:rPr>
            </w:pPr>
            <w:r>
              <w:rPr>
                <w:rFonts w:hint="eastAsia" w:ascii="仿宋_GB2312" w:hAnsi="仿宋_GB2312" w:eastAsia="仿宋_GB2312" w:cs="仿宋_GB2312"/>
                <w:b w:val="0"/>
                <w:bCs w:val="0"/>
                <w:i w:val="0"/>
                <w:caps w:val="0"/>
                <w:color w:val="000000"/>
                <w:spacing w:val="0"/>
                <w:kern w:val="0"/>
                <w:sz w:val="24"/>
                <w:szCs w:val="24"/>
                <w:lang w:val="en-US" w:eastAsia="zh-CN" w:bidi="ar"/>
              </w:rPr>
              <w:t>1.拆装过程中零部件按顺序摆放，避免磕碰（如活塞连杆组标记缸号）</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2.检测数据记录精确到 0.01mm，能对照《发动机维修数据手册》判断部件是否更换</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3.修复后进行着车测试，验证怠速稳定性、加速响应及故障灯是否熄灭</w:t>
            </w:r>
          </w:p>
        </w:tc>
      </w:tr>
      <w:tr w14:paraId="0C681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76" w:type="dxa"/>
            <w:vAlign w:val="center"/>
          </w:tcPr>
          <w:p w14:paraId="647BE602">
            <w:pPr>
              <w:overflowPunct w:val="0"/>
              <w:adjustRightInd w:val="0"/>
              <w:spacing w:line="360" w:lineRule="exact"/>
              <w:jc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3</w:t>
            </w:r>
          </w:p>
        </w:tc>
        <w:tc>
          <w:tcPr>
            <w:tcW w:w="856" w:type="dxa"/>
            <w:vAlign w:val="center"/>
          </w:tcPr>
          <w:p w14:paraId="1E2A41F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汽车底盘检修</w:t>
            </w:r>
          </w:p>
        </w:tc>
        <w:tc>
          <w:tcPr>
            <w:tcW w:w="4452" w:type="dxa"/>
            <w:vAlign w:val="top"/>
          </w:tcPr>
          <w:p w14:paraId="175B4AC4">
            <w:pPr>
              <w:pStyle w:val="6"/>
              <w:keepNext w:val="0"/>
              <w:keepLines w:val="0"/>
              <w:widowControl/>
              <w:suppressLineNumbers w:val="0"/>
              <w:spacing w:before="0" w:beforeAutospacing="0" w:after="0" w:afterAutospacing="0"/>
              <w:ind w:right="0"/>
              <w:jc w:val="both"/>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知识目标：</w:t>
            </w:r>
            <w:r>
              <w:rPr>
                <w:rFonts w:hint="eastAsia" w:ascii="仿宋_GB2312" w:hAnsi="仿宋_GB2312" w:eastAsia="仿宋_GB2312" w:cs="仿宋_GB2312"/>
                <w:color w:val="auto"/>
                <w:sz w:val="24"/>
              </w:rPr>
              <w:t>全面掌握底盘四大系统（传动系、行驶系、转向系、制动系）的组成结构与工作原理，包括离合器、变速器、悬架、制动器等核心部件的装配关系；熟悉底盘常见故障（如换挡困难、跑偏、制动异响）的现象特征及检测方法；了解四轮定位仪、制动检测台等设备的工作原理。</w:t>
            </w:r>
          </w:p>
          <w:p w14:paraId="7F88ECD3">
            <w:pPr>
              <w:pStyle w:val="6"/>
              <w:keepNext w:val="0"/>
              <w:keepLines w:val="0"/>
              <w:widowControl/>
              <w:suppressLineNumbers w:val="0"/>
              <w:spacing w:before="0" w:beforeAutospacing="0" w:after="0" w:afterAutospacing="0"/>
              <w:ind w:right="0"/>
              <w:jc w:val="both"/>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能力目标：</w:t>
            </w:r>
            <w:r>
              <w:rPr>
                <w:rFonts w:hint="eastAsia" w:ascii="仿宋_GB2312" w:hAnsi="仿宋_GB2312" w:eastAsia="仿宋_GB2312" w:cs="仿宋_GB2312"/>
                <w:color w:val="auto"/>
                <w:sz w:val="24"/>
              </w:rPr>
              <w:t>能独立完成离合器片更换、手动变速器拆装与换挡机构调整、减震器检测与更换等作业；能操作四轮定位仪检测前轮前束、外倾角等参数并进行调整；能对制动系统进行排气、制动片更换及制动液更换，通过路试判断底盘故障（如转向沉重、制动跑偏）。</w:t>
            </w:r>
          </w:p>
          <w:p w14:paraId="368CB8F8">
            <w:pPr>
              <w:pStyle w:val="6"/>
              <w:keepNext w:val="0"/>
              <w:keepLines w:val="0"/>
              <w:widowControl/>
              <w:suppressLineNumbers w:val="0"/>
              <w:spacing w:before="0" w:beforeAutospacing="0" w:after="0" w:afterAutospacing="0"/>
              <w:ind w:right="0"/>
              <w:jc w:val="both"/>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素质目标：</w:t>
            </w:r>
            <w:r>
              <w:rPr>
                <w:rFonts w:hint="eastAsia" w:ascii="仿宋_GB2312" w:hAnsi="仿宋_GB2312" w:eastAsia="仿宋_GB2312" w:cs="仿宋_GB2312"/>
                <w:color w:val="auto"/>
                <w:sz w:val="24"/>
              </w:rPr>
              <w:t>强化“安全无小事”的责任意识，在制动系统检修中严格遵循安全规程；培养细致观察能力，通过底盘异响、振动等现象精准判断故障部位；提升团队协作效率（如多人配合抬装变速器）。</w:t>
            </w:r>
          </w:p>
          <w:p w14:paraId="67B23510">
            <w:pPr>
              <w:pStyle w:val="6"/>
              <w:keepNext w:val="0"/>
              <w:keepLines w:val="0"/>
              <w:widowControl/>
              <w:suppressLineNumbers w:val="0"/>
              <w:spacing w:before="0" w:beforeAutospacing="0" w:after="0" w:afterAutospacing="0"/>
              <w:ind w:right="0"/>
              <w:jc w:val="both"/>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课程思政育人目标：</w:t>
            </w:r>
            <w:r>
              <w:rPr>
                <w:rFonts w:hint="eastAsia" w:ascii="仿宋_GB2312" w:hAnsi="仿宋_GB2312" w:eastAsia="仿宋_GB2312" w:cs="仿宋_GB2312"/>
                <w:color w:val="auto"/>
                <w:sz w:val="24"/>
              </w:rPr>
              <w:t>倡导“以养代修”的绿色维修理念，通过规范的底盘维护延长部件寿命，减少资源浪费；引导学生认识到底盘性能直接关系行车安全，培养对生命安全高度负责的职业精神。</w:t>
            </w:r>
          </w:p>
        </w:tc>
        <w:tc>
          <w:tcPr>
            <w:tcW w:w="2117" w:type="dxa"/>
            <w:vAlign w:val="top"/>
          </w:tcPr>
          <w:p w14:paraId="38126467">
            <w:pPr>
              <w:spacing w:line="360" w:lineRule="exact"/>
              <w:jc w:val="both"/>
              <w:rPr>
                <w:rFonts w:hint="eastAsia" w:ascii="仿宋_GB2312" w:hAnsi="仿宋_GB2312" w:eastAsia="仿宋_GB2312" w:cs="仿宋_GB2312"/>
                <w:color w:val="auto"/>
                <w:sz w:val="24"/>
              </w:rPr>
            </w:pPr>
            <w:r>
              <w:rPr>
                <w:rFonts w:hint="eastAsia" w:ascii="仿宋_GB2312" w:hAnsi="仿宋_GB2312" w:eastAsia="仿宋_GB2312" w:cs="仿宋_GB2312"/>
                <w:b w:val="0"/>
                <w:bCs w:val="0"/>
                <w:i w:val="0"/>
                <w:caps w:val="0"/>
                <w:color w:val="000000"/>
                <w:spacing w:val="0"/>
                <w:kern w:val="0"/>
                <w:sz w:val="24"/>
                <w:szCs w:val="24"/>
                <w:lang w:val="en-US" w:eastAsia="zh-CN" w:bidi="ar"/>
              </w:rPr>
              <w:t>1.</w:t>
            </w:r>
            <w:r>
              <w:rPr>
                <w:rStyle w:val="10"/>
                <w:rFonts w:hint="eastAsia" w:ascii="仿宋_GB2312" w:hAnsi="仿宋_GB2312" w:eastAsia="仿宋_GB2312" w:cs="仿宋_GB2312"/>
                <w:b w:val="0"/>
                <w:bCs w:val="0"/>
                <w:i w:val="0"/>
                <w:caps w:val="0"/>
                <w:color w:val="000000"/>
                <w:spacing w:val="0"/>
                <w:kern w:val="0"/>
                <w:sz w:val="24"/>
                <w:szCs w:val="24"/>
                <w:lang w:val="en-US" w:eastAsia="zh-CN" w:bidi="ar"/>
              </w:rPr>
              <w:t>传动系检修</w:t>
            </w:r>
            <w:r>
              <w:rPr>
                <w:rFonts w:hint="eastAsia" w:ascii="仿宋_GB2312" w:hAnsi="仿宋_GB2312" w:eastAsia="仿宋_GB2312" w:cs="仿宋_GB2312"/>
                <w:b w:val="0"/>
                <w:bCs w:val="0"/>
                <w:i w:val="0"/>
                <w:caps w:val="0"/>
                <w:color w:val="000000"/>
                <w:spacing w:val="0"/>
                <w:kern w:val="0"/>
                <w:sz w:val="24"/>
                <w:szCs w:val="24"/>
                <w:lang w:val="en-US" w:eastAsia="zh-CN" w:bidi="ar"/>
              </w:rPr>
              <w:t>：</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2.</w:t>
            </w:r>
            <w:r>
              <w:rPr>
                <w:rStyle w:val="10"/>
                <w:rFonts w:hint="eastAsia" w:ascii="仿宋_GB2312" w:hAnsi="仿宋_GB2312" w:eastAsia="仿宋_GB2312" w:cs="仿宋_GB2312"/>
                <w:b w:val="0"/>
                <w:bCs w:val="0"/>
                <w:i w:val="0"/>
                <w:caps w:val="0"/>
                <w:color w:val="000000"/>
                <w:spacing w:val="0"/>
                <w:kern w:val="0"/>
                <w:sz w:val="24"/>
                <w:szCs w:val="24"/>
                <w:lang w:val="en-US" w:eastAsia="zh-CN" w:bidi="ar"/>
              </w:rPr>
              <w:t>行驶系检修</w:t>
            </w:r>
            <w:r>
              <w:rPr>
                <w:rFonts w:hint="eastAsia" w:ascii="仿宋_GB2312" w:hAnsi="仿宋_GB2312" w:eastAsia="仿宋_GB2312" w:cs="仿宋_GB2312"/>
                <w:b w:val="0"/>
                <w:bCs w:val="0"/>
                <w:i w:val="0"/>
                <w:caps w:val="0"/>
                <w:color w:val="000000"/>
                <w:spacing w:val="0"/>
                <w:kern w:val="0"/>
                <w:sz w:val="24"/>
                <w:szCs w:val="24"/>
                <w:lang w:val="en-US" w:eastAsia="zh-CN" w:bidi="ar"/>
              </w:rPr>
              <w:t>：</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3.</w:t>
            </w:r>
            <w:r>
              <w:rPr>
                <w:rStyle w:val="10"/>
                <w:rFonts w:hint="eastAsia" w:ascii="仿宋_GB2312" w:hAnsi="仿宋_GB2312" w:eastAsia="仿宋_GB2312" w:cs="仿宋_GB2312"/>
                <w:b w:val="0"/>
                <w:bCs w:val="0"/>
                <w:i w:val="0"/>
                <w:caps w:val="0"/>
                <w:color w:val="000000"/>
                <w:spacing w:val="0"/>
                <w:kern w:val="0"/>
                <w:sz w:val="24"/>
                <w:szCs w:val="24"/>
                <w:lang w:val="en-US" w:eastAsia="zh-CN" w:bidi="ar"/>
              </w:rPr>
              <w:t>制动系检修</w:t>
            </w:r>
            <w:r>
              <w:rPr>
                <w:rFonts w:hint="eastAsia" w:ascii="仿宋_GB2312" w:hAnsi="仿宋_GB2312" w:eastAsia="仿宋_GB2312" w:cs="仿宋_GB2312"/>
                <w:b w:val="0"/>
                <w:bCs w:val="0"/>
                <w:i w:val="0"/>
                <w:caps w:val="0"/>
                <w:color w:val="000000"/>
                <w:spacing w:val="0"/>
                <w:kern w:val="0"/>
                <w:sz w:val="24"/>
                <w:szCs w:val="24"/>
                <w:lang w:val="en-US" w:eastAsia="zh-CN" w:bidi="ar"/>
              </w:rPr>
              <w:t>：</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4.</w:t>
            </w:r>
            <w:r>
              <w:rPr>
                <w:rStyle w:val="10"/>
                <w:rFonts w:hint="eastAsia" w:ascii="仿宋_GB2312" w:hAnsi="仿宋_GB2312" w:eastAsia="仿宋_GB2312" w:cs="仿宋_GB2312"/>
                <w:b w:val="0"/>
                <w:bCs w:val="0"/>
                <w:i w:val="0"/>
                <w:caps w:val="0"/>
                <w:color w:val="000000"/>
                <w:spacing w:val="0"/>
                <w:kern w:val="0"/>
                <w:sz w:val="24"/>
                <w:szCs w:val="24"/>
                <w:lang w:val="en-US" w:eastAsia="zh-CN" w:bidi="ar"/>
              </w:rPr>
              <w:t>四轮定位</w:t>
            </w:r>
            <w:r>
              <w:rPr>
                <w:rFonts w:hint="eastAsia" w:ascii="仿宋_GB2312" w:hAnsi="仿宋_GB2312" w:eastAsia="仿宋_GB2312" w:cs="仿宋_GB2312"/>
                <w:b w:val="0"/>
                <w:bCs w:val="0"/>
                <w:i w:val="0"/>
                <w:caps w:val="0"/>
                <w:color w:val="000000"/>
                <w:spacing w:val="0"/>
                <w:kern w:val="0"/>
                <w:sz w:val="24"/>
                <w:szCs w:val="24"/>
                <w:lang w:val="en-US" w:eastAsia="zh-CN" w:bidi="ar"/>
              </w:rPr>
              <w:t>：使用四轮定位仪</w:t>
            </w:r>
          </w:p>
        </w:tc>
        <w:tc>
          <w:tcPr>
            <w:tcW w:w="1645" w:type="dxa"/>
            <w:vAlign w:val="top"/>
          </w:tcPr>
          <w:p w14:paraId="2EB02072">
            <w:pPr>
              <w:spacing w:after="240" w:line="320" w:lineRule="exact"/>
              <w:jc w:val="both"/>
              <w:rPr>
                <w:rFonts w:hint="eastAsia" w:ascii="仿宋_GB2312" w:hAnsi="仿宋_GB2312" w:eastAsia="仿宋_GB2312" w:cs="仿宋_GB2312"/>
                <w:color w:val="auto"/>
                <w:sz w:val="24"/>
              </w:rPr>
            </w:pPr>
            <w:r>
              <w:rPr>
                <w:rFonts w:hint="eastAsia" w:ascii="仿宋_GB2312" w:hAnsi="仿宋_GB2312" w:eastAsia="仿宋_GB2312" w:cs="仿宋_GB2312"/>
                <w:b w:val="0"/>
                <w:bCs w:val="0"/>
                <w:i w:val="0"/>
                <w:caps w:val="0"/>
                <w:color w:val="000000"/>
                <w:spacing w:val="0"/>
                <w:kern w:val="0"/>
                <w:sz w:val="24"/>
                <w:szCs w:val="24"/>
                <w:lang w:val="en-US" w:eastAsia="zh-CN" w:bidi="ar"/>
              </w:rPr>
              <w:t>1.拆装变速器等重部件时使用托架支撑，避免坠落风险</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2.制动系统排气后需多次踩踏制动踏板，确认踏板行程（自由行程≤30mm）</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3.四轮定位调整后进行路试，检查方向跑偏、轮胎异响，验证定位参数有效性</w:t>
            </w:r>
          </w:p>
        </w:tc>
      </w:tr>
      <w:tr w14:paraId="370B1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76" w:type="dxa"/>
            <w:vAlign w:val="center"/>
          </w:tcPr>
          <w:p w14:paraId="4217FF5C">
            <w:pPr>
              <w:overflowPunct w:val="0"/>
              <w:adjustRightInd w:val="0"/>
              <w:spacing w:line="360" w:lineRule="exact"/>
              <w:jc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4</w:t>
            </w:r>
          </w:p>
        </w:tc>
        <w:tc>
          <w:tcPr>
            <w:tcW w:w="856" w:type="dxa"/>
            <w:vAlign w:val="center"/>
          </w:tcPr>
          <w:p w14:paraId="182F5BD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汽车故障诊断</w:t>
            </w:r>
          </w:p>
        </w:tc>
        <w:tc>
          <w:tcPr>
            <w:tcW w:w="4452" w:type="dxa"/>
            <w:vAlign w:val="top"/>
          </w:tcPr>
          <w:p w14:paraId="29862016">
            <w:pPr>
              <w:pStyle w:val="6"/>
              <w:keepNext w:val="0"/>
              <w:keepLines w:val="0"/>
              <w:widowControl/>
              <w:suppressLineNumbers w:val="0"/>
              <w:spacing w:before="0" w:beforeAutospacing="0" w:after="0" w:afterAutospacing="0"/>
              <w:ind w:right="0"/>
              <w:jc w:val="both"/>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知识目标：</w:t>
            </w:r>
            <w:r>
              <w:rPr>
                <w:rFonts w:hint="eastAsia" w:ascii="仿宋_GB2312" w:hAnsi="仿宋_GB2312" w:eastAsia="仿宋_GB2312" w:cs="仿宋_GB2312"/>
                <w:color w:val="auto"/>
                <w:sz w:val="24"/>
              </w:rPr>
              <w:t>熟练掌握汽车故障诊断的基本流程（问诊 - 外观检查 - 仪器检测 - 数据分析 - 故障验证），理解 OBD-</w:t>
            </w:r>
            <w:r>
              <w:rPr>
                <w:rFonts w:hint="eastAsia" w:ascii="仿宋_GB2312" w:hAnsi="仿宋_GB2312" w:eastAsia="仿宋_GB2312" w:cs="仿宋_GB2312"/>
                <w:color w:val="auto"/>
                <w:sz w:val="24"/>
                <w:highlight w:val="none"/>
              </w:rPr>
              <w:t>II</w:t>
            </w:r>
            <w:r>
              <w:rPr>
                <w:rFonts w:hint="eastAsia" w:ascii="仿宋_GB2312" w:hAnsi="仿宋_GB2312" w:eastAsia="仿宋_GB2312" w:cs="仿宋_GB2312"/>
                <w:color w:val="auto"/>
                <w:sz w:val="24"/>
              </w:rPr>
              <w:t xml:space="preserve"> 系统的故障码定义与数据流含义；熟悉发动机、底盘、电气系统典型故障（如发动机缺缸、ABS 报警、电动车窗失灵）的诊断逻辑与排查方法；了解故障诊断报告的规范撰写要求。</w:t>
            </w:r>
          </w:p>
          <w:p w14:paraId="3139A4F1">
            <w:pPr>
              <w:pStyle w:val="6"/>
              <w:keepNext w:val="0"/>
              <w:keepLines w:val="0"/>
              <w:widowControl/>
              <w:suppressLineNumbers w:val="0"/>
              <w:spacing w:before="0" w:beforeAutospacing="0" w:after="0" w:afterAutospacing="0"/>
              <w:ind w:right="0"/>
              <w:jc w:val="both"/>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能力目标：</w:t>
            </w:r>
            <w:r>
              <w:rPr>
                <w:rFonts w:hint="eastAsia" w:ascii="仿宋_GB2312" w:hAnsi="仿宋_GB2312" w:eastAsia="仿宋_GB2312" w:cs="仿宋_GB2312"/>
                <w:color w:val="auto"/>
                <w:sz w:val="24"/>
              </w:rPr>
              <w:t>能通过与客户有效沟通获取故障发生的时间、场景等关键信息；能使用解码器读取故障码并分析数据流（如氧传感器电压波形、喷油脉宽），结合电路图定位故障点（如线路短路、传感器失效）；能制定合理的维修方案（如更换部件、调整参数），并通过试验验证故障是否排除。</w:t>
            </w:r>
          </w:p>
          <w:p w14:paraId="6CF32F9C">
            <w:pPr>
              <w:pStyle w:val="6"/>
              <w:keepNext w:val="0"/>
              <w:keepLines w:val="0"/>
              <w:widowControl/>
              <w:suppressLineNumbers w:val="0"/>
              <w:spacing w:before="0" w:beforeAutospacing="0" w:after="0" w:afterAutospacing="0"/>
              <w:ind w:right="0"/>
              <w:jc w:val="both"/>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素质目标：</w:t>
            </w:r>
            <w:r>
              <w:rPr>
                <w:rFonts w:hint="eastAsia" w:ascii="仿宋_GB2312" w:hAnsi="仿宋_GB2312" w:eastAsia="仿宋_GB2312" w:cs="仿宋_GB2312"/>
                <w:color w:val="auto"/>
                <w:sz w:val="24"/>
              </w:rPr>
              <w:t>培养系统性思维和逆向推理能力，避免盲目拆装；提升抗压能力，能在复杂故障（如间歇性故障）排查中保持耐心；养成 “记录 - 分析 - 总结” 的习惯，积累诊断经验。</w:t>
            </w:r>
          </w:p>
          <w:p w14:paraId="21376B2A">
            <w:pPr>
              <w:pStyle w:val="6"/>
              <w:keepNext w:val="0"/>
              <w:keepLines w:val="0"/>
              <w:widowControl/>
              <w:suppressLineNumbers w:val="0"/>
              <w:spacing w:before="0" w:beforeAutospacing="0" w:after="0" w:afterAutospacing="0"/>
              <w:ind w:right="0"/>
              <w:jc w:val="both"/>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课程思政育人目标：</w:t>
            </w:r>
            <w:r>
              <w:rPr>
                <w:rFonts w:hint="eastAsia" w:ascii="仿宋_GB2312" w:hAnsi="仿宋_GB2312" w:eastAsia="仿宋_GB2312" w:cs="仿宋_GB2312"/>
                <w:color w:val="auto"/>
                <w:sz w:val="24"/>
              </w:rPr>
              <w:t>坚持 “诚信诊断” 原则，杜绝为追求利润而虚报故障、过度维修；引导学生以专业能力解决实际问题，通过精准诊断为客户降低维修成本，树立行业诚信形象。</w:t>
            </w:r>
          </w:p>
        </w:tc>
        <w:tc>
          <w:tcPr>
            <w:tcW w:w="2117" w:type="dxa"/>
            <w:vAlign w:val="top"/>
          </w:tcPr>
          <w:p w14:paraId="3C728920">
            <w:pPr>
              <w:spacing w:line="360" w:lineRule="exact"/>
              <w:jc w:val="both"/>
              <w:rPr>
                <w:rFonts w:hint="eastAsia" w:ascii="仿宋_GB2312" w:hAnsi="仿宋_GB2312" w:eastAsia="仿宋_GB2312" w:cs="仿宋_GB2312"/>
                <w:color w:val="auto"/>
                <w:sz w:val="24"/>
              </w:rPr>
            </w:pPr>
            <w:r>
              <w:rPr>
                <w:rFonts w:hint="eastAsia" w:ascii="仿宋_GB2312" w:hAnsi="仿宋_GB2312" w:eastAsia="仿宋_GB2312" w:cs="仿宋_GB2312"/>
                <w:b w:val="0"/>
                <w:bCs w:val="0"/>
                <w:i w:val="0"/>
                <w:caps w:val="0"/>
                <w:color w:val="000000"/>
                <w:spacing w:val="0"/>
                <w:kern w:val="0"/>
                <w:sz w:val="24"/>
                <w:szCs w:val="24"/>
                <w:lang w:val="en-US" w:eastAsia="zh-CN" w:bidi="ar"/>
              </w:rPr>
              <w:t>1.</w:t>
            </w:r>
            <w:r>
              <w:rPr>
                <w:rStyle w:val="10"/>
                <w:rFonts w:hint="eastAsia" w:ascii="仿宋_GB2312" w:hAnsi="仿宋_GB2312" w:eastAsia="仿宋_GB2312" w:cs="仿宋_GB2312"/>
                <w:b w:val="0"/>
                <w:bCs w:val="0"/>
                <w:i w:val="0"/>
                <w:caps w:val="0"/>
                <w:color w:val="000000"/>
                <w:spacing w:val="0"/>
                <w:kern w:val="0"/>
                <w:sz w:val="24"/>
                <w:szCs w:val="24"/>
                <w:lang w:val="en-US" w:eastAsia="zh-CN" w:bidi="ar"/>
              </w:rPr>
              <w:t>发动机故障诊断</w:t>
            </w:r>
            <w:r>
              <w:rPr>
                <w:rFonts w:hint="eastAsia" w:ascii="仿宋_GB2312" w:hAnsi="仿宋_GB2312" w:eastAsia="仿宋_GB2312" w:cs="仿宋_GB2312"/>
                <w:b w:val="0"/>
                <w:bCs w:val="0"/>
                <w:i w:val="0"/>
                <w:caps w:val="0"/>
                <w:color w:val="000000"/>
                <w:spacing w:val="0"/>
                <w:kern w:val="0"/>
                <w:sz w:val="24"/>
                <w:szCs w:val="24"/>
                <w:lang w:val="en-US" w:eastAsia="zh-CN" w:bidi="ar"/>
              </w:rPr>
              <w:t>：</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怠速抖动：</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排放超标：</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2.</w:t>
            </w:r>
            <w:r>
              <w:rPr>
                <w:rStyle w:val="10"/>
                <w:rFonts w:hint="eastAsia" w:ascii="仿宋_GB2312" w:hAnsi="仿宋_GB2312" w:eastAsia="仿宋_GB2312" w:cs="仿宋_GB2312"/>
                <w:b w:val="0"/>
                <w:bCs w:val="0"/>
                <w:i w:val="0"/>
                <w:caps w:val="0"/>
                <w:color w:val="000000"/>
                <w:spacing w:val="0"/>
                <w:kern w:val="0"/>
                <w:sz w:val="24"/>
                <w:szCs w:val="24"/>
                <w:lang w:val="en-US" w:eastAsia="zh-CN" w:bidi="ar"/>
              </w:rPr>
              <w:t>底盘故障诊断</w:t>
            </w:r>
            <w:r>
              <w:rPr>
                <w:rFonts w:hint="eastAsia" w:ascii="仿宋_GB2312" w:hAnsi="仿宋_GB2312" w:eastAsia="仿宋_GB2312" w:cs="仿宋_GB2312"/>
                <w:b w:val="0"/>
                <w:bCs w:val="0"/>
                <w:i w:val="0"/>
                <w:caps w:val="0"/>
                <w:color w:val="000000"/>
                <w:spacing w:val="0"/>
                <w:kern w:val="0"/>
                <w:sz w:val="24"/>
                <w:szCs w:val="24"/>
                <w:lang w:val="en-US" w:eastAsia="zh-CN" w:bidi="ar"/>
              </w:rPr>
              <w:t>：</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转向异响：</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行驶跑偏：</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3.</w:t>
            </w:r>
            <w:r>
              <w:rPr>
                <w:rStyle w:val="10"/>
                <w:rFonts w:hint="eastAsia" w:ascii="仿宋_GB2312" w:hAnsi="仿宋_GB2312" w:eastAsia="仿宋_GB2312" w:cs="仿宋_GB2312"/>
                <w:b w:val="0"/>
                <w:bCs w:val="0"/>
                <w:i w:val="0"/>
                <w:caps w:val="0"/>
                <w:color w:val="000000"/>
                <w:spacing w:val="0"/>
                <w:kern w:val="0"/>
                <w:sz w:val="24"/>
                <w:szCs w:val="24"/>
                <w:lang w:val="en-US" w:eastAsia="zh-CN" w:bidi="ar"/>
              </w:rPr>
              <w:t>电气故障诊断</w:t>
            </w:r>
            <w:r>
              <w:rPr>
                <w:rFonts w:hint="eastAsia" w:ascii="仿宋_GB2312" w:hAnsi="仿宋_GB2312" w:eastAsia="仿宋_GB2312" w:cs="仿宋_GB2312"/>
                <w:b w:val="0"/>
                <w:bCs w:val="0"/>
                <w:i w:val="0"/>
                <w:caps w:val="0"/>
                <w:color w:val="000000"/>
                <w:spacing w:val="0"/>
                <w:kern w:val="0"/>
                <w:sz w:val="24"/>
                <w:szCs w:val="24"/>
                <w:lang w:val="en-US" w:eastAsia="zh-CN" w:bidi="ar"/>
              </w:rPr>
              <w:t>：</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电动车窗失灵：</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4.</w:t>
            </w:r>
            <w:r>
              <w:rPr>
                <w:rStyle w:val="10"/>
                <w:rFonts w:hint="eastAsia" w:ascii="仿宋_GB2312" w:hAnsi="仿宋_GB2312" w:eastAsia="仿宋_GB2312" w:cs="仿宋_GB2312"/>
                <w:b w:val="0"/>
                <w:bCs w:val="0"/>
                <w:i w:val="0"/>
                <w:caps w:val="0"/>
                <w:color w:val="000000"/>
                <w:spacing w:val="0"/>
                <w:kern w:val="0"/>
                <w:sz w:val="24"/>
                <w:szCs w:val="24"/>
                <w:lang w:val="en-US" w:eastAsia="zh-CN" w:bidi="ar"/>
              </w:rPr>
              <w:t>诊断报告</w:t>
            </w:r>
            <w:r>
              <w:rPr>
                <w:rFonts w:hint="eastAsia" w:ascii="仿宋_GB2312" w:hAnsi="仿宋_GB2312" w:eastAsia="仿宋_GB2312" w:cs="仿宋_GB2312"/>
                <w:b w:val="0"/>
                <w:bCs w:val="0"/>
                <w:i w:val="0"/>
                <w:caps w:val="0"/>
                <w:color w:val="000000"/>
                <w:spacing w:val="0"/>
                <w:kern w:val="0"/>
                <w:sz w:val="24"/>
                <w:szCs w:val="24"/>
                <w:lang w:val="en-US" w:eastAsia="zh-CN" w:bidi="ar"/>
              </w:rPr>
              <w:t>：撰写《故障诊断记录》，包含故障现象、诊断步骤、更换部件、修复结果及遗留问题</w:t>
            </w:r>
          </w:p>
        </w:tc>
        <w:tc>
          <w:tcPr>
            <w:tcW w:w="1645" w:type="dxa"/>
            <w:vAlign w:val="top"/>
          </w:tcPr>
          <w:p w14:paraId="14C809A5">
            <w:pPr>
              <w:spacing w:after="240" w:line="320" w:lineRule="exact"/>
              <w:jc w:val="both"/>
              <w:rPr>
                <w:rFonts w:hint="eastAsia" w:ascii="仿宋_GB2312" w:hAnsi="仿宋_GB2312" w:eastAsia="仿宋_GB2312" w:cs="仿宋_GB2312"/>
                <w:color w:val="auto"/>
                <w:sz w:val="24"/>
              </w:rPr>
            </w:pPr>
            <w:r>
              <w:rPr>
                <w:rFonts w:hint="eastAsia" w:ascii="仿宋_GB2312" w:hAnsi="仿宋_GB2312" w:eastAsia="仿宋_GB2312" w:cs="仿宋_GB2312"/>
                <w:b w:val="0"/>
                <w:bCs w:val="0"/>
                <w:i w:val="0"/>
                <w:caps w:val="0"/>
                <w:color w:val="000000"/>
                <w:spacing w:val="0"/>
                <w:kern w:val="0"/>
                <w:sz w:val="24"/>
                <w:szCs w:val="24"/>
                <w:lang w:val="en-US" w:eastAsia="zh-CN" w:bidi="ar"/>
              </w:rPr>
              <w:t>1.诊断前先进行安全检查（如发动机舱线路老化、底盘护板缺失）</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2.遵循 “先简后繁、先外后内” 原则（如先检查插头松动、保险丝，再拆检部件）</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3.对间歇性故障，需模拟故障工况（如急加速、颠簸路面）并记录故障发生时的数据流</w:t>
            </w:r>
          </w:p>
        </w:tc>
      </w:tr>
      <w:tr w14:paraId="17F8C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76" w:type="dxa"/>
            <w:vAlign w:val="center"/>
          </w:tcPr>
          <w:p w14:paraId="2BC8C5C4">
            <w:pPr>
              <w:overflowPunct w:val="0"/>
              <w:adjustRightInd w:val="0"/>
              <w:spacing w:line="360" w:lineRule="exact"/>
              <w:jc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5</w:t>
            </w:r>
          </w:p>
        </w:tc>
        <w:tc>
          <w:tcPr>
            <w:tcW w:w="856" w:type="dxa"/>
            <w:vAlign w:val="center"/>
          </w:tcPr>
          <w:p w14:paraId="42EE3D2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汽车电气设备检修</w:t>
            </w:r>
          </w:p>
        </w:tc>
        <w:tc>
          <w:tcPr>
            <w:tcW w:w="4452" w:type="dxa"/>
            <w:vAlign w:val="top"/>
          </w:tcPr>
          <w:p w14:paraId="5A72D90F">
            <w:pPr>
              <w:pStyle w:val="6"/>
              <w:keepNext w:val="0"/>
              <w:keepLines w:val="0"/>
              <w:widowControl/>
              <w:suppressLineNumbers w:val="0"/>
              <w:spacing w:before="0" w:beforeAutospacing="0" w:after="0" w:afterAutospacing="0"/>
              <w:ind w:right="0"/>
              <w:jc w:val="both"/>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知识目标：</w:t>
            </w:r>
            <w:r>
              <w:rPr>
                <w:rFonts w:hint="eastAsia" w:ascii="仿宋_GB2312" w:hAnsi="仿宋_GB2312" w:eastAsia="仿宋_GB2312" w:cs="仿宋_GB2312"/>
                <w:color w:val="auto"/>
                <w:sz w:val="24"/>
              </w:rPr>
              <w:t>系统掌握汽车电源系统（蓄电池、发电机）、起动系统（起动机、点火开关）、照明系统（大灯、转向灯）、仪表系统及空调系统的电路结构与工作原理；熟悉常用电气元件（继电器、熔断器、传感器）的检测方法；了解汽车电路图的识读规则与电气故障的基本排查思路。</w:t>
            </w:r>
          </w:p>
          <w:p w14:paraId="2583C7AB">
            <w:pPr>
              <w:pStyle w:val="6"/>
              <w:keepNext w:val="0"/>
              <w:keepLines w:val="0"/>
              <w:widowControl/>
              <w:suppressLineNumbers w:val="0"/>
              <w:spacing w:before="0" w:beforeAutospacing="0" w:after="0" w:afterAutospacing="0"/>
              <w:ind w:right="0"/>
              <w:jc w:val="both"/>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能力目标：</w:t>
            </w:r>
            <w:r>
              <w:rPr>
                <w:rFonts w:hint="eastAsia" w:ascii="仿宋_GB2312" w:hAnsi="仿宋_GB2312" w:eastAsia="仿宋_GB2312" w:cs="仿宋_GB2312"/>
                <w:color w:val="auto"/>
                <w:sz w:val="24"/>
              </w:rPr>
              <w:t>能使用万用表（电压、电阻、电流档）、示波器检测电气部件性能（如蓄电池容量、发电机输出电压）；能根据电路图查找短路、断路、虚接等故障点（如大灯不亮排查线路或开关）；能完成线束接头修复（如端子压接、热缩管绝缘处理）及简单电气部件（如鼓风机电阻）更换。</w:t>
            </w:r>
          </w:p>
          <w:p w14:paraId="22145E88">
            <w:pPr>
              <w:pStyle w:val="6"/>
              <w:keepNext w:val="0"/>
              <w:keepLines w:val="0"/>
              <w:widowControl/>
              <w:suppressLineNumbers w:val="0"/>
              <w:spacing w:before="0" w:beforeAutospacing="0" w:after="0" w:afterAutospacing="0"/>
              <w:ind w:right="0"/>
              <w:jc w:val="both"/>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素质目标：</w:t>
            </w:r>
            <w:r>
              <w:rPr>
                <w:rFonts w:hint="eastAsia" w:ascii="仿宋_GB2312" w:hAnsi="仿宋_GB2312" w:eastAsia="仿宋_GB2312" w:cs="仿宋_GB2312"/>
                <w:color w:val="auto"/>
                <w:sz w:val="24"/>
              </w:rPr>
              <w:t>强化规范操作意识，养成 “断电操作” 的习惯（如检测电路前断开蓄电池负极）；培养安全防范意识，能识别电气火灾隐患（如线路老化、过载）；提升电路分析能力，能通过现象推断本质。</w:t>
            </w:r>
          </w:p>
          <w:p w14:paraId="2B7EC6E6">
            <w:pPr>
              <w:pStyle w:val="6"/>
              <w:keepNext w:val="0"/>
              <w:keepLines w:val="0"/>
              <w:widowControl/>
              <w:suppressLineNumbers w:val="0"/>
              <w:spacing w:before="0" w:beforeAutospacing="0" w:after="0" w:afterAutospacing="0"/>
              <w:ind w:right="0"/>
              <w:jc w:val="both"/>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课程思政育人目标：</w:t>
            </w:r>
            <w:r>
              <w:rPr>
                <w:rFonts w:hint="eastAsia" w:ascii="仿宋_GB2312" w:hAnsi="仿宋_GB2312" w:eastAsia="仿宋_GB2312" w:cs="仿宋_GB2312"/>
                <w:color w:val="auto"/>
                <w:sz w:val="24"/>
              </w:rPr>
              <w:t>严守电气技术规范，拒绝 “飞线”“搭铁” 等危险操作，引导学生认识到违规改装可能引发火灾等严重后果，培养对安全法规的敬畏之心和职业底线意识。</w:t>
            </w:r>
          </w:p>
        </w:tc>
        <w:tc>
          <w:tcPr>
            <w:tcW w:w="2117" w:type="dxa"/>
            <w:vAlign w:val="top"/>
          </w:tcPr>
          <w:p w14:paraId="0EBE6F38">
            <w:pPr>
              <w:spacing w:line="360" w:lineRule="exact"/>
              <w:jc w:val="both"/>
              <w:rPr>
                <w:rFonts w:hint="eastAsia" w:ascii="仿宋_GB2312" w:hAnsi="仿宋_GB2312" w:eastAsia="仿宋_GB2312" w:cs="仿宋_GB2312"/>
                <w:color w:val="auto"/>
                <w:sz w:val="24"/>
              </w:rPr>
            </w:pPr>
            <w:r>
              <w:rPr>
                <w:rFonts w:hint="eastAsia" w:ascii="仿宋_GB2312" w:hAnsi="仿宋_GB2312" w:eastAsia="仿宋_GB2312" w:cs="仿宋_GB2312"/>
                <w:b w:val="0"/>
                <w:bCs w:val="0"/>
                <w:i w:val="0"/>
                <w:caps w:val="0"/>
                <w:color w:val="000000"/>
                <w:spacing w:val="0"/>
                <w:kern w:val="0"/>
                <w:sz w:val="24"/>
                <w:szCs w:val="24"/>
                <w:lang w:val="en-US" w:eastAsia="zh-CN" w:bidi="ar"/>
              </w:rPr>
              <w:t>1.</w:t>
            </w:r>
            <w:r>
              <w:rPr>
                <w:rStyle w:val="10"/>
                <w:rFonts w:hint="eastAsia" w:ascii="仿宋_GB2312" w:hAnsi="仿宋_GB2312" w:eastAsia="仿宋_GB2312" w:cs="仿宋_GB2312"/>
                <w:b w:val="0"/>
                <w:bCs w:val="0"/>
                <w:i w:val="0"/>
                <w:caps w:val="0"/>
                <w:color w:val="000000"/>
                <w:spacing w:val="0"/>
                <w:kern w:val="0"/>
                <w:sz w:val="24"/>
                <w:szCs w:val="24"/>
                <w:lang w:val="en-US" w:eastAsia="zh-CN" w:bidi="ar"/>
              </w:rPr>
              <w:t>电源系统检修</w:t>
            </w:r>
            <w:r>
              <w:rPr>
                <w:rFonts w:hint="eastAsia" w:ascii="仿宋_GB2312" w:hAnsi="仿宋_GB2312" w:eastAsia="仿宋_GB2312" w:cs="仿宋_GB2312"/>
                <w:b w:val="0"/>
                <w:bCs w:val="0"/>
                <w:i w:val="0"/>
                <w:caps w:val="0"/>
                <w:color w:val="000000"/>
                <w:spacing w:val="0"/>
                <w:kern w:val="0"/>
                <w:sz w:val="24"/>
                <w:szCs w:val="24"/>
                <w:lang w:val="en-US" w:eastAsia="zh-CN" w:bidi="ar"/>
              </w:rPr>
              <w:t>：</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2.</w:t>
            </w:r>
            <w:r>
              <w:rPr>
                <w:rStyle w:val="10"/>
                <w:rFonts w:hint="eastAsia" w:ascii="仿宋_GB2312" w:hAnsi="仿宋_GB2312" w:eastAsia="仿宋_GB2312" w:cs="仿宋_GB2312"/>
                <w:b w:val="0"/>
                <w:bCs w:val="0"/>
                <w:i w:val="0"/>
                <w:caps w:val="0"/>
                <w:color w:val="000000"/>
                <w:spacing w:val="0"/>
                <w:kern w:val="0"/>
                <w:sz w:val="24"/>
                <w:szCs w:val="24"/>
                <w:lang w:val="en-US" w:eastAsia="zh-CN" w:bidi="ar"/>
              </w:rPr>
              <w:t>启动系统检修</w:t>
            </w:r>
            <w:r>
              <w:rPr>
                <w:rFonts w:hint="eastAsia" w:ascii="仿宋_GB2312" w:hAnsi="仿宋_GB2312" w:eastAsia="仿宋_GB2312" w:cs="仿宋_GB2312"/>
                <w:b w:val="0"/>
                <w:bCs w:val="0"/>
                <w:i w:val="0"/>
                <w:caps w:val="0"/>
                <w:color w:val="000000"/>
                <w:spacing w:val="0"/>
                <w:kern w:val="0"/>
                <w:sz w:val="24"/>
                <w:szCs w:val="24"/>
                <w:lang w:val="en-US" w:eastAsia="zh-CN" w:bidi="ar"/>
              </w:rPr>
              <w:t>：</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3.</w:t>
            </w:r>
            <w:r>
              <w:rPr>
                <w:rStyle w:val="10"/>
                <w:rFonts w:hint="eastAsia" w:ascii="仿宋_GB2312" w:hAnsi="仿宋_GB2312" w:eastAsia="仿宋_GB2312" w:cs="仿宋_GB2312"/>
                <w:b w:val="0"/>
                <w:bCs w:val="0"/>
                <w:i w:val="0"/>
                <w:caps w:val="0"/>
                <w:color w:val="000000"/>
                <w:spacing w:val="0"/>
                <w:kern w:val="0"/>
                <w:sz w:val="24"/>
                <w:szCs w:val="24"/>
                <w:lang w:val="en-US" w:eastAsia="zh-CN" w:bidi="ar"/>
              </w:rPr>
              <w:t>照明系统检修</w:t>
            </w:r>
            <w:r>
              <w:rPr>
                <w:rFonts w:hint="eastAsia" w:ascii="仿宋_GB2312" w:hAnsi="仿宋_GB2312" w:eastAsia="仿宋_GB2312" w:cs="仿宋_GB2312"/>
                <w:b w:val="0"/>
                <w:bCs w:val="0"/>
                <w:i w:val="0"/>
                <w:caps w:val="0"/>
                <w:color w:val="000000"/>
                <w:spacing w:val="0"/>
                <w:kern w:val="0"/>
                <w:sz w:val="24"/>
                <w:szCs w:val="24"/>
                <w:lang w:val="en-US" w:eastAsia="zh-CN" w:bidi="ar"/>
              </w:rPr>
              <w:t>：</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4.</w:t>
            </w:r>
            <w:r>
              <w:rPr>
                <w:rStyle w:val="10"/>
                <w:rFonts w:hint="eastAsia" w:ascii="仿宋_GB2312" w:hAnsi="仿宋_GB2312" w:eastAsia="仿宋_GB2312" w:cs="仿宋_GB2312"/>
                <w:b w:val="0"/>
                <w:bCs w:val="0"/>
                <w:i w:val="0"/>
                <w:caps w:val="0"/>
                <w:color w:val="000000"/>
                <w:spacing w:val="0"/>
                <w:kern w:val="0"/>
                <w:sz w:val="24"/>
                <w:szCs w:val="24"/>
                <w:lang w:val="en-US" w:eastAsia="zh-CN" w:bidi="ar"/>
              </w:rPr>
              <w:t>空调系统检修</w:t>
            </w:r>
            <w:r>
              <w:rPr>
                <w:rFonts w:hint="eastAsia" w:ascii="仿宋_GB2312" w:hAnsi="仿宋_GB2312" w:eastAsia="仿宋_GB2312" w:cs="仿宋_GB2312"/>
                <w:b w:val="0"/>
                <w:bCs w:val="0"/>
                <w:i w:val="0"/>
                <w:caps w:val="0"/>
                <w:color w:val="000000"/>
                <w:spacing w:val="0"/>
                <w:kern w:val="0"/>
                <w:sz w:val="24"/>
                <w:szCs w:val="24"/>
                <w:lang w:val="en-US" w:eastAsia="zh-CN" w:bidi="ar"/>
              </w:rPr>
              <w:t>：</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5.</w:t>
            </w:r>
            <w:r>
              <w:rPr>
                <w:rStyle w:val="10"/>
                <w:rFonts w:hint="eastAsia" w:ascii="仿宋_GB2312" w:hAnsi="仿宋_GB2312" w:eastAsia="仿宋_GB2312" w:cs="仿宋_GB2312"/>
                <w:b w:val="0"/>
                <w:bCs w:val="0"/>
                <w:i w:val="0"/>
                <w:caps w:val="0"/>
                <w:color w:val="000000"/>
                <w:spacing w:val="0"/>
                <w:kern w:val="0"/>
                <w:sz w:val="24"/>
                <w:szCs w:val="24"/>
                <w:lang w:val="en-US" w:eastAsia="zh-CN" w:bidi="ar"/>
              </w:rPr>
              <w:t>线路修复</w:t>
            </w:r>
            <w:r>
              <w:rPr>
                <w:rFonts w:hint="eastAsia" w:ascii="仿宋_GB2312" w:hAnsi="仿宋_GB2312" w:eastAsia="仿宋_GB2312" w:cs="仿宋_GB2312"/>
                <w:b w:val="0"/>
                <w:bCs w:val="0"/>
                <w:i w:val="0"/>
                <w:caps w:val="0"/>
                <w:color w:val="000000"/>
                <w:spacing w:val="0"/>
                <w:kern w:val="0"/>
                <w:sz w:val="24"/>
                <w:szCs w:val="24"/>
                <w:lang w:val="en-US" w:eastAsia="zh-CN" w:bidi="ar"/>
              </w:rPr>
              <w:t>：使用专用端子压接工具修复线束，热缩管包裹接头，避免虚接</w:t>
            </w:r>
          </w:p>
        </w:tc>
        <w:tc>
          <w:tcPr>
            <w:tcW w:w="1645" w:type="dxa"/>
            <w:vAlign w:val="top"/>
          </w:tcPr>
          <w:p w14:paraId="2A09CA1D">
            <w:pPr>
              <w:spacing w:after="240" w:line="320" w:lineRule="exact"/>
              <w:jc w:val="both"/>
              <w:rPr>
                <w:rFonts w:hint="eastAsia" w:ascii="仿宋_GB2312" w:hAnsi="仿宋_GB2312" w:eastAsia="仿宋_GB2312" w:cs="仿宋_GB2312"/>
                <w:color w:val="auto"/>
                <w:sz w:val="24"/>
              </w:rPr>
            </w:pPr>
            <w:r>
              <w:rPr>
                <w:rFonts w:hint="eastAsia" w:ascii="仿宋_GB2312" w:hAnsi="仿宋_GB2312" w:eastAsia="仿宋_GB2312" w:cs="仿宋_GB2312"/>
                <w:b w:val="0"/>
                <w:bCs w:val="0"/>
                <w:i w:val="0"/>
                <w:caps w:val="0"/>
                <w:color w:val="000000"/>
                <w:spacing w:val="0"/>
                <w:kern w:val="0"/>
                <w:sz w:val="24"/>
                <w:szCs w:val="24"/>
                <w:lang w:val="en-US" w:eastAsia="zh-CN" w:bidi="ar"/>
              </w:rPr>
              <w:t>1.检测电路前断开蓄电池负极（特别是高压部件），防止短路</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2.万用表使用前确认量程（测电压选 DC 20V，测电阻选 Ω×200），禁止带电测电阻</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3.修复后验证系统功能（如空调制冷 5 分钟后出风口温度≤10℃），记录维修前后数据</w:t>
            </w:r>
          </w:p>
        </w:tc>
      </w:tr>
      <w:tr w14:paraId="16B4B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76" w:type="dxa"/>
            <w:vAlign w:val="center"/>
          </w:tcPr>
          <w:p w14:paraId="77344F75">
            <w:pPr>
              <w:overflowPunct w:val="0"/>
              <w:adjustRightInd w:val="0"/>
              <w:spacing w:line="360" w:lineRule="exact"/>
              <w:jc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6</w:t>
            </w:r>
          </w:p>
        </w:tc>
        <w:tc>
          <w:tcPr>
            <w:tcW w:w="856" w:type="dxa"/>
            <w:vAlign w:val="center"/>
          </w:tcPr>
          <w:p w14:paraId="6550987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汽车性能检测</w:t>
            </w:r>
          </w:p>
        </w:tc>
        <w:tc>
          <w:tcPr>
            <w:tcW w:w="4452" w:type="dxa"/>
            <w:vAlign w:val="top"/>
          </w:tcPr>
          <w:p w14:paraId="6DEDC748">
            <w:pPr>
              <w:pStyle w:val="6"/>
              <w:keepNext w:val="0"/>
              <w:keepLines w:val="0"/>
              <w:widowControl/>
              <w:suppressLineNumbers w:val="0"/>
              <w:spacing w:before="0" w:beforeAutospacing="0" w:after="0" w:afterAutospacing="0"/>
              <w:ind w:right="0"/>
              <w:jc w:val="both"/>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知识目标：</w:t>
            </w:r>
            <w:r>
              <w:rPr>
                <w:rFonts w:hint="eastAsia" w:ascii="仿宋_GB2312" w:hAnsi="仿宋_GB2312" w:eastAsia="仿宋_GB2312" w:cs="仿宋_GB2312"/>
                <w:color w:val="auto"/>
                <w:sz w:val="24"/>
              </w:rPr>
              <w:t>熟悉汽车动力性（最高车速、加速性能）、经济性（百公里油耗）、安全性（制动距离、侧滑量）、排放性（尾气中 CO、HC 含量）等性能的国家标准（GB 7258）；掌握底盘测功机、尾气分析仪、制动试验台、侧滑试验台等检测设备的工作原理及操作规范；了解检测数据的分析方法（如对比标准值判断是否合格）。</w:t>
            </w:r>
          </w:p>
          <w:p w14:paraId="50929C35">
            <w:pPr>
              <w:pStyle w:val="6"/>
              <w:keepNext w:val="0"/>
              <w:keepLines w:val="0"/>
              <w:widowControl/>
              <w:suppressLineNumbers w:val="0"/>
              <w:spacing w:before="0" w:beforeAutospacing="0" w:after="0" w:afterAutospacing="0"/>
              <w:ind w:right="0"/>
              <w:jc w:val="both"/>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能力目标：</w:t>
            </w:r>
            <w:r>
              <w:rPr>
                <w:rFonts w:hint="eastAsia" w:ascii="仿宋_GB2312" w:hAnsi="仿宋_GB2312" w:eastAsia="仿宋_GB2312" w:cs="仿宋_GB2312"/>
                <w:color w:val="auto"/>
                <w:sz w:val="24"/>
              </w:rPr>
              <w:t>能操作底盘测功机完成发动机功率、车速等动力性参数检测；能使用尾气分析仪检测怠速和高怠速时的排放物浓度；能通过制动试验台测量制动距离和制动力分配；能根据检测数据生成《汽车性能检测报告》，分析不合格项目的可能原因（如排放超标关联三元催化器故障）。</w:t>
            </w:r>
          </w:p>
          <w:p w14:paraId="427774C5">
            <w:pPr>
              <w:pStyle w:val="6"/>
              <w:keepNext w:val="0"/>
              <w:keepLines w:val="0"/>
              <w:widowControl/>
              <w:suppressLineNumbers w:val="0"/>
              <w:spacing w:before="0" w:beforeAutospacing="0" w:after="0" w:afterAutospacing="0"/>
              <w:ind w:right="0"/>
              <w:jc w:val="both"/>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素质目标：</w:t>
            </w:r>
            <w:r>
              <w:rPr>
                <w:rFonts w:hint="eastAsia" w:ascii="仿宋_GB2312" w:hAnsi="仿宋_GB2312" w:eastAsia="仿宋_GB2312" w:cs="仿宋_GB2312"/>
                <w:color w:val="auto"/>
                <w:sz w:val="24"/>
              </w:rPr>
              <w:t>培养数据敏感性和标准意识，对检测结果负责；提升设备操作的规范性，避免因操作不当导致数据失真；养成客观公正的职业态度，不篡改检测数据。</w:t>
            </w:r>
          </w:p>
          <w:p w14:paraId="692FFE2D">
            <w:pPr>
              <w:pStyle w:val="6"/>
              <w:keepNext w:val="0"/>
              <w:keepLines w:val="0"/>
              <w:widowControl/>
              <w:suppressLineNumbers w:val="0"/>
              <w:spacing w:before="0" w:beforeAutospacing="0" w:after="0" w:afterAutospacing="0"/>
              <w:ind w:right="0"/>
              <w:jc w:val="both"/>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课程思政育人目标：</w:t>
            </w:r>
            <w:r>
              <w:rPr>
                <w:rFonts w:hint="eastAsia" w:ascii="仿宋_GB2312" w:hAnsi="仿宋_GB2312" w:eastAsia="仿宋_GB2312" w:cs="仿宋_GB2312"/>
                <w:color w:val="auto"/>
                <w:sz w:val="24"/>
              </w:rPr>
              <w:t>严守检测公正性原则，杜绝为 “通过检测” 而造假数据，引导学生认识到准确的性能检测是保障道路交通安全、控制环境污染的重要环节，培养坚守职业道德的自觉性。</w:t>
            </w:r>
          </w:p>
        </w:tc>
        <w:tc>
          <w:tcPr>
            <w:tcW w:w="2117" w:type="dxa"/>
            <w:vAlign w:val="top"/>
          </w:tcPr>
          <w:p w14:paraId="6C717A0F">
            <w:pPr>
              <w:spacing w:line="360" w:lineRule="exact"/>
              <w:jc w:val="both"/>
              <w:rPr>
                <w:rFonts w:hint="eastAsia" w:ascii="仿宋_GB2312" w:hAnsi="仿宋_GB2312" w:eastAsia="仿宋_GB2312" w:cs="仿宋_GB2312"/>
                <w:color w:val="auto"/>
                <w:sz w:val="24"/>
              </w:rPr>
            </w:pPr>
            <w:r>
              <w:rPr>
                <w:rFonts w:hint="eastAsia" w:ascii="仿宋_GB2312" w:hAnsi="仿宋_GB2312" w:eastAsia="仿宋_GB2312" w:cs="仿宋_GB2312"/>
                <w:b w:val="0"/>
                <w:bCs w:val="0"/>
                <w:i w:val="0"/>
                <w:caps w:val="0"/>
                <w:color w:val="000000"/>
                <w:spacing w:val="0"/>
                <w:kern w:val="0"/>
                <w:sz w:val="24"/>
                <w:szCs w:val="24"/>
                <w:lang w:val="en-US" w:eastAsia="zh-CN" w:bidi="ar"/>
              </w:rPr>
              <w:t>1.</w:t>
            </w:r>
            <w:r>
              <w:rPr>
                <w:rStyle w:val="10"/>
                <w:rFonts w:hint="eastAsia" w:ascii="仿宋_GB2312" w:hAnsi="仿宋_GB2312" w:eastAsia="仿宋_GB2312" w:cs="仿宋_GB2312"/>
                <w:b w:val="0"/>
                <w:bCs w:val="0"/>
                <w:i w:val="0"/>
                <w:caps w:val="0"/>
                <w:color w:val="000000"/>
                <w:spacing w:val="0"/>
                <w:kern w:val="0"/>
                <w:sz w:val="24"/>
                <w:szCs w:val="24"/>
                <w:lang w:val="en-US" w:eastAsia="zh-CN" w:bidi="ar"/>
              </w:rPr>
              <w:t>动力性检测</w:t>
            </w:r>
            <w:r>
              <w:rPr>
                <w:rFonts w:hint="eastAsia" w:ascii="仿宋_GB2312" w:hAnsi="仿宋_GB2312" w:eastAsia="仿宋_GB2312" w:cs="仿宋_GB2312"/>
                <w:b w:val="0"/>
                <w:bCs w:val="0"/>
                <w:i w:val="0"/>
                <w:caps w:val="0"/>
                <w:color w:val="000000"/>
                <w:spacing w:val="0"/>
                <w:kern w:val="0"/>
                <w:sz w:val="24"/>
                <w:szCs w:val="24"/>
                <w:lang w:val="en-US" w:eastAsia="zh-CN" w:bidi="ar"/>
              </w:rPr>
              <w:t>：</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2.</w:t>
            </w:r>
            <w:r>
              <w:rPr>
                <w:rStyle w:val="10"/>
                <w:rFonts w:hint="eastAsia" w:ascii="仿宋_GB2312" w:hAnsi="仿宋_GB2312" w:eastAsia="仿宋_GB2312" w:cs="仿宋_GB2312"/>
                <w:b w:val="0"/>
                <w:bCs w:val="0"/>
                <w:i w:val="0"/>
                <w:caps w:val="0"/>
                <w:color w:val="000000"/>
                <w:spacing w:val="0"/>
                <w:kern w:val="0"/>
                <w:sz w:val="24"/>
                <w:szCs w:val="24"/>
                <w:lang w:val="en-US" w:eastAsia="zh-CN" w:bidi="ar"/>
              </w:rPr>
              <w:t>经济性检测</w:t>
            </w:r>
            <w:r>
              <w:rPr>
                <w:rFonts w:hint="eastAsia" w:ascii="仿宋_GB2312" w:hAnsi="仿宋_GB2312" w:eastAsia="仿宋_GB2312" w:cs="仿宋_GB2312"/>
                <w:b w:val="0"/>
                <w:bCs w:val="0"/>
                <w:i w:val="0"/>
                <w:caps w:val="0"/>
                <w:color w:val="000000"/>
                <w:spacing w:val="0"/>
                <w:kern w:val="0"/>
                <w:sz w:val="24"/>
                <w:szCs w:val="24"/>
                <w:lang w:val="en-US" w:eastAsia="zh-CN" w:bidi="ar"/>
              </w:rPr>
              <w:t>：</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3.</w:t>
            </w:r>
            <w:r>
              <w:rPr>
                <w:rStyle w:val="10"/>
                <w:rFonts w:hint="eastAsia" w:ascii="仿宋_GB2312" w:hAnsi="仿宋_GB2312" w:eastAsia="仿宋_GB2312" w:cs="仿宋_GB2312"/>
                <w:b w:val="0"/>
                <w:bCs w:val="0"/>
                <w:i w:val="0"/>
                <w:caps w:val="0"/>
                <w:color w:val="000000"/>
                <w:spacing w:val="0"/>
                <w:kern w:val="0"/>
                <w:sz w:val="24"/>
                <w:szCs w:val="24"/>
                <w:lang w:val="en-US" w:eastAsia="zh-CN" w:bidi="ar"/>
              </w:rPr>
              <w:t>安全性检测</w:t>
            </w:r>
            <w:r>
              <w:rPr>
                <w:rFonts w:hint="eastAsia" w:ascii="仿宋_GB2312" w:hAnsi="仿宋_GB2312" w:eastAsia="仿宋_GB2312" w:cs="仿宋_GB2312"/>
                <w:b w:val="0"/>
                <w:bCs w:val="0"/>
                <w:i w:val="0"/>
                <w:caps w:val="0"/>
                <w:color w:val="000000"/>
                <w:spacing w:val="0"/>
                <w:kern w:val="0"/>
                <w:sz w:val="24"/>
                <w:szCs w:val="24"/>
                <w:lang w:val="en-US" w:eastAsia="zh-CN" w:bidi="ar"/>
              </w:rPr>
              <w:t>：</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4.</w:t>
            </w:r>
            <w:r>
              <w:rPr>
                <w:rStyle w:val="10"/>
                <w:rFonts w:hint="eastAsia" w:ascii="仿宋_GB2312" w:hAnsi="仿宋_GB2312" w:eastAsia="仿宋_GB2312" w:cs="仿宋_GB2312"/>
                <w:b w:val="0"/>
                <w:bCs w:val="0"/>
                <w:i w:val="0"/>
                <w:caps w:val="0"/>
                <w:color w:val="000000"/>
                <w:spacing w:val="0"/>
                <w:kern w:val="0"/>
                <w:sz w:val="24"/>
                <w:szCs w:val="24"/>
                <w:lang w:val="en-US" w:eastAsia="zh-CN" w:bidi="ar"/>
              </w:rPr>
              <w:t>排放检测</w:t>
            </w:r>
            <w:r>
              <w:rPr>
                <w:rFonts w:hint="eastAsia" w:ascii="仿宋_GB2312" w:hAnsi="仿宋_GB2312" w:eastAsia="仿宋_GB2312" w:cs="仿宋_GB2312"/>
                <w:b w:val="0"/>
                <w:bCs w:val="0"/>
                <w:i w:val="0"/>
                <w:caps w:val="0"/>
                <w:color w:val="000000"/>
                <w:spacing w:val="0"/>
                <w:kern w:val="0"/>
                <w:sz w:val="24"/>
                <w:szCs w:val="24"/>
                <w:lang w:val="en-US" w:eastAsia="zh-CN" w:bidi="ar"/>
              </w:rPr>
              <w:t>：</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5.</w:t>
            </w:r>
            <w:r>
              <w:rPr>
                <w:rStyle w:val="10"/>
                <w:rFonts w:hint="eastAsia" w:ascii="仿宋_GB2312" w:hAnsi="仿宋_GB2312" w:eastAsia="仿宋_GB2312" w:cs="仿宋_GB2312"/>
                <w:b w:val="0"/>
                <w:bCs w:val="0"/>
                <w:i w:val="0"/>
                <w:caps w:val="0"/>
                <w:color w:val="000000"/>
                <w:spacing w:val="0"/>
                <w:kern w:val="0"/>
                <w:sz w:val="24"/>
                <w:szCs w:val="24"/>
                <w:lang w:val="en-US" w:eastAsia="zh-CN" w:bidi="ar"/>
              </w:rPr>
              <w:t>数据处理</w:t>
            </w:r>
            <w:r>
              <w:rPr>
                <w:rFonts w:hint="eastAsia" w:ascii="仿宋_GB2312" w:hAnsi="仿宋_GB2312" w:eastAsia="仿宋_GB2312" w:cs="仿宋_GB2312"/>
                <w:b w:val="0"/>
                <w:bCs w:val="0"/>
                <w:i w:val="0"/>
                <w:caps w:val="0"/>
                <w:color w:val="000000"/>
                <w:spacing w:val="0"/>
                <w:kern w:val="0"/>
                <w:sz w:val="24"/>
                <w:szCs w:val="24"/>
                <w:lang w:val="en-US" w:eastAsia="zh-CN" w:bidi="ar"/>
              </w:rPr>
              <w:t>：生成《汽车性能检测报告》，对比国家标准与厂家参数，分析不合格项目原因</w:t>
            </w:r>
          </w:p>
        </w:tc>
        <w:tc>
          <w:tcPr>
            <w:tcW w:w="1645" w:type="dxa"/>
            <w:vAlign w:val="top"/>
          </w:tcPr>
          <w:p w14:paraId="7287A1B2">
            <w:pPr>
              <w:spacing w:after="240" w:line="320" w:lineRule="exact"/>
              <w:jc w:val="both"/>
              <w:rPr>
                <w:rFonts w:hint="eastAsia" w:ascii="仿宋_GB2312" w:hAnsi="仿宋_GB2312" w:eastAsia="仿宋_GB2312" w:cs="仿宋_GB2312"/>
                <w:color w:val="auto"/>
                <w:sz w:val="24"/>
              </w:rPr>
            </w:pPr>
            <w:r>
              <w:rPr>
                <w:rFonts w:hint="eastAsia" w:ascii="仿宋_GB2312" w:hAnsi="仿宋_GB2312" w:eastAsia="仿宋_GB2312" w:cs="仿宋_GB2312"/>
                <w:b w:val="0"/>
                <w:bCs w:val="0"/>
                <w:i w:val="0"/>
                <w:caps w:val="0"/>
                <w:color w:val="000000"/>
                <w:spacing w:val="0"/>
                <w:kern w:val="0"/>
                <w:sz w:val="24"/>
                <w:szCs w:val="24"/>
                <w:lang w:val="en-US" w:eastAsia="zh-CN" w:bidi="ar"/>
              </w:rPr>
              <w:t>1.检测前校准设备（如制动试验台归零、尾气分析仪预热 30 分钟）</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2.严格按检测规程操作（如底盘测功机加载时缓慢升速，避免急加速）</w:t>
            </w:r>
            <w:r>
              <w:rPr>
                <w:rFonts w:hint="eastAsia" w:ascii="仿宋_GB2312" w:hAnsi="仿宋_GB2312" w:eastAsia="仿宋_GB2312" w:cs="仿宋_GB2312"/>
                <w:b w:val="0"/>
                <w:bCs w:val="0"/>
                <w:i w:val="0"/>
                <w:caps w:val="0"/>
                <w:color w:val="000000"/>
                <w:spacing w:val="0"/>
                <w:kern w:val="0"/>
                <w:sz w:val="24"/>
                <w:szCs w:val="24"/>
                <w:lang w:val="en-US" w:eastAsia="zh-CN" w:bidi="ar"/>
              </w:rPr>
              <w:br w:type="textWrapping"/>
            </w:r>
            <w:r>
              <w:rPr>
                <w:rFonts w:hint="eastAsia" w:ascii="仿宋_GB2312" w:hAnsi="仿宋_GB2312" w:eastAsia="仿宋_GB2312" w:cs="仿宋_GB2312"/>
                <w:b w:val="0"/>
                <w:bCs w:val="0"/>
                <w:i w:val="0"/>
                <w:caps w:val="0"/>
                <w:color w:val="000000"/>
                <w:spacing w:val="0"/>
                <w:kern w:val="0"/>
                <w:sz w:val="24"/>
                <w:szCs w:val="24"/>
                <w:lang w:val="en-US" w:eastAsia="zh-CN" w:bidi="ar"/>
              </w:rPr>
              <w:t>3.能根据检测数据定位故障（如排放超标指向三元催化器或氧传感器故障）</w:t>
            </w:r>
          </w:p>
        </w:tc>
      </w:tr>
      <w:tr w14:paraId="78EE3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76" w:type="dxa"/>
            <w:vAlign w:val="center"/>
          </w:tcPr>
          <w:p w14:paraId="07049B01">
            <w:pPr>
              <w:overflowPunct w:val="0"/>
              <w:adjustRightInd w:val="0"/>
              <w:spacing w:line="360" w:lineRule="exact"/>
              <w:jc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7</w:t>
            </w:r>
          </w:p>
        </w:tc>
        <w:tc>
          <w:tcPr>
            <w:tcW w:w="856" w:type="dxa"/>
            <w:vAlign w:val="center"/>
          </w:tcPr>
          <w:p w14:paraId="7B2EECC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毕业设计</w:t>
            </w:r>
          </w:p>
        </w:tc>
        <w:tc>
          <w:tcPr>
            <w:tcW w:w="4452" w:type="dxa"/>
            <w:vAlign w:val="top"/>
          </w:tcPr>
          <w:p w14:paraId="14BFC376">
            <w:pPr>
              <w:pStyle w:val="6"/>
              <w:keepNext w:val="0"/>
              <w:keepLines w:val="0"/>
              <w:widowControl/>
              <w:suppressLineNumbers w:val="0"/>
              <w:spacing w:before="0" w:beforeAutospacing="0" w:after="0" w:afterAutospacing="0"/>
              <w:ind w:right="0"/>
              <w:jc w:val="both"/>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知识目标：</w:t>
            </w:r>
            <w:r>
              <w:rPr>
                <w:rFonts w:hint="eastAsia" w:ascii="仿宋_GB2312" w:hAnsi="仿宋_GB2312" w:eastAsia="仿宋_GB2312" w:cs="仿宋_GB2312"/>
                <w:color w:val="auto"/>
                <w:sz w:val="24"/>
              </w:rPr>
              <w:t>综合运用汽车检测与维修技术专业的核心知识（如发动机故障诊断、新能源汽车技术）和前沿技术（如智能网联汽车系统），理解毕业设计的选题原则、研究方法（如案例分析、实验验证）及学术规范（如参考文献引用）。</w:t>
            </w:r>
          </w:p>
          <w:p w14:paraId="0F3C025D">
            <w:pPr>
              <w:pStyle w:val="6"/>
              <w:keepNext w:val="0"/>
              <w:keepLines w:val="0"/>
              <w:widowControl/>
              <w:suppressLineNumbers w:val="0"/>
              <w:spacing w:before="0" w:beforeAutospacing="0" w:after="0" w:afterAutospacing="0"/>
              <w:ind w:right="0"/>
              <w:jc w:val="both"/>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能力目标：</w:t>
            </w:r>
            <w:r>
              <w:rPr>
                <w:rFonts w:hint="eastAsia" w:ascii="仿宋_GB2312" w:hAnsi="仿宋_GB2312" w:eastAsia="仿宋_GB2312" w:cs="仿宋_GB2312"/>
                <w:color w:val="auto"/>
                <w:sz w:val="24"/>
              </w:rPr>
              <w:t>能独立完成毕业设计选题（如“新能源汽车充电故障排查策略研究”）、方案设计（含技术路线、实验步骤）；能通过文献检索、实验数据收集（如故障模拟测试）支撑研究结论；能规范撰写毕业设计报告（含摘要、正文、结论、参考文献），并通过答辩清晰阐述研究内容。</w:t>
            </w:r>
          </w:p>
          <w:p w14:paraId="35AB3A6F">
            <w:pPr>
              <w:pStyle w:val="6"/>
              <w:keepNext w:val="0"/>
              <w:keepLines w:val="0"/>
              <w:widowControl/>
              <w:suppressLineNumbers w:val="0"/>
              <w:spacing w:before="0" w:beforeAutospacing="0" w:after="0" w:afterAutospacing="0"/>
              <w:ind w:right="0"/>
              <w:jc w:val="both"/>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素质目标：</w:t>
            </w:r>
            <w:r>
              <w:rPr>
                <w:rFonts w:hint="eastAsia" w:ascii="仿宋_GB2312" w:hAnsi="仿宋_GB2312" w:eastAsia="仿宋_GB2312" w:cs="仿宋_GB2312"/>
                <w:color w:val="auto"/>
                <w:sz w:val="24"/>
              </w:rPr>
              <w:t>提升创新思维能力，能在传统维修技术基础上提出优化方案；培养学术严谨性，杜绝抄袭等学术不端行为；增强时间管理能力，按计划完成各阶段任务。</w:t>
            </w:r>
          </w:p>
          <w:p w14:paraId="2DD15283">
            <w:pPr>
              <w:pStyle w:val="6"/>
              <w:keepNext w:val="0"/>
              <w:keepLines w:val="0"/>
              <w:widowControl/>
              <w:suppressLineNumbers w:val="0"/>
              <w:spacing w:before="0" w:beforeAutospacing="0" w:after="0" w:afterAutospacing="0"/>
              <w:ind w:right="0"/>
              <w:jc w:val="both"/>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课程思政育人目标：</w:t>
            </w:r>
            <w:r>
              <w:rPr>
                <w:rFonts w:hint="eastAsia" w:ascii="仿宋_GB2312" w:hAnsi="仿宋_GB2312" w:eastAsia="仿宋_GB2312" w:cs="仿宋_GB2312"/>
                <w:color w:val="auto"/>
                <w:sz w:val="24"/>
              </w:rPr>
              <w:t>鼓励针对行业痛点（如新能源汽车维修难题）开展技术攻关，培养解决实际问题的创新精神；强调学术诚信，引导学生树立 “科研无捷径” 的理念，尊重知识产权和学术规范。</w:t>
            </w:r>
          </w:p>
        </w:tc>
        <w:tc>
          <w:tcPr>
            <w:tcW w:w="2117" w:type="dxa"/>
            <w:vAlign w:val="top"/>
          </w:tcPr>
          <w:p w14:paraId="62E8A82C">
            <w:pPr>
              <w:spacing w:line="360" w:lineRule="exact"/>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对汽车各部分现存问题的探究</w:t>
            </w:r>
          </w:p>
        </w:tc>
        <w:tc>
          <w:tcPr>
            <w:tcW w:w="1645" w:type="dxa"/>
            <w:vAlign w:val="top"/>
          </w:tcPr>
          <w:p w14:paraId="0FAE9151">
            <w:pPr>
              <w:spacing w:after="240" w:line="320" w:lineRule="exact"/>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2"/>
                <w:sz w:val="24"/>
                <w:szCs w:val="24"/>
                <w:vertAlign w:val="baseline"/>
                <w:lang w:val="en-US" w:eastAsia="zh-CN" w:bidi="ar-SA"/>
              </w:rPr>
              <w:t>完成规定内容的设计</w:t>
            </w:r>
          </w:p>
        </w:tc>
      </w:tr>
      <w:tr w14:paraId="0D762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76" w:type="dxa"/>
            <w:vAlign w:val="center"/>
          </w:tcPr>
          <w:p w14:paraId="0A3AF5C0">
            <w:pPr>
              <w:overflowPunct w:val="0"/>
              <w:adjustRightInd w:val="0"/>
              <w:spacing w:line="360" w:lineRule="exact"/>
              <w:jc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8</w:t>
            </w:r>
          </w:p>
        </w:tc>
        <w:tc>
          <w:tcPr>
            <w:tcW w:w="856" w:type="dxa"/>
            <w:vAlign w:val="center"/>
          </w:tcPr>
          <w:p w14:paraId="3528D2E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岗位实习</w:t>
            </w:r>
          </w:p>
        </w:tc>
        <w:tc>
          <w:tcPr>
            <w:tcW w:w="4452" w:type="dxa"/>
            <w:vAlign w:val="top"/>
          </w:tcPr>
          <w:p w14:paraId="08823CD6">
            <w:pPr>
              <w:pStyle w:val="6"/>
              <w:keepNext w:val="0"/>
              <w:keepLines w:val="0"/>
              <w:widowControl/>
              <w:suppressLineNumbers w:val="0"/>
              <w:spacing w:before="0" w:beforeAutospacing="0" w:after="0" w:afterAutospacing="0"/>
              <w:ind w:right="0"/>
              <w:jc w:val="both"/>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知识目标：</w:t>
            </w:r>
            <w:r>
              <w:rPr>
                <w:rFonts w:hint="eastAsia" w:ascii="仿宋_GB2312" w:hAnsi="仿宋_GB2312" w:eastAsia="仿宋_GB2312" w:cs="仿宋_GB2312"/>
                <w:color w:val="auto"/>
                <w:sz w:val="24"/>
              </w:rPr>
              <w:t>深入了解汽车维修企业（如 4S 店、综合修理厂）的运营模式（如接待 - 维修 - 结算流程）、岗位职责（如机电维修工、服务顾问）及行业最新技术动态（如新能源汽车维修标准、智能诊断设备应用）；熟悉企业的安全管理制度、质量控制流程及客户服务规范。</w:t>
            </w:r>
          </w:p>
          <w:p w14:paraId="2CC41C5F">
            <w:pPr>
              <w:pStyle w:val="6"/>
              <w:keepNext w:val="0"/>
              <w:keepLines w:val="0"/>
              <w:widowControl/>
              <w:suppressLineNumbers w:val="0"/>
              <w:spacing w:before="0" w:beforeAutospacing="0" w:after="0" w:afterAutospacing="0"/>
              <w:ind w:right="0"/>
              <w:jc w:val="both"/>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能力目标：</w:t>
            </w:r>
            <w:r>
              <w:rPr>
                <w:rFonts w:hint="eastAsia" w:ascii="仿宋_GB2312" w:hAnsi="仿宋_GB2312" w:eastAsia="仿宋_GB2312" w:cs="仿宋_GB2312"/>
                <w:color w:val="auto"/>
                <w:sz w:val="24"/>
              </w:rPr>
              <w:t>能在真实工作场景中完成汽车维护（如常规保养）、故障诊断（如发动机异响排查）、维修接待（如接车检查、客户沟通）等任务；能适应企业的团队协作模式（如与配件部、车间主管配合）；能运用企业管理系统（如工单系统、配件查询系统）处理日常工作。</w:t>
            </w:r>
          </w:p>
          <w:p w14:paraId="7C69B3A6">
            <w:pPr>
              <w:pStyle w:val="6"/>
              <w:keepNext w:val="0"/>
              <w:keepLines w:val="0"/>
              <w:widowControl/>
              <w:suppressLineNumbers w:val="0"/>
              <w:spacing w:before="0" w:beforeAutospacing="0" w:after="0" w:afterAutospacing="0"/>
              <w:ind w:right="0"/>
              <w:jc w:val="both"/>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素质目标：</w:t>
            </w:r>
            <w:r>
              <w:rPr>
                <w:rFonts w:hint="eastAsia" w:ascii="仿宋_GB2312" w:hAnsi="仿宋_GB2312" w:eastAsia="仿宋_GB2312" w:cs="仿宋_GB2312"/>
                <w:color w:val="auto"/>
                <w:sz w:val="24"/>
              </w:rPr>
              <w:t>适应职场环境，提升沟通表达能力（如与客户、同事交流）和抗压能力（如应对紧急维修任务）；培养职业认同感，树立 “干一行爱一行” 的职业态度；增强责任意识，对经手的维修项目质量负责。</w:t>
            </w:r>
          </w:p>
          <w:p w14:paraId="098A9EFF">
            <w:pPr>
              <w:pStyle w:val="6"/>
              <w:keepNext w:val="0"/>
              <w:keepLines w:val="0"/>
              <w:widowControl/>
              <w:suppressLineNumbers w:val="0"/>
              <w:spacing w:before="0" w:beforeAutospacing="0" w:after="0" w:afterAutospacing="0"/>
              <w:ind w:right="0"/>
              <w:jc w:val="both"/>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课程思政育人目标：</w:t>
            </w:r>
            <w:r>
              <w:rPr>
                <w:rFonts w:hint="eastAsia" w:ascii="仿宋_GB2312" w:hAnsi="仿宋_GB2312" w:eastAsia="仿宋_GB2312" w:cs="仿宋_GB2312"/>
                <w:color w:val="auto"/>
                <w:sz w:val="24"/>
              </w:rPr>
              <w:t>践行 “工匠精神”，在实习中专注细节、追求卓越，通过优质服务赢得客户信任；引导学生将个人职业发展与行业进步结合，培养扎根基层、服务社会的职业情怀。</w:t>
            </w:r>
          </w:p>
          <w:p w14:paraId="3A1291D3">
            <w:pPr>
              <w:pStyle w:val="6"/>
              <w:keepNext w:val="0"/>
              <w:keepLines w:val="0"/>
              <w:widowControl/>
              <w:suppressLineNumbers w:val="0"/>
              <w:spacing w:before="0" w:beforeAutospacing="0" w:after="0" w:afterAutospacing="0"/>
              <w:ind w:right="0"/>
              <w:jc w:val="both"/>
              <w:rPr>
                <w:rFonts w:hint="eastAsia" w:ascii="仿宋_GB2312" w:hAnsi="仿宋_GB2312" w:eastAsia="仿宋_GB2312" w:cs="仿宋_GB2312"/>
                <w:color w:val="auto"/>
                <w:sz w:val="24"/>
              </w:rPr>
            </w:pPr>
          </w:p>
        </w:tc>
        <w:tc>
          <w:tcPr>
            <w:tcW w:w="2117" w:type="dxa"/>
            <w:vAlign w:val="top"/>
          </w:tcPr>
          <w:p w14:paraId="1F5C2A85">
            <w:pPr>
              <w:spacing w:line="360" w:lineRule="exact"/>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到企业中工作，与社会接轨，了解企业的性质和模式，更快</w:t>
            </w:r>
            <w:r>
              <w:rPr>
                <w:rFonts w:hint="eastAsia" w:ascii="仿宋_GB2312" w:hAnsi="仿宋_GB2312" w:eastAsia="仿宋_GB2312" w:cs="仿宋_GB2312"/>
                <w:color w:val="auto"/>
                <w:sz w:val="24"/>
                <w:szCs w:val="24"/>
                <w:highlight w:val="none"/>
                <w:lang w:eastAsia="zh-CN"/>
              </w:rPr>
              <w:t>地</w:t>
            </w:r>
            <w:r>
              <w:rPr>
                <w:rFonts w:hint="eastAsia" w:ascii="仿宋_GB2312" w:hAnsi="仿宋_GB2312" w:eastAsia="仿宋_GB2312" w:cs="仿宋_GB2312"/>
                <w:color w:val="auto"/>
                <w:sz w:val="24"/>
                <w:szCs w:val="24"/>
              </w:rPr>
              <w:t>适应社会。</w:t>
            </w:r>
          </w:p>
        </w:tc>
        <w:tc>
          <w:tcPr>
            <w:tcW w:w="1645" w:type="dxa"/>
            <w:vAlign w:val="top"/>
          </w:tcPr>
          <w:p w14:paraId="29A5CEEB">
            <w:pPr>
              <w:spacing w:after="240" w:line="320" w:lineRule="exact"/>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加强与社会企业的认识与了解</w:t>
            </w:r>
          </w:p>
        </w:tc>
      </w:tr>
      <w:bookmarkEnd w:id="9"/>
    </w:tbl>
    <w:p w14:paraId="4CC85828">
      <w:pPr>
        <w:keepNext w:val="0"/>
        <w:keepLines w:val="0"/>
        <w:pageBreakBefore w:val="0"/>
        <w:widowControl w:val="0"/>
        <w:kinsoku/>
        <w:wordWrap/>
        <w:topLinePunct w:val="0"/>
        <w:autoSpaceDE/>
        <w:autoSpaceDN/>
        <w:bidi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（三）第二课堂</w:t>
      </w:r>
      <w:r>
        <w:rPr>
          <w:rFonts w:hint="eastAsia" w:ascii="楷体" w:hAnsi="楷体" w:eastAsia="楷体" w:cs="楷体"/>
          <w:color w:val="auto"/>
          <w:sz w:val="32"/>
          <w:szCs w:val="32"/>
          <w:lang w:val="en-US" w:eastAsia="zh-CN"/>
        </w:rPr>
        <w:t>素质教育课</w:t>
      </w:r>
    </w:p>
    <w:p w14:paraId="61CBB84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第二课堂</w:t>
      </w:r>
      <w:r>
        <w:rPr>
          <w:rFonts w:hint="eastAsia" w:ascii="仿宋_GB2312" w:hAnsi="仿宋_GB2312" w:eastAsia="仿宋_GB2312" w:cs="仿宋_GB2312"/>
          <w:color w:val="auto"/>
          <w:sz w:val="32"/>
          <w:szCs w:val="32"/>
          <w:lang w:val="en-US" w:eastAsia="zh-CN"/>
        </w:rPr>
        <w:t>素质教育课</w:t>
      </w:r>
      <w:r>
        <w:rPr>
          <w:rFonts w:hint="eastAsia" w:ascii="仿宋_GB2312" w:hAnsi="仿宋_GB2312" w:eastAsia="仿宋_GB2312" w:cs="仿宋_GB2312"/>
          <w:color w:val="auto"/>
          <w:sz w:val="32"/>
          <w:szCs w:val="32"/>
        </w:rPr>
        <w:t>包括思想成长、</w:t>
      </w:r>
      <w:r>
        <w:rPr>
          <w:rFonts w:hint="eastAsia" w:ascii="仿宋_GB2312" w:hAnsi="仿宋_GB2312" w:eastAsia="仿宋_GB2312" w:cs="仿宋_GB2312"/>
          <w:color w:val="auto"/>
          <w:sz w:val="32"/>
          <w:szCs w:val="32"/>
          <w:lang w:val="en-US" w:eastAsia="zh-CN"/>
        </w:rPr>
        <w:t>实践实习</w:t>
      </w:r>
      <w:r>
        <w:rPr>
          <w:rFonts w:hint="eastAsia" w:ascii="仿宋_GB2312" w:hAnsi="仿宋_GB2312" w:eastAsia="仿宋_GB2312" w:cs="仿宋_GB2312"/>
          <w:color w:val="auto"/>
          <w:sz w:val="32"/>
          <w:szCs w:val="32"/>
        </w:rPr>
        <w:t>、创新创业、</w:t>
      </w:r>
      <w:r>
        <w:rPr>
          <w:rFonts w:hint="eastAsia" w:ascii="仿宋_GB2312" w:hAnsi="仿宋_GB2312" w:eastAsia="仿宋_GB2312" w:cs="仿宋_GB2312"/>
          <w:color w:val="auto"/>
          <w:sz w:val="32"/>
          <w:szCs w:val="32"/>
          <w:lang w:val="en-US" w:eastAsia="zh-CN"/>
        </w:rPr>
        <w:t>志愿公益、</w:t>
      </w:r>
      <w:r>
        <w:rPr>
          <w:rFonts w:hint="eastAsia" w:ascii="仿宋_GB2312" w:hAnsi="仿宋_GB2312" w:eastAsia="仿宋_GB2312" w:cs="仿宋_GB2312"/>
          <w:color w:val="auto"/>
          <w:sz w:val="32"/>
          <w:szCs w:val="32"/>
        </w:rPr>
        <w:t>文体</w:t>
      </w:r>
      <w:r>
        <w:rPr>
          <w:rFonts w:hint="eastAsia" w:ascii="仿宋_GB2312" w:hAnsi="仿宋_GB2312" w:eastAsia="仿宋_GB2312" w:cs="仿宋_GB2312"/>
          <w:color w:val="auto"/>
          <w:sz w:val="32"/>
          <w:szCs w:val="32"/>
          <w:lang w:val="en-US" w:eastAsia="zh-CN"/>
        </w:rPr>
        <w:t>活动</w:t>
      </w:r>
      <w:r>
        <w:rPr>
          <w:rFonts w:hint="eastAsia" w:ascii="仿宋_GB2312" w:hAnsi="仿宋_GB2312" w:eastAsia="仿宋_GB2312" w:cs="仿宋_GB2312"/>
          <w:color w:val="auto"/>
          <w:sz w:val="32"/>
          <w:szCs w:val="32"/>
        </w:rPr>
        <w:t>、工作履历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专业技能特长等其他各类课程及活动。</w:t>
      </w:r>
    </w:p>
    <w:p w14:paraId="047EAA33">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lang w:val="en-US" w:eastAsia="zh-CN"/>
        </w:rPr>
        <w:t>第二课堂素质教育课安排表</w:t>
      </w:r>
    </w:p>
    <w:tbl>
      <w:tblPr>
        <w:tblStyle w:val="8"/>
        <w:tblW w:w="102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5"/>
        <w:gridCol w:w="3573"/>
        <w:gridCol w:w="880"/>
        <w:gridCol w:w="1013"/>
        <w:gridCol w:w="1040"/>
        <w:gridCol w:w="1236"/>
        <w:gridCol w:w="1236"/>
      </w:tblGrid>
      <w:tr w14:paraId="6B90C0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40593BCB">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lang w:val="en-US" w:eastAsia="zh-CN"/>
              </w:rPr>
              <w:t>模块</w:t>
            </w:r>
          </w:p>
        </w:tc>
        <w:tc>
          <w:tcPr>
            <w:tcW w:w="3573" w:type="dxa"/>
            <w:vAlign w:val="center"/>
          </w:tcPr>
          <w:p w14:paraId="2036A5DB">
            <w:pPr>
              <w:keepNext w:val="0"/>
              <w:keepLines w:val="0"/>
              <w:pageBreakBefore w:val="0"/>
              <w:widowControl w:val="0"/>
              <w:kinsoku/>
              <w:wordWrap/>
              <w:topLinePunct w:val="0"/>
              <w:autoSpaceDE/>
              <w:autoSpaceDN/>
              <w:bidi w:val="0"/>
              <w:snapToGrid/>
              <w:spacing w:line="300" w:lineRule="exact"/>
              <w:jc w:val="center"/>
              <w:textAlignment w:val="auto"/>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szCs w:val="24"/>
                <w:lang w:val="en-US" w:eastAsia="zh-CN"/>
              </w:rPr>
              <w:t>内容</w:t>
            </w:r>
          </w:p>
        </w:tc>
        <w:tc>
          <w:tcPr>
            <w:tcW w:w="880" w:type="dxa"/>
            <w:vAlign w:val="center"/>
          </w:tcPr>
          <w:p w14:paraId="718844F4">
            <w:pPr>
              <w:keepNext w:val="0"/>
              <w:keepLines w:val="0"/>
              <w:pageBreakBefore w:val="0"/>
              <w:widowControl w:val="0"/>
              <w:kinsoku/>
              <w:wordWrap/>
              <w:topLinePunct w:val="0"/>
              <w:autoSpaceDE/>
              <w:autoSpaceDN/>
              <w:bidi w:val="0"/>
              <w:snapToGrid/>
              <w:spacing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性质</w:t>
            </w:r>
          </w:p>
        </w:tc>
        <w:tc>
          <w:tcPr>
            <w:tcW w:w="1013" w:type="dxa"/>
            <w:vAlign w:val="center"/>
          </w:tcPr>
          <w:p w14:paraId="0AAEB29E">
            <w:pPr>
              <w:keepNext w:val="0"/>
              <w:keepLines w:val="0"/>
              <w:pageBreakBefore w:val="0"/>
              <w:widowControl w:val="0"/>
              <w:kinsoku/>
              <w:wordWrap/>
              <w:topLinePunct w:val="0"/>
              <w:autoSpaceDE/>
              <w:autoSpaceDN/>
              <w:bidi w:val="0"/>
              <w:snapToGrid/>
              <w:spacing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组织者</w:t>
            </w:r>
          </w:p>
        </w:tc>
        <w:tc>
          <w:tcPr>
            <w:tcW w:w="1040" w:type="dxa"/>
            <w:vAlign w:val="center"/>
          </w:tcPr>
          <w:p w14:paraId="55EE874E">
            <w:pPr>
              <w:keepNext w:val="0"/>
              <w:keepLines w:val="0"/>
              <w:pageBreakBefore w:val="0"/>
              <w:widowControl w:val="0"/>
              <w:kinsoku/>
              <w:wordWrap/>
              <w:topLinePunct w:val="0"/>
              <w:autoSpaceDE/>
              <w:autoSpaceDN/>
              <w:bidi w:val="0"/>
              <w:snapToGrid/>
              <w:spacing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认定者</w:t>
            </w:r>
          </w:p>
        </w:tc>
        <w:tc>
          <w:tcPr>
            <w:tcW w:w="1236" w:type="dxa"/>
            <w:vAlign w:val="center"/>
          </w:tcPr>
          <w:p w14:paraId="4E00EFC3">
            <w:pPr>
              <w:keepNext w:val="0"/>
              <w:keepLines w:val="0"/>
              <w:pageBreakBefore w:val="0"/>
              <w:widowControl w:val="0"/>
              <w:kinsoku/>
              <w:wordWrap/>
              <w:topLinePunct w:val="0"/>
              <w:autoSpaceDE/>
              <w:autoSpaceDN/>
              <w:bidi w:val="0"/>
              <w:snapToGrid/>
              <w:spacing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计分标准</w:t>
            </w:r>
          </w:p>
        </w:tc>
        <w:tc>
          <w:tcPr>
            <w:tcW w:w="1236" w:type="dxa"/>
            <w:vAlign w:val="center"/>
          </w:tcPr>
          <w:p w14:paraId="0178F145">
            <w:pPr>
              <w:keepNext w:val="0"/>
              <w:keepLines w:val="0"/>
              <w:pageBreakBefore w:val="0"/>
              <w:widowControl w:val="0"/>
              <w:kinsoku/>
              <w:wordWrap/>
              <w:topLinePunct w:val="0"/>
              <w:autoSpaceDE/>
              <w:autoSpaceDN/>
              <w:bidi w:val="0"/>
              <w:snapToGrid/>
              <w:spacing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备注</w:t>
            </w:r>
          </w:p>
        </w:tc>
      </w:tr>
      <w:tr w14:paraId="5809FD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4" w:hRule="atLeast"/>
          <w:jc w:val="center"/>
        </w:trPr>
        <w:tc>
          <w:tcPr>
            <w:tcW w:w="1265" w:type="dxa"/>
            <w:vAlign w:val="center"/>
          </w:tcPr>
          <w:p w14:paraId="2BE3DC6F">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思想成长</w:t>
            </w:r>
          </w:p>
        </w:tc>
        <w:tc>
          <w:tcPr>
            <w:tcW w:w="3573" w:type="dxa"/>
            <w:vAlign w:val="center"/>
          </w:tcPr>
          <w:p w14:paraId="7DD4DD56">
            <w:pPr>
              <w:keepNext w:val="0"/>
              <w:keepLines w:val="0"/>
              <w:pageBreakBefore w:val="0"/>
              <w:widowControl w:val="0"/>
              <w:numPr>
                <w:ilvl w:val="0"/>
                <w:numId w:val="0"/>
              </w:numPr>
              <w:kinsoku/>
              <w:wordWrap/>
              <w:topLinePunct w:val="0"/>
              <w:autoSpaceDE/>
              <w:autoSpaceDN/>
              <w:bidi w:val="0"/>
              <w:snapToGrid/>
              <w:spacing w:after="0" w:line="300" w:lineRule="exac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1.思想政治教育</w:t>
            </w:r>
            <w:r>
              <w:rPr>
                <w:rFonts w:hint="eastAsia" w:ascii="仿宋_GB2312" w:hAnsi="仿宋_GB2312" w:eastAsia="仿宋_GB2312" w:cs="仿宋_GB2312"/>
                <w:b w:val="0"/>
                <w:bCs w:val="0"/>
                <w:color w:val="000000"/>
                <w:sz w:val="24"/>
                <w:szCs w:val="24"/>
              </w:rPr>
              <w:t>主题</w:t>
            </w:r>
            <w:r>
              <w:rPr>
                <w:rFonts w:hint="eastAsia" w:ascii="仿宋_GB2312" w:hAnsi="仿宋_GB2312" w:eastAsia="仿宋_GB2312" w:cs="仿宋_GB2312"/>
                <w:b w:val="0"/>
                <w:bCs w:val="0"/>
                <w:color w:val="000000"/>
                <w:sz w:val="24"/>
                <w:szCs w:val="24"/>
                <w:lang w:val="en-US" w:eastAsia="zh-CN"/>
              </w:rPr>
              <w:t>讲</w:t>
            </w:r>
            <w:r>
              <w:rPr>
                <w:rFonts w:hint="eastAsia" w:ascii="仿宋_GB2312" w:hAnsi="仿宋_GB2312" w:eastAsia="仿宋_GB2312" w:cs="仿宋_GB2312"/>
                <w:b w:val="0"/>
                <w:bCs w:val="0"/>
                <w:color w:val="000000"/>
                <w:sz w:val="24"/>
                <w:szCs w:val="24"/>
              </w:rPr>
              <w:t>座、形势与政策报告会</w:t>
            </w:r>
          </w:p>
          <w:p w14:paraId="2DC00A12">
            <w:pPr>
              <w:keepNext w:val="0"/>
              <w:keepLines w:val="0"/>
              <w:pageBreakBefore w:val="0"/>
              <w:widowControl w:val="0"/>
              <w:numPr>
                <w:ilvl w:val="0"/>
                <w:numId w:val="0"/>
              </w:numPr>
              <w:kinsoku/>
              <w:wordWrap/>
              <w:topLinePunct w:val="0"/>
              <w:autoSpaceDE/>
              <w:autoSpaceDN/>
              <w:bidi w:val="0"/>
              <w:snapToGrid/>
              <w:spacing w:after="0" w:line="300" w:lineRule="exac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2.</w:t>
            </w:r>
            <w:r>
              <w:rPr>
                <w:rFonts w:hint="eastAsia" w:ascii="仿宋_GB2312" w:hAnsi="仿宋_GB2312" w:eastAsia="仿宋_GB2312" w:cs="仿宋_GB2312"/>
                <w:b w:val="0"/>
                <w:bCs w:val="0"/>
                <w:color w:val="000000"/>
                <w:sz w:val="24"/>
                <w:szCs w:val="24"/>
              </w:rPr>
              <w:t>爱国主义教育活动</w:t>
            </w:r>
          </w:p>
          <w:p w14:paraId="16DEE167">
            <w:pPr>
              <w:keepNext w:val="0"/>
              <w:keepLines w:val="0"/>
              <w:pageBreakBefore w:val="0"/>
              <w:widowControl w:val="0"/>
              <w:numPr>
                <w:ilvl w:val="0"/>
                <w:numId w:val="0"/>
              </w:numPr>
              <w:kinsoku/>
              <w:wordWrap/>
              <w:topLinePunct w:val="0"/>
              <w:autoSpaceDE/>
              <w:autoSpaceDN/>
              <w:bidi w:val="0"/>
              <w:snapToGrid/>
              <w:spacing w:after="0" w:line="300" w:lineRule="exac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3.</w:t>
            </w:r>
            <w:r>
              <w:rPr>
                <w:rFonts w:hint="eastAsia" w:ascii="仿宋_GB2312" w:hAnsi="仿宋_GB2312" w:eastAsia="仿宋_GB2312" w:cs="仿宋_GB2312"/>
                <w:b w:val="0"/>
                <w:bCs w:val="0"/>
                <w:color w:val="000000"/>
                <w:sz w:val="24"/>
                <w:szCs w:val="24"/>
              </w:rPr>
              <w:t>党团组织生活</w:t>
            </w:r>
          </w:p>
          <w:p w14:paraId="06CEF26E">
            <w:pPr>
              <w:keepNext w:val="0"/>
              <w:keepLines w:val="0"/>
              <w:pageBreakBefore w:val="0"/>
              <w:widowControl w:val="0"/>
              <w:numPr>
                <w:ilvl w:val="0"/>
                <w:numId w:val="0"/>
              </w:numPr>
              <w:kinsoku/>
              <w:wordWrap/>
              <w:topLinePunct w:val="0"/>
              <w:autoSpaceDE/>
              <w:autoSpaceDN/>
              <w:bidi w:val="0"/>
              <w:snapToGrid/>
              <w:spacing w:after="0" w:line="300" w:lineRule="exac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4.</w:t>
            </w:r>
            <w:r>
              <w:rPr>
                <w:rFonts w:hint="eastAsia" w:ascii="仿宋_GB2312" w:hAnsi="仿宋_GB2312" w:eastAsia="仿宋_GB2312" w:cs="仿宋_GB2312"/>
                <w:b w:val="0"/>
                <w:bCs w:val="0"/>
                <w:color w:val="000000"/>
                <w:sz w:val="24"/>
                <w:szCs w:val="24"/>
              </w:rPr>
              <w:t xml:space="preserve">党团培训 </w:t>
            </w:r>
          </w:p>
          <w:p w14:paraId="00DCB190">
            <w:pPr>
              <w:keepNext w:val="0"/>
              <w:keepLines w:val="0"/>
              <w:pageBreakBefore w:val="0"/>
              <w:widowControl w:val="0"/>
              <w:numPr>
                <w:ilvl w:val="0"/>
                <w:numId w:val="0"/>
              </w:numPr>
              <w:kinsoku/>
              <w:wordWrap/>
              <w:topLinePunct w:val="0"/>
              <w:autoSpaceDE/>
              <w:autoSpaceDN/>
              <w:bidi w:val="0"/>
              <w:snapToGrid/>
              <w:spacing w:after="0" w:line="300" w:lineRule="exact"/>
              <w:ind w:lef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5.</w:t>
            </w:r>
            <w:r>
              <w:rPr>
                <w:rFonts w:hint="eastAsia" w:ascii="仿宋_GB2312" w:hAnsi="仿宋_GB2312" w:eastAsia="仿宋_GB2312" w:cs="仿宋_GB2312"/>
                <w:b w:val="0"/>
                <w:bCs w:val="0"/>
                <w:color w:val="000000"/>
                <w:sz w:val="24"/>
                <w:szCs w:val="24"/>
              </w:rPr>
              <w:t>青年大学习</w:t>
            </w:r>
          </w:p>
        </w:tc>
        <w:tc>
          <w:tcPr>
            <w:tcW w:w="880" w:type="dxa"/>
            <w:vAlign w:val="center"/>
          </w:tcPr>
          <w:p w14:paraId="6095B7AF">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3AF8DD7C">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2F4CBB5E">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7A9ADDD3">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restart"/>
            <w:vAlign w:val="center"/>
          </w:tcPr>
          <w:p w14:paraId="04379AD4">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rPr>
              <w:t>第二课堂成绩</w:t>
            </w:r>
            <w:r>
              <w:rPr>
                <w:rFonts w:hint="eastAsia" w:ascii="仿宋_GB2312" w:hAnsi="仿宋_GB2312" w:eastAsia="仿宋_GB2312" w:cs="仿宋_GB2312"/>
                <w:b w:val="0"/>
                <w:bCs w:val="0"/>
                <w:color w:val="000000"/>
                <w:sz w:val="24"/>
                <w:szCs w:val="24"/>
                <w:lang w:val="en-US" w:eastAsia="zh-CN"/>
              </w:rPr>
              <w:t>由</w:t>
            </w:r>
            <w:r>
              <w:rPr>
                <w:rFonts w:hint="eastAsia" w:ascii="仿宋_GB2312" w:hAnsi="仿宋_GB2312" w:eastAsia="仿宋_GB2312" w:cs="仿宋_GB2312"/>
                <w:b w:val="0"/>
                <w:bCs w:val="0"/>
                <w:color w:val="000000"/>
                <w:sz w:val="24"/>
                <w:szCs w:val="24"/>
              </w:rPr>
              <w:t xml:space="preserve">网络管理系 统（到梦 空间）实 时记录，学生在大一、 </w:t>
            </w:r>
            <w:r>
              <w:rPr>
                <w:rFonts w:hint="eastAsia" w:ascii="仿宋_GB2312" w:hAnsi="仿宋_GB2312" w:eastAsia="仿宋_GB2312" w:cs="仿宋_GB2312"/>
                <w:b w:val="0"/>
                <w:bCs w:val="0"/>
                <w:color w:val="000000"/>
                <w:sz w:val="24"/>
                <w:szCs w:val="24"/>
                <w:lang w:val="en-US" w:eastAsia="zh-CN"/>
              </w:rPr>
              <w:t>大</w:t>
            </w:r>
            <w:r>
              <w:rPr>
                <w:rFonts w:hint="eastAsia" w:ascii="仿宋_GB2312" w:hAnsi="仿宋_GB2312" w:eastAsia="仿宋_GB2312" w:cs="仿宋_GB2312"/>
                <w:b w:val="0"/>
                <w:bCs w:val="0"/>
                <w:color w:val="000000"/>
                <w:sz w:val="24"/>
                <w:szCs w:val="24"/>
              </w:rPr>
              <w:t>二期间</w:t>
            </w:r>
            <w:r>
              <w:rPr>
                <w:rFonts w:hint="eastAsia" w:ascii="仿宋_GB2312" w:hAnsi="仿宋_GB2312" w:eastAsia="仿宋_GB2312" w:cs="仿宋_GB2312"/>
                <w:b w:val="0"/>
                <w:bCs w:val="0"/>
                <w:color w:val="000000"/>
                <w:sz w:val="24"/>
                <w:szCs w:val="24"/>
                <w:lang w:val="en-US" w:eastAsia="zh-CN"/>
              </w:rPr>
              <w:t>积分达60分及以上，可获4</w:t>
            </w:r>
            <w:r>
              <w:rPr>
                <w:rFonts w:hint="eastAsia" w:ascii="仿宋_GB2312" w:hAnsi="仿宋_GB2312" w:eastAsia="仿宋_GB2312" w:cs="仿宋_GB2312"/>
                <w:b w:val="0"/>
                <w:bCs w:val="0"/>
                <w:color w:val="000000"/>
                <w:sz w:val="24"/>
                <w:szCs w:val="24"/>
              </w:rPr>
              <w:t>学分。</w:t>
            </w:r>
          </w:p>
        </w:tc>
      </w:tr>
      <w:tr w14:paraId="32F72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3" w:hRule="atLeast"/>
          <w:jc w:val="center"/>
        </w:trPr>
        <w:tc>
          <w:tcPr>
            <w:tcW w:w="1265" w:type="dxa"/>
            <w:vAlign w:val="center"/>
          </w:tcPr>
          <w:p w14:paraId="415C3300">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rPr>
              <w:t>实践</w:t>
            </w:r>
            <w:r>
              <w:rPr>
                <w:rFonts w:hint="eastAsia" w:ascii="仿宋_GB2312" w:hAnsi="仿宋_GB2312" w:eastAsia="仿宋_GB2312" w:cs="仿宋_GB2312"/>
                <w:color w:val="auto"/>
                <w:sz w:val="24"/>
                <w:szCs w:val="24"/>
                <w:lang w:val="en-US" w:eastAsia="zh-CN"/>
              </w:rPr>
              <w:t>实习</w:t>
            </w:r>
          </w:p>
        </w:tc>
        <w:tc>
          <w:tcPr>
            <w:tcW w:w="3573" w:type="dxa"/>
            <w:vAlign w:val="center"/>
          </w:tcPr>
          <w:p w14:paraId="79850D9A">
            <w:pPr>
              <w:keepNext w:val="0"/>
              <w:keepLines w:val="0"/>
              <w:pageBreakBefore w:val="0"/>
              <w:widowControl w:val="0"/>
              <w:numPr>
                <w:ilvl w:val="0"/>
                <w:numId w:val="0"/>
              </w:numPr>
              <w:kinsoku/>
              <w:wordWrap/>
              <w:topLinePunct w:val="0"/>
              <w:autoSpaceDE/>
              <w:autoSpaceDN/>
              <w:bidi w:val="0"/>
              <w:snapToGrid/>
              <w:spacing w:after="0" w:line="300" w:lineRule="exac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1.</w:t>
            </w:r>
            <w:r>
              <w:rPr>
                <w:rFonts w:hint="eastAsia" w:ascii="仿宋_GB2312" w:hAnsi="仿宋_GB2312" w:eastAsia="仿宋_GB2312" w:cs="仿宋_GB2312"/>
                <w:b w:val="0"/>
                <w:bCs w:val="0"/>
                <w:color w:val="000000"/>
                <w:sz w:val="24"/>
                <w:szCs w:val="24"/>
              </w:rPr>
              <w:t xml:space="preserve">暑期“三下乡”社会实践活动 </w:t>
            </w:r>
            <w:r>
              <w:rPr>
                <w:rFonts w:hint="eastAsia" w:ascii="仿宋_GB2312" w:hAnsi="仿宋_GB2312" w:eastAsia="仿宋_GB2312" w:cs="仿宋_GB2312"/>
                <w:b w:val="0"/>
                <w:bCs w:val="0"/>
                <w:color w:val="000000"/>
                <w:sz w:val="24"/>
                <w:szCs w:val="24"/>
                <w:lang w:val="en-US" w:eastAsia="zh-CN"/>
              </w:rPr>
              <w:t>2.</w:t>
            </w:r>
            <w:r>
              <w:rPr>
                <w:rFonts w:hint="eastAsia" w:ascii="仿宋_GB2312" w:hAnsi="仿宋_GB2312" w:eastAsia="仿宋_GB2312" w:cs="仿宋_GB2312"/>
                <w:b w:val="0"/>
                <w:bCs w:val="0"/>
                <w:color w:val="000000"/>
                <w:sz w:val="24"/>
                <w:szCs w:val="24"/>
              </w:rPr>
              <w:t xml:space="preserve">寒暑假“返家乡”实践活动 </w:t>
            </w:r>
          </w:p>
          <w:p w14:paraId="34E0CC5F">
            <w:pPr>
              <w:keepNext w:val="0"/>
              <w:keepLines w:val="0"/>
              <w:pageBreakBefore w:val="0"/>
              <w:widowControl w:val="0"/>
              <w:numPr>
                <w:ilvl w:val="0"/>
                <w:numId w:val="0"/>
              </w:numPr>
              <w:kinsoku/>
              <w:wordWrap/>
              <w:topLinePunct w:val="0"/>
              <w:autoSpaceDE/>
              <w:autoSpaceDN/>
              <w:bidi w:val="0"/>
              <w:snapToGrid/>
              <w:spacing w:after="0" w:line="300" w:lineRule="exac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3.</w:t>
            </w:r>
            <w:r>
              <w:rPr>
                <w:rFonts w:hint="eastAsia" w:ascii="仿宋_GB2312" w:hAnsi="仿宋_GB2312" w:eastAsia="仿宋_GB2312" w:cs="仿宋_GB2312"/>
                <w:b w:val="0"/>
                <w:bCs w:val="0"/>
                <w:color w:val="000000"/>
                <w:sz w:val="24"/>
                <w:szCs w:val="24"/>
              </w:rPr>
              <w:t xml:space="preserve">企业见习实践 </w:t>
            </w:r>
          </w:p>
          <w:p w14:paraId="18AECFC6">
            <w:pPr>
              <w:keepNext w:val="0"/>
              <w:keepLines w:val="0"/>
              <w:pageBreakBefore w:val="0"/>
              <w:widowControl w:val="0"/>
              <w:numPr>
                <w:ilvl w:val="0"/>
                <w:numId w:val="0"/>
              </w:numPr>
              <w:kinsoku/>
              <w:wordWrap/>
              <w:topLinePunct w:val="0"/>
              <w:autoSpaceDE/>
              <w:autoSpaceDN/>
              <w:bidi w:val="0"/>
              <w:snapToGrid/>
              <w:spacing w:after="0" w:line="300" w:lineRule="exac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4.</w:t>
            </w:r>
            <w:r>
              <w:rPr>
                <w:rFonts w:hint="eastAsia" w:ascii="仿宋_GB2312" w:hAnsi="仿宋_GB2312" w:eastAsia="仿宋_GB2312" w:cs="仿宋_GB2312"/>
                <w:b w:val="0"/>
                <w:bCs w:val="0"/>
                <w:color w:val="000000"/>
                <w:sz w:val="24"/>
                <w:szCs w:val="24"/>
              </w:rPr>
              <w:t xml:space="preserve">上级、校院交予专项工作项目实践活动含兼挂职锻炼 </w:t>
            </w:r>
          </w:p>
          <w:p w14:paraId="2FF5C4DE">
            <w:pPr>
              <w:keepNext w:val="0"/>
              <w:keepLines w:val="0"/>
              <w:pageBreakBefore w:val="0"/>
              <w:widowControl w:val="0"/>
              <w:numPr>
                <w:ilvl w:val="0"/>
                <w:numId w:val="0"/>
              </w:numPr>
              <w:kinsoku/>
              <w:wordWrap/>
              <w:topLinePunct w:val="0"/>
              <w:autoSpaceDE/>
              <w:autoSpaceDN/>
              <w:bidi w:val="0"/>
              <w:snapToGrid/>
              <w:spacing w:after="0" w:line="300" w:lineRule="exact"/>
              <w:ind w:lef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5.</w:t>
            </w:r>
            <w:r>
              <w:rPr>
                <w:rFonts w:hint="eastAsia" w:ascii="仿宋_GB2312" w:hAnsi="仿宋_GB2312" w:eastAsia="仿宋_GB2312" w:cs="仿宋_GB2312"/>
                <w:b w:val="0"/>
                <w:bCs w:val="0"/>
                <w:color w:val="000000"/>
                <w:sz w:val="24"/>
                <w:szCs w:val="24"/>
              </w:rPr>
              <w:t xml:space="preserve">新闻宣传报道被学校、学院采用或转发 </w:t>
            </w:r>
          </w:p>
          <w:p w14:paraId="26244886">
            <w:pPr>
              <w:keepNext w:val="0"/>
              <w:keepLines w:val="0"/>
              <w:pageBreakBefore w:val="0"/>
              <w:widowControl w:val="0"/>
              <w:numPr>
                <w:ilvl w:val="0"/>
                <w:numId w:val="0"/>
              </w:numPr>
              <w:kinsoku/>
              <w:wordWrap/>
              <w:topLinePunct w:val="0"/>
              <w:autoSpaceDE/>
              <w:autoSpaceDN/>
              <w:bidi w:val="0"/>
              <w:snapToGrid/>
              <w:spacing w:after="0" w:line="300" w:lineRule="exact"/>
              <w:jc w:val="left"/>
              <w:textAlignment w:val="auto"/>
              <w:rPr>
                <w:rFonts w:hint="default" w:ascii="仿宋_GB2312" w:hAnsi="仿宋_GB2312" w:eastAsia="仿宋_GB2312" w:cs="仿宋_GB2312"/>
                <w:b w:val="0"/>
                <w:bCs w:val="0"/>
                <w:color w:val="000000"/>
                <w:sz w:val="24"/>
                <w:szCs w:val="24"/>
                <w:lang w:val="en-US" w:eastAsia="zh-CN"/>
              </w:rPr>
            </w:pPr>
            <w:r>
              <w:rPr>
                <w:rFonts w:hint="eastAsia" w:ascii="仿宋_GB2312" w:hAnsi="仿宋_GB2312" w:eastAsia="仿宋_GB2312" w:cs="仿宋_GB2312"/>
                <w:b w:val="0"/>
                <w:bCs w:val="0"/>
                <w:color w:val="000000"/>
                <w:sz w:val="24"/>
                <w:szCs w:val="24"/>
                <w:lang w:val="en-US" w:eastAsia="zh-CN"/>
              </w:rPr>
              <w:t>6.晨读</w:t>
            </w:r>
          </w:p>
          <w:p w14:paraId="4B9B4119">
            <w:pPr>
              <w:keepNext w:val="0"/>
              <w:keepLines w:val="0"/>
              <w:pageBreakBefore w:val="0"/>
              <w:widowControl w:val="0"/>
              <w:numPr>
                <w:ilvl w:val="0"/>
                <w:numId w:val="0"/>
              </w:numPr>
              <w:kinsoku/>
              <w:wordWrap/>
              <w:topLinePunct w:val="0"/>
              <w:autoSpaceDE/>
              <w:autoSpaceDN/>
              <w:bidi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7</w:t>
            </w:r>
            <w:r>
              <w:rPr>
                <w:rFonts w:hint="eastAsia" w:ascii="仿宋_GB2312" w:hAnsi="仿宋_GB2312" w:eastAsia="仿宋_GB2312" w:cs="仿宋_GB2312"/>
                <w:b w:val="0"/>
                <w:bCs w:val="0"/>
                <w:color w:val="000000"/>
                <w:sz w:val="24"/>
                <w:szCs w:val="24"/>
              </w:rPr>
              <w:t xml:space="preserve">.劳动精神、劳模精神、工匠精神专题教育 </w:t>
            </w:r>
          </w:p>
          <w:p w14:paraId="5236B6E1">
            <w:pPr>
              <w:keepNext w:val="0"/>
              <w:keepLines w:val="0"/>
              <w:pageBreakBefore w:val="0"/>
              <w:widowControl w:val="0"/>
              <w:numPr>
                <w:ilvl w:val="0"/>
                <w:numId w:val="0"/>
              </w:numPr>
              <w:kinsoku/>
              <w:wordWrap/>
              <w:topLinePunct w:val="0"/>
              <w:autoSpaceDE/>
              <w:autoSpaceDN/>
              <w:bidi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8.</w:t>
            </w:r>
            <w:r>
              <w:rPr>
                <w:rFonts w:hint="eastAsia" w:ascii="仿宋_GB2312" w:hAnsi="仿宋_GB2312" w:eastAsia="仿宋_GB2312" w:cs="仿宋_GB2312"/>
                <w:b w:val="0"/>
                <w:bCs w:val="0"/>
                <w:color w:val="000000"/>
                <w:sz w:val="24"/>
                <w:szCs w:val="24"/>
              </w:rPr>
              <w:t>实践活动的相关荣誉</w:t>
            </w:r>
          </w:p>
        </w:tc>
        <w:tc>
          <w:tcPr>
            <w:tcW w:w="880" w:type="dxa"/>
            <w:vAlign w:val="center"/>
          </w:tcPr>
          <w:p w14:paraId="3CAE89DD">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522F0DE7">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5D6BA2DA">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2EDCC1B4">
            <w:pPr>
              <w:keepNext w:val="0"/>
              <w:keepLines w:val="0"/>
              <w:pageBreakBefore w:val="0"/>
              <w:widowControl w:val="0"/>
              <w:kinsoku/>
              <w:wordWrap/>
              <w:overflowPunct w:val="0"/>
              <w:topLinePunct w:val="0"/>
              <w:autoSpaceDE/>
              <w:autoSpaceDN/>
              <w:bidi w:val="0"/>
              <w:adjustRightInd w:val="0"/>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57C1C26A">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p>
        </w:tc>
      </w:tr>
      <w:tr w14:paraId="3181B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2" w:hRule="atLeast"/>
          <w:jc w:val="center"/>
        </w:trPr>
        <w:tc>
          <w:tcPr>
            <w:tcW w:w="1265" w:type="dxa"/>
            <w:vAlign w:val="center"/>
          </w:tcPr>
          <w:p w14:paraId="34F2D7ED">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创新创业</w:t>
            </w:r>
          </w:p>
        </w:tc>
        <w:tc>
          <w:tcPr>
            <w:tcW w:w="3573" w:type="dxa"/>
            <w:vAlign w:val="center"/>
          </w:tcPr>
          <w:p w14:paraId="0519420C">
            <w:pPr>
              <w:keepNext w:val="0"/>
              <w:keepLines w:val="0"/>
              <w:pageBreakBefore w:val="0"/>
              <w:widowControl w:val="0"/>
              <w:numPr>
                <w:ilvl w:val="0"/>
                <w:numId w:val="0"/>
              </w:numPr>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w:t>
            </w:r>
            <w:r>
              <w:rPr>
                <w:rFonts w:hint="eastAsia" w:ascii="仿宋_GB2312" w:hAnsi="仿宋_GB2312" w:eastAsia="仿宋_GB2312" w:cs="仿宋_GB2312"/>
                <w:color w:val="auto"/>
                <w:sz w:val="24"/>
                <w:szCs w:val="24"/>
              </w:rPr>
              <w:t xml:space="preserve">发表文章、出版专著 </w:t>
            </w:r>
          </w:p>
          <w:p w14:paraId="22A8109E">
            <w:pPr>
              <w:keepNext w:val="0"/>
              <w:keepLines w:val="0"/>
              <w:pageBreakBefore w:val="0"/>
              <w:widowControl w:val="0"/>
              <w:numPr>
                <w:ilvl w:val="0"/>
                <w:numId w:val="0"/>
              </w:numPr>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 xml:space="preserve">发明专利 </w:t>
            </w:r>
          </w:p>
          <w:p w14:paraId="319A39CD">
            <w:pPr>
              <w:keepNext w:val="0"/>
              <w:keepLines w:val="0"/>
              <w:pageBreakBefore w:val="0"/>
              <w:widowControl w:val="0"/>
              <w:numPr>
                <w:ilvl w:val="0"/>
                <w:numId w:val="0"/>
              </w:numPr>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3.</w:t>
            </w:r>
            <w:r>
              <w:rPr>
                <w:rFonts w:hint="eastAsia" w:ascii="仿宋_GB2312" w:hAnsi="仿宋_GB2312" w:eastAsia="仿宋_GB2312" w:cs="仿宋_GB2312"/>
                <w:color w:val="auto"/>
                <w:sz w:val="24"/>
                <w:szCs w:val="24"/>
              </w:rPr>
              <w:t xml:space="preserve">创新创业项目竞赛 </w:t>
            </w:r>
          </w:p>
          <w:p w14:paraId="6367A911">
            <w:pPr>
              <w:keepNext w:val="0"/>
              <w:keepLines w:val="0"/>
              <w:pageBreakBefore w:val="0"/>
              <w:widowControl w:val="0"/>
              <w:numPr>
                <w:ilvl w:val="0"/>
                <w:numId w:val="0"/>
              </w:numPr>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4.</w:t>
            </w:r>
            <w:r>
              <w:rPr>
                <w:rFonts w:hint="eastAsia" w:ascii="仿宋_GB2312" w:hAnsi="仿宋_GB2312" w:eastAsia="仿宋_GB2312" w:cs="仿宋_GB2312"/>
                <w:color w:val="auto"/>
                <w:sz w:val="24"/>
                <w:szCs w:val="24"/>
              </w:rPr>
              <w:t xml:space="preserve">创新创业项目培训 </w:t>
            </w:r>
          </w:p>
          <w:p w14:paraId="25918E9E">
            <w:pPr>
              <w:keepNext w:val="0"/>
              <w:keepLines w:val="0"/>
              <w:pageBreakBefore w:val="0"/>
              <w:widowControl w:val="0"/>
              <w:numPr>
                <w:ilvl w:val="0"/>
                <w:numId w:val="0"/>
              </w:numPr>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5.</w:t>
            </w:r>
            <w:r>
              <w:rPr>
                <w:rFonts w:hint="eastAsia" w:ascii="仿宋_GB2312" w:hAnsi="仿宋_GB2312" w:eastAsia="仿宋_GB2312" w:cs="仿宋_GB2312"/>
                <w:color w:val="auto"/>
                <w:sz w:val="24"/>
                <w:szCs w:val="24"/>
              </w:rPr>
              <w:t xml:space="preserve">创新创业课程、讲座 </w:t>
            </w:r>
          </w:p>
          <w:p w14:paraId="000EA2E4">
            <w:pPr>
              <w:keepNext w:val="0"/>
              <w:keepLines w:val="0"/>
              <w:pageBreakBefore w:val="0"/>
              <w:widowControl w:val="0"/>
              <w:numPr>
                <w:ilvl w:val="0"/>
                <w:numId w:val="0"/>
              </w:numPr>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6.</w:t>
            </w:r>
            <w:r>
              <w:rPr>
                <w:rFonts w:hint="eastAsia" w:ascii="仿宋_GB2312" w:hAnsi="仿宋_GB2312" w:eastAsia="仿宋_GB2312" w:cs="仿宋_GB2312"/>
                <w:color w:val="auto"/>
                <w:sz w:val="24"/>
                <w:szCs w:val="24"/>
              </w:rPr>
              <w:t>自主创业</w:t>
            </w:r>
          </w:p>
        </w:tc>
        <w:tc>
          <w:tcPr>
            <w:tcW w:w="880" w:type="dxa"/>
            <w:vAlign w:val="center"/>
          </w:tcPr>
          <w:p w14:paraId="1E763490">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0A125901">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33C51593">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3DB7FCB9">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4B5CD944">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p>
        </w:tc>
      </w:tr>
      <w:tr w14:paraId="721E5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71C53A5D">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lang w:val="en-US" w:eastAsia="zh-CN"/>
              </w:rPr>
            </w:pPr>
          </w:p>
          <w:p w14:paraId="24A4D3E5">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志愿公益</w:t>
            </w:r>
          </w:p>
        </w:tc>
        <w:tc>
          <w:tcPr>
            <w:tcW w:w="3573" w:type="dxa"/>
            <w:vAlign w:val="center"/>
          </w:tcPr>
          <w:p w14:paraId="7C0C493B">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1.校级、学院、社团、班级等学生组织开展的志愿服务活动 </w:t>
            </w:r>
          </w:p>
          <w:p w14:paraId="46C4B7F3">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2.无偿献血活动 </w:t>
            </w:r>
          </w:p>
          <w:p w14:paraId="0941070C">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3.捐献造血干细胞 </w:t>
            </w:r>
          </w:p>
          <w:p w14:paraId="7CC5D5DE">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4.相关公益类宣传讲座、报告会等志愿服务表彰</w:t>
            </w:r>
          </w:p>
          <w:p w14:paraId="491A03C0">
            <w:pPr>
              <w:keepNext w:val="0"/>
              <w:keepLines w:val="0"/>
              <w:pageBreakBefore w:val="0"/>
              <w:widowControl w:val="0"/>
              <w:numPr>
                <w:ilvl w:val="0"/>
                <w:numId w:val="0"/>
              </w:numPr>
              <w:kinsoku/>
              <w:wordWrap/>
              <w:topLinePunct w:val="0"/>
              <w:autoSpaceDE/>
              <w:autoSpaceDN/>
              <w:bidi w:val="0"/>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val="0"/>
                <w:bCs w:val="0"/>
                <w:color w:val="000000"/>
                <w:sz w:val="24"/>
                <w:szCs w:val="24"/>
                <w:lang w:val="en-US" w:eastAsia="zh-CN"/>
              </w:rPr>
              <w:t>5.</w:t>
            </w:r>
            <w:r>
              <w:rPr>
                <w:rFonts w:hint="eastAsia" w:ascii="仿宋_GB2312" w:hAnsi="仿宋_GB2312" w:eastAsia="仿宋_GB2312" w:cs="仿宋_GB2312"/>
                <w:b w:val="0"/>
                <w:bCs w:val="0"/>
                <w:color w:val="000000"/>
                <w:sz w:val="24"/>
                <w:szCs w:val="24"/>
              </w:rPr>
              <w:t xml:space="preserve">公益劳动 </w:t>
            </w:r>
          </w:p>
        </w:tc>
        <w:tc>
          <w:tcPr>
            <w:tcW w:w="880" w:type="dxa"/>
            <w:vAlign w:val="center"/>
          </w:tcPr>
          <w:p w14:paraId="18EEAB4A">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721697BC">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3C068039">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22870C4D">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2005FDC1">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p>
        </w:tc>
      </w:tr>
      <w:tr w14:paraId="1D913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6A192367">
            <w:pPr>
              <w:keepNext w:val="0"/>
              <w:keepLines w:val="0"/>
              <w:pageBreakBefore w:val="0"/>
              <w:widowControl w:val="0"/>
              <w:kinsoku/>
              <w:wordWrap/>
              <w:overflowPunct w:val="0"/>
              <w:topLinePunct w:val="0"/>
              <w:autoSpaceDE/>
              <w:autoSpaceDN/>
              <w:bidi w:val="0"/>
              <w:adjustRightInd w:val="0"/>
              <w:snapToGrid/>
              <w:spacing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rPr>
              <w:t xml:space="preserve">文体活动 </w:t>
            </w:r>
          </w:p>
        </w:tc>
        <w:tc>
          <w:tcPr>
            <w:tcW w:w="3573" w:type="dxa"/>
            <w:vAlign w:val="center"/>
          </w:tcPr>
          <w:p w14:paraId="36A64304">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1.文艺竞赛 </w:t>
            </w:r>
          </w:p>
          <w:p w14:paraId="239CDD00">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2.体育竞赛 </w:t>
            </w:r>
          </w:p>
          <w:p w14:paraId="307D3A1C">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3.文艺演出 </w:t>
            </w:r>
          </w:p>
          <w:p w14:paraId="26683DE2">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4.体育活动 </w:t>
            </w:r>
          </w:p>
          <w:p w14:paraId="5F972A24">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color w:val="auto"/>
                <w:sz w:val="24"/>
                <w:szCs w:val="24"/>
                <w:lang w:val="en-US" w:eastAsia="zh-CN"/>
              </w:rPr>
              <w:t>5.文体讲座</w:t>
            </w:r>
          </w:p>
        </w:tc>
        <w:tc>
          <w:tcPr>
            <w:tcW w:w="880" w:type="dxa"/>
            <w:vAlign w:val="center"/>
          </w:tcPr>
          <w:p w14:paraId="76D088D1">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25F92AF8">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7E7D8B72">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36D7A784">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1294E3F2">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p>
        </w:tc>
      </w:tr>
      <w:tr w14:paraId="5DEB2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4BD96591">
            <w:pPr>
              <w:keepNext w:val="0"/>
              <w:keepLines w:val="0"/>
              <w:pageBreakBefore w:val="0"/>
              <w:widowControl w:val="0"/>
              <w:kinsoku/>
              <w:wordWrap/>
              <w:overflowPunct w:val="0"/>
              <w:topLinePunct w:val="0"/>
              <w:autoSpaceDE/>
              <w:autoSpaceDN/>
              <w:bidi w:val="0"/>
              <w:adjustRightInd w:val="0"/>
              <w:snapToGrid/>
              <w:spacing w:line="300" w:lineRule="exac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rPr>
              <w:t xml:space="preserve">工作履历 </w:t>
            </w:r>
          </w:p>
        </w:tc>
        <w:tc>
          <w:tcPr>
            <w:tcW w:w="3573" w:type="dxa"/>
            <w:vAlign w:val="center"/>
          </w:tcPr>
          <w:p w14:paraId="2623F76E">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1.团学干部任职</w:t>
            </w:r>
          </w:p>
          <w:p w14:paraId="57F99BE7">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2.团学先进个人</w:t>
            </w:r>
          </w:p>
          <w:p w14:paraId="10FFA4D8">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3.勤工俭学</w:t>
            </w:r>
          </w:p>
          <w:p w14:paraId="495BD7E5">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4.社会任职 </w:t>
            </w:r>
          </w:p>
          <w:p w14:paraId="5235D8FC">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color w:val="auto"/>
                <w:sz w:val="24"/>
                <w:szCs w:val="24"/>
                <w:lang w:val="en-US" w:eastAsia="zh-CN"/>
              </w:rPr>
              <w:t>5.退伍军人</w:t>
            </w:r>
          </w:p>
        </w:tc>
        <w:tc>
          <w:tcPr>
            <w:tcW w:w="880" w:type="dxa"/>
            <w:vAlign w:val="center"/>
          </w:tcPr>
          <w:p w14:paraId="520BE28D">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48601594">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48EA4124">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2D883664">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08B10038">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p>
        </w:tc>
      </w:tr>
      <w:tr w14:paraId="17EF7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01B3A3DE">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技能特长 </w:t>
            </w:r>
          </w:p>
        </w:tc>
        <w:tc>
          <w:tcPr>
            <w:tcW w:w="3573" w:type="dxa"/>
            <w:vAlign w:val="center"/>
          </w:tcPr>
          <w:p w14:paraId="58B1347A">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1.职业资格证书 </w:t>
            </w:r>
          </w:p>
          <w:p w14:paraId="54CB4363">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2.职业技能证书 </w:t>
            </w:r>
          </w:p>
          <w:p w14:paraId="1850F17F">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3.机动车驾驶证</w:t>
            </w:r>
          </w:p>
          <w:p w14:paraId="7C9AB66E">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4.从业人员上岗资格证 </w:t>
            </w:r>
          </w:p>
          <w:p w14:paraId="61569E2D">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5.技能比赛获奖</w:t>
            </w:r>
          </w:p>
        </w:tc>
        <w:tc>
          <w:tcPr>
            <w:tcW w:w="880" w:type="dxa"/>
            <w:vAlign w:val="center"/>
          </w:tcPr>
          <w:p w14:paraId="4EA1DD70">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7221DEAD">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56606C16">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47C762C1">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5D41FD0A">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p>
        </w:tc>
      </w:tr>
      <w:tr w14:paraId="29DFD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478F6E9C">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其他</w:t>
            </w:r>
          </w:p>
        </w:tc>
        <w:tc>
          <w:tcPr>
            <w:tcW w:w="3573" w:type="dxa"/>
            <w:vAlign w:val="center"/>
          </w:tcPr>
          <w:p w14:paraId="4225B185">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1.其他证书（社会职业类证书） </w:t>
            </w:r>
          </w:p>
          <w:p w14:paraId="65146C27">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2.校内各单位其他类型活动 </w:t>
            </w:r>
          </w:p>
          <w:p w14:paraId="63006197">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color w:val="auto"/>
                <w:sz w:val="24"/>
                <w:szCs w:val="24"/>
                <w:lang w:val="en-US" w:eastAsia="zh-CN"/>
              </w:rPr>
              <w:t>3.升旗仪式工作人员</w:t>
            </w:r>
          </w:p>
        </w:tc>
        <w:tc>
          <w:tcPr>
            <w:tcW w:w="880" w:type="dxa"/>
            <w:vAlign w:val="center"/>
          </w:tcPr>
          <w:p w14:paraId="75283DAA">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153EF0BB">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57456C0F">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2AA725A3">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34CD4490">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p>
        </w:tc>
      </w:tr>
    </w:tbl>
    <w:p w14:paraId="3EFC731F">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olor w:val="auto"/>
          <w:sz w:val="32"/>
          <w:szCs w:val="32"/>
        </w:rPr>
      </w:pPr>
      <w:r>
        <w:rPr>
          <w:rFonts w:hint="eastAsia" w:ascii="黑体" w:hAnsi="黑体" w:eastAsia="黑体"/>
          <w:color w:val="auto"/>
          <w:sz w:val="32"/>
          <w:szCs w:val="32"/>
          <w:lang w:val="en-US" w:eastAsia="zh-CN"/>
        </w:rPr>
        <w:t>八</w:t>
      </w:r>
      <w:r>
        <w:rPr>
          <w:rFonts w:ascii="黑体" w:hAnsi="黑体" w:eastAsia="黑体"/>
          <w:color w:val="auto"/>
          <w:sz w:val="32"/>
          <w:szCs w:val="32"/>
        </w:rPr>
        <w:t>、教学进程总体安排</w:t>
      </w:r>
    </w:p>
    <w:p w14:paraId="134AA676">
      <w:pPr>
        <w:keepNext w:val="0"/>
        <w:keepLines w:val="0"/>
        <w:pageBreakBefore w:val="0"/>
        <w:widowControl w:val="0"/>
        <w:kinsoku/>
        <w:wordWrap/>
        <w:topLinePunct w:val="0"/>
        <w:autoSpaceDE/>
        <w:autoSpaceDN/>
        <w:bidi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 xml:space="preserve">（一）教学环节分配表 </w:t>
      </w:r>
    </w:p>
    <w:p w14:paraId="444E22B2">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教学周数分配表每学期总周数合计应为</w:t>
      </w:r>
      <w:r>
        <w:rPr>
          <w:rFonts w:hint="eastAsia" w:ascii="仿宋_GB2312" w:hAnsi="仿宋_GB2312" w:eastAsia="仿宋_GB2312" w:cs="仿宋_GB2312"/>
          <w:color w:val="auto"/>
          <w:sz w:val="32"/>
          <w:szCs w:val="32"/>
          <w:lang w:val="en-US" w:eastAsia="zh-CN"/>
        </w:rPr>
        <w:t>20</w:t>
      </w:r>
      <w:r>
        <w:rPr>
          <w:rFonts w:hint="eastAsia" w:ascii="仿宋_GB2312" w:hAnsi="仿宋_GB2312" w:eastAsia="仿宋_GB2312" w:cs="仿宋_GB2312"/>
          <w:color w:val="auto"/>
          <w:sz w:val="32"/>
          <w:szCs w:val="32"/>
        </w:rPr>
        <w:t>周，各学期教学周数应与教学计划进程表一致，军训、入学教育、考试环节、实习开展、毕业设计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社会实践及毕业教育</w:t>
      </w:r>
      <w:r>
        <w:rPr>
          <w:rFonts w:hint="eastAsia" w:ascii="仿宋_GB2312" w:hAnsi="仿宋_GB2312" w:eastAsia="仿宋_GB2312" w:cs="仿宋_GB2312"/>
          <w:color w:val="auto"/>
          <w:sz w:val="32"/>
          <w:szCs w:val="32"/>
        </w:rPr>
        <w:t>等</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学期合计周数</w:t>
      </w:r>
      <w:r>
        <w:rPr>
          <w:rFonts w:hint="eastAsia" w:ascii="仿宋_GB2312" w:hAnsi="仿宋_GB2312" w:eastAsia="仿宋_GB2312" w:cs="仿宋_GB2312"/>
          <w:color w:val="auto"/>
          <w:sz w:val="32"/>
          <w:szCs w:val="32"/>
          <w:lang w:val="en-US" w:eastAsia="zh-CN"/>
        </w:rPr>
        <w:t>为</w:t>
      </w:r>
      <w:r>
        <w:rPr>
          <w:rFonts w:hint="eastAsia" w:ascii="仿宋_GB2312" w:hAnsi="仿宋_GB2312" w:eastAsia="仿宋_GB2312" w:cs="仿宋_GB2312"/>
          <w:color w:val="auto"/>
          <w:sz w:val="32"/>
          <w:szCs w:val="32"/>
        </w:rPr>
        <w:t>20周。</w:t>
      </w:r>
    </w:p>
    <w:p w14:paraId="439215E9">
      <w:pPr>
        <w:keepNext w:val="0"/>
        <w:keepLines w:val="0"/>
        <w:pageBreakBefore w:val="0"/>
        <w:widowControl w:val="0"/>
        <w:kinsoku/>
        <w:wordWrap/>
        <w:topLinePunct w:val="0"/>
        <w:autoSpaceDE/>
        <w:autoSpaceDN/>
        <w:bidi w:val="0"/>
        <w:snapToGrid/>
        <w:spacing w:after="0" w:line="520" w:lineRule="exact"/>
        <w:ind w:firstLine="640" w:firstLineChars="200"/>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 xml:space="preserve"> 教育活动时间分配表（单位：周）</w:t>
      </w:r>
    </w:p>
    <w:tbl>
      <w:tblPr>
        <w:tblStyle w:val="8"/>
        <w:tblW w:w="5541" w:type="pct"/>
        <w:tblInd w:w="-4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68"/>
        <w:gridCol w:w="1230"/>
        <w:gridCol w:w="1108"/>
        <w:gridCol w:w="1108"/>
        <w:gridCol w:w="1108"/>
        <w:gridCol w:w="1108"/>
        <w:gridCol w:w="1563"/>
      </w:tblGrid>
      <w:tr w14:paraId="7DF8B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0" w:type="pct"/>
            <w:vMerge w:val="restart"/>
            <mc:AlternateContent>
              <mc:Choice Requires="wpsCustomData">
                <wpsCustomData:diagonals>
                  <wpsCustomData:diagonal from="30000" to="13800">
                    <wpsCustomData:border w:val="single" w:color="auto" w:sz="4" w:space="0"/>
                  </wpsCustomData:diagonal>
                  <wpsCustomData:diagonal from="30000" to="6000">
                    <wpsCustomData:border w:val="single" w:color="auto" w:sz="4" w:space="0"/>
                  </wpsCustomData:diagonal>
                </wpsCustomData:diagonals>
              </mc:Choice>
            </mc:AlternateContent>
          </w:tcPr>
          <w:p w14:paraId="4A47EE90">
            <w:pPr>
              <w:spacing w:after="0" w:line="240" w:lineRule="auto"/>
              <w:rPr>
                <w:rFonts w:hint="eastAsia" w:ascii="仿宋_GB2312" w:hAnsi="仿宋_GB2312" w:eastAsia="仿宋_GB2312" w:cs="仿宋_GB2312"/>
                <w:color w:val="auto"/>
                <w:sz w:val="24"/>
                <w:szCs w:val="24"/>
              </w:rPr>
            </w:pPr>
          </w:p>
          <w:p w14:paraId="31E29CB2">
            <w:pPr>
              <w:spacing w:after="0" w:line="240" w:lineRule="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项目</w:t>
            </w:r>
          </w:p>
          <w:p w14:paraId="76EF18DF">
            <w:pPr>
              <w:spacing w:after="0" w:line="240" w:lineRule="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周数</w:t>
            </w:r>
          </w:p>
          <w:p w14:paraId="1B4B0039">
            <w:pPr>
              <w:spacing w:after="0" w:line="240" w:lineRule="auto"/>
              <mc:AlternateContent>
                <mc:Choice Requires="wpsCustomData">
                  <wpsCustomData:diagonalParaType/>
                </mc:Choice>
              </mc:AlternateConten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内容</w:t>
            </w:r>
          </w:p>
          <w:p w14:paraId="1A21E4AC">
            <w:pPr>
              <w:spacing w:after="0" w:line="240" w:lineRule="auto"/>
              <w:rPr>
                <w:rFonts w:hint="eastAsia" w:ascii="仿宋_GB2312" w:hAnsi="仿宋_GB2312" w:eastAsia="仿宋_GB2312" w:cs="仿宋_GB2312"/>
                <w:color w:val="auto"/>
                <w:sz w:val="24"/>
                <w:szCs w:val="24"/>
                <w:lang w:val="en-US" w:eastAsia="zh-CN"/>
              </w:rPr>
            </w:pPr>
          </w:p>
          <w:p w14:paraId="518A71A9">
            <w:pPr>
              <w:spacing w:after="0" w:line="240" w:lineRule="auto"/>
              <mc:AlternateContent>
                <mc:Choice Requires="wpsCustomData">
                  <wpsCustomData:diagonalParaType/>
                </mc:Choice>
              </mc:AlternateConten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周数</w:t>
            </w:r>
          </w:p>
          <w:p w14:paraId="77FA7E7F">
            <w:pPr>
              <w:spacing w:after="0" w:line="240" w:lineRule="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学年</w:t>
            </w:r>
          </w:p>
        </w:tc>
        <w:tc>
          <w:tcPr>
            <w:tcW w:w="1135" w:type="pct"/>
            <w:gridSpan w:val="2"/>
            <w:vAlign w:val="center"/>
          </w:tcPr>
          <w:p w14:paraId="271F2DEF">
            <w:pPr>
              <w:spacing w:after="0" w:line="240" w:lineRule="auto"/>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一</w:t>
            </w:r>
          </w:p>
        </w:tc>
        <w:tc>
          <w:tcPr>
            <w:tcW w:w="1076" w:type="pct"/>
            <w:gridSpan w:val="2"/>
            <w:vAlign w:val="center"/>
          </w:tcPr>
          <w:p w14:paraId="07993D9D">
            <w:pPr>
              <w:spacing w:after="0" w:line="240" w:lineRule="auto"/>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二</w:t>
            </w:r>
          </w:p>
        </w:tc>
        <w:tc>
          <w:tcPr>
            <w:tcW w:w="1297" w:type="pct"/>
            <w:gridSpan w:val="2"/>
            <w:vAlign w:val="center"/>
          </w:tcPr>
          <w:p w14:paraId="4161DF52">
            <w:pPr>
              <w:spacing w:after="0" w:line="240" w:lineRule="auto"/>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三</w:t>
            </w:r>
          </w:p>
        </w:tc>
      </w:tr>
      <w:tr w14:paraId="752AE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90" w:type="pct"/>
            <w:vMerge w:val="continue"/>
          </w:tcPr>
          <w:p w14:paraId="3B23D813">
            <w:pPr>
              <w:spacing w:after="0" w:line="240" w:lineRule="auto"/>
              <w:rPr>
                <w:rFonts w:hint="eastAsia" w:ascii="仿宋_GB2312" w:hAnsi="仿宋_GB2312" w:eastAsia="仿宋_GB2312" w:cs="仿宋_GB2312"/>
                <w:sz w:val="24"/>
                <w:szCs w:val="24"/>
              </w:rPr>
            </w:pPr>
          </w:p>
        </w:tc>
        <w:tc>
          <w:tcPr>
            <w:tcW w:w="597" w:type="pct"/>
            <w:vAlign w:val="center"/>
          </w:tcPr>
          <w:p w14:paraId="45564172">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538" w:type="pct"/>
            <w:vAlign w:val="center"/>
          </w:tcPr>
          <w:p w14:paraId="2D017F8C">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538" w:type="pct"/>
            <w:vAlign w:val="center"/>
          </w:tcPr>
          <w:p w14:paraId="1CF8BE59">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w:t>
            </w:r>
          </w:p>
        </w:tc>
        <w:tc>
          <w:tcPr>
            <w:tcW w:w="538" w:type="pct"/>
            <w:vAlign w:val="center"/>
          </w:tcPr>
          <w:p w14:paraId="4A4655BB">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538" w:type="pct"/>
            <w:vAlign w:val="center"/>
          </w:tcPr>
          <w:p w14:paraId="6C453B13">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w:t>
            </w:r>
          </w:p>
        </w:tc>
        <w:tc>
          <w:tcPr>
            <w:tcW w:w="759" w:type="pct"/>
            <w:vAlign w:val="center"/>
          </w:tcPr>
          <w:p w14:paraId="0557B163">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w:t>
            </w:r>
          </w:p>
        </w:tc>
      </w:tr>
      <w:tr w14:paraId="1A8AB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490" w:type="pct"/>
            <w:vAlign w:val="center"/>
          </w:tcPr>
          <w:p w14:paraId="5AACCC30">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课堂教学</w:t>
            </w:r>
          </w:p>
        </w:tc>
        <w:tc>
          <w:tcPr>
            <w:tcW w:w="597" w:type="pct"/>
            <w:vAlign w:val="center"/>
          </w:tcPr>
          <w:p w14:paraId="58FF0D1B">
            <w:pPr>
              <w:spacing w:after="0" w:line="240" w:lineRule="auto"/>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1-18</w:t>
            </w:r>
          </w:p>
        </w:tc>
        <w:tc>
          <w:tcPr>
            <w:tcW w:w="538" w:type="pct"/>
            <w:vAlign w:val="center"/>
          </w:tcPr>
          <w:p w14:paraId="67147814">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38" w:type="pct"/>
            <w:vAlign w:val="center"/>
          </w:tcPr>
          <w:p w14:paraId="16206B6F">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38" w:type="pct"/>
            <w:vAlign w:val="center"/>
          </w:tcPr>
          <w:p w14:paraId="4D4CB895">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38" w:type="pct"/>
            <w:vAlign w:val="center"/>
          </w:tcPr>
          <w:p w14:paraId="1932BAC5">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759" w:type="pct"/>
            <w:vAlign w:val="center"/>
          </w:tcPr>
          <w:p w14:paraId="509DD310">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r>
      <w:tr w14:paraId="6C0E26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90" w:type="pct"/>
            <w:vAlign w:val="center"/>
          </w:tcPr>
          <w:p w14:paraId="6D7649B2">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考试</w:t>
            </w:r>
          </w:p>
        </w:tc>
        <w:tc>
          <w:tcPr>
            <w:tcW w:w="597" w:type="pct"/>
            <w:vAlign w:val="center"/>
          </w:tcPr>
          <w:p w14:paraId="18E57990">
            <w:pPr>
              <w:spacing w:after="0" w:line="240" w:lineRule="auto"/>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19-20</w:t>
            </w:r>
          </w:p>
        </w:tc>
        <w:tc>
          <w:tcPr>
            <w:tcW w:w="538" w:type="pct"/>
            <w:vAlign w:val="center"/>
          </w:tcPr>
          <w:p w14:paraId="278AA9AF">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38" w:type="pct"/>
            <w:vAlign w:val="center"/>
          </w:tcPr>
          <w:p w14:paraId="79C4F573">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38" w:type="pct"/>
            <w:vAlign w:val="center"/>
          </w:tcPr>
          <w:p w14:paraId="308BD107">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38" w:type="pct"/>
            <w:vAlign w:val="center"/>
          </w:tcPr>
          <w:p w14:paraId="2097854F">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759" w:type="pct"/>
            <w:vAlign w:val="center"/>
          </w:tcPr>
          <w:p w14:paraId="57670240">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r>
      <w:tr w14:paraId="25BAE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90" w:type="pct"/>
            <w:vAlign w:val="center"/>
          </w:tcPr>
          <w:p w14:paraId="40FF7FEE">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军训</w:t>
            </w:r>
          </w:p>
        </w:tc>
        <w:tc>
          <w:tcPr>
            <w:tcW w:w="597" w:type="pct"/>
            <w:vAlign w:val="center"/>
          </w:tcPr>
          <w:p w14:paraId="1970FAAE">
            <w:pPr>
              <w:spacing w:after="0" w:line="240" w:lineRule="auto"/>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1-2</w:t>
            </w:r>
          </w:p>
        </w:tc>
        <w:tc>
          <w:tcPr>
            <w:tcW w:w="538" w:type="pct"/>
            <w:vAlign w:val="center"/>
          </w:tcPr>
          <w:p w14:paraId="4284E5D9">
            <w:pPr>
              <w:spacing w:after="0" w:line="240" w:lineRule="auto"/>
              <w:jc w:val="center"/>
              <w:rPr>
                <w:rFonts w:hint="eastAsia" w:ascii="仿宋_GB2312" w:hAnsi="仿宋_GB2312" w:eastAsia="仿宋_GB2312" w:cs="仿宋_GB2312"/>
                <w:color w:val="auto"/>
                <w:sz w:val="24"/>
                <w:szCs w:val="24"/>
              </w:rPr>
            </w:pPr>
          </w:p>
        </w:tc>
        <w:tc>
          <w:tcPr>
            <w:tcW w:w="538" w:type="pct"/>
            <w:vAlign w:val="center"/>
          </w:tcPr>
          <w:p w14:paraId="4DB27F01">
            <w:pPr>
              <w:spacing w:after="0" w:line="240" w:lineRule="auto"/>
              <w:jc w:val="center"/>
              <w:rPr>
                <w:rFonts w:hint="eastAsia" w:ascii="仿宋_GB2312" w:hAnsi="仿宋_GB2312" w:eastAsia="仿宋_GB2312" w:cs="仿宋_GB2312"/>
                <w:color w:val="auto"/>
                <w:sz w:val="24"/>
                <w:szCs w:val="24"/>
              </w:rPr>
            </w:pPr>
          </w:p>
        </w:tc>
        <w:tc>
          <w:tcPr>
            <w:tcW w:w="538" w:type="pct"/>
            <w:vAlign w:val="center"/>
          </w:tcPr>
          <w:p w14:paraId="22CDF1BE">
            <w:pPr>
              <w:spacing w:after="0" w:line="240" w:lineRule="auto"/>
              <w:jc w:val="center"/>
              <w:rPr>
                <w:rFonts w:hint="eastAsia" w:ascii="仿宋_GB2312" w:hAnsi="仿宋_GB2312" w:eastAsia="仿宋_GB2312" w:cs="仿宋_GB2312"/>
                <w:color w:val="auto"/>
                <w:sz w:val="24"/>
                <w:szCs w:val="24"/>
              </w:rPr>
            </w:pPr>
          </w:p>
        </w:tc>
        <w:tc>
          <w:tcPr>
            <w:tcW w:w="538" w:type="pct"/>
            <w:vAlign w:val="center"/>
          </w:tcPr>
          <w:p w14:paraId="5AD45CB8">
            <w:pPr>
              <w:spacing w:after="0" w:line="240" w:lineRule="auto"/>
              <w:jc w:val="center"/>
              <w:rPr>
                <w:rFonts w:hint="eastAsia" w:ascii="仿宋_GB2312" w:hAnsi="仿宋_GB2312" w:eastAsia="仿宋_GB2312" w:cs="仿宋_GB2312"/>
                <w:color w:val="auto"/>
                <w:sz w:val="24"/>
                <w:szCs w:val="24"/>
              </w:rPr>
            </w:pPr>
          </w:p>
        </w:tc>
        <w:tc>
          <w:tcPr>
            <w:tcW w:w="759" w:type="pct"/>
            <w:vAlign w:val="center"/>
          </w:tcPr>
          <w:p w14:paraId="423948B3">
            <w:pPr>
              <w:spacing w:after="0" w:line="240" w:lineRule="auto"/>
              <w:jc w:val="center"/>
              <w:rPr>
                <w:rFonts w:hint="eastAsia" w:ascii="仿宋_GB2312" w:hAnsi="仿宋_GB2312" w:eastAsia="仿宋_GB2312" w:cs="仿宋_GB2312"/>
                <w:color w:val="auto"/>
                <w:sz w:val="24"/>
                <w:szCs w:val="24"/>
              </w:rPr>
            </w:pPr>
          </w:p>
        </w:tc>
      </w:tr>
      <w:tr w14:paraId="3CE51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6" w:hRule="atLeast"/>
        </w:trPr>
        <w:tc>
          <w:tcPr>
            <w:tcW w:w="1490" w:type="pct"/>
            <w:vAlign w:val="center"/>
          </w:tcPr>
          <w:p w14:paraId="70F174BB">
            <w:pPr>
              <w:spacing w:after="0" w:line="240" w:lineRule="auto"/>
              <w:jc w:val="center"/>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rPr>
              <w:t>入学教育</w:t>
            </w:r>
          </w:p>
        </w:tc>
        <w:tc>
          <w:tcPr>
            <w:tcW w:w="597" w:type="pct"/>
            <w:vAlign w:val="center"/>
          </w:tcPr>
          <w:p w14:paraId="72582B1A">
            <w:pPr>
              <w:spacing w:after="0" w:line="240" w:lineRule="auto"/>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3-8</w:t>
            </w:r>
          </w:p>
        </w:tc>
        <w:tc>
          <w:tcPr>
            <w:tcW w:w="538" w:type="pct"/>
            <w:vAlign w:val="center"/>
          </w:tcPr>
          <w:p w14:paraId="71A10510">
            <w:pPr>
              <w:spacing w:after="0" w:line="240" w:lineRule="auto"/>
              <w:jc w:val="center"/>
              <w:rPr>
                <w:rFonts w:hint="eastAsia" w:ascii="仿宋_GB2312" w:hAnsi="仿宋_GB2312" w:eastAsia="仿宋_GB2312" w:cs="仿宋_GB2312"/>
                <w:color w:val="auto"/>
                <w:sz w:val="24"/>
                <w:szCs w:val="24"/>
              </w:rPr>
            </w:pPr>
          </w:p>
        </w:tc>
        <w:tc>
          <w:tcPr>
            <w:tcW w:w="538" w:type="pct"/>
            <w:vAlign w:val="center"/>
          </w:tcPr>
          <w:p w14:paraId="5EAEC456">
            <w:pPr>
              <w:spacing w:after="0" w:line="240" w:lineRule="auto"/>
              <w:jc w:val="center"/>
              <w:rPr>
                <w:rFonts w:hint="eastAsia" w:ascii="仿宋_GB2312" w:hAnsi="仿宋_GB2312" w:eastAsia="仿宋_GB2312" w:cs="仿宋_GB2312"/>
                <w:color w:val="auto"/>
                <w:sz w:val="24"/>
                <w:szCs w:val="24"/>
              </w:rPr>
            </w:pPr>
          </w:p>
        </w:tc>
        <w:tc>
          <w:tcPr>
            <w:tcW w:w="538" w:type="pct"/>
            <w:vAlign w:val="center"/>
          </w:tcPr>
          <w:p w14:paraId="4C5B9F13">
            <w:pPr>
              <w:spacing w:after="0" w:line="240" w:lineRule="auto"/>
              <w:jc w:val="center"/>
              <w:rPr>
                <w:rFonts w:hint="eastAsia" w:ascii="仿宋_GB2312" w:hAnsi="仿宋_GB2312" w:eastAsia="仿宋_GB2312" w:cs="仿宋_GB2312"/>
                <w:color w:val="auto"/>
                <w:sz w:val="24"/>
                <w:szCs w:val="24"/>
              </w:rPr>
            </w:pPr>
          </w:p>
        </w:tc>
        <w:tc>
          <w:tcPr>
            <w:tcW w:w="538" w:type="pct"/>
            <w:vAlign w:val="center"/>
          </w:tcPr>
          <w:p w14:paraId="13C96CC2">
            <w:pPr>
              <w:spacing w:after="0" w:line="240" w:lineRule="auto"/>
              <w:jc w:val="center"/>
              <w:rPr>
                <w:rFonts w:hint="eastAsia" w:ascii="仿宋_GB2312" w:hAnsi="仿宋_GB2312" w:eastAsia="仿宋_GB2312" w:cs="仿宋_GB2312"/>
                <w:color w:val="auto"/>
                <w:sz w:val="24"/>
                <w:szCs w:val="24"/>
              </w:rPr>
            </w:pPr>
          </w:p>
        </w:tc>
        <w:tc>
          <w:tcPr>
            <w:tcW w:w="759" w:type="pct"/>
            <w:vAlign w:val="center"/>
          </w:tcPr>
          <w:p w14:paraId="2A161297">
            <w:pPr>
              <w:spacing w:after="0" w:line="240" w:lineRule="auto"/>
              <w:jc w:val="center"/>
              <w:rPr>
                <w:rFonts w:hint="eastAsia" w:ascii="仿宋_GB2312" w:hAnsi="仿宋_GB2312" w:eastAsia="仿宋_GB2312" w:cs="仿宋_GB2312"/>
                <w:color w:val="auto"/>
                <w:sz w:val="24"/>
                <w:szCs w:val="24"/>
              </w:rPr>
            </w:pPr>
          </w:p>
        </w:tc>
      </w:tr>
      <w:tr w14:paraId="6462F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90" w:type="pct"/>
            <w:vAlign w:val="center"/>
          </w:tcPr>
          <w:p w14:paraId="6DF277EF">
            <w:pPr>
              <w:spacing w:after="0" w:line="240" w:lineRule="auto"/>
              <w:jc w:val="center"/>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rPr>
              <w:t>毕业设计</w:t>
            </w:r>
          </w:p>
        </w:tc>
        <w:tc>
          <w:tcPr>
            <w:tcW w:w="597" w:type="pct"/>
            <w:vAlign w:val="center"/>
          </w:tcPr>
          <w:p w14:paraId="3C2EBB63">
            <w:pPr>
              <w:spacing w:after="0" w:line="240" w:lineRule="auto"/>
              <w:jc w:val="center"/>
              <w:rPr>
                <w:rFonts w:hint="eastAsia" w:ascii="仿宋_GB2312" w:hAnsi="仿宋_GB2312" w:eastAsia="仿宋_GB2312" w:cs="仿宋_GB2312"/>
                <w:sz w:val="24"/>
                <w:szCs w:val="24"/>
                <w:lang w:val="en-US" w:eastAsia="zh-CN"/>
              </w:rPr>
            </w:pPr>
          </w:p>
        </w:tc>
        <w:tc>
          <w:tcPr>
            <w:tcW w:w="538" w:type="pct"/>
            <w:vAlign w:val="center"/>
          </w:tcPr>
          <w:p w14:paraId="477DDC83">
            <w:pPr>
              <w:spacing w:after="0" w:line="240" w:lineRule="auto"/>
              <w:jc w:val="center"/>
              <w:rPr>
                <w:rFonts w:hint="eastAsia" w:ascii="仿宋_GB2312" w:hAnsi="仿宋_GB2312" w:eastAsia="仿宋_GB2312" w:cs="仿宋_GB2312"/>
                <w:color w:val="auto"/>
                <w:sz w:val="24"/>
                <w:szCs w:val="24"/>
              </w:rPr>
            </w:pPr>
          </w:p>
        </w:tc>
        <w:tc>
          <w:tcPr>
            <w:tcW w:w="538" w:type="pct"/>
            <w:vAlign w:val="center"/>
          </w:tcPr>
          <w:p w14:paraId="348AE6F8">
            <w:pPr>
              <w:spacing w:after="0" w:line="240" w:lineRule="auto"/>
              <w:jc w:val="center"/>
              <w:rPr>
                <w:rFonts w:hint="eastAsia" w:ascii="仿宋_GB2312" w:hAnsi="仿宋_GB2312" w:eastAsia="仿宋_GB2312" w:cs="仿宋_GB2312"/>
                <w:color w:val="auto"/>
                <w:sz w:val="24"/>
                <w:szCs w:val="24"/>
              </w:rPr>
            </w:pPr>
          </w:p>
        </w:tc>
        <w:tc>
          <w:tcPr>
            <w:tcW w:w="538" w:type="pct"/>
            <w:vAlign w:val="center"/>
          </w:tcPr>
          <w:p w14:paraId="67964A67">
            <w:pPr>
              <w:spacing w:after="0" w:line="240" w:lineRule="auto"/>
              <w:jc w:val="center"/>
              <w:rPr>
                <w:rFonts w:hint="eastAsia" w:ascii="仿宋_GB2312" w:hAnsi="仿宋_GB2312" w:eastAsia="仿宋_GB2312" w:cs="仿宋_GB2312"/>
                <w:color w:val="auto"/>
                <w:sz w:val="24"/>
                <w:szCs w:val="24"/>
              </w:rPr>
            </w:pPr>
          </w:p>
        </w:tc>
        <w:tc>
          <w:tcPr>
            <w:tcW w:w="538" w:type="pct"/>
            <w:vAlign w:val="center"/>
          </w:tcPr>
          <w:p w14:paraId="0E045E55">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1-18</w:t>
            </w:r>
          </w:p>
        </w:tc>
        <w:tc>
          <w:tcPr>
            <w:tcW w:w="759" w:type="pct"/>
            <w:vAlign w:val="center"/>
          </w:tcPr>
          <w:p w14:paraId="06BCC3FB">
            <w:pPr>
              <w:spacing w:after="0" w:line="240" w:lineRule="auto"/>
              <w:jc w:val="center"/>
              <w:rPr>
                <w:rFonts w:hint="eastAsia" w:ascii="仿宋_GB2312" w:hAnsi="仿宋_GB2312" w:eastAsia="仿宋_GB2312" w:cs="仿宋_GB2312"/>
                <w:color w:val="auto"/>
                <w:sz w:val="24"/>
                <w:szCs w:val="24"/>
              </w:rPr>
            </w:pPr>
          </w:p>
        </w:tc>
      </w:tr>
      <w:tr w14:paraId="1A85B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90" w:type="pct"/>
            <w:vAlign w:val="center"/>
          </w:tcPr>
          <w:p w14:paraId="7EDC1DAE">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岗位实习</w:t>
            </w:r>
          </w:p>
        </w:tc>
        <w:tc>
          <w:tcPr>
            <w:tcW w:w="597" w:type="pct"/>
            <w:vAlign w:val="center"/>
          </w:tcPr>
          <w:p w14:paraId="31480B18">
            <w:pPr>
              <w:spacing w:after="0" w:line="240" w:lineRule="auto"/>
              <w:jc w:val="center"/>
              <w:rPr>
                <w:rFonts w:hint="eastAsia" w:ascii="仿宋_GB2312" w:hAnsi="仿宋_GB2312" w:eastAsia="仿宋_GB2312" w:cs="仿宋_GB2312"/>
                <w:sz w:val="24"/>
                <w:szCs w:val="24"/>
              </w:rPr>
            </w:pPr>
          </w:p>
        </w:tc>
        <w:tc>
          <w:tcPr>
            <w:tcW w:w="538" w:type="pct"/>
            <w:vAlign w:val="center"/>
          </w:tcPr>
          <w:p w14:paraId="6A730931">
            <w:pPr>
              <w:spacing w:after="0" w:line="240" w:lineRule="auto"/>
              <w:jc w:val="center"/>
              <w:rPr>
                <w:rFonts w:hint="eastAsia" w:ascii="仿宋_GB2312" w:hAnsi="仿宋_GB2312" w:eastAsia="仿宋_GB2312" w:cs="仿宋_GB2312"/>
                <w:color w:val="auto"/>
                <w:sz w:val="24"/>
                <w:szCs w:val="24"/>
              </w:rPr>
            </w:pPr>
          </w:p>
        </w:tc>
        <w:tc>
          <w:tcPr>
            <w:tcW w:w="538" w:type="pct"/>
            <w:vAlign w:val="center"/>
          </w:tcPr>
          <w:p w14:paraId="2ECF0AF1">
            <w:pPr>
              <w:spacing w:after="0" w:line="240" w:lineRule="auto"/>
              <w:jc w:val="center"/>
              <w:rPr>
                <w:rFonts w:hint="eastAsia" w:ascii="仿宋_GB2312" w:hAnsi="仿宋_GB2312" w:eastAsia="仿宋_GB2312" w:cs="仿宋_GB2312"/>
                <w:color w:val="auto"/>
                <w:sz w:val="24"/>
                <w:szCs w:val="24"/>
              </w:rPr>
            </w:pPr>
          </w:p>
        </w:tc>
        <w:tc>
          <w:tcPr>
            <w:tcW w:w="538" w:type="pct"/>
            <w:vAlign w:val="center"/>
          </w:tcPr>
          <w:p w14:paraId="27463F7A">
            <w:pPr>
              <w:spacing w:after="0" w:line="240" w:lineRule="auto"/>
              <w:jc w:val="center"/>
              <w:rPr>
                <w:rFonts w:hint="eastAsia" w:ascii="仿宋_GB2312" w:hAnsi="仿宋_GB2312" w:eastAsia="仿宋_GB2312" w:cs="仿宋_GB2312"/>
                <w:color w:val="auto"/>
                <w:sz w:val="24"/>
                <w:szCs w:val="24"/>
              </w:rPr>
            </w:pPr>
          </w:p>
        </w:tc>
        <w:tc>
          <w:tcPr>
            <w:tcW w:w="538" w:type="pct"/>
            <w:vAlign w:val="center"/>
          </w:tcPr>
          <w:p w14:paraId="25DCC78A">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1-20</w:t>
            </w:r>
          </w:p>
        </w:tc>
        <w:tc>
          <w:tcPr>
            <w:tcW w:w="759" w:type="pct"/>
            <w:vAlign w:val="center"/>
          </w:tcPr>
          <w:p w14:paraId="637158BD">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1-18</w:t>
            </w:r>
          </w:p>
        </w:tc>
      </w:tr>
      <w:tr w14:paraId="72B3E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90" w:type="pct"/>
            <w:vAlign w:val="center"/>
          </w:tcPr>
          <w:p w14:paraId="0582EA35">
            <w:pPr>
              <w:spacing w:after="0" w:line="240" w:lineRule="auto"/>
              <w:jc w:val="center"/>
              <w:rPr>
                <w:rFonts w:hint="eastAsia" w:ascii="仿宋_GB2312" w:hAnsi="仿宋_GB2312" w:eastAsia="仿宋_GB2312" w:cs="仿宋_GB2312"/>
                <w:b w:val="0"/>
                <w:bCs w:val="0"/>
                <w:color w:val="000000"/>
                <w:sz w:val="24"/>
                <w:szCs w:val="24"/>
                <w:highlight w:val="green"/>
                <w:lang w:val="en-US" w:eastAsia="zh-CN"/>
              </w:rPr>
            </w:pPr>
            <w:r>
              <w:rPr>
                <w:rFonts w:hint="eastAsia" w:ascii="仿宋_GB2312" w:hAnsi="仿宋_GB2312" w:eastAsia="仿宋_GB2312" w:cs="仿宋_GB2312"/>
                <w:b w:val="0"/>
                <w:bCs w:val="0"/>
                <w:color w:val="000000"/>
                <w:sz w:val="24"/>
                <w:szCs w:val="24"/>
                <w:highlight w:val="none"/>
                <w:lang w:val="en-US" w:eastAsia="zh-CN"/>
              </w:rPr>
              <w:t>社会实践</w:t>
            </w:r>
          </w:p>
        </w:tc>
        <w:tc>
          <w:tcPr>
            <w:tcW w:w="597" w:type="pct"/>
            <w:vAlign w:val="center"/>
          </w:tcPr>
          <w:p w14:paraId="1070CC38">
            <w:pPr>
              <w:spacing w:after="0" w:line="240" w:lineRule="auto"/>
              <w:jc w:val="center"/>
              <w:rPr>
                <w:rFonts w:hint="eastAsia" w:ascii="仿宋_GB2312" w:hAnsi="仿宋_GB2312" w:eastAsia="仿宋_GB2312" w:cs="仿宋_GB2312"/>
                <w:sz w:val="24"/>
                <w:szCs w:val="24"/>
                <w:highlight w:val="green"/>
              </w:rPr>
            </w:pPr>
            <w:r>
              <w:rPr>
                <w:rFonts w:hint="eastAsia" w:ascii="仿宋_GB2312" w:hAnsi="仿宋_GB2312" w:eastAsia="仿宋_GB2312" w:cs="仿宋_GB2312"/>
                <w:color w:val="auto"/>
                <w:sz w:val="24"/>
                <w:szCs w:val="24"/>
                <w:lang w:val="en-US" w:eastAsia="zh-CN"/>
              </w:rPr>
              <w:t>1-20</w:t>
            </w:r>
          </w:p>
        </w:tc>
        <w:tc>
          <w:tcPr>
            <w:tcW w:w="538" w:type="pct"/>
            <w:vAlign w:val="center"/>
          </w:tcPr>
          <w:p w14:paraId="1EFA606D">
            <w:pPr>
              <w:spacing w:after="0" w:line="240" w:lineRule="auto"/>
              <w:jc w:val="center"/>
              <w:rPr>
                <w:rFonts w:hint="eastAsia" w:ascii="仿宋_GB2312" w:hAnsi="仿宋_GB2312" w:eastAsia="仿宋_GB2312" w:cs="仿宋_GB2312"/>
                <w:color w:val="auto"/>
                <w:sz w:val="24"/>
                <w:szCs w:val="24"/>
                <w:highlight w:val="green"/>
              </w:rPr>
            </w:pPr>
            <w:r>
              <w:rPr>
                <w:rFonts w:hint="eastAsia" w:ascii="仿宋_GB2312" w:hAnsi="仿宋_GB2312" w:eastAsia="仿宋_GB2312" w:cs="仿宋_GB2312"/>
                <w:color w:val="auto"/>
                <w:sz w:val="24"/>
                <w:szCs w:val="24"/>
                <w:lang w:val="en-US" w:eastAsia="zh-CN"/>
              </w:rPr>
              <w:t>1-20</w:t>
            </w:r>
          </w:p>
        </w:tc>
        <w:tc>
          <w:tcPr>
            <w:tcW w:w="538" w:type="pct"/>
            <w:vAlign w:val="center"/>
          </w:tcPr>
          <w:p w14:paraId="23C9D089">
            <w:pPr>
              <w:spacing w:after="0" w:line="240" w:lineRule="auto"/>
              <w:jc w:val="center"/>
              <w:rPr>
                <w:rFonts w:hint="eastAsia" w:ascii="仿宋_GB2312" w:hAnsi="仿宋_GB2312" w:eastAsia="仿宋_GB2312" w:cs="仿宋_GB2312"/>
                <w:color w:val="auto"/>
                <w:sz w:val="24"/>
                <w:szCs w:val="24"/>
                <w:highlight w:val="green"/>
              </w:rPr>
            </w:pPr>
            <w:r>
              <w:rPr>
                <w:rFonts w:hint="eastAsia" w:ascii="仿宋_GB2312" w:hAnsi="仿宋_GB2312" w:eastAsia="仿宋_GB2312" w:cs="仿宋_GB2312"/>
                <w:color w:val="auto"/>
                <w:sz w:val="24"/>
                <w:szCs w:val="24"/>
                <w:lang w:val="en-US" w:eastAsia="zh-CN"/>
              </w:rPr>
              <w:t>1-20</w:t>
            </w:r>
          </w:p>
        </w:tc>
        <w:tc>
          <w:tcPr>
            <w:tcW w:w="538" w:type="pct"/>
            <w:vAlign w:val="center"/>
          </w:tcPr>
          <w:p w14:paraId="73334407">
            <w:pPr>
              <w:spacing w:after="0" w:line="240" w:lineRule="auto"/>
              <w:jc w:val="center"/>
              <w:rPr>
                <w:rFonts w:hint="eastAsia" w:ascii="仿宋_GB2312" w:hAnsi="仿宋_GB2312" w:eastAsia="仿宋_GB2312" w:cs="仿宋_GB2312"/>
                <w:color w:val="auto"/>
                <w:sz w:val="24"/>
                <w:szCs w:val="24"/>
                <w:highlight w:val="green"/>
              </w:rPr>
            </w:pPr>
            <w:r>
              <w:rPr>
                <w:rFonts w:hint="eastAsia" w:ascii="仿宋_GB2312" w:hAnsi="仿宋_GB2312" w:eastAsia="仿宋_GB2312" w:cs="仿宋_GB2312"/>
                <w:color w:val="auto"/>
                <w:sz w:val="24"/>
                <w:szCs w:val="24"/>
                <w:lang w:val="en-US" w:eastAsia="zh-CN"/>
              </w:rPr>
              <w:t>1-20</w:t>
            </w:r>
          </w:p>
        </w:tc>
        <w:tc>
          <w:tcPr>
            <w:tcW w:w="538" w:type="pct"/>
            <w:vAlign w:val="center"/>
          </w:tcPr>
          <w:p w14:paraId="669F1353">
            <w:pPr>
              <w:spacing w:after="0" w:line="240" w:lineRule="auto"/>
              <w:jc w:val="center"/>
              <w:rPr>
                <w:rFonts w:hint="eastAsia" w:ascii="仿宋_GB2312" w:hAnsi="仿宋_GB2312" w:eastAsia="仿宋_GB2312" w:cs="仿宋_GB2312"/>
                <w:color w:val="auto"/>
                <w:sz w:val="24"/>
                <w:szCs w:val="24"/>
                <w:highlight w:val="green"/>
                <w:lang w:val="en-US" w:eastAsia="zh-CN"/>
              </w:rPr>
            </w:pPr>
            <w:r>
              <w:rPr>
                <w:rFonts w:hint="eastAsia" w:ascii="仿宋_GB2312" w:hAnsi="仿宋_GB2312" w:eastAsia="仿宋_GB2312" w:cs="仿宋_GB2312"/>
                <w:color w:val="auto"/>
                <w:sz w:val="24"/>
                <w:szCs w:val="24"/>
                <w:lang w:val="en-US" w:eastAsia="zh-CN"/>
              </w:rPr>
              <w:t>1-20</w:t>
            </w:r>
          </w:p>
        </w:tc>
        <w:tc>
          <w:tcPr>
            <w:tcW w:w="759" w:type="pct"/>
            <w:vAlign w:val="center"/>
          </w:tcPr>
          <w:p w14:paraId="31B924A4">
            <w:pPr>
              <w:spacing w:after="0" w:line="240" w:lineRule="auto"/>
              <w:jc w:val="center"/>
              <w:rPr>
                <w:rFonts w:hint="eastAsia" w:ascii="仿宋_GB2312" w:hAnsi="仿宋_GB2312" w:eastAsia="仿宋_GB2312" w:cs="仿宋_GB2312"/>
                <w:color w:val="auto"/>
                <w:sz w:val="24"/>
                <w:szCs w:val="24"/>
                <w:highlight w:val="green"/>
                <w:lang w:val="en-US" w:eastAsia="zh-CN"/>
              </w:rPr>
            </w:pPr>
            <w:r>
              <w:rPr>
                <w:rFonts w:hint="eastAsia" w:ascii="仿宋_GB2312" w:hAnsi="仿宋_GB2312" w:eastAsia="仿宋_GB2312" w:cs="仿宋_GB2312"/>
                <w:color w:val="auto"/>
                <w:sz w:val="24"/>
                <w:szCs w:val="24"/>
                <w:lang w:val="en-US" w:eastAsia="zh-CN"/>
              </w:rPr>
              <w:t>1-20</w:t>
            </w:r>
          </w:p>
        </w:tc>
      </w:tr>
      <w:tr w14:paraId="021E1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90" w:type="pct"/>
            <w:vAlign w:val="center"/>
          </w:tcPr>
          <w:p w14:paraId="2C615F03">
            <w:pPr>
              <w:spacing w:after="0" w:line="240" w:lineRule="auto"/>
              <w:jc w:val="center"/>
              <w:rPr>
                <w:rFonts w:hint="eastAsia" w:ascii="仿宋_GB2312" w:hAnsi="仿宋_GB2312" w:eastAsia="仿宋_GB2312" w:cs="仿宋_GB2312"/>
                <w:b w:val="0"/>
                <w:bCs w:val="0"/>
                <w:color w:val="000000"/>
                <w:sz w:val="24"/>
                <w:szCs w:val="24"/>
                <w:lang w:val="en-US" w:eastAsia="zh-CN"/>
              </w:rPr>
            </w:pPr>
            <w:r>
              <w:rPr>
                <w:rFonts w:hint="eastAsia" w:ascii="仿宋_GB2312" w:hAnsi="仿宋_GB2312" w:eastAsia="仿宋_GB2312" w:cs="仿宋_GB2312"/>
                <w:b w:val="0"/>
                <w:bCs w:val="0"/>
                <w:color w:val="000000"/>
                <w:sz w:val="24"/>
                <w:szCs w:val="24"/>
                <w:lang w:val="en-US" w:eastAsia="zh-CN"/>
              </w:rPr>
              <w:t>毕业教育</w:t>
            </w:r>
          </w:p>
        </w:tc>
        <w:tc>
          <w:tcPr>
            <w:tcW w:w="597" w:type="pct"/>
            <w:vAlign w:val="center"/>
          </w:tcPr>
          <w:p w14:paraId="0925B2A5">
            <w:pPr>
              <w:spacing w:after="0" w:line="240" w:lineRule="auto"/>
              <w:jc w:val="center"/>
              <w:rPr>
                <w:rFonts w:hint="eastAsia" w:ascii="仿宋_GB2312" w:hAnsi="仿宋_GB2312" w:eastAsia="仿宋_GB2312" w:cs="仿宋_GB2312"/>
                <w:sz w:val="24"/>
                <w:szCs w:val="24"/>
              </w:rPr>
            </w:pPr>
          </w:p>
        </w:tc>
        <w:tc>
          <w:tcPr>
            <w:tcW w:w="538" w:type="pct"/>
            <w:vAlign w:val="center"/>
          </w:tcPr>
          <w:p w14:paraId="3B5698D6">
            <w:pPr>
              <w:spacing w:after="0" w:line="240" w:lineRule="auto"/>
              <w:jc w:val="center"/>
              <w:rPr>
                <w:rFonts w:hint="eastAsia" w:ascii="仿宋_GB2312" w:hAnsi="仿宋_GB2312" w:eastAsia="仿宋_GB2312" w:cs="仿宋_GB2312"/>
                <w:color w:val="auto"/>
                <w:sz w:val="24"/>
                <w:szCs w:val="24"/>
              </w:rPr>
            </w:pPr>
          </w:p>
        </w:tc>
        <w:tc>
          <w:tcPr>
            <w:tcW w:w="538" w:type="pct"/>
            <w:vAlign w:val="center"/>
          </w:tcPr>
          <w:p w14:paraId="437304AA">
            <w:pPr>
              <w:spacing w:after="0" w:line="240" w:lineRule="auto"/>
              <w:jc w:val="center"/>
              <w:rPr>
                <w:rFonts w:hint="eastAsia" w:ascii="仿宋_GB2312" w:hAnsi="仿宋_GB2312" w:eastAsia="仿宋_GB2312" w:cs="仿宋_GB2312"/>
                <w:color w:val="auto"/>
                <w:sz w:val="24"/>
                <w:szCs w:val="24"/>
              </w:rPr>
            </w:pPr>
          </w:p>
        </w:tc>
        <w:tc>
          <w:tcPr>
            <w:tcW w:w="538" w:type="pct"/>
            <w:vAlign w:val="center"/>
          </w:tcPr>
          <w:p w14:paraId="67946DE9">
            <w:pPr>
              <w:spacing w:after="0" w:line="240" w:lineRule="auto"/>
              <w:jc w:val="center"/>
              <w:rPr>
                <w:rFonts w:hint="eastAsia" w:ascii="仿宋_GB2312" w:hAnsi="仿宋_GB2312" w:eastAsia="仿宋_GB2312" w:cs="仿宋_GB2312"/>
                <w:color w:val="auto"/>
                <w:sz w:val="24"/>
                <w:szCs w:val="24"/>
              </w:rPr>
            </w:pPr>
          </w:p>
        </w:tc>
        <w:tc>
          <w:tcPr>
            <w:tcW w:w="538" w:type="pct"/>
            <w:vAlign w:val="center"/>
          </w:tcPr>
          <w:p w14:paraId="522E0580">
            <w:pPr>
              <w:spacing w:after="0" w:line="240" w:lineRule="auto"/>
              <w:jc w:val="center"/>
              <w:rPr>
                <w:rFonts w:hint="eastAsia" w:ascii="仿宋_GB2312" w:hAnsi="仿宋_GB2312" w:eastAsia="仿宋_GB2312" w:cs="仿宋_GB2312"/>
                <w:color w:val="auto"/>
                <w:sz w:val="24"/>
                <w:szCs w:val="24"/>
                <w:lang w:val="en-US" w:eastAsia="zh-CN"/>
              </w:rPr>
            </w:pPr>
          </w:p>
        </w:tc>
        <w:tc>
          <w:tcPr>
            <w:tcW w:w="759" w:type="pct"/>
            <w:vAlign w:val="center"/>
          </w:tcPr>
          <w:p w14:paraId="73DA1789">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18-19</w:t>
            </w:r>
          </w:p>
        </w:tc>
      </w:tr>
      <w:tr w14:paraId="5ED08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90" w:type="pct"/>
            <w:vAlign w:val="center"/>
          </w:tcPr>
          <w:p w14:paraId="3201E091">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学期教学总周数</w:t>
            </w:r>
          </w:p>
        </w:tc>
        <w:tc>
          <w:tcPr>
            <w:tcW w:w="597" w:type="pct"/>
            <w:vAlign w:val="center"/>
          </w:tcPr>
          <w:p w14:paraId="51FAA64B">
            <w:pPr>
              <w:spacing w:after="0" w:line="240" w:lineRule="auto"/>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20周</w:t>
            </w:r>
          </w:p>
        </w:tc>
        <w:tc>
          <w:tcPr>
            <w:tcW w:w="538" w:type="pct"/>
            <w:vAlign w:val="center"/>
          </w:tcPr>
          <w:p w14:paraId="6006A23F">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38" w:type="pct"/>
            <w:vAlign w:val="center"/>
          </w:tcPr>
          <w:p w14:paraId="19C6AF60">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38" w:type="pct"/>
            <w:vAlign w:val="center"/>
          </w:tcPr>
          <w:p w14:paraId="5FC8EA70">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38" w:type="pct"/>
            <w:vAlign w:val="center"/>
          </w:tcPr>
          <w:p w14:paraId="697461D6">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759" w:type="pct"/>
            <w:vAlign w:val="center"/>
          </w:tcPr>
          <w:p w14:paraId="766DD11D">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r>
    </w:tbl>
    <w:p w14:paraId="7445DBE8">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楷体" w:hAnsi="楷体" w:eastAsia="楷体" w:cs="楷体"/>
          <w:bCs/>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二</w:t>
      </w:r>
      <w:r>
        <w:rPr>
          <w:rFonts w:hint="eastAsia" w:ascii="楷体" w:hAnsi="楷体" w:eastAsia="楷体" w:cs="楷体"/>
          <w:color w:val="auto"/>
          <w:sz w:val="32"/>
          <w:szCs w:val="32"/>
          <w:lang w:eastAsia="zh-CN"/>
        </w:rPr>
        <w:t>）</w:t>
      </w:r>
      <w:r>
        <w:rPr>
          <w:rFonts w:hint="eastAsia" w:ascii="楷体" w:hAnsi="楷体" w:eastAsia="楷体" w:cs="楷体"/>
          <w:bCs/>
          <w:color w:val="auto"/>
          <w:sz w:val="32"/>
          <w:szCs w:val="32"/>
        </w:rPr>
        <w:t>课程结构与学时、学分分配</w:t>
      </w:r>
    </w:p>
    <w:p w14:paraId="1C4C32E1">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本专业教学总学时为</w:t>
      </w:r>
      <w:r>
        <w:rPr>
          <w:rFonts w:hint="eastAsia" w:ascii="仿宋_GB2312" w:hAnsi="仿宋_GB2312" w:eastAsia="仿宋_GB2312" w:cs="仿宋_GB2312"/>
          <w:color w:val="auto"/>
          <w:spacing w:val="-2"/>
          <w:sz w:val="32"/>
          <w:szCs w:val="32"/>
          <w:lang w:val="en-US" w:eastAsia="zh-CN"/>
        </w:rPr>
        <w:t>2650</w:t>
      </w:r>
      <w:r>
        <w:rPr>
          <w:rFonts w:hint="eastAsia" w:ascii="仿宋_GB2312" w:hAnsi="仿宋_GB2312" w:eastAsia="仿宋_GB2312" w:cs="仿宋_GB2312"/>
          <w:bCs/>
          <w:color w:val="auto"/>
          <w:sz w:val="32"/>
          <w:szCs w:val="32"/>
        </w:rPr>
        <w:t>学时。其中理论教学</w:t>
      </w:r>
      <w:r>
        <w:rPr>
          <w:rFonts w:hint="eastAsia" w:ascii="仿宋_GB2312" w:hAnsi="仿宋_GB2312" w:eastAsia="仿宋_GB2312" w:cs="仿宋_GB2312"/>
          <w:color w:val="auto"/>
          <w:spacing w:val="-2"/>
          <w:sz w:val="32"/>
          <w:szCs w:val="32"/>
          <w:lang w:val="en-US" w:eastAsia="zh-CN"/>
        </w:rPr>
        <w:t>1314</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bCs/>
          <w:color w:val="auto"/>
          <w:sz w:val="32"/>
          <w:szCs w:val="32"/>
          <w:lang w:val="en-US" w:eastAsia="zh-CN"/>
        </w:rPr>
        <w:t>49.58</w:t>
      </w:r>
      <w:r>
        <w:rPr>
          <w:rFonts w:hint="eastAsia" w:ascii="仿宋_GB2312" w:hAnsi="仿宋_GB2312" w:eastAsia="仿宋_GB2312" w:cs="仿宋_GB2312"/>
          <w:bCs/>
          <w:color w:val="auto"/>
          <w:sz w:val="32"/>
          <w:szCs w:val="32"/>
          <w:highlight w:val="none"/>
          <w:lang w:val="en-US" w:eastAsia="zh-CN"/>
        </w:rPr>
        <w:t>%</w:t>
      </w:r>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bCs/>
          <w:color w:val="auto"/>
          <w:sz w:val="32"/>
          <w:szCs w:val="32"/>
          <w:highlight w:val="none"/>
        </w:rPr>
        <w:t>实践教学</w:t>
      </w:r>
      <w:r>
        <w:rPr>
          <w:rFonts w:hint="eastAsia" w:ascii="仿宋_GB2312" w:hAnsi="仿宋_GB2312" w:eastAsia="仿宋_GB2312" w:cs="仿宋_GB2312"/>
          <w:color w:val="auto"/>
          <w:spacing w:val="-2"/>
          <w:sz w:val="32"/>
          <w:szCs w:val="32"/>
          <w:highlight w:val="none"/>
          <w:lang w:val="en-US" w:eastAsia="zh-CN"/>
        </w:rPr>
        <w:t>1336</w:t>
      </w:r>
      <w:r>
        <w:rPr>
          <w:rFonts w:hint="eastAsia" w:ascii="仿宋_GB2312" w:hAnsi="仿宋_GB2312" w:eastAsia="仿宋_GB2312" w:cs="仿宋_GB2312"/>
          <w:bCs/>
          <w:color w:val="auto"/>
          <w:sz w:val="32"/>
          <w:szCs w:val="32"/>
          <w:highlight w:val="none"/>
        </w:rPr>
        <w:t>学时，占</w:t>
      </w:r>
      <w:r>
        <w:rPr>
          <w:rFonts w:hint="eastAsia" w:ascii="仿宋_GB2312" w:hAnsi="仿宋_GB2312" w:eastAsia="仿宋_GB2312" w:cs="仿宋_GB2312"/>
          <w:bCs/>
          <w:color w:val="auto"/>
          <w:sz w:val="32"/>
          <w:szCs w:val="32"/>
          <w:highlight w:val="none"/>
          <w:lang w:val="en-US" w:eastAsia="zh-CN"/>
        </w:rPr>
        <w:t>50.42%</w:t>
      </w:r>
      <w:r>
        <w:rPr>
          <w:rFonts w:hint="eastAsia" w:ascii="仿宋_GB2312" w:hAnsi="仿宋_GB2312" w:eastAsia="仿宋_GB2312" w:cs="仿宋_GB2312"/>
          <w:color w:val="auto"/>
          <w:spacing w:val="-2"/>
          <w:sz w:val="32"/>
          <w:szCs w:val="32"/>
          <w:highlight w:val="none"/>
          <w:lang w:val="en-US" w:eastAsia="zh-CN"/>
        </w:rPr>
        <w:t xml:space="preserve"> </w:t>
      </w:r>
      <w:r>
        <w:rPr>
          <w:rFonts w:hint="eastAsia" w:ascii="仿宋_GB2312" w:hAnsi="仿宋_GB2312" w:eastAsia="仿宋_GB2312" w:cs="仿宋_GB2312"/>
          <w:bCs/>
          <w:color w:val="auto"/>
          <w:sz w:val="32"/>
          <w:szCs w:val="32"/>
          <w:highlight w:val="none"/>
        </w:rPr>
        <w:t>，其</w:t>
      </w:r>
      <w:r>
        <w:rPr>
          <w:rFonts w:hint="eastAsia" w:ascii="仿宋_GB2312" w:hAnsi="仿宋_GB2312" w:eastAsia="仿宋_GB2312" w:cs="仿宋_GB2312"/>
          <w:bCs/>
          <w:color w:val="auto"/>
          <w:sz w:val="32"/>
          <w:szCs w:val="32"/>
        </w:rPr>
        <w:t>中岗位</w:t>
      </w:r>
      <w:r>
        <w:rPr>
          <w:rFonts w:hint="eastAsia" w:ascii="仿宋_GB2312" w:hAnsi="仿宋_GB2312" w:eastAsia="仿宋_GB2312" w:cs="仿宋_GB2312"/>
          <w:color w:val="auto"/>
          <w:spacing w:val="-2"/>
          <w:sz w:val="32"/>
          <w:szCs w:val="32"/>
          <w:lang w:val="en-US" w:eastAsia="zh-CN"/>
        </w:rPr>
        <w:t>实习时间累计一般为6个月。</w:t>
      </w:r>
      <w:r>
        <w:rPr>
          <w:rFonts w:hint="eastAsia" w:ascii="仿宋_GB2312" w:hAnsi="仿宋_GB2312" w:eastAsia="仿宋_GB2312" w:cs="仿宋_GB2312"/>
          <w:bCs/>
          <w:color w:val="auto"/>
          <w:sz w:val="32"/>
          <w:szCs w:val="32"/>
        </w:rPr>
        <w:t>公共基础课</w:t>
      </w:r>
      <w:r>
        <w:rPr>
          <w:rFonts w:hint="eastAsia" w:ascii="仿宋_GB2312" w:hAnsi="仿宋_GB2312" w:eastAsia="仿宋_GB2312" w:cs="仿宋_GB2312"/>
          <w:color w:val="auto"/>
          <w:spacing w:val="-2"/>
          <w:sz w:val="32"/>
          <w:szCs w:val="32"/>
          <w:lang w:val="en-US" w:eastAsia="zh-CN"/>
        </w:rPr>
        <w:t>922</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color w:val="auto"/>
          <w:spacing w:val="-2"/>
          <w:sz w:val="32"/>
          <w:szCs w:val="32"/>
          <w:lang w:val="en-US" w:eastAsia="zh-CN"/>
        </w:rPr>
        <w:t>34.79</w:t>
      </w:r>
      <w:r>
        <w:rPr>
          <w:rFonts w:hint="eastAsia" w:ascii="仿宋_GB2312" w:hAnsi="仿宋_GB2312" w:eastAsia="仿宋_GB2312" w:cs="仿宋_GB2312"/>
          <w:bCs/>
          <w:color w:val="auto"/>
          <w:sz w:val="32"/>
          <w:szCs w:val="32"/>
          <w:highlight w:val="none"/>
          <w:lang w:eastAsia="zh-CN"/>
        </w:rPr>
        <w:t>%</w:t>
      </w:r>
      <w:r>
        <w:rPr>
          <w:rFonts w:hint="eastAsia" w:ascii="仿宋_GB2312" w:hAnsi="仿宋_GB2312" w:eastAsia="仿宋_GB2312" w:cs="仿宋_GB2312"/>
          <w:bCs/>
          <w:color w:val="auto"/>
          <w:sz w:val="32"/>
          <w:szCs w:val="32"/>
        </w:rPr>
        <w:t>；选修课</w:t>
      </w:r>
      <w:r>
        <w:rPr>
          <w:rFonts w:hint="eastAsia" w:ascii="仿宋_GB2312" w:hAnsi="仿宋_GB2312" w:eastAsia="仿宋_GB2312" w:cs="仿宋_GB2312"/>
          <w:bCs/>
          <w:color w:val="auto"/>
          <w:sz w:val="32"/>
          <w:szCs w:val="32"/>
          <w:highlight w:val="none"/>
          <w:lang w:val="en-US" w:eastAsia="zh-CN"/>
        </w:rPr>
        <w:t>288</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bCs/>
          <w:color w:val="auto"/>
          <w:sz w:val="32"/>
          <w:szCs w:val="32"/>
          <w:highlight w:val="none"/>
          <w:lang w:val="en-US" w:eastAsia="zh-CN"/>
        </w:rPr>
        <w:t>10.87</w:t>
      </w:r>
      <w:r>
        <w:rPr>
          <w:rFonts w:hint="eastAsia" w:ascii="仿宋_GB2312" w:hAnsi="仿宋_GB2312" w:eastAsia="仿宋_GB2312" w:cs="仿宋_GB2312"/>
          <w:bCs/>
          <w:color w:val="auto"/>
          <w:sz w:val="32"/>
          <w:szCs w:val="32"/>
          <w:highlight w:val="none"/>
          <w:lang w:eastAsia="zh-CN"/>
        </w:rPr>
        <w:t>%</w:t>
      </w:r>
      <w:r>
        <w:rPr>
          <w:rFonts w:hint="eastAsia" w:ascii="仿宋_GB2312" w:hAnsi="仿宋_GB2312" w:eastAsia="仿宋_GB2312" w:cs="仿宋_GB2312"/>
          <w:bCs/>
          <w:color w:val="auto"/>
          <w:sz w:val="32"/>
          <w:szCs w:val="32"/>
        </w:rPr>
        <w:t>。</w:t>
      </w:r>
    </w:p>
    <w:p w14:paraId="0A8BBC44">
      <w:pPr>
        <w:keepNext w:val="0"/>
        <w:keepLines w:val="0"/>
        <w:pageBreakBefore w:val="0"/>
        <w:widowControl w:val="0"/>
        <w:kinsoku/>
        <w:wordWrap/>
        <w:overflowPunct/>
        <w:topLinePunct w:val="0"/>
        <w:autoSpaceDE/>
        <w:autoSpaceDN/>
        <w:bidi w:val="0"/>
        <w:adjustRightInd/>
        <w:snapToGrid/>
        <w:spacing w:after="0" w:line="520" w:lineRule="exact"/>
        <w:jc w:val="center"/>
        <w:textAlignment w:val="auto"/>
        <w:rPr>
          <w:rFonts w:hint="eastAsia" w:ascii="仿宋_GB2312" w:hAnsi="仿宋_GB2312" w:eastAsia="仿宋_GB2312" w:cs="仿宋_GB2312"/>
          <w:color w:val="auto"/>
          <w:spacing w:val="-2"/>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pacing w:val="-2"/>
          <w:sz w:val="32"/>
          <w:szCs w:val="32"/>
        </w:rPr>
        <w:t>课程学时、学分分配表</w:t>
      </w:r>
    </w:p>
    <w:tbl>
      <w:tblPr>
        <w:tblStyle w:val="7"/>
        <w:tblW w:w="1062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21"/>
        <w:gridCol w:w="1986"/>
        <w:gridCol w:w="854"/>
        <w:gridCol w:w="718"/>
        <w:gridCol w:w="1118"/>
        <w:gridCol w:w="896"/>
        <w:gridCol w:w="759"/>
        <w:gridCol w:w="1261"/>
        <w:gridCol w:w="750"/>
        <w:gridCol w:w="1264"/>
      </w:tblGrid>
      <w:tr w14:paraId="7E8AC1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300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B38E87">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课程类别</w:t>
            </w:r>
          </w:p>
        </w:tc>
        <w:tc>
          <w:tcPr>
            <w:tcW w:w="8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04F2A7">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课程性质</w:t>
            </w:r>
          </w:p>
        </w:tc>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253F4A">
            <w:pPr>
              <w:keepNext w:val="0"/>
              <w:keepLines w:val="0"/>
              <w:pageBreakBefore w:val="0"/>
              <w:widowControl/>
              <w:suppressLineNumbers w:val="0"/>
              <w:kinsoku/>
              <w:wordWrap/>
              <w:overflowPunct/>
              <w:topLinePunct w:val="0"/>
              <w:autoSpaceDE/>
              <w:autoSpaceDN/>
              <w:bidi w:val="0"/>
              <w:adjustRightInd/>
              <w:snapToGrid/>
              <w:spacing w:after="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学分</w:t>
            </w:r>
          </w:p>
        </w:tc>
        <w:tc>
          <w:tcPr>
            <w:tcW w:w="11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4D1893">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占专业总学分比例</w:t>
            </w:r>
          </w:p>
        </w:tc>
        <w:tc>
          <w:tcPr>
            <w:tcW w:w="493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2BE21">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                         学时</w:t>
            </w:r>
          </w:p>
        </w:tc>
      </w:tr>
      <w:tr w14:paraId="7C1FA0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300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55F4C">
            <w:pPr>
              <w:keepNext w:val="0"/>
              <w:keepLines w:val="0"/>
              <w:pageBreakBefore w:val="0"/>
              <w:widowControl/>
              <w:kinsoku/>
              <w:wordWrap/>
              <w:overflowPunct/>
              <w:topLinePunct w:val="0"/>
              <w:autoSpaceDE/>
              <w:autoSpaceDN/>
              <w:bidi w:val="0"/>
              <w:adjustRightInd/>
              <w:snapToGrid/>
              <w:spacing w:after="0"/>
              <w:jc w:val="center"/>
              <w:rPr>
                <w:rFonts w:hint="eastAsia" w:ascii="仿宋_GB2312" w:hAnsi="仿宋_GB2312" w:eastAsia="仿宋_GB2312" w:cs="仿宋_GB2312"/>
                <w:i w:val="0"/>
                <w:iCs w:val="0"/>
                <w:color w:val="000000"/>
                <w:sz w:val="24"/>
                <w:szCs w:val="24"/>
                <w:u w:val="none"/>
              </w:rPr>
            </w:pPr>
          </w:p>
        </w:tc>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E60ED7">
            <w:pPr>
              <w:keepNext w:val="0"/>
              <w:keepLines w:val="0"/>
              <w:pageBreakBefore w:val="0"/>
              <w:widowControl/>
              <w:kinsoku/>
              <w:wordWrap/>
              <w:overflowPunct/>
              <w:topLinePunct w:val="0"/>
              <w:autoSpaceDE/>
              <w:autoSpaceDN/>
              <w:bidi w:val="0"/>
              <w:adjustRightInd/>
              <w:snapToGrid/>
              <w:spacing w:after="0"/>
              <w:jc w:val="center"/>
              <w:rPr>
                <w:rFonts w:hint="eastAsia" w:ascii="仿宋_GB2312" w:hAnsi="仿宋_GB2312" w:eastAsia="仿宋_GB2312" w:cs="仿宋_GB2312"/>
                <w:i w:val="0"/>
                <w:iCs w:val="0"/>
                <w:color w:val="000000"/>
                <w:sz w:val="24"/>
                <w:szCs w:val="24"/>
                <w:u w:val="none"/>
              </w:rPr>
            </w:pPr>
          </w:p>
        </w:tc>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F6E3D">
            <w:pPr>
              <w:keepNext w:val="0"/>
              <w:keepLines w:val="0"/>
              <w:pageBreakBefore w:val="0"/>
              <w:widowControl/>
              <w:kinsoku/>
              <w:wordWrap/>
              <w:overflowPunct/>
              <w:topLinePunct w:val="0"/>
              <w:autoSpaceDE/>
              <w:autoSpaceDN/>
              <w:bidi w:val="0"/>
              <w:adjustRightInd/>
              <w:snapToGrid/>
              <w:spacing w:after="0"/>
              <w:rPr>
                <w:rFonts w:hint="eastAsia" w:ascii="仿宋_GB2312" w:hAnsi="仿宋_GB2312" w:eastAsia="仿宋_GB2312" w:cs="仿宋_GB2312"/>
                <w:i w:val="0"/>
                <w:iCs w:val="0"/>
                <w:color w:val="000000"/>
                <w:sz w:val="24"/>
                <w:szCs w:val="24"/>
                <w:u w:val="none"/>
              </w:rPr>
            </w:pPr>
          </w:p>
        </w:tc>
        <w:tc>
          <w:tcPr>
            <w:tcW w:w="11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042CC1">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000000"/>
                <w:sz w:val="24"/>
                <w:szCs w:val="24"/>
                <w:u w:val="none"/>
              </w:rPr>
            </w:pPr>
          </w:p>
        </w:tc>
        <w:tc>
          <w:tcPr>
            <w:tcW w:w="89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0BC02">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合计</w:t>
            </w: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A1F50">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理论教学</w:t>
            </w:r>
          </w:p>
        </w:tc>
        <w:tc>
          <w:tcPr>
            <w:tcW w:w="201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8912F">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实践教学</w:t>
            </w:r>
          </w:p>
        </w:tc>
      </w:tr>
      <w:tr w14:paraId="51C1E7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0" w:hRule="atLeast"/>
          <w:jc w:val="center"/>
        </w:trPr>
        <w:tc>
          <w:tcPr>
            <w:tcW w:w="300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B4D01D">
            <w:pPr>
              <w:keepNext w:val="0"/>
              <w:keepLines w:val="0"/>
              <w:pageBreakBefore w:val="0"/>
              <w:widowControl/>
              <w:kinsoku/>
              <w:wordWrap/>
              <w:overflowPunct/>
              <w:topLinePunct w:val="0"/>
              <w:autoSpaceDE/>
              <w:autoSpaceDN/>
              <w:bidi w:val="0"/>
              <w:adjustRightInd/>
              <w:snapToGrid/>
              <w:spacing w:after="0"/>
              <w:jc w:val="center"/>
              <w:rPr>
                <w:rFonts w:hint="eastAsia" w:ascii="仿宋_GB2312" w:hAnsi="仿宋_GB2312" w:eastAsia="仿宋_GB2312" w:cs="仿宋_GB2312"/>
                <w:i w:val="0"/>
                <w:iCs w:val="0"/>
                <w:color w:val="000000"/>
                <w:sz w:val="24"/>
                <w:szCs w:val="24"/>
                <w:u w:val="none"/>
              </w:rPr>
            </w:pPr>
          </w:p>
        </w:tc>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0FABC3">
            <w:pPr>
              <w:keepNext w:val="0"/>
              <w:keepLines w:val="0"/>
              <w:pageBreakBefore w:val="0"/>
              <w:widowControl/>
              <w:kinsoku/>
              <w:wordWrap/>
              <w:overflowPunct/>
              <w:topLinePunct w:val="0"/>
              <w:autoSpaceDE/>
              <w:autoSpaceDN/>
              <w:bidi w:val="0"/>
              <w:adjustRightInd/>
              <w:snapToGrid/>
              <w:spacing w:after="0"/>
              <w:jc w:val="center"/>
              <w:rPr>
                <w:rFonts w:hint="eastAsia" w:ascii="仿宋_GB2312" w:hAnsi="仿宋_GB2312" w:eastAsia="仿宋_GB2312" w:cs="仿宋_GB2312"/>
                <w:i w:val="0"/>
                <w:iCs w:val="0"/>
                <w:color w:val="000000"/>
                <w:sz w:val="24"/>
                <w:szCs w:val="24"/>
                <w:u w:val="none"/>
              </w:rPr>
            </w:pPr>
          </w:p>
        </w:tc>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78F7D">
            <w:pPr>
              <w:keepNext w:val="0"/>
              <w:keepLines w:val="0"/>
              <w:pageBreakBefore w:val="0"/>
              <w:widowControl/>
              <w:kinsoku/>
              <w:wordWrap/>
              <w:overflowPunct/>
              <w:topLinePunct w:val="0"/>
              <w:autoSpaceDE/>
              <w:autoSpaceDN/>
              <w:bidi w:val="0"/>
              <w:adjustRightInd/>
              <w:snapToGrid/>
              <w:spacing w:after="0"/>
              <w:rPr>
                <w:rFonts w:hint="eastAsia" w:ascii="仿宋_GB2312" w:hAnsi="仿宋_GB2312" w:eastAsia="仿宋_GB2312" w:cs="仿宋_GB2312"/>
                <w:i w:val="0"/>
                <w:iCs w:val="0"/>
                <w:color w:val="000000"/>
                <w:sz w:val="24"/>
                <w:szCs w:val="24"/>
                <w:u w:val="none"/>
              </w:rPr>
            </w:pPr>
          </w:p>
        </w:tc>
        <w:tc>
          <w:tcPr>
            <w:tcW w:w="11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728A9D">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000000"/>
                <w:sz w:val="24"/>
                <w:szCs w:val="24"/>
                <w:u w:val="none"/>
              </w:rPr>
            </w:pPr>
          </w:p>
        </w:tc>
        <w:tc>
          <w:tcPr>
            <w:tcW w:w="89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F89E3">
            <w:pPr>
              <w:keepNext w:val="0"/>
              <w:keepLines w:val="0"/>
              <w:pageBreakBefore w:val="0"/>
              <w:widowControl/>
              <w:kinsoku/>
              <w:wordWrap/>
              <w:overflowPunct/>
              <w:topLinePunct w:val="0"/>
              <w:autoSpaceDE/>
              <w:autoSpaceDN/>
              <w:bidi w:val="0"/>
              <w:adjustRightInd/>
              <w:snapToGrid/>
              <w:spacing w:after="0" w:line="240" w:lineRule="atLeast"/>
              <w:rPr>
                <w:rFonts w:hint="eastAsia" w:ascii="仿宋_GB2312" w:hAnsi="仿宋_GB2312" w:eastAsia="仿宋_GB2312" w:cs="仿宋_GB2312"/>
                <w:i w:val="0"/>
                <w:iCs w:val="0"/>
                <w:color w:val="000000"/>
                <w:sz w:val="24"/>
                <w:szCs w:val="24"/>
                <w:u w:val="none"/>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1B20BF">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学时</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B1B8C">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占专业总学时比例（%）</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88DDF">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学时</w:t>
            </w: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7E35F">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占专业总学时比例（%）</w:t>
            </w:r>
          </w:p>
        </w:tc>
      </w:tr>
      <w:tr w14:paraId="42835A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300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73F3A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公共基础课</w:t>
            </w: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2D20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55A9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default" w:ascii="仿宋_GB2312" w:hAnsi="仿宋_GB2312" w:eastAsia="仿宋_GB2312" w:cs="仿宋_GB2312"/>
                <w:i w:val="0"/>
                <w:iCs w:val="0"/>
                <w:color w:val="000000"/>
                <w:sz w:val="24"/>
                <w:szCs w:val="24"/>
                <w:u w:val="none"/>
                <w:lang w:val="en-US" w:eastAsia="zh-CN"/>
              </w:rPr>
            </w:pPr>
            <w:r>
              <w:rPr>
                <w:rFonts w:hint="eastAsia" w:ascii="仿宋_GB2312" w:hAnsi="宋体" w:eastAsia="仿宋_GB2312" w:cs="仿宋_GB2312"/>
                <w:i w:val="0"/>
                <w:iCs w:val="0"/>
                <w:color w:val="000000"/>
                <w:kern w:val="0"/>
                <w:sz w:val="24"/>
                <w:szCs w:val="24"/>
                <w:u w:val="none"/>
                <w:lang w:val="en-US" w:eastAsia="zh-CN" w:bidi="ar"/>
              </w:rPr>
              <w:t>42</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88F4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28.19%</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8B228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default" w:ascii="仿宋_GB2312" w:hAnsi="仿宋_GB2312" w:eastAsia="仿宋_GB2312" w:cs="仿宋_GB2312"/>
                <w:i w:val="0"/>
                <w:iCs w:val="0"/>
                <w:color w:val="000000"/>
                <w:sz w:val="24"/>
                <w:szCs w:val="24"/>
                <w:u w:val="none"/>
                <w:lang w:val="en-US"/>
              </w:rPr>
            </w:pPr>
            <w:r>
              <w:rPr>
                <w:rFonts w:hint="eastAsia" w:ascii="仿宋_GB2312" w:hAnsi="宋体" w:eastAsia="仿宋_GB2312" w:cs="仿宋_GB2312"/>
                <w:i w:val="0"/>
                <w:iCs w:val="0"/>
                <w:color w:val="000000"/>
                <w:kern w:val="0"/>
                <w:sz w:val="24"/>
                <w:szCs w:val="24"/>
                <w:u w:val="none"/>
                <w:lang w:val="en-US" w:eastAsia="zh-CN" w:bidi="ar"/>
              </w:rPr>
              <w:t>794</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E6CA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default" w:ascii="仿宋_GB2312" w:hAnsi="仿宋_GB2312" w:eastAsia="仿宋_GB2312" w:cs="仿宋_GB2312"/>
                <w:i w:val="0"/>
                <w:iCs w:val="0"/>
                <w:color w:val="000000"/>
                <w:sz w:val="24"/>
                <w:szCs w:val="24"/>
                <w:u w:val="none"/>
                <w:lang w:val="en-US"/>
              </w:rPr>
            </w:pPr>
            <w:r>
              <w:rPr>
                <w:rFonts w:hint="eastAsia" w:ascii="仿宋_GB2312" w:hAnsi="宋体" w:eastAsia="仿宋_GB2312" w:cs="仿宋_GB2312"/>
                <w:i w:val="0"/>
                <w:iCs w:val="0"/>
                <w:color w:val="000000"/>
                <w:kern w:val="0"/>
                <w:sz w:val="24"/>
                <w:szCs w:val="24"/>
                <w:u w:val="none"/>
                <w:lang w:val="en-US" w:eastAsia="zh-CN" w:bidi="ar"/>
              </w:rPr>
              <w:t>454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1FBC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17.13%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7D39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default" w:ascii="仿宋_GB2312" w:hAnsi="仿宋_GB2312" w:eastAsia="仿宋_GB2312" w:cs="仿宋_GB2312"/>
                <w:i w:val="0"/>
                <w:iCs w:val="0"/>
                <w:color w:val="000000"/>
                <w:sz w:val="24"/>
                <w:szCs w:val="24"/>
                <w:u w:val="none"/>
                <w:lang w:val="en-US"/>
              </w:rPr>
            </w:pPr>
            <w:r>
              <w:rPr>
                <w:rFonts w:hint="eastAsia" w:ascii="仿宋_GB2312" w:hAnsi="宋体" w:eastAsia="仿宋_GB2312" w:cs="仿宋_GB2312"/>
                <w:i w:val="0"/>
                <w:iCs w:val="0"/>
                <w:color w:val="000000"/>
                <w:kern w:val="0"/>
                <w:sz w:val="24"/>
                <w:szCs w:val="24"/>
                <w:u w:val="none"/>
                <w:lang w:val="en-US" w:eastAsia="zh-CN" w:bidi="ar"/>
              </w:rPr>
              <w:t>340</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9DEC5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12.83%</w:t>
            </w:r>
          </w:p>
        </w:tc>
      </w:tr>
      <w:tr w14:paraId="6AB894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00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90C31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000000"/>
                <w:sz w:val="24"/>
                <w:szCs w:val="24"/>
                <w:u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BAFA5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选修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EAF4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8</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BD240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5.37%</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525B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128</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25DE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default" w:ascii="仿宋_GB2312" w:hAnsi="仿宋_GB2312" w:eastAsia="仿宋_GB2312" w:cs="仿宋_GB2312"/>
                <w:i w:val="0"/>
                <w:iCs w:val="0"/>
                <w:color w:val="000000"/>
                <w:sz w:val="24"/>
                <w:szCs w:val="24"/>
                <w:u w:val="none"/>
                <w:lang w:val="en-US" w:eastAsia="zh-CN"/>
              </w:rPr>
            </w:pPr>
            <w:r>
              <w:rPr>
                <w:rFonts w:hint="eastAsia" w:ascii="仿宋_GB2312" w:hAnsi="宋体" w:eastAsia="仿宋_GB2312" w:cs="仿宋_GB2312"/>
                <w:i w:val="0"/>
                <w:iCs w:val="0"/>
                <w:color w:val="000000"/>
                <w:kern w:val="0"/>
                <w:sz w:val="24"/>
                <w:szCs w:val="24"/>
                <w:u w:val="none"/>
                <w:lang w:val="en-US" w:eastAsia="zh-CN" w:bidi="ar"/>
              </w:rPr>
              <w:t>80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36C8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3.02%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B0794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default" w:ascii="仿宋_GB2312" w:hAnsi="仿宋_GB2312" w:eastAsia="仿宋_GB2312" w:cs="仿宋_GB2312"/>
                <w:i w:val="0"/>
                <w:iCs w:val="0"/>
                <w:color w:val="000000"/>
                <w:sz w:val="24"/>
                <w:szCs w:val="24"/>
                <w:u w:val="none"/>
                <w:lang w:val="en-US" w:eastAsia="zh-CN"/>
              </w:rPr>
            </w:pPr>
            <w:r>
              <w:rPr>
                <w:rFonts w:hint="eastAsia" w:ascii="仿宋_GB2312" w:hAnsi="宋体" w:eastAsia="仿宋_GB2312" w:cs="仿宋_GB2312"/>
                <w:i w:val="0"/>
                <w:iCs w:val="0"/>
                <w:color w:val="000000"/>
                <w:kern w:val="0"/>
                <w:sz w:val="24"/>
                <w:szCs w:val="24"/>
                <w:u w:val="none"/>
                <w:lang w:val="en-US" w:eastAsia="zh-CN" w:bidi="ar"/>
              </w:rPr>
              <w:t>48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CE38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1.81%</w:t>
            </w:r>
          </w:p>
        </w:tc>
      </w:tr>
      <w:tr w14:paraId="77873C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00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23AA04">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000000"/>
                <w:sz w:val="24"/>
                <w:szCs w:val="24"/>
                <w:u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0027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小计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957A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default" w:ascii="仿宋_GB2312" w:hAnsi="仿宋_GB2312" w:eastAsia="仿宋_GB2312" w:cs="仿宋_GB2312"/>
                <w:i w:val="0"/>
                <w:iCs w:val="0"/>
                <w:color w:val="000000"/>
                <w:sz w:val="24"/>
                <w:szCs w:val="24"/>
                <w:u w:val="none"/>
                <w:lang w:val="en-US" w:eastAsia="zh-CN"/>
              </w:rPr>
            </w:pPr>
            <w:r>
              <w:rPr>
                <w:rFonts w:hint="eastAsia" w:ascii="仿宋_GB2312" w:hAnsi="宋体" w:eastAsia="仿宋_GB2312" w:cs="仿宋_GB2312"/>
                <w:i w:val="0"/>
                <w:iCs w:val="0"/>
                <w:color w:val="000000"/>
                <w:kern w:val="0"/>
                <w:sz w:val="24"/>
                <w:szCs w:val="24"/>
                <w:u w:val="none"/>
                <w:lang w:val="en-US" w:eastAsia="zh-CN" w:bidi="ar"/>
              </w:rPr>
              <w:t>50</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AE86F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33.56%</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EBEA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default" w:ascii="仿宋_GB2312" w:hAnsi="仿宋_GB2312" w:eastAsia="仿宋_GB2312" w:cs="仿宋_GB2312"/>
                <w:i w:val="0"/>
                <w:iCs w:val="0"/>
                <w:color w:val="000000"/>
                <w:sz w:val="24"/>
                <w:szCs w:val="24"/>
                <w:u w:val="none"/>
                <w:lang w:val="en-US"/>
              </w:rPr>
            </w:pPr>
            <w:r>
              <w:rPr>
                <w:rFonts w:hint="eastAsia" w:ascii="仿宋_GB2312" w:hAnsi="宋体" w:eastAsia="仿宋_GB2312" w:cs="仿宋_GB2312"/>
                <w:i w:val="0"/>
                <w:iCs w:val="0"/>
                <w:color w:val="000000"/>
                <w:kern w:val="0"/>
                <w:sz w:val="24"/>
                <w:szCs w:val="24"/>
                <w:u w:val="none"/>
                <w:lang w:val="en-US" w:eastAsia="zh-CN" w:bidi="ar"/>
              </w:rPr>
              <w:t>922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1548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default" w:ascii="仿宋_GB2312" w:hAnsi="仿宋_GB2312" w:eastAsia="仿宋_GB2312" w:cs="仿宋_GB2312"/>
                <w:i w:val="0"/>
                <w:iCs w:val="0"/>
                <w:color w:val="000000"/>
                <w:sz w:val="24"/>
                <w:szCs w:val="24"/>
                <w:u w:val="none"/>
                <w:lang w:val="en-US"/>
              </w:rPr>
            </w:pPr>
            <w:r>
              <w:rPr>
                <w:rFonts w:hint="eastAsia" w:ascii="仿宋_GB2312" w:hAnsi="宋体" w:eastAsia="仿宋_GB2312" w:cs="仿宋_GB2312"/>
                <w:i w:val="0"/>
                <w:iCs w:val="0"/>
                <w:color w:val="000000"/>
                <w:kern w:val="0"/>
                <w:sz w:val="24"/>
                <w:szCs w:val="24"/>
                <w:u w:val="none"/>
                <w:lang w:val="en-US" w:eastAsia="zh-CN" w:bidi="ar"/>
              </w:rPr>
              <w:t>534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FFAE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20.15%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0E831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default" w:ascii="仿宋_GB2312" w:hAnsi="仿宋_GB2312" w:eastAsia="仿宋_GB2312" w:cs="仿宋_GB2312"/>
                <w:i w:val="0"/>
                <w:iCs w:val="0"/>
                <w:color w:val="000000"/>
                <w:sz w:val="24"/>
                <w:szCs w:val="24"/>
                <w:u w:val="none"/>
                <w:lang w:val="en-US"/>
              </w:rPr>
            </w:pPr>
            <w:r>
              <w:rPr>
                <w:rFonts w:hint="eastAsia" w:ascii="仿宋_GB2312" w:hAnsi="宋体" w:eastAsia="仿宋_GB2312" w:cs="仿宋_GB2312"/>
                <w:i w:val="0"/>
                <w:iCs w:val="0"/>
                <w:color w:val="000000"/>
                <w:kern w:val="0"/>
                <w:sz w:val="24"/>
                <w:szCs w:val="24"/>
                <w:u w:val="none"/>
                <w:lang w:val="en-US" w:eastAsia="zh-CN" w:bidi="ar"/>
              </w:rPr>
              <w:t>388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17C9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14.64%</w:t>
            </w:r>
          </w:p>
        </w:tc>
      </w:tr>
      <w:tr w14:paraId="4C30AB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1021" w:type="dxa"/>
            <w:vMerge w:val="restart"/>
            <w:tcBorders>
              <w:top w:val="single" w:color="000000" w:sz="4" w:space="0"/>
              <w:left w:val="single" w:color="000000" w:sz="4" w:space="0"/>
              <w:right w:val="single" w:color="000000" w:sz="4" w:space="0"/>
            </w:tcBorders>
            <w:shd w:val="clear" w:color="auto" w:fill="auto"/>
            <w:vAlign w:val="center"/>
          </w:tcPr>
          <w:p w14:paraId="00C4019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专业课</w:t>
            </w:r>
          </w:p>
        </w:tc>
        <w:tc>
          <w:tcPr>
            <w:tcW w:w="19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CFDF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专业基础课</w:t>
            </w: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1C0D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89482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default" w:ascii="仿宋_GB2312" w:hAnsi="仿宋_GB2312" w:eastAsia="仿宋_GB2312" w:cs="仿宋_GB2312"/>
                <w:i w:val="0"/>
                <w:iCs w:val="0"/>
                <w:color w:val="000000"/>
                <w:sz w:val="24"/>
                <w:szCs w:val="24"/>
                <w:u w:val="none"/>
                <w:lang w:val="en-US" w:eastAsia="zh-CN"/>
              </w:rPr>
            </w:pPr>
            <w:r>
              <w:rPr>
                <w:rFonts w:hint="eastAsia" w:ascii="仿宋_GB2312" w:hAnsi="宋体" w:eastAsia="仿宋_GB2312" w:cs="仿宋_GB2312"/>
                <w:i w:val="0"/>
                <w:iCs w:val="0"/>
                <w:color w:val="000000"/>
                <w:kern w:val="0"/>
                <w:sz w:val="24"/>
                <w:szCs w:val="24"/>
                <w:u w:val="none"/>
                <w:lang w:val="en-US" w:eastAsia="zh-CN" w:bidi="ar"/>
              </w:rPr>
              <w:t>30</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0255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20.13%</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EE366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default" w:ascii="仿宋_GB2312" w:hAnsi="仿宋_GB2312" w:eastAsia="仿宋_GB2312" w:cs="仿宋_GB2312"/>
                <w:i w:val="0"/>
                <w:iCs w:val="0"/>
                <w:color w:val="000000"/>
                <w:sz w:val="24"/>
                <w:szCs w:val="24"/>
                <w:u w:val="none"/>
                <w:lang w:val="en-US"/>
              </w:rPr>
            </w:pPr>
            <w:r>
              <w:rPr>
                <w:rFonts w:hint="eastAsia" w:ascii="仿宋_GB2312" w:hAnsi="宋体" w:eastAsia="仿宋_GB2312" w:cs="仿宋_GB2312"/>
                <w:i w:val="0"/>
                <w:iCs w:val="0"/>
                <w:color w:val="000000"/>
                <w:kern w:val="0"/>
                <w:sz w:val="24"/>
                <w:szCs w:val="24"/>
                <w:u w:val="none"/>
                <w:lang w:val="en-US" w:eastAsia="zh-CN" w:bidi="ar"/>
              </w:rPr>
              <w:t>480</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E887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default" w:ascii="仿宋_GB2312" w:hAnsi="仿宋_GB2312" w:eastAsia="仿宋_GB2312" w:cs="仿宋_GB2312"/>
                <w:i w:val="0"/>
                <w:iCs w:val="0"/>
                <w:color w:val="000000"/>
                <w:sz w:val="24"/>
                <w:szCs w:val="24"/>
                <w:u w:val="none"/>
                <w:lang w:val="en-US" w:eastAsia="zh-CN"/>
              </w:rPr>
            </w:pPr>
            <w:r>
              <w:rPr>
                <w:rFonts w:hint="eastAsia" w:ascii="仿宋_GB2312" w:hAnsi="宋体" w:eastAsia="仿宋_GB2312" w:cs="仿宋_GB2312"/>
                <w:i w:val="0"/>
                <w:iCs w:val="0"/>
                <w:color w:val="000000"/>
                <w:kern w:val="0"/>
                <w:sz w:val="24"/>
                <w:szCs w:val="24"/>
                <w:u w:val="none"/>
                <w:lang w:val="en-US" w:eastAsia="zh-CN" w:bidi="ar"/>
              </w:rPr>
              <w:t>280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3B65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10.57%</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CCE18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default" w:ascii="仿宋_GB2312" w:hAnsi="仿宋_GB2312" w:eastAsia="仿宋_GB2312" w:cs="仿宋_GB2312"/>
                <w:i w:val="0"/>
                <w:iCs w:val="0"/>
                <w:color w:val="000000"/>
                <w:sz w:val="24"/>
                <w:szCs w:val="24"/>
                <w:u w:val="none"/>
                <w:lang w:val="en-US" w:eastAsia="zh-CN"/>
              </w:rPr>
            </w:pPr>
            <w:r>
              <w:rPr>
                <w:rFonts w:hint="eastAsia" w:ascii="仿宋_GB2312" w:hAnsi="宋体" w:eastAsia="仿宋_GB2312" w:cs="仿宋_GB2312"/>
                <w:i w:val="0"/>
                <w:iCs w:val="0"/>
                <w:color w:val="000000"/>
                <w:kern w:val="0"/>
                <w:sz w:val="24"/>
                <w:szCs w:val="24"/>
                <w:u w:val="none"/>
                <w:lang w:val="en-US" w:eastAsia="zh-CN" w:bidi="ar"/>
              </w:rPr>
              <w:t>200</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D32E5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7.55%</w:t>
            </w:r>
          </w:p>
        </w:tc>
      </w:tr>
      <w:tr w14:paraId="6A8E66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1021" w:type="dxa"/>
            <w:vMerge w:val="continue"/>
            <w:tcBorders>
              <w:left w:val="single" w:color="000000" w:sz="4" w:space="0"/>
              <w:right w:val="single" w:color="000000" w:sz="4" w:space="0"/>
            </w:tcBorders>
            <w:shd w:val="clear" w:color="auto" w:fill="auto"/>
            <w:vAlign w:val="center"/>
          </w:tcPr>
          <w:p w14:paraId="4E18D662">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000000"/>
                <w:sz w:val="24"/>
                <w:szCs w:val="24"/>
                <w:u w:val="none"/>
              </w:rPr>
            </w:pPr>
          </w:p>
        </w:tc>
        <w:tc>
          <w:tcPr>
            <w:tcW w:w="19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FF41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专业核心课</w:t>
            </w: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54B2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7089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24</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F492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16.11%</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7C908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384</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BA2C2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default" w:ascii="仿宋_GB2312" w:hAnsi="仿宋_GB2312" w:eastAsia="仿宋_GB2312" w:cs="仿宋_GB2312"/>
                <w:i w:val="0"/>
                <w:iCs w:val="0"/>
                <w:color w:val="000000"/>
                <w:sz w:val="24"/>
                <w:szCs w:val="24"/>
                <w:u w:val="none"/>
                <w:lang w:val="en-US" w:eastAsia="zh-CN"/>
              </w:rPr>
            </w:pPr>
            <w:r>
              <w:rPr>
                <w:rFonts w:hint="eastAsia" w:ascii="仿宋_GB2312" w:hAnsi="宋体" w:eastAsia="仿宋_GB2312" w:cs="仿宋_GB2312"/>
                <w:i w:val="0"/>
                <w:iCs w:val="0"/>
                <w:color w:val="000000"/>
                <w:kern w:val="0"/>
                <w:sz w:val="24"/>
                <w:szCs w:val="24"/>
                <w:u w:val="none"/>
                <w:lang w:val="en-US" w:eastAsia="zh-CN" w:bidi="ar"/>
              </w:rPr>
              <w:t>320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76F9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12.08%</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2D2B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default" w:ascii="仿宋_GB2312" w:hAnsi="仿宋_GB2312" w:eastAsia="仿宋_GB2312" w:cs="仿宋_GB2312"/>
                <w:i w:val="0"/>
                <w:iCs w:val="0"/>
                <w:color w:val="000000"/>
                <w:sz w:val="24"/>
                <w:szCs w:val="24"/>
                <w:u w:val="none"/>
                <w:lang w:val="en-US" w:eastAsia="zh-CN"/>
              </w:rPr>
            </w:pPr>
            <w:r>
              <w:rPr>
                <w:rFonts w:hint="eastAsia" w:ascii="仿宋_GB2312" w:hAnsi="宋体" w:eastAsia="仿宋_GB2312" w:cs="仿宋_GB2312"/>
                <w:i w:val="0"/>
                <w:iCs w:val="0"/>
                <w:color w:val="000000"/>
                <w:kern w:val="0"/>
                <w:sz w:val="24"/>
                <w:szCs w:val="24"/>
                <w:u w:val="none"/>
                <w:lang w:val="en-US" w:eastAsia="zh-CN" w:bidi="ar"/>
              </w:rPr>
              <w:t>64</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B113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2.42%</w:t>
            </w:r>
          </w:p>
        </w:tc>
      </w:tr>
      <w:tr w14:paraId="2A8B6E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1021" w:type="dxa"/>
            <w:vMerge w:val="continue"/>
            <w:tcBorders>
              <w:left w:val="single" w:color="000000" w:sz="4" w:space="0"/>
              <w:right w:val="single" w:color="000000" w:sz="4" w:space="0"/>
            </w:tcBorders>
            <w:shd w:val="clear" w:color="auto" w:fill="auto"/>
            <w:vAlign w:val="center"/>
          </w:tcPr>
          <w:p w14:paraId="48E48BF0">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000000"/>
                <w:sz w:val="24"/>
                <w:szCs w:val="24"/>
                <w:u w:val="none"/>
              </w:rPr>
            </w:pPr>
          </w:p>
        </w:tc>
        <w:tc>
          <w:tcPr>
            <w:tcW w:w="19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BE0C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专业拓展课</w:t>
            </w: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6E1E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选修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945E2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default" w:ascii="仿宋_GB2312" w:hAnsi="仿宋_GB2312" w:eastAsia="仿宋_GB2312" w:cs="仿宋_GB2312"/>
                <w:i w:val="0"/>
                <w:iCs w:val="0"/>
                <w:color w:val="000000"/>
                <w:sz w:val="24"/>
                <w:szCs w:val="24"/>
                <w:u w:val="none"/>
                <w:lang w:val="en-US" w:eastAsia="zh-CN"/>
              </w:rPr>
            </w:pPr>
            <w:r>
              <w:rPr>
                <w:rFonts w:hint="eastAsia" w:ascii="仿宋_GB2312" w:hAnsi="宋体" w:eastAsia="仿宋_GB2312" w:cs="仿宋_GB2312"/>
                <w:i w:val="0"/>
                <w:iCs w:val="0"/>
                <w:color w:val="000000"/>
                <w:kern w:val="0"/>
                <w:sz w:val="24"/>
                <w:szCs w:val="24"/>
                <w:u w:val="none"/>
                <w:lang w:val="en-US" w:eastAsia="zh-CN" w:bidi="ar"/>
              </w:rPr>
              <w:t>10</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34F0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6.71%</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A516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160</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1A32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default" w:ascii="仿宋_GB2312" w:hAnsi="仿宋_GB2312" w:eastAsia="仿宋_GB2312" w:cs="仿宋_GB2312"/>
                <w:i w:val="0"/>
                <w:iCs w:val="0"/>
                <w:color w:val="000000"/>
                <w:sz w:val="24"/>
                <w:szCs w:val="24"/>
                <w:u w:val="none"/>
                <w:lang w:val="en-US"/>
              </w:rPr>
            </w:pPr>
            <w:r>
              <w:rPr>
                <w:rFonts w:hint="eastAsia" w:ascii="仿宋_GB2312" w:hAnsi="宋体" w:eastAsia="仿宋_GB2312" w:cs="仿宋_GB2312"/>
                <w:i w:val="0"/>
                <w:iCs w:val="0"/>
                <w:color w:val="000000"/>
                <w:kern w:val="0"/>
                <w:sz w:val="24"/>
                <w:szCs w:val="24"/>
                <w:u w:val="none"/>
                <w:lang w:val="en-US" w:eastAsia="zh-CN" w:bidi="ar"/>
              </w:rPr>
              <w:t>160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5E97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6.04%</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1BBF5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0</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8CF3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0.00%</w:t>
            </w:r>
          </w:p>
        </w:tc>
      </w:tr>
      <w:tr w14:paraId="16EF34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021" w:type="dxa"/>
            <w:vMerge w:val="continue"/>
            <w:tcBorders>
              <w:left w:val="single" w:color="000000" w:sz="4" w:space="0"/>
              <w:right w:val="single" w:color="000000" w:sz="4" w:space="0"/>
            </w:tcBorders>
            <w:shd w:val="clear" w:color="auto" w:fill="auto"/>
            <w:vAlign w:val="center"/>
          </w:tcPr>
          <w:p w14:paraId="0AB8F43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9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645C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sz w:val="24"/>
                <w:szCs w:val="24"/>
                <w:u w:val="none"/>
              </w:rPr>
              <w:t>实践</w:t>
            </w:r>
            <w:r>
              <w:rPr>
                <w:rFonts w:hint="eastAsia" w:ascii="仿宋_GB2312" w:hAnsi="仿宋_GB2312" w:eastAsia="仿宋_GB2312" w:cs="仿宋_GB2312"/>
                <w:i w:val="0"/>
                <w:iCs w:val="0"/>
                <w:color w:val="000000"/>
                <w:sz w:val="24"/>
                <w:szCs w:val="24"/>
                <w:u w:val="none"/>
                <w:lang w:val="en-US" w:eastAsia="zh-CN"/>
              </w:rPr>
              <w:t>性</w:t>
            </w:r>
            <w:r>
              <w:rPr>
                <w:rFonts w:hint="eastAsia" w:ascii="仿宋_GB2312" w:hAnsi="仿宋_GB2312" w:eastAsia="仿宋_GB2312" w:cs="仿宋_GB2312"/>
                <w:i w:val="0"/>
                <w:iCs w:val="0"/>
                <w:color w:val="000000"/>
                <w:sz w:val="24"/>
                <w:szCs w:val="24"/>
                <w:u w:val="none"/>
              </w:rPr>
              <w:t>教学环节</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A56C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96D0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default" w:ascii="仿宋_GB2312" w:hAnsi="仿宋_GB2312" w:eastAsia="仿宋_GB2312" w:cs="仿宋_GB2312"/>
                <w:i w:val="0"/>
                <w:iCs w:val="0"/>
                <w:color w:val="000000"/>
                <w:sz w:val="24"/>
                <w:szCs w:val="24"/>
                <w:u w:val="none"/>
                <w:lang w:val="en-US" w:eastAsia="zh-CN"/>
              </w:rPr>
            </w:pPr>
            <w:r>
              <w:rPr>
                <w:rFonts w:hint="eastAsia" w:ascii="仿宋_GB2312" w:hAnsi="宋体" w:eastAsia="仿宋_GB2312" w:cs="仿宋_GB2312"/>
                <w:i w:val="0"/>
                <w:iCs w:val="0"/>
                <w:color w:val="000000"/>
                <w:kern w:val="0"/>
                <w:sz w:val="24"/>
                <w:szCs w:val="24"/>
                <w:u w:val="none"/>
                <w:lang w:val="en-US" w:eastAsia="zh-CN" w:bidi="ar"/>
              </w:rPr>
              <w:t>35</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F19B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23.49%</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D53B3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704</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A0BA4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default" w:ascii="仿宋_GB2312" w:hAnsi="仿宋_GB2312" w:eastAsia="仿宋_GB2312" w:cs="仿宋_GB2312"/>
                <w:i w:val="0"/>
                <w:iCs w:val="0"/>
                <w:color w:val="000000"/>
                <w:sz w:val="24"/>
                <w:szCs w:val="24"/>
                <w:u w:val="none"/>
                <w:lang w:val="en-US" w:eastAsia="zh-CN"/>
              </w:rPr>
            </w:pPr>
            <w:r>
              <w:rPr>
                <w:rFonts w:hint="eastAsia" w:ascii="仿宋_GB2312" w:hAnsi="宋体" w:eastAsia="仿宋_GB2312" w:cs="仿宋_GB2312"/>
                <w:i w:val="0"/>
                <w:iCs w:val="0"/>
                <w:color w:val="000000"/>
                <w:kern w:val="0"/>
                <w:sz w:val="24"/>
                <w:szCs w:val="24"/>
                <w:u w:val="none"/>
                <w:lang w:val="en-US" w:eastAsia="zh-CN" w:bidi="ar"/>
              </w:rPr>
              <w:t>20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971E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0.75%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72B2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684</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A690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25.81%</w:t>
            </w:r>
          </w:p>
        </w:tc>
      </w:tr>
      <w:tr w14:paraId="53DEC0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021" w:type="dxa"/>
            <w:vMerge w:val="continue"/>
            <w:tcBorders>
              <w:left w:val="single" w:color="000000" w:sz="4" w:space="0"/>
              <w:bottom w:val="single" w:color="000000" w:sz="4" w:space="0"/>
              <w:right w:val="single" w:color="000000" w:sz="4" w:space="0"/>
            </w:tcBorders>
            <w:shd w:val="clear" w:color="auto" w:fill="auto"/>
            <w:vAlign w:val="center"/>
          </w:tcPr>
          <w:p w14:paraId="53F750D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2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4B5C2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小计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094D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default" w:ascii="仿宋_GB2312" w:hAnsi="仿宋_GB2312" w:eastAsia="仿宋_GB2312" w:cs="仿宋_GB2312"/>
                <w:i w:val="0"/>
                <w:iCs w:val="0"/>
                <w:color w:val="000000"/>
                <w:sz w:val="24"/>
                <w:szCs w:val="24"/>
                <w:u w:val="none"/>
                <w:lang w:val="en-US" w:eastAsia="zh-CN"/>
              </w:rPr>
            </w:pPr>
            <w:r>
              <w:rPr>
                <w:rFonts w:hint="eastAsia" w:ascii="仿宋_GB2312" w:hAnsi="宋体" w:eastAsia="仿宋_GB2312" w:cs="仿宋_GB2312"/>
                <w:i w:val="0"/>
                <w:iCs w:val="0"/>
                <w:color w:val="000000"/>
                <w:kern w:val="0"/>
                <w:sz w:val="24"/>
                <w:szCs w:val="24"/>
                <w:u w:val="none"/>
                <w:lang w:val="en-US" w:eastAsia="zh-CN" w:bidi="ar"/>
              </w:rPr>
              <w:t>99</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22EB7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default" w:ascii="仿宋_GB2312" w:hAnsi="仿宋_GB2312" w:eastAsia="仿宋_GB2312" w:cs="仿宋_GB2312"/>
                <w:i w:val="0"/>
                <w:iCs w:val="0"/>
                <w:color w:val="000000"/>
                <w:sz w:val="24"/>
                <w:szCs w:val="24"/>
                <w:u w:val="none"/>
                <w:lang w:val="en-US" w:eastAsia="zh-CN"/>
              </w:rPr>
            </w:pPr>
            <w:r>
              <w:rPr>
                <w:rFonts w:hint="eastAsia" w:ascii="仿宋_GB2312" w:hAnsi="宋体" w:eastAsia="仿宋_GB2312" w:cs="仿宋_GB2312"/>
                <w:i w:val="0"/>
                <w:iCs w:val="0"/>
                <w:color w:val="000000"/>
                <w:kern w:val="0"/>
                <w:sz w:val="24"/>
                <w:szCs w:val="24"/>
                <w:u w:val="none"/>
                <w:lang w:val="en-US" w:eastAsia="zh-CN" w:bidi="ar"/>
              </w:rPr>
              <w:t>66.44%</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376A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default" w:ascii="仿宋_GB2312" w:hAnsi="仿宋_GB2312" w:eastAsia="仿宋_GB2312" w:cs="仿宋_GB2312"/>
                <w:i w:val="0"/>
                <w:iCs w:val="0"/>
                <w:color w:val="000000"/>
                <w:sz w:val="24"/>
                <w:szCs w:val="24"/>
                <w:u w:val="none"/>
                <w:lang w:val="en-US" w:eastAsia="zh-CN"/>
              </w:rPr>
            </w:pPr>
            <w:r>
              <w:rPr>
                <w:rFonts w:hint="eastAsia" w:ascii="仿宋_GB2312" w:hAnsi="宋体" w:eastAsia="仿宋_GB2312" w:cs="仿宋_GB2312"/>
                <w:i w:val="0"/>
                <w:iCs w:val="0"/>
                <w:color w:val="000000"/>
                <w:kern w:val="0"/>
                <w:sz w:val="24"/>
                <w:szCs w:val="24"/>
                <w:u w:val="none"/>
                <w:lang w:val="en-US" w:eastAsia="zh-CN" w:bidi="ar"/>
              </w:rPr>
              <w:t>1728</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5C83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default" w:ascii="仿宋_GB2312" w:hAnsi="仿宋_GB2312" w:eastAsia="仿宋_GB2312" w:cs="仿宋_GB2312"/>
                <w:i w:val="0"/>
                <w:iCs w:val="0"/>
                <w:color w:val="000000"/>
                <w:sz w:val="24"/>
                <w:szCs w:val="24"/>
                <w:u w:val="none"/>
                <w:lang w:val="en-US" w:eastAsia="zh-CN"/>
              </w:rPr>
            </w:pPr>
            <w:r>
              <w:rPr>
                <w:rFonts w:hint="eastAsia" w:ascii="仿宋_GB2312" w:hAnsi="宋体" w:eastAsia="仿宋_GB2312" w:cs="仿宋_GB2312"/>
                <w:i w:val="0"/>
                <w:iCs w:val="0"/>
                <w:color w:val="000000"/>
                <w:kern w:val="0"/>
                <w:sz w:val="24"/>
                <w:szCs w:val="24"/>
                <w:u w:val="none"/>
                <w:lang w:val="en-US" w:eastAsia="zh-CN" w:bidi="ar"/>
              </w:rPr>
              <w:t>780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0042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default" w:ascii="仿宋_GB2312" w:hAnsi="仿宋_GB2312" w:eastAsia="仿宋_GB2312" w:cs="仿宋_GB2312"/>
                <w:i w:val="0"/>
                <w:iCs w:val="0"/>
                <w:color w:val="000000"/>
                <w:sz w:val="24"/>
                <w:szCs w:val="24"/>
                <w:u w:val="none"/>
                <w:lang w:val="en-US" w:eastAsia="zh-CN"/>
              </w:rPr>
            </w:pPr>
            <w:r>
              <w:rPr>
                <w:rFonts w:hint="eastAsia" w:ascii="仿宋_GB2312" w:hAnsi="宋体" w:eastAsia="仿宋_GB2312" w:cs="仿宋_GB2312"/>
                <w:i w:val="0"/>
                <w:iCs w:val="0"/>
                <w:color w:val="000000"/>
                <w:kern w:val="0"/>
                <w:sz w:val="24"/>
                <w:szCs w:val="24"/>
                <w:u w:val="none"/>
                <w:lang w:val="en-US" w:eastAsia="zh-CN" w:bidi="ar"/>
              </w:rPr>
              <w:t>29.43%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4788E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default" w:ascii="仿宋_GB2312" w:hAnsi="仿宋_GB2312" w:eastAsia="仿宋_GB2312" w:cs="仿宋_GB2312"/>
                <w:i w:val="0"/>
                <w:iCs w:val="0"/>
                <w:color w:val="000000"/>
                <w:sz w:val="24"/>
                <w:szCs w:val="24"/>
                <w:u w:val="none"/>
                <w:lang w:val="en-US" w:eastAsia="zh-CN"/>
              </w:rPr>
            </w:pPr>
            <w:r>
              <w:rPr>
                <w:rFonts w:hint="eastAsia" w:ascii="仿宋_GB2312" w:hAnsi="宋体" w:eastAsia="仿宋_GB2312" w:cs="仿宋_GB2312"/>
                <w:i w:val="0"/>
                <w:iCs w:val="0"/>
                <w:color w:val="000000"/>
                <w:kern w:val="0"/>
                <w:sz w:val="24"/>
                <w:szCs w:val="24"/>
                <w:u w:val="none"/>
                <w:lang w:val="en-US" w:eastAsia="zh-CN" w:bidi="ar"/>
              </w:rPr>
              <w:t>948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33C3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default" w:ascii="仿宋_GB2312" w:hAnsi="仿宋_GB2312" w:eastAsia="仿宋_GB2312" w:cs="仿宋_GB2312"/>
                <w:i w:val="0"/>
                <w:iCs w:val="0"/>
                <w:color w:val="000000"/>
                <w:sz w:val="24"/>
                <w:szCs w:val="24"/>
                <w:u w:val="none"/>
                <w:lang w:val="en-US" w:eastAsia="zh-CN"/>
              </w:rPr>
            </w:pPr>
            <w:r>
              <w:rPr>
                <w:rFonts w:hint="eastAsia" w:ascii="仿宋_GB2312" w:hAnsi="宋体" w:eastAsia="仿宋_GB2312" w:cs="仿宋_GB2312"/>
                <w:i w:val="0"/>
                <w:iCs w:val="0"/>
                <w:color w:val="000000"/>
                <w:kern w:val="0"/>
                <w:sz w:val="24"/>
                <w:szCs w:val="24"/>
                <w:u w:val="none"/>
                <w:lang w:val="en-US" w:eastAsia="zh-CN" w:bidi="ar"/>
              </w:rPr>
              <w:t>35.77%</w:t>
            </w:r>
          </w:p>
        </w:tc>
      </w:tr>
      <w:tr w14:paraId="09D9E5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86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62E9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合计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3D18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default" w:ascii="仿宋_GB2312" w:hAnsi="仿宋_GB2312" w:eastAsia="仿宋_GB2312" w:cs="仿宋_GB2312"/>
                <w:i w:val="0"/>
                <w:iCs w:val="0"/>
                <w:color w:val="000000"/>
                <w:sz w:val="24"/>
                <w:szCs w:val="24"/>
                <w:u w:val="none"/>
                <w:lang w:val="en-US" w:eastAsia="zh-CN"/>
              </w:rPr>
            </w:pPr>
            <w:r>
              <w:rPr>
                <w:rFonts w:hint="eastAsia" w:ascii="仿宋_GB2312" w:hAnsi="宋体" w:eastAsia="仿宋_GB2312" w:cs="仿宋_GB2312"/>
                <w:i w:val="0"/>
                <w:iCs w:val="0"/>
                <w:color w:val="000000"/>
                <w:kern w:val="0"/>
                <w:sz w:val="24"/>
                <w:szCs w:val="24"/>
                <w:u w:val="none"/>
                <w:lang w:val="en-US" w:eastAsia="zh-CN" w:bidi="ar"/>
              </w:rPr>
              <w:t>149</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E1D31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default" w:ascii="仿宋_GB2312" w:hAnsi="仿宋_GB2312" w:eastAsia="仿宋_GB2312" w:cs="仿宋_GB2312"/>
                <w:i w:val="0"/>
                <w:iCs w:val="0"/>
                <w:color w:val="000000"/>
                <w:sz w:val="24"/>
                <w:szCs w:val="24"/>
                <w:u w:val="none"/>
                <w:lang w:val="en-US" w:eastAsia="zh-CN"/>
              </w:rPr>
            </w:pPr>
            <w:r>
              <w:rPr>
                <w:rFonts w:hint="eastAsia" w:ascii="仿宋_GB2312" w:hAnsi="宋体" w:eastAsia="仿宋_GB2312" w:cs="仿宋_GB2312"/>
                <w:i w:val="0"/>
                <w:iCs w:val="0"/>
                <w:color w:val="000000"/>
                <w:kern w:val="0"/>
                <w:sz w:val="24"/>
                <w:szCs w:val="24"/>
                <w:u w:val="none"/>
                <w:lang w:val="en-US" w:eastAsia="zh-CN" w:bidi="ar"/>
              </w:rPr>
              <w:t>100.00%</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E10B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default" w:ascii="仿宋_GB2312" w:hAnsi="仿宋_GB2312" w:eastAsia="仿宋_GB2312" w:cs="仿宋_GB2312"/>
                <w:i w:val="0"/>
                <w:iCs w:val="0"/>
                <w:color w:val="000000"/>
                <w:sz w:val="24"/>
                <w:szCs w:val="24"/>
                <w:u w:val="none"/>
                <w:lang w:val="en-US" w:eastAsia="zh-CN"/>
              </w:rPr>
            </w:pPr>
            <w:r>
              <w:rPr>
                <w:rFonts w:hint="eastAsia" w:ascii="仿宋_GB2312" w:hAnsi="宋体" w:eastAsia="仿宋_GB2312" w:cs="仿宋_GB2312"/>
                <w:i w:val="0"/>
                <w:iCs w:val="0"/>
                <w:color w:val="000000"/>
                <w:kern w:val="0"/>
                <w:sz w:val="24"/>
                <w:szCs w:val="24"/>
                <w:u w:val="none"/>
                <w:lang w:val="en-US" w:eastAsia="zh-CN" w:bidi="ar"/>
              </w:rPr>
              <w:t>2650</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263B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default" w:ascii="仿宋_GB2312" w:hAnsi="仿宋_GB2312" w:eastAsia="仿宋_GB2312" w:cs="仿宋_GB2312"/>
                <w:i w:val="0"/>
                <w:iCs w:val="0"/>
                <w:color w:val="000000"/>
                <w:sz w:val="24"/>
                <w:szCs w:val="24"/>
                <w:u w:val="none"/>
                <w:lang w:val="en-US" w:eastAsia="zh-CN"/>
              </w:rPr>
            </w:pPr>
            <w:r>
              <w:rPr>
                <w:rFonts w:hint="eastAsia" w:ascii="仿宋_GB2312" w:hAnsi="宋体" w:eastAsia="仿宋_GB2312" w:cs="仿宋_GB2312"/>
                <w:i w:val="0"/>
                <w:iCs w:val="0"/>
                <w:color w:val="000000"/>
                <w:kern w:val="0"/>
                <w:sz w:val="24"/>
                <w:szCs w:val="24"/>
                <w:u w:val="none"/>
                <w:lang w:val="en-US" w:eastAsia="zh-CN" w:bidi="ar"/>
              </w:rPr>
              <w:t>1314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9CD7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default" w:ascii="仿宋_GB2312" w:hAnsi="仿宋_GB2312" w:eastAsia="仿宋_GB2312" w:cs="仿宋_GB2312"/>
                <w:i w:val="0"/>
                <w:iCs w:val="0"/>
                <w:color w:val="000000"/>
                <w:sz w:val="24"/>
                <w:szCs w:val="24"/>
                <w:u w:val="none"/>
                <w:lang w:val="en-US" w:eastAsia="zh-CN"/>
              </w:rPr>
            </w:pPr>
            <w:r>
              <w:rPr>
                <w:rFonts w:hint="eastAsia" w:ascii="仿宋_GB2312" w:hAnsi="宋体" w:eastAsia="仿宋_GB2312" w:cs="仿宋_GB2312"/>
                <w:i w:val="0"/>
                <w:iCs w:val="0"/>
                <w:color w:val="000000"/>
                <w:kern w:val="0"/>
                <w:sz w:val="24"/>
                <w:szCs w:val="24"/>
                <w:u w:val="none"/>
                <w:lang w:val="en-US" w:eastAsia="zh-CN" w:bidi="ar"/>
              </w:rPr>
              <w:t>49.58%</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26F2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default" w:ascii="仿宋_GB2312" w:hAnsi="仿宋_GB2312" w:eastAsia="仿宋_GB2312" w:cs="仿宋_GB2312"/>
                <w:i w:val="0"/>
                <w:iCs w:val="0"/>
                <w:color w:val="000000"/>
                <w:sz w:val="24"/>
                <w:szCs w:val="24"/>
                <w:u w:val="none"/>
                <w:lang w:val="en-US" w:eastAsia="zh-CN"/>
              </w:rPr>
            </w:pPr>
            <w:r>
              <w:rPr>
                <w:rFonts w:hint="eastAsia" w:ascii="仿宋_GB2312" w:hAnsi="宋体" w:eastAsia="仿宋_GB2312" w:cs="仿宋_GB2312"/>
                <w:i w:val="0"/>
                <w:iCs w:val="0"/>
                <w:color w:val="000000"/>
                <w:kern w:val="0"/>
                <w:sz w:val="24"/>
                <w:szCs w:val="24"/>
                <w:u w:val="none"/>
                <w:lang w:val="en-US" w:eastAsia="zh-CN" w:bidi="ar"/>
              </w:rPr>
              <w:t>1336</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FABA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default" w:ascii="仿宋_GB2312" w:hAnsi="仿宋_GB2312" w:eastAsia="仿宋_GB2312" w:cs="仿宋_GB2312"/>
                <w:i w:val="0"/>
                <w:iCs w:val="0"/>
                <w:color w:val="000000"/>
                <w:sz w:val="24"/>
                <w:szCs w:val="24"/>
                <w:u w:val="none"/>
                <w:lang w:val="en-US" w:eastAsia="zh-CN"/>
              </w:rPr>
            </w:pPr>
            <w:r>
              <w:rPr>
                <w:rFonts w:hint="eastAsia" w:ascii="仿宋_GB2312" w:hAnsi="宋体" w:eastAsia="仿宋_GB2312" w:cs="仿宋_GB2312"/>
                <w:i w:val="0"/>
                <w:iCs w:val="0"/>
                <w:color w:val="000000"/>
                <w:kern w:val="0"/>
                <w:sz w:val="24"/>
                <w:szCs w:val="24"/>
                <w:u w:val="none"/>
                <w:lang w:val="en-US" w:eastAsia="zh-CN" w:bidi="ar"/>
              </w:rPr>
              <w:t>50.42%</w:t>
            </w:r>
          </w:p>
        </w:tc>
      </w:tr>
    </w:tbl>
    <w:p w14:paraId="363B58B9">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三</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教学计划进程</w:t>
      </w:r>
    </w:p>
    <w:p w14:paraId="3B8DF88B">
      <w:pPr>
        <w:pStyle w:val="6"/>
        <w:keepNext w:val="0"/>
        <w:keepLines w:val="0"/>
        <w:pageBreakBefore w:val="0"/>
        <w:shd w:val="clear" w:color="auto" w:fill="FFFFFF"/>
        <w:kinsoku/>
        <w:wordWrap/>
        <w:topLinePunct w:val="0"/>
        <w:autoSpaceDE/>
        <w:autoSpaceDN/>
        <w:bidi w:val="0"/>
        <w:snapToGrid/>
        <w:spacing w:before="0" w:beforeAutospacing="0" w:afterAutospacing="0" w:line="520" w:lineRule="exact"/>
        <w:jc w:val="center"/>
        <w:textAlignment w:val="auto"/>
        <w:rPr>
          <w:rFonts w:hint="eastAsia" w:ascii="楷体" w:hAnsi="楷体" w:eastAsia="楷体" w:cs="楷体"/>
          <w:color w:val="auto"/>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shd w:val="clear" w:color="auto" w:fill="FFFFFF"/>
          <w:lang w:bidi="ar"/>
        </w:rPr>
        <w:t>教学计划进程安排表</w:t>
      </w:r>
    </w:p>
    <w:tbl>
      <w:tblPr>
        <w:tblStyle w:val="7"/>
        <w:tblW w:w="574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323"/>
        <w:gridCol w:w="382"/>
        <w:gridCol w:w="480"/>
        <w:gridCol w:w="650"/>
        <w:gridCol w:w="1348"/>
        <w:gridCol w:w="1549"/>
        <w:gridCol w:w="961"/>
        <w:gridCol w:w="852"/>
        <w:gridCol w:w="873"/>
        <w:gridCol w:w="825"/>
        <w:gridCol w:w="305"/>
        <w:gridCol w:w="276"/>
        <w:gridCol w:w="240"/>
        <w:gridCol w:w="240"/>
        <w:gridCol w:w="409"/>
        <w:gridCol w:w="1"/>
        <w:gridCol w:w="429"/>
        <w:gridCol w:w="537"/>
      </w:tblGrid>
      <w:tr w14:paraId="66D48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185" w:type="dxa"/>
            <w:gridSpan w:val="3"/>
            <w:vMerge w:val="restart"/>
            <w:shd w:val="clear" w:color="auto" w:fill="auto"/>
            <w:vAlign w:val="center"/>
          </w:tcPr>
          <w:p w14:paraId="2C6FD1A4">
            <w:pPr>
              <w:keepNext w:val="0"/>
              <w:keepLines w:val="0"/>
              <w:pageBreakBefore w:val="0"/>
              <w:widowControl/>
              <w:suppressLineNumbers w:val="0"/>
              <w:kinsoku/>
              <w:wordWrap/>
              <w:overflowPunct/>
              <w:topLinePunct w:val="0"/>
              <w:autoSpaceDE/>
              <w:autoSpaceDN/>
              <w:bidi w:val="0"/>
              <w:adjustRightInd/>
              <w:snapToGrid/>
              <w:spacing w:after="0" w:line="240" w:lineRule="auto"/>
              <w:jc w:val="left"/>
              <w:textAlignment w:val="center"/>
              <w:rPr>
                <w:rFonts w:hint="eastAsia" w:ascii="仿宋_GB2312" w:hAnsi="仿宋_GB2312" w:eastAsia="仿宋_GB2312" w:cs="仿宋_GB2312"/>
                <w:i w:val="0"/>
                <w:iCs w:val="0"/>
                <w:color w:val="auto"/>
                <w:sz w:val="20"/>
                <w:szCs w:val="20"/>
                <w:u w:val="none"/>
              </w:rPr>
            </w:pPr>
            <w:bookmarkStart w:id="10" w:name="OLE_LINK3"/>
            <w:r>
              <w:rPr>
                <w:rFonts w:hint="eastAsia" w:ascii="仿宋_GB2312" w:hAnsi="仿宋_GB2312" w:eastAsia="仿宋_GB2312" w:cs="仿宋_GB2312"/>
                <w:i w:val="0"/>
                <w:color w:val="000000"/>
                <w:kern w:val="0"/>
                <w:sz w:val="20"/>
                <w:szCs w:val="20"/>
                <w:u w:val="none"/>
                <w:lang w:val="en-US" w:eastAsia="zh-CN" w:bidi="ar"/>
              </w:rPr>
              <w:t>课程类型</w:t>
            </w:r>
          </w:p>
        </w:tc>
        <w:tc>
          <w:tcPr>
            <w:tcW w:w="650" w:type="dxa"/>
            <w:vMerge w:val="restart"/>
            <w:shd w:val="clear" w:color="auto" w:fill="auto"/>
            <w:vAlign w:val="center"/>
          </w:tcPr>
          <w:p w14:paraId="2B2C8C6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序号</w:t>
            </w:r>
          </w:p>
        </w:tc>
        <w:tc>
          <w:tcPr>
            <w:tcW w:w="1348" w:type="dxa"/>
            <w:vMerge w:val="restart"/>
            <w:shd w:val="clear" w:color="auto" w:fill="auto"/>
            <w:vAlign w:val="center"/>
          </w:tcPr>
          <w:p w14:paraId="0B273BA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课程代码</w:t>
            </w:r>
          </w:p>
        </w:tc>
        <w:tc>
          <w:tcPr>
            <w:tcW w:w="1549" w:type="dxa"/>
            <w:vMerge w:val="restart"/>
            <w:shd w:val="clear" w:color="auto" w:fill="auto"/>
            <w:vAlign w:val="center"/>
          </w:tcPr>
          <w:p w14:paraId="25CE62A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课程名称</w:t>
            </w:r>
          </w:p>
        </w:tc>
        <w:tc>
          <w:tcPr>
            <w:tcW w:w="961" w:type="dxa"/>
            <w:vMerge w:val="restart"/>
            <w:shd w:val="clear" w:color="auto" w:fill="auto"/>
            <w:vAlign w:val="center"/>
          </w:tcPr>
          <w:p w14:paraId="700BF4E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学分</w:t>
            </w:r>
          </w:p>
        </w:tc>
        <w:tc>
          <w:tcPr>
            <w:tcW w:w="2550" w:type="dxa"/>
            <w:gridSpan w:val="3"/>
            <w:vMerge w:val="restart"/>
            <w:shd w:val="clear" w:color="auto" w:fill="auto"/>
            <w:vAlign w:val="center"/>
          </w:tcPr>
          <w:p w14:paraId="1F0E41D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教学学时数</w:t>
            </w:r>
          </w:p>
        </w:tc>
        <w:tc>
          <w:tcPr>
            <w:tcW w:w="1900" w:type="dxa"/>
            <w:gridSpan w:val="7"/>
            <w:vMerge w:val="restart"/>
            <w:shd w:val="clear" w:color="auto" w:fill="auto"/>
            <w:vAlign w:val="center"/>
          </w:tcPr>
          <w:p w14:paraId="7B37772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开课学期和周学时</w:t>
            </w:r>
          </w:p>
        </w:tc>
        <w:tc>
          <w:tcPr>
            <w:tcW w:w="537" w:type="dxa"/>
            <w:vMerge w:val="restart"/>
            <w:shd w:val="clear" w:color="auto" w:fill="auto"/>
            <w:vAlign w:val="center"/>
          </w:tcPr>
          <w:p w14:paraId="3659112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考核类型</w:t>
            </w:r>
          </w:p>
        </w:tc>
      </w:tr>
      <w:tr w14:paraId="492CF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1" w:hRule="atLeast"/>
          <w:jc w:val="center"/>
        </w:trPr>
        <w:tc>
          <w:tcPr>
            <w:tcW w:w="1185" w:type="dxa"/>
            <w:gridSpan w:val="3"/>
            <w:vMerge w:val="continue"/>
            <w:shd w:val="clear" w:color="auto" w:fill="auto"/>
            <w:vAlign w:val="center"/>
          </w:tcPr>
          <w:p w14:paraId="32F1A859">
            <w:pPr>
              <w:keepNext w:val="0"/>
              <w:keepLines w:val="0"/>
              <w:pageBreakBefore w:val="0"/>
              <w:widowControl/>
              <w:kinsoku/>
              <w:wordWrap/>
              <w:overflowPunct/>
              <w:topLinePunct w:val="0"/>
              <w:autoSpaceDE/>
              <w:autoSpaceDN/>
              <w:bidi w:val="0"/>
              <w:adjustRightInd/>
              <w:snapToGrid/>
              <w:spacing w:after="0" w:line="240" w:lineRule="auto"/>
              <w:jc w:val="left"/>
              <w:rPr>
                <w:rFonts w:hint="eastAsia" w:ascii="仿宋_GB2312" w:hAnsi="仿宋_GB2312" w:eastAsia="仿宋_GB2312" w:cs="仿宋_GB2312"/>
                <w:i w:val="0"/>
                <w:iCs w:val="0"/>
                <w:color w:val="auto"/>
                <w:sz w:val="20"/>
                <w:szCs w:val="20"/>
                <w:u w:val="none"/>
              </w:rPr>
            </w:pPr>
          </w:p>
        </w:tc>
        <w:tc>
          <w:tcPr>
            <w:tcW w:w="650" w:type="dxa"/>
            <w:vMerge w:val="continue"/>
            <w:shd w:val="clear" w:color="auto" w:fill="auto"/>
            <w:vAlign w:val="center"/>
          </w:tcPr>
          <w:p w14:paraId="209C7A09">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1348" w:type="dxa"/>
            <w:vMerge w:val="continue"/>
            <w:shd w:val="clear" w:color="auto" w:fill="auto"/>
            <w:vAlign w:val="center"/>
          </w:tcPr>
          <w:p w14:paraId="4BCC55F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1549" w:type="dxa"/>
            <w:vMerge w:val="continue"/>
            <w:shd w:val="clear" w:color="auto" w:fill="auto"/>
            <w:vAlign w:val="center"/>
          </w:tcPr>
          <w:p w14:paraId="20B4AD7C">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961" w:type="dxa"/>
            <w:vMerge w:val="continue"/>
            <w:shd w:val="clear" w:color="auto" w:fill="auto"/>
            <w:vAlign w:val="center"/>
          </w:tcPr>
          <w:p w14:paraId="29D9BFF8">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2550" w:type="dxa"/>
            <w:gridSpan w:val="3"/>
            <w:vMerge w:val="continue"/>
            <w:shd w:val="clear" w:color="auto" w:fill="auto"/>
            <w:vAlign w:val="center"/>
          </w:tcPr>
          <w:p w14:paraId="5D213438">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1900" w:type="dxa"/>
            <w:gridSpan w:val="7"/>
            <w:vMerge w:val="continue"/>
            <w:shd w:val="clear" w:color="auto" w:fill="auto"/>
            <w:vAlign w:val="center"/>
          </w:tcPr>
          <w:p w14:paraId="003F076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537" w:type="dxa"/>
            <w:vMerge w:val="continue"/>
            <w:shd w:val="clear" w:color="auto" w:fill="auto"/>
            <w:vAlign w:val="center"/>
          </w:tcPr>
          <w:p w14:paraId="1B082149">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r>
      <w:tr w14:paraId="76BA37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1185" w:type="dxa"/>
            <w:gridSpan w:val="3"/>
            <w:vMerge w:val="continue"/>
            <w:shd w:val="clear" w:color="auto" w:fill="auto"/>
            <w:vAlign w:val="center"/>
          </w:tcPr>
          <w:p w14:paraId="76FF8EDD">
            <w:pPr>
              <w:keepNext w:val="0"/>
              <w:keepLines w:val="0"/>
              <w:pageBreakBefore w:val="0"/>
              <w:widowControl/>
              <w:kinsoku/>
              <w:wordWrap/>
              <w:overflowPunct/>
              <w:topLinePunct w:val="0"/>
              <w:autoSpaceDE/>
              <w:autoSpaceDN/>
              <w:bidi w:val="0"/>
              <w:adjustRightInd/>
              <w:snapToGrid/>
              <w:spacing w:after="0" w:line="240" w:lineRule="auto"/>
              <w:jc w:val="left"/>
              <w:rPr>
                <w:rFonts w:hint="eastAsia" w:ascii="仿宋_GB2312" w:hAnsi="仿宋_GB2312" w:eastAsia="仿宋_GB2312" w:cs="仿宋_GB2312"/>
                <w:i w:val="0"/>
                <w:iCs w:val="0"/>
                <w:color w:val="auto"/>
                <w:sz w:val="20"/>
                <w:szCs w:val="20"/>
                <w:u w:val="none"/>
              </w:rPr>
            </w:pPr>
          </w:p>
        </w:tc>
        <w:tc>
          <w:tcPr>
            <w:tcW w:w="650" w:type="dxa"/>
            <w:vMerge w:val="continue"/>
            <w:shd w:val="clear" w:color="auto" w:fill="auto"/>
            <w:vAlign w:val="center"/>
          </w:tcPr>
          <w:p w14:paraId="6212AD68">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1348" w:type="dxa"/>
            <w:vMerge w:val="continue"/>
            <w:shd w:val="clear" w:color="auto" w:fill="auto"/>
            <w:vAlign w:val="center"/>
          </w:tcPr>
          <w:p w14:paraId="034FF65F">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1549" w:type="dxa"/>
            <w:vMerge w:val="continue"/>
            <w:shd w:val="clear" w:color="auto" w:fill="auto"/>
            <w:vAlign w:val="center"/>
          </w:tcPr>
          <w:p w14:paraId="243CC8BD">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961" w:type="dxa"/>
            <w:vMerge w:val="continue"/>
            <w:shd w:val="clear" w:color="auto" w:fill="auto"/>
            <w:vAlign w:val="center"/>
          </w:tcPr>
          <w:p w14:paraId="5FA633AF">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852" w:type="dxa"/>
            <w:shd w:val="clear" w:color="auto" w:fill="auto"/>
            <w:vAlign w:val="center"/>
          </w:tcPr>
          <w:p w14:paraId="33952BF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合计</w:t>
            </w:r>
          </w:p>
        </w:tc>
        <w:tc>
          <w:tcPr>
            <w:tcW w:w="873" w:type="dxa"/>
            <w:shd w:val="clear" w:color="auto" w:fill="auto"/>
            <w:vAlign w:val="center"/>
          </w:tcPr>
          <w:p w14:paraId="71A542A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理论学时</w:t>
            </w:r>
          </w:p>
        </w:tc>
        <w:tc>
          <w:tcPr>
            <w:tcW w:w="825" w:type="dxa"/>
            <w:shd w:val="clear" w:color="auto" w:fill="auto"/>
            <w:vAlign w:val="center"/>
          </w:tcPr>
          <w:p w14:paraId="696E052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实践学时</w:t>
            </w:r>
          </w:p>
        </w:tc>
        <w:tc>
          <w:tcPr>
            <w:tcW w:w="305" w:type="dxa"/>
            <w:shd w:val="clear" w:color="auto" w:fill="auto"/>
            <w:vAlign w:val="center"/>
          </w:tcPr>
          <w:p w14:paraId="1273C30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一</w:t>
            </w:r>
          </w:p>
        </w:tc>
        <w:tc>
          <w:tcPr>
            <w:tcW w:w="276" w:type="dxa"/>
            <w:shd w:val="clear" w:color="auto" w:fill="auto"/>
            <w:vAlign w:val="center"/>
          </w:tcPr>
          <w:p w14:paraId="26FFFC3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二</w:t>
            </w:r>
          </w:p>
        </w:tc>
        <w:tc>
          <w:tcPr>
            <w:tcW w:w="240" w:type="dxa"/>
            <w:shd w:val="clear" w:color="auto" w:fill="auto"/>
            <w:vAlign w:val="center"/>
          </w:tcPr>
          <w:p w14:paraId="54905B3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三</w:t>
            </w:r>
          </w:p>
        </w:tc>
        <w:tc>
          <w:tcPr>
            <w:tcW w:w="240" w:type="dxa"/>
            <w:shd w:val="clear" w:color="auto" w:fill="auto"/>
            <w:vAlign w:val="center"/>
          </w:tcPr>
          <w:p w14:paraId="05471A9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四</w:t>
            </w:r>
          </w:p>
        </w:tc>
        <w:tc>
          <w:tcPr>
            <w:tcW w:w="409" w:type="dxa"/>
            <w:shd w:val="clear" w:color="auto" w:fill="auto"/>
            <w:vAlign w:val="center"/>
          </w:tcPr>
          <w:p w14:paraId="0439D23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五</w:t>
            </w:r>
          </w:p>
        </w:tc>
        <w:tc>
          <w:tcPr>
            <w:tcW w:w="430" w:type="dxa"/>
            <w:gridSpan w:val="2"/>
            <w:shd w:val="clear" w:color="auto" w:fill="auto"/>
            <w:vAlign w:val="center"/>
          </w:tcPr>
          <w:p w14:paraId="388718B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六</w:t>
            </w:r>
          </w:p>
        </w:tc>
        <w:tc>
          <w:tcPr>
            <w:tcW w:w="537" w:type="dxa"/>
            <w:shd w:val="clear" w:color="auto" w:fill="auto"/>
            <w:vAlign w:val="center"/>
          </w:tcPr>
          <w:p w14:paraId="79ED0621">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r>
      <w:tr w14:paraId="37B48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05" w:type="dxa"/>
            <w:gridSpan w:val="2"/>
            <w:vMerge w:val="restart"/>
            <w:shd w:val="clear" w:color="auto" w:fill="auto"/>
            <w:vAlign w:val="center"/>
          </w:tcPr>
          <w:p w14:paraId="17AC910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公共基础课</w:t>
            </w:r>
          </w:p>
        </w:tc>
        <w:tc>
          <w:tcPr>
            <w:tcW w:w="480" w:type="dxa"/>
            <w:vMerge w:val="restart"/>
            <w:shd w:val="clear" w:color="auto" w:fill="auto"/>
            <w:vAlign w:val="center"/>
          </w:tcPr>
          <w:p w14:paraId="03674B5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必修</w:t>
            </w:r>
          </w:p>
        </w:tc>
        <w:tc>
          <w:tcPr>
            <w:tcW w:w="650" w:type="dxa"/>
            <w:shd w:val="clear" w:color="auto" w:fill="auto"/>
            <w:vAlign w:val="center"/>
          </w:tcPr>
          <w:p w14:paraId="56B2BE9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w:t>
            </w:r>
          </w:p>
        </w:tc>
        <w:tc>
          <w:tcPr>
            <w:tcW w:w="1348" w:type="dxa"/>
            <w:shd w:val="clear" w:color="auto" w:fill="auto"/>
            <w:vAlign w:val="center"/>
          </w:tcPr>
          <w:p w14:paraId="5E137F18">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1B410101101</w:t>
            </w:r>
          </w:p>
        </w:tc>
        <w:tc>
          <w:tcPr>
            <w:tcW w:w="1549" w:type="dxa"/>
            <w:shd w:val="clear" w:color="auto" w:fill="auto"/>
            <w:vAlign w:val="center"/>
          </w:tcPr>
          <w:p w14:paraId="01EFB48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思想道德与法治</w:t>
            </w:r>
          </w:p>
        </w:tc>
        <w:tc>
          <w:tcPr>
            <w:tcW w:w="961" w:type="dxa"/>
            <w:shd w:val="clear" w:color="auto" w:fill="auto"/>
            <w:vAlign w:val="center"/>
          </w:tcPr>
          <w:p w14:paraId="1C0E30D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w:t>
            </w:r>
          </w:p>
        </w:tc>
        <w:tc>
          <w:tcPr>
            <w:tcW w:w="852" w:type="dxa"/>
            <w:shd w:val="clear" w:color="auto" w:fill="auto"/>
            <w:vAlign w:val="center"/>
          </w:tcPr>
          <w:p w14:paraId="34D9382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48</w:t>
            </w:r>
          </w:p>
        </w:tc>
        <w:tc>
          <w:tcPr>
            <w:tcW w:w="873" w:type="dxa"/>
            <w:shd w:val="clear" w:color="auto" w:fill="auto"/>
            <w:vAlign w:val="center"/>
          </w:tcPr>
          <w:p w14:paraId="09D1041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825" w:type="dxa"/>
            <w:shd w:val="clear" w:color="auto" w:fill="auto"/>
            <w:vAlign w:val="center"/>
          </w:tcPr>
          <w:p w14:paraId="08B06E9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12</w:t>
            </w:r>
          </w:p>
        </w:tc>
        <w:tc>
          <w:tcPr>
            <w:tcW w:w="305" w:type="dxa"/>
            <w:shd w:val="clear" w:color="auto" w:fill="auto"/>
            <w:vAlign w:val="center"/>
          </w:tcPr>
          <w:p w14:paraId="1A5430F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276" w:type="dxa"/>
            <w:shd w:val="clear" w:color="auto" w:fill="auto"/>
            <w:vAlign w:val="center"/>
          </w:tcPr>
          <w:p w14:paraId="0E36E68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40" w:type="dxa"/>
            <w:shd w:val="clear" w:color="auto" w:fill="auto"/>
            <w:vAlign w:val="center"/>
          </w:tcPr>
          <w:p w14:paraId="5810A58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40" w:type="dxa"/>
            <w:shd w:val="clear" w:color="auto" w:fill="auto"/>
            <w:vAlign w:val="center"/>
          </w:tcPr>
          <w:p w14:paraId="159759C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09" w:type="dxa"/>
            <w:shd w:val="clear" w:color="auto" w:fill="auto"/>
            <w:vAlign w:val="center"/>
          </w:tcPr>
          <w:p w14:paraId="5DC5C46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30" w:type="dxa"/>
            <w:gridSpan w:val="2"/>
            <w:shd w:val="clear" w:color="auto" w:fill="auto"/>
            <w:vAlign w:val="center"/>
          </w:tcPr>
          <w:p w14:paraId="3335CB1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7" w:type="dxa"/>
            <w:shd w:val="clear" w:color="auto" w:fill="auto"/>
            <w:vAlign w:val="center"/>
          </w:tcPr>
          <w:p w14:paraId="14638EB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r>
              <w:rPr>
                <w:rFonts w:hint="eastAsia" w:ascii="仿宋_GB2312" w:hAnsi="仿宋_GB2312" w:eastAsia="仿宋_GB2312" w:cs="仿宋_GB2312"/>
                <w:i w:val="0"/>
                <w:color w:val="000000"/>
                <w:spacing w:val="-20"/>
                <w:kern w:val="0"/>
                <w:sz w:val="20"/>
                <w:szCs w:val="20"/>
                <w:u w:val="none"/>
                <w:lang w:val="en-US" w:eastAsia="zh-CN" w:bidi="ar"/>
              </w:rPr>
              <w:t>考试</w:t>
            </w:r>
          </w:p>
        </w:tc>
      </w:tr>
      <w:tr w14:paraId="11ABE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01" w:hRule="exact"/>
          <w:jc w:val="center"/>
        </w:trPr>
        <w:tc>
          <w:tcPr>
            <w:tcW w:w="705" w:type="dxa"/>
            <w:gridSpan w:val="2"/>
            <w:vMerge w:val="continue"/>
            <w:shd w:val="clear" w:color="auto" w:fill="auto"/>
            <w:vAlign w:val="center"/>
          </w:tcPr>
          <w:p w14:paraId="293BCCCB">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54B15E8B">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50" w:type="dxa"/>
            <w:shd w:val="clear" w:color="auto" w:fill="auto"/>
            <w:vAlign w:val="center"/>
          </w:tcPr>
          <w:p w14:paraId="1DB4C92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1348" w:type="dxa"/>
            <w:shd w:val="clear" w:color="auto" w:fill="auto"/>
            <w:vAlign w:val="center"/>
          </w:tcPr>
          <w:p w14:paraId="5076CE98">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1A410101102</w:t>
            </w:r>
          </w:p>
        </w:tc>
        <w:tc>
          <w:tcPr>
            <w:tcW w:w="1549" w:type="dxa"/>
            <w:shd w:val="clear" w:color="auto" w:fill="auto"/>
            <w:vAlign w:val="center"/>
          </w:tcPr>
          <w:p w14:paraId="3D3199D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形势与政策</w:t>
            </w:r>
          </w:p>
        </w:tc>
        <w:tc>
          <w:tcPr>
            <w:tcW w:w="961" w:type="dxa"/>
            <w:shd w:val="clear" w:color="auto" w:fill="auto"/>
            <w:vAlign w:val="center"/>
          </w:tcPr>
          <w:p w14:paraId="347516D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w:t>
            </w:r>
          </w:p>
        </w:tc>
        <w:tc>
          <w:tcPr>
            <w:tcW w:w="852" w:type="dxa"/>
            <w:shd w:val="clear" w:color="auto" w:fill="auto"/>
            <w:vAlign w:val="center"/>
          </w:tcPr>
          <w:p w14:paraId="4018D25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873" w:type="dxa"/>
            <w:shd w:val="clear" w:color="auto" w:fill="auto"/>
            <w:vAlign w:val="center"/>
          </w:tcPr>
          <w:p w14:paraId="193D12C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825" w:type="dxa"/>
            <w:shd w:val="clear" w:color="auto" w:fill="auto"/>
            <w:vAlign w:val="center"/>
          </w:tcPr>
          <w:p w14:paraId="1578D95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1900" w:type="dxa"/>
            <w:gridSpan w:val="7"/>
            <w:shd w:val="clear" w:color="auto" w:fill="auto"/>
            <w:vAlign w:val="center"/>
          </w:tcPr>
          <w:p w14:paraId="7145F9A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1到4学期开课，每学期8学时。</w:t>
            </w:r>
          </w:p>
        </w:tc>
        <w:tc>
          <w:tcPr>
            <w:tcW w:w="537" w:type="dxa"/>
            <w:shd w:val="clear" w:color="auto" w:fill="auto"/>
            <w:vAlign w:val="center"/>
          </w:tcPr>
          <w:p w14:paraId="41959D5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r>
              <w:rPr>
                <w:rFonts w:hint="eastAsia" w:ascii="仿宋_GB2312" w:hAnsi="仿宋_GB2312" w:eastAsia="仿宋_GB2312" w:cs="仿宋_GB2312"/>
                <w:i w:val="0"/>
                <w:color w:val="000000"/>
                <w:spacing w:val="-20"/>
                <w:kern w:val="0"/>
                <w:sz w:val="20"/>
                <w:szCs w:val="20"/>
                <w:highlight w:val="none"/>
                <w:u w:val="none"/>
                <w:lang w:val="en-US" w:eastAsia="zh-CN" w:bidi="ar"/>
              </w:rPr>
              <w:t>考查</w:t>
            </w:r>
          </w:p>
        </w:tc>
      </w:tr>
      <w:tr w14:paraId="53839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exact"/>
          <w:jc w:val="center"/>
        </w:trPr>
        <w:tc>
          <w:tcPr>
            <w:tcW w:w="705" w:type="dxa"/>
            <w:gridSpan w:val="2"/>
            <w:vMerge w:val="continue"/>
            <w:shd w:val="clear" w:color="auto" w:fill="auto"/>
            <w:vAlign w:val="center"/>
          </w:tcPr>
          <w:p w14:paraId="289A1EEE">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2A195117">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50" w:type="dxa"/>
            <w:shd w:val="clear" w:color="auto" w:fill="auto"/>
            <w:vAlign w:val="center"/>
          </w:tcPr>
          <w:p w14:paraId="59C108D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w:t>
            </w:r>
          </w:p>
        </w:tc>
        <w:tc>
          <w:tcPr>
            <w:tcW w:w="1348" w:type="dxa"/>
            <w:shd w:val="clear" w:color="auto" w:fill="auto"/>
            <w:vAlign w:val="center"/>
          </w:tcPr>
          <w:p w14:paraId="5BAB8FE2">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1A410101103</w:t>
            </w:r>
          </w:p>
        </w:tc>
        <w:tc>
          <w:tcPr>
            <w:tcW w:w="1549" w:type="dxa"/>
            <w:shd w:val="clear" w:color="auto" w:fill="auto"/>
            <w:vAlign w:val="center"/>
          </w:tcPr>
          <w:p w14:paraId="3CDBBBC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国家安全教育</w:t>
            </w:r>
          </w:p>
        </w:tc>
        <w:tc>
          <w:tcPr>
            <w:tcW w:w="961" w:type="dxa"/>
            <w:shd w:val="clear" w:color="auto" w:fill="auto"/>
            <w:vAlign w:val="center"/>
          </w:tcPr>
          <w:p w14:paraId="6C158FF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w:t>
            </w:r>
          </w:p>
        </w:tc>
        <w:tc>
          <w:tcPr>
            <w:tcW w:w="852" w:type="dxa"/>
            <w:shd w:val="clear" w:color="auto" w:fill="auto"/>
            <w:vAlign w:val="center"/>
          </w:tcPr>
          <w:p w14:paraId="123BA06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873" w:type="dxa"/>
            <w:shd w:val="clear" w:color="auto" w:fill="auto"/>
            <w:vAlign w:val="center"/>
          </w:tcPr>
          <w:p w14:paraId="3495488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825" w:type="dxa"/>
            <w:shd w:val="clear" w:color="auto" w:fill="auto"/>
            <w:vAlign w:val="center"/>
          </w:tcPr>
          <w:p w14:paraId="013AF3C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305" w:type="dxa"/>
            <w:shd w:val="clear" w:color="auto" w:fill="auto"/>
            <w:vAlign w:val="center"/>
          </w:tcPr>
          <w:p w14:paraId="507874A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276" w:type="dxa"/>
            <w:shd w:val="clear" w:color="auto" w:fill="auto"/>
            <w:vAlign w:val="center"/>
          </w:tcPr>
          <w:p w14:paraId="77EBB86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40" w:type="dxa"/>
            <w:shd w:val="clear" w:color="auto" w:fill="auto"/>
            <w:vAlign w:val="center"/>
          </w:tcPr>
          <w:p w14:paraId="5357762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40" w:type="dxa"/>
            <w:shd w:val="clear" w:color="auto" w:fill="auto"/>
            <w:vAlign w:val="center"/>
          </w:tcPr>
          <w:p w14:paraId="0B17510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09" w:type="dxa"/>
            <w:shd w:val="clear" w:color="auto" w:fill="auto"/>
            <w:vAlign w:val="center"/>
          </w:tcPr>
          <w:p w14:paraId="52953EB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30" w:type="dxa"/>
            <w:gridSpan w:val="2"/>
            <w:shd w:val="clear" w:color="auto" w:fill="auto"/>
            <w:vAlign w:val="center"/>
          </w:tcPr>
          <w:p w14:paraId="6112346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7" w:type="dxa"/>
            <w:shd w:val="clear" w:color="auto" w:fill="auto"/>
            <w:vAlign w:val="center"/>
          </w:tcPr>
          <w:p w14:paraId="07844BB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r>
              <w:rPr>
                <w:rFonts w:hint="eastAsia" w:ascii="仿宋_GB2312" w:hAnsi="仿宋_GB2312" w:eastAsia="仿宋_GB2312" w:cs="仿宋_GB2312"/>
                <w:i w:val="0"/>
                <w:color w:val="000000"/>
                <w:spacing w:val="-20"/>
                <w:kern w:val="0"/>
                <w:sz w:val="20"/>
                <w:szCs w:val="20"/>
                <w:highlight w:val="none"/>
                <w:u w:val="none"/>
                <w:lang w:val="en-US" w:eastAsia="zh-CN" w:bidi="ar"/>
              </w:rPr>
              <w:t>考查</w:t>
            </w:r>
          </w:p>
        </w:tc>
      </w:tr>
      <w:tr w14:paraId="3B43C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exact"/>
          <w:jc w:val="center"/>
        </w:trPr>
        <w:tc>
          <w:tcPr>
            <w:tcW w:w="705" w:type="dxa"/>
            <w:gridSpan w:val="2"/>
            <w:vMerge w:val="continue"/>
            <w:shd w:val="clear" w:color="auto" w:fill="auto"/>
            <w:vAlign w:val="center"/>
          </w:tcPr>
          <w:p w14:paraId="1CAF21E6">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099B09CE">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50" w:type="dxa"/>
            <w:shd w:val="clear" w:color="auto" w:fill="auto"/>
            <w:vAlign w:val="center"/>
          </w:tcPr>
          <w:p w14:paraId="0506086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1348" w:type="dxa"/>
            <w:shd w:val="clear" w:color="auto" w:fill="auto"/>
            <w:vAlign w:val="center"/>
          </w:tcPr>
          <w:p w14:paraId="14B77C8C">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1A410101104</w:t>
            </w:r>
          </w:p>
        </w:tc>
        <w:tc>
          <w:tcPr>
            <w:tcW w:w="1549" w:type="dxa"/>
            <w:shd w:val="clear" w:color="auto" w:fill="auto"/>
            <w:vAlign w:val="center"/>
          </w:tcPr>
          <w:p w14:paraId="42AD6A0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军事理论</w:t>
            </w:r>
          </w:p>
        </w:tc>
        <w:tc>
          <w:tcPr>
            <w:tcW w:w="961" w:type="dxa"/>
            <w:shd w:val="clear" w:color="auto" w:fill="auto"/>
            <w:vAlign w:val="center"/>
          </w:tcPr>
          <w:p w14:paraId="1CBC927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52" w:type="dxa"/>
            <w:shd w:val="clear" w:color="auto" w:fill="auto"/>
            <w:vAlign w:val="center"/>
          </w:tcPr>
          <w:p w14:paraId="0CC7071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873" w:type="dxa"/>
            <w:shd w:val="clear" w:color="auto" w:fill="auto"/>
            <w:vAlign w:val="center"/>
          </w:tcPr>
          <w:p w14:paraId="5EEEA4A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36</w:t>
            </w:r>
          </w:p>
        </w:tc>
        <w:tc>
          <w:tcPr>
            <w:tcW w:w="825" w:type="dxa"/>
            <w:shd w:val="clear" w:color="auto" w:fill="auto"/>
            <w:vAlign w:val="center"/>
          </w:tcPr>
          <w:p w14:paraId="4B78103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305" w:type="dxa"/>
            <w:shd w:val="clear" w:color="auto" w:fill="auto"/>
            <w:vAlign w:val="center"/>
          </w:tcPr>
          <w:p w14:paraId="2FC88C7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276" w:type="dxa"/>
            <w:shd w:val="clear" w:color="auto" w:fill="auto"/>
            <w:vAlign w:val="center"/>
          </w:tcPr>
          <w:p w14:paraId="23DFCAB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40" w:type="dxa"/>
            <w:shd w:val="clear" w:color="auto" w:fill="auto"/>
            <w:vAlign w:val="center"/>
          </w:tcPr>
          <w:p w14:paraId="1542A06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40" w:type="dxa"/>
            <w:shd w:val="clear" w:color="auto" w:fill="auto"/>
            <w:vAlign w:val="center"/>
          </w:tcPr>
          <w:p w14:paraId="65CC3E6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09" w:type="dxa"/>
            <w:shd w:val="clear" w:color="auto" w:fill="auto"/>
            <w:vAlign w:val="center"/>
          </w:tcPr>
          <w:p w14:paraId="4A847BB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30" w:type="dxa"/>
            <w:gridSpan w:val="2"/>
            <w:shd w:val="clear" w:color="auto" w:fill="auto"/>
            <w:vAlign w:val="center"/>
          </w:tcPr>
          <w:p w14:paraId="32D9DC6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7" w:type="dxa"/>
            <w:shd w:val="clear" w:color="auto" w:fill="auto"/>
            <w:vAlign w:val="center"/>
          </w:tcPr>
          <w:p w14:paraId="0160AFE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r>
              <w:rPr>
                <w:rFonts w:hint="eastAsia" w:ascii="仿宋_GB2312" w:hAnsi="仿宋_GB2312" w:eastAsia="仿宋_GB2312" w:cs="仿宋_GB2312"/>
                <w:i w:val="0"/>
                <w:color w:val="000000"/>
                <w:spacing w:val="-20"/>
                <w:kern w:val="0"/>
                <w:sz w:val="20"/>
                <w:szCs w:val="20"/>
                <w:highlight w:val="none"/>
                <w:u w:val="none"/>
                <w:lang w:val="en-US" w:eastAsia="zh-CN" w:bidi="ar"/>
              </w:rPr>
              <w:t>考查</w:t>
            </w:r>
          </w:p>
        </w:tc>
      </w:tr>
      <w:tr w14:paraId="19D11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18" w:hRule="exact"/>
          <w:jc w:val="center"/>
        </w:trPr>
        <w:tc>
          <w:tcPr>
            <w:tcW w:w="705" w:type="dxa"/>
            <w:gridSpan w:val="2"/>
            <w:vMerge w:val="continue"/>
            <w:shd w:val="clear" w:color="auto" w:fill="auto"/>
            <w:vAlign w:val="center"/>
          </w:tcPr>
          <w:p w14:paraId="3C23DD9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1647F14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p>
        </w:tc>
        <w:tc>
          <w:tcPr>
            <w:tcW w:w="650" w:type="dxa"/>
            <w:shd w:val="clear" w:color="auto" w:fill="auto"/>
            <w:vAlign w:val="center"/>
          </w:tcPr>
          <w:p w14:paraId="56442FA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w:t>
            </w:r>
          </w:p>
        </w:tc>
        <w:tc>
          <w:tcPr>
            <w:tcW w:w="1348" w:type="dxa"/>
            <w:shd w:val="clear" w:color="auto" w:fill="auto"/>
            <w:vAlign w:val="center"/>
          </w:tcPr>
          <w:p w14:paraId="52126C4F">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1C410101105</w:t>
            </w:r>
          </w:p>
        </w:tc>
        <w:tc>
          <w:tcPr>
            <w:tcW w:w="1549" w:type="dxa"/>
            <w:shd w:val="clear" w:color="auto" w:fill="auto"/>
            <w:vAlign w:val="center"/>
          </w:tcPr>
          <w:p w14:paraId="27B13EC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军训</w:t>
            </w:r>
          </w:p>
        </w:tc>
        <w:tc>
          <w:tcPr>
            <w:tcW w:w="961" w:type="dxa"/>
            <w:shd w:val="clear" w:color="auto" w:fill="auto"/>
            <w:vAlign w:val="center"/>
          </w:tcPr>
          <w:p w14:paraId="7048480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52" w:type="dxa"/>
            <w:shd w:val="clear" w:color="auto" w:fill="auto"/>
            <w:vAlign w:val="center"/>
          </w:tcPr>
          <w:p w14:paraId="3A7A420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112</w:t>
            </w:r>
          </w:p>
        </w:tc>
        <w:tc>
          <w:tcPr>
            <w:tcW w:w="873" w:type="dxa"/>
            <w:shd w:val="clear" w:color="auto" w:fill="auto"/>
            <w:vAlign w:val="center"/>
          </w:tcPr>
          <w:p w14:paraId="25293A4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25" w:type="dxa"/>
            <w:shd w:val="clear" w:color="auto" w:fill="auto"/>
            <w:vAlign w:val="center"/>
          </w:tcPr>
          <w:p w14:paraId="587DD68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112</w:t>
            </w:r>
          </w:p>
        </w:tc>
        <w:tc>
          <w:tcPr>
            <w:tcW w:w="1900" w:type="dxa"/>
            <w:gridSpan w:val="7"/>
            <w:shd w:val="clear" w:color="auto" w:fill="auto"/>
            <w:vAlign w:val="center"/>
          </w:tcPr>
          <w:p w14:paraId="7D3F86B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color w:val="000000"/>
                <w:spacing w:val="-17"/>
                <w:kern w:val="0"/>
                <w:sz w:val="20"/>
                <w:szCs w:val="20"/>
                <w:lang w:val="en-US" w:eastAsia="zh-CN" w:bidi="ar"/>
              </w:rPr>
              <w:t>第1学期，实际训练时间不少于14天</w:t>
            </w:r>
          </w:p>
        </w:tc>
        <w:tc>
          <w:tcPr>
            <w:tcW w:w="537" w:type="dxa"/>
            <w:shd w:val="clear" w:color="auto" w:fill="auto"/>
            <w:vAlign w:val="center"/>
          </w:tcPr>
          <w:p w14:paraId="60326E2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r>
              <w:rPr>
                <w:rFonts w:hint="eastAsia" w:ascii="仿宋_GB2312" w:hAnsi="仿宋_GB2312" w:eastAsia="仿宋_GB2312" w:cs="仿宋_GB2312"/>
                <w:i w:val="0"/>
                <w:color w:val="000000"/>
                <w:spacing w:val="-20"/>
                <w:kern w:val="0"/>
                <w:sz w:val="20"/>
                <w:szCs w:val="20"/>
                <w:highlight w:val="none"/>
                <w:u w:val="none"/>
                <w:lang w:val="en-US" w:eastAsia="zh-CN" w:bidi="ar"/>
              </w:rPr>
              <w:t>考查</w:t>
            </w:r>
          </w:p>
        </w:tc>
      </w:tr>
      <w:tr w14:paraId="4B943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exact"/>
          <w:jc w:val="center"/>
        </w:trPr>
        <w:tc>
          <w:tcPr>
            <w:tcW w:w="705" w:type="dxa"/>
            <w:gridSpan w:val="2"/>
            <w:vMerge w:val="continue"/>
            <w:shd w:val="clear" w:color="auto" w:fill="auto"/>
            <w:vAlign w:val="center"/>
          </w:tcPr>
          <w:p w14:paraId="00E7B0A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762FE7D4">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50" w:type="dxa"/>
            <w:shd w:val="clear" w:color="auto" w:fill="auto"/>
            <w:vAlign w:val="center"/>
          </w:tcPr>
          <w:p w14:paraId="7C66E1C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w:t>
            </w:r>
          </w:p>
        </w:tc>
        <w:tc>
          <w:tcPr>
            <w:tcW w:w="1348" w:type="dxa"/>
            <w:shd w:val="clear" w:color="auto" w:fill="auto"/>
            <w:vAlign w:val="center"/>
          </w:tcPr>
          <w:p w14:paraId="05C0CC8E">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1B410101106</w:t>
            </w:r>
          </w:p>
        </w:tc>
        <w:tc>
          <w:tcPr>
            <w:tcW w:w="1549" w:type="dxa"/>
            <w:shd w:val="clear" w:color="auto" w:fill="auto"/>
            <w:vAlign w:val="center"/>
          </w:tcPr>
          <w:p w14:paraId="2F779F5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计算机基础</w:t>
            </w:r>
          </w:p>
        </w:tc>
        <w:tc>
          <w:tcPr>
            <w:tcW w:w="961" w:type="dxa"/>
            <w:shd w:val="clear" w:color="auto" w:fill="auto"/>
            <w:vAlign w:val="center"/>
          </w:tcPr>
          <w:p w14:paraId="3909B61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852" w:type="dxa"/>
            <w:shd w:val="clear" w:color="auto" w:fill="auto"/>
            <w:vAlign w:val="center"/>
          </w:tcPr>
          <w:p w14:paraId="039A4F2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64</w:t>
            </w:r>
          </w:p>
        </w:tc>
        <w:tc>
          <w:tcPr>
            <w:tcW w:w="873" w:type="dxa"/>
            <w:shd w:val="clear" w:color="auto" w:fill="auto"/>
            <w:vAlign w:val="center"/>
          </w:tcPr>
          <w:p w14:paraId="47ABCD8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825" w:type="dxa"/>
            <w:shd w:val="clear" w:color="auto" w:fill="auto"/>
            <w:vAlign w:val="center"/>
          </w:tcPr>
          <w:p w14:paraId="32128E8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bookmarkStart w:id="11" w:name="_GoBack"/>
            <w:bookmarkEnd w:id="11"/>
          </w:p>
        </w:tc>
        <w:tc>
          <w:tcPr>
            <w:tcW w:w="305" w:type="dxa"/>
            <w:shd w:val="clear" w:color="auto" w:fill="auto"/>
            <w:vAlign w:val="center"/>
          </w:tcPr>
          <w:p w14:paraId="79B1B39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276" w:type="dxa"/>
            <w:shd w:val="clear" w:color="auto" w:fill="auto"/>
            <w:vAlign w:val="center"/>
          </w:tcPr>
          <w:p w14:paraId="73E3DE2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40" w:type="dxa"/>
            <w:shd w:val="clear" w:color="auto" w:fill="auto"/>
            <w:vAlign w:val="center"/>
          </w:tcPr>
          <w:p w14:paraId="18B0B3D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40" w:type="dxa"/>
            <w:shd w:val="clear" w:color="auto" w:fill="auto"/>
            <w:vAlign w:val="center"/>
          </w:tcPr>
          <w:p w14:paraId="247CA93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09" w:type="dxa"/>
            <w:shd w:val="clear" w:color="auto" w:fill="auto"/>
            <w:vAlign w:val="center"/>
          </w:tcPr>
          <w:p w14:paraId="0EB3886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30" w:type="dxa"/>
            <w:gridSpan w:val="2"/>
            <w:shd w:val="clear" w:color="auto" w:fill="auto"/>
            <w:vAlign w:val="center"/>
          </w:tcPr>
          <w:p w14:paraId="392C358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7" w:type="dxa"/>
            <w:shd w:val="clear" w:color="auto" w:fill="auto"/>
            <w:vAlign w:val="center"/>
          </w:tcPr>
          <w:p w14:paraId="18D3ABE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r>
              <w:rPr>
                <w:rFonts w:hint="eastAsia" w:ascii="仿宋_GB2312" w:hAnsi="仿宋_GB2312" w:eastAsia="仿宋_GB2312" w:cs="仿宋_GB2312"/>
                <w:i w:val="0"/>
                <w:color w:val="000000"/>
                <w:spacing w:val="-20"/>
                <w:kern w:val="0"/>
                <w:sz w:val="20"/>
                <w:szCs w:val="20"/>
                <w:highlight w:val="none"/>
                <w:u w:val="none"/>
                <w:lang w:val="en-US" w:eastAsia="zh-CN" w:bidi="ar"/>
              </w:rPr>
              <w:t>考查</w:t>
            </w:r>
          </w:p>
        </w:tc>
      </w:tr>
      <w:tr w14:paraId="48578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05" w:type="dxa"/>
            <w:gridSpan w:val="2"/>
            <w:vMerge w:val="continue"/>
            <w:shd w:val="clear" w:color="auto" w:fill="auto"/>
            <w:vAlign w:val="center"/>
          </w:tcPr>
          <w:p w14:paraId="00BF8827">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19B831E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50" w:type="dxa"/>
            <w:shd w:val="clear" w:color="auto" w:fill="auto"/>
            <w:vAlign w:val="center"/>
          </w:tcPr>
          <w:p w14:paraId="4EAE828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w:t>
            </w:r>
          </w:p>
        </w:tc>
        <w:tc>
          <w:tcPr>
            <w:tcW w:w="1348" w:type="dxa"/>
            <w:shd w:val="clear" w:color="auto" w:fill="auto"/>
            <w:vAlign w:val="center"/>
          </w:tcPr>
          <w:p w14:paraId="4F50D662">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1B410101107</w:t>
            </w:r>
          </w:p>
        </w:tc>
        <w:tc>
          <w:tcPr>
            <w:tcW w:w="1549" w:type="dxa"/>
            <w:shd w:val="clear" w:color="auto" w:fill="auto"/>
            <w:vAlign w:val="center"/>
          </w:tcPr>
          <w:p w14:paraId="2545F4A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高等数学</w:t>
            </w:r>
          </w:p>
        </w:tc>
        <w:tc>
          <w:tcPr>
            <w:tcW w:w="961" w:type="dxa"/>
            <w:shd w:val="clear" w:color="auto" w:fill="auto"/>
            <w:vAlign w:val="center"/>
          </w:tcPr>
          <w:p w14:paraId="3A67076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852" w:type="dxa"/>
            <w:shd w:val="clear" w:color="auto" w:fill="auto"/>
            <w:vAlign w:val="center"/>
          </w:tcPr>
          <w:p w14:paraId="66973F0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64</w:t>
            </w:r>
          </w:p>
        </w:tc>
        <w:tc>
          <w:tcPr>
            <w:tcW w:w="873" w:type="dxa"/>
            <w:shd w:val="clear" w:color="auto" w:fill="auto"/>
            <w:vAlign w:val="center"/>
          </w:tcPr>
          <w:p w14:paraId="4195C75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64</w:t>
            </w:r>
          </w:p>
        </w:tc>
        <w:tc>
          <w:tcPr>
            <w:tcW w:w="825" w:type="dxa"/>
            <w:shd w:val="clear" w:color="auto" w:fill="auto"/>
            <w:vAlign w:val="center"/>
          </w:tcPr>
          <w:p w14:paraId="6C7891E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305" w:type="dxa"/>
            <w:shd w:val="clear" w:color="auto" w:fill="auto"/>
            <w:noWrap/>
            <w:vAlign w:val="center"/>
          </w:tcPr>
          <w:p w14:paraId="1D131A6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276" w:type="dxa"/>
            <w:shd w:val="clear" w:color="auto" w:fill="auto"/>
            <w:noWrap/>
            <w:vAlign w:val="center"/>
          </w:tcPr>
          <w:p w14:paraId="230A47F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240" w:type="dxa"/>
            <w:shd w:val="clear" w:color="auto" w:fill="auto"/>
            <w:noWrap/>
            <w:vAlign w:val="center"/>
          </w:tcPr>
          <w:p w14:paraId="0CC0B9F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40" w:type="dxa"/>
            <w:shd w:val="clear" w:color="auto" w:fill="auto"/>
            <w:noWrap/>
            <w:vAlign w:val="center"/>
          </w:tcPr>
          <w:p w14:paraId="52E73AE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09" w:type="dxa"/>
            <w:shd w:val="clear" w:color="auto" w:fill="auto"/>
            <w:noWrap/>
            <w:vAlign w:val="center"/>
          </w:tcPr>
          <w:p w14:paraId="4B6EE93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30" w:type="dxa"/>
            <w:gridSpan w:val="2"/>
            <w:shd w:val="clear" w:color="auto" w:fill="auto"/>
            <w:noWrap/>
            <w:vAlign w:val="center"/>
          </w:tcPr>
          <w:p w14:paraId="2C306B8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7" w:type="dxa"/>
            <w:shd w:val="clear" w:color="auto" w:fill="auto"/>
            <w:vAlign w:val="center"/>
          </w:tcPr>
          <w:p w14:paraId="0704179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r>
              <w:rPr>
                <w:rFonts w:hint="eastAsia" w:ascii="仿宋_GB2312" w:hAnsi="仿宋_GB2312" w:eastAsia="仿宋_GB2312" w:cs="仿宋_GB2312"/>
                <w:i w:val="0"/>
                <w:color w:val="000000"/>
                <w:spacing w:val="-20"/>
                <w:kern w:val="0"/>
                <w:sz w:val="20"/>
                <w:szCs w:val="20"/>
                <w:u w:val="none"/>
                <w:lang w:val="en-US" w:eastAsia="zh-CN" w:bidi="ar"/>
              </w:rPr>
              <w:t>考试</w:t>
            </w:r>
          </w:p>
        </w:tc>
      </w:tr>
      <w:tr w14:paraId="03EC9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exact"/>
          <w:jc w:val="center"/>
        </w:trPr>
        <w:tc>
          <w:tcPr>
            <w:tcW w:w="705" w:type="dxa"/>
            <w:gridSpan w:val="2"/>
            <w:vMerge w:val="continue"/>
            <w:shd w:val="clear" w:color="auto" w:fill="auto"/>
            <w:vAlign w:val="center"/>
          </w:tcPr>
          <w:p w14:paraId="527592D7">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043AB0CF">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50" w:type="dxa"/>
            <w:shd w:val="clear" w:color="auto" w:fill="auto"/>
            <w:vAlign w:val="center"/>
          </w:tcPr>
          <w:p w14:paraId="5FFF632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w:t>
            </w:r>
          </w:p>
        </w:tc>
        <w:tc>
          <w:tcPr>
            <w:tcW w:w="1348" w:type="dxa"/>
            <w:shd w:val="clear" w:color="auto" w:fill="auto"/>
            <w:vAlign w:val="center"/>
          </w:tcPr>
          <w:p w14:paraId="4A7086E7">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1B410101108</w:t>
            </w:r>
          </w:p>
        </w:tc>
        <w:tc>
          <w:tcPr>
            <w:tcW w:w="1549" w:type="dxa"/>
            <w:shd w:val="clear" w:color="auto" w:fill="auto"/>
            <w:vAlign w:val="center"/>
          </w:tcPr>
          <w:p w14:paraId="7EDACAE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大学英语</w:t>
            </w:r>
          </w:p>
        </w:tc>
        <w:tc>
          <w:tcPr>
            <w:tcW w:w="961" w:type="dxa"/>
            <w:shd w:val="clear" w:color="auto" w:fill="auto"/>
            <w:vAlign w:val="center"/>
          </w:tcPr>
          <w:p w14:paraId="33812D1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w:t>
            </w:r>
          </w:p>
        </w:tc>
        <w:tc>
          <w:tcPr>
            <w:tcW w:w="852" w:type="dxa"/>
            <w:shd w:val="clear" w:color="auto" w:fill="auto"/>
            <w:vAlign w:val="center"/>
          </w:tcPr>
          <w:p w14:paraId="071B044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128</w:t>
            </w:r>
          </w:p>
        </w:tc>
        <w:tc>
          <w:tcPr>
            <w:tcW w:w="873" w:type="dxa"/>
            <w:shd w:val="clear" w:color="auto" w:fill="auto"/>
            <w:vAlign w:val="center"/>
          </w:tcPr>
          <w:p w14:paraId="3412089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104</w:t>
            </w:r>
          </w:p>
        </w:tc>
        <w:tc>
          <w:tcPr>
            <w:tcW w:w="825" w:type="dxa"/>
            <w:shd w:val="clear" w:color="auto" w:fill="auto"/>
            <w:vAlign w:val="center"/>
          </w:tcPr>
          <w:p w14:paraId="20BC4DD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24</w:t>
            </w:r>
          </w:p>
        </w:tc>
        <w:tc>
          <w:tcPr>
            <w:tcW w:w="305" w:type="dxa"/>
            <w:shd w:val="clear" w:color="auto" w:fill="auto"/>
            <w:vAlign w:val="center"/>
          </w:tcPr>
          <w:p w14:paraId="0604DC5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276" w:type="dxa"/>
            <w:shd w:val="clear" w:color="auto" w:fill="auto"/>
            <w:vAlign w:val="center"/>
          </w:tcPr>
          <w:p w14:paraId="3B73C5A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240" w:type="dxa"/>
            <w:shd w:val="clear" w:color="auto" w:fill="auto"/>
            <w:vAlign w:val="center"/>
          </w:tcPr>
          <w:p w14:paraId="2B950FD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40" w:type="dxa"/>
            <w:shd w:val="clear" w:color="auto" w:fill="auto"/>
            <w:vAlign w:val="center"/>
          </w:tcPr>
          <w:p w14:paraId="4FD554E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09" w:type="dxa"/>
            <w:shd w:val="clear" w:color="auto" w:fill="auto"/>
            <w:vAlign w:val="center"/>
          </w:tcPr>
          <w:p w14:paraId="258D4AC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30" w:type="dxa"/>
            <w:gridSpan w:val="2"/>
            <w:shd w:val="clear" w:color="auto" w:fill="auto"/>
            <w:vAlign w:val="center"/>
          </w:tcPr>
          <w:p w14:paraId="15221D7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7" w:type="dxa"/>
            <w:shd w:val="clear" w:color="auto" w:fill="auto"/>
            <w:vAlign w:val="center"/>
          </w:tcPr>
          <w:p w14:paraId="755C3AA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r>
              <w:rPr>
                <w:rFonts w:hint="eastAsia" w:ascii="仿宋_GB2312" w:hAnsi="仿宋_GB2312" w:eastAsia="仿宋_GB2312" w:cs="仿宋_GB2312"/>
                <w:i w:val="0"/>
                <w:color w:val="000000"/>
                <w:spacing w:val="-20"/>
                <w:kern w:val="0"/>
                <w:sz w:val="20"/>
                <w:szCs w:val="20"/>
                <w:u w:val="none"/>
                <w:lang w:val="en-US" w:eastAsia="zh-CN" w:bidi="ar"/>
              </w:rPr>
              <w:t>考试</w:t>
            </w:r>
          </w:p>
        </w:tc>
      </w:tr>
      <w:tr w14:paraId="0E582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exact"/>
          <w:jc w:val="center"/>
        </w:trPr>
        <w:tc>
          <w:tcPr>
            <w:tcW w:w="705" w:type="dxa"/>
            <w:gridSpan w:val="2"/>
            <w:vMerge w:val="continue"/>
            <w:shd w:val="clear" w:color="auto" w:fill="auto"/>
            <w:vAlign w:val="center"/>
          </w:tcPr>
          <w:p w14:paraId="66BD6FDB">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106C057C">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50" w:type="dxa"/>
            <w:shd w:val="clear" w:color="auto" w:fill="auto"/>
            <w:vAlign w:val="center"/>
          </w:tcPr>
          <w:p w14:paraId="3F20F08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9</w:t>
            </w:r>
          </w:p>
        </w:tc>
        <w:tc>
          <w:tcPr>
            <w:tcW w:w="1348" w:type="dxa"/>
            <w:shd w:val="clear" w:color="auto" w:fill="auto"/>
            <w:vAlign w:val="center"/>
          </w:tcPr>
          <w:p w14:paraId="7AB2C759">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1C410101109</w:t>
            </w:r>
          </w:p>
        </w:tc>
        <w:tc>
          <w:tcPr>
            <w:tcW w:w="1549" w:type="dxa"/>
            <w:shd w:val="clear" w:color="auto" w:fill="auto"/>
            <w:vAlign w:val="center"/>
          </w:tcPr>
          <w:p w14:paraId="673086A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大学体育</w:t>
            </w:r>
          </w:p>
        </w:tc>
        <w:tc>
          <w:tcPr>
            <w:tcW w:w="961" w:type="dxa"/>
            <w:shd w:val="clear" w:color="auto" w:fill="auto"/>
            <w:vAlign w:val="center"/>
          </w:tcPr>
          <w:p w14:paraId="17C75C9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w:t>
            </w:r>
          </w:p>
        </w:tc>
        <w:tc>
          <w:tcPr>
            <w:tcW w:w="852" w:type="dxa"/>
            <w:shd w:val="clear" w:color="auto" w:fill="auto"/>
            <w:vAlign w:val="center"/>
          </w:tcPr>
          <w:p w14:paraId="1E9BF20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108</w:t>
            </w:r>
          </w:p>
        </w:tc>
        <w:tc>
          <w:tcPr>
            <w:tcW w:w="873" w:type="dxa"/>
            <w:shd w:val="clear" w:color="auto" w:fill="auto"/>
            <w:vAlign w:val="center"/>
          </w:tcPr>
          <w:p w14:paraId="3C58015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825" w:type="dxa"/>
            <w:shd w:val="clear" w:color="auto" w:fill="auto"/>
            <w:vAlign w:val="center"/>
          </w:tcPr>
          <w:p w14:paraId="3129E5A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108</w:t>
            </w:r>
          </w:p>
        </w:tc>
        <w:tc>
          <w:tcPr>
            <w:tcW w:w="305" w:type="dxa"/>
            <w:shd w:val="clear" w:color="auto" w:fill="auto"/>
            <w:vAlign w:val="center"/>
          </w:tcPr>
          <w:p w14:paraId="79E4917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276" w:type="dxa"/>
            <w:shd w:val="clear" w:color="auto" w:fill="auto"/>
            <w:vAlign w:val="center"/>
          </w:tcPr>
          <w:p w14:paraId="1E0075F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240" w:type="dxa"/>
            <w:shd w:val="clear" w:color="auto" w:fill="auto"/>
            <w:vAlign w:val="center"/>
          </w:tcPr>
          <w:p w14:paraId="33D4388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240" w:type="dxa"/>
            <w:shd w:val="clear" w:color="auto" w:fill="auto"/>
            <w:noWrap/>
            <w:vAlign w:val="center"/>
          </w:tcPr>
          <w:p w14:paraId="2B55E87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09" w:type="dxa"/>
            <w:shd w:val="clear" w:color="auto" w:fill="auto"/>
            <w:vAlign w:val="center"/>
          </w:tcPr>
          <w:p w14:paraId="656BECE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30" w:type="dxa"/>
            <w:gridSpan w:val="2"/>
            <w:shd w:val="clear" w:color="auto" w:fill="auto"/>
            <w:vAlign w:val="center"/>
          </w:tcPr>
          <w:p w14:paraId="794620E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7" w:type="dxa"/>
            <w:shd w:val="clear" w:color="auto" w:fill="auto"/>
            <w:vAlign w:val="center"/>
          </w:tcPr>
          <w:p w14:paraId="70F0A26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r>
              <w:rPr>
                <w:rFonts w:hint="eastAsia" w:ascii="仿宋_GB2312" w:hAnsi="仿宋_GB2312" w:eastAsia="仿宋_GB2312" w:cs="仿宋_GB2312"/>
                <w:i w:val="0"/>
                <w:color w:val="000000"/>
                <w:spacing w:val="-20"/>
                <w:kern w:val="0"/>
                <w:sz w:val="20"/>
                <w:szCs w:val="20"/>
                <w:highlight w:val="none"/>
                <w:u w:val="none"/>
                <w:lang w:val="en-US" w:eastAsia="zh-CN" w:bidi="ar"/>
              </w:rPr>
              <w:t>考查</w:t>
            </w:r>
          </w:p>
        </w:tc>
      </w:tr>
      <w:tr w14:paraId="5E7E5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14:paraId="3C3830F5">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7363BC71">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50" w:type="dxa"/>
            <w:shd w:val="clear" w:color="auto" w:fill="auto"/>
            <w:vAlign w:val="center"/>
          </w:tcPr>
          <w:p w14:paraId="4D4509D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10</w:t>
            </w:r>
          </w:p>
        </w:tc>
        <w:tc>
          <w:tcPr>
            <w:tcW w:w="1348" w:type="dxa"/>
            <w:shd w:val="clear" w:color="auto" w:fill="auto"/>
            <w:vAlign w:val="center"/>
          </w:tcPr>
          <w:p w14:paraId="654DA532">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1B410101110</w:t>
            </w:r>
          </w:p>
        </w:tc>
        <w:tc>
          <w:tcPr>
            <w:tcW w:w="1549" w:type="dxa"/>
            <w:shd w:val="clear" w:color="auto" w:fill="auto"/>
            <w:vAlign w:val="center"/>
          </w:tcPr>
          <w:p w14:paraId="59C8252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大学生职业发展与就业指导</w:t>
            </w:r>
          </w:p>
        </w:tc>
        <w:tc>
          <w:tcPr>
            <w:tcW w:w="961" w:type="dxa"/>
            <w:shd w:val="clear" w:color="auto" w:fill="auto"/>
            <w:vAlign w:val="center"/>
          </w:tcPr>
          <w:p w14:paraId="3B54474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52" w:type="dxa"/>
            <w:shd w:val="clear" w:color="auto" w:fill="auto"/>
            <w:vAlign w:val="center"/>
          </w:tcPr>
          <w:p w14:paraId="5B52D45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38</w:t>
            </w:r>
          </w:p>
        </w:tc>
        <w:tc>
          <w:tcPr>
            <w:tcW w:w="873" w:type="dxa"/>
            <w:shd w:val="clear" w:color="auto" w:fill="auto"/>
            <w:vAlign w:val="center"/>
          </w:tcPr>
          <w:p w14:paraId="66DD064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26</w:t>
            </w:r>
          </w:p>
        </w:tc>
        <w:tc>
          <w:tcPr>
            <w:tcW w:w="825" w:type="dxa"/>
            <w:shd w:val="clear" w:color="auto" w:fill="auto"/>
            <w:vAlign w:val="center"/>
          </w:tcPr>
          <w:p w14:paraId="08F9E51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12</w:t>
            </w:r>
          </w:p>
        </w:tc>
        <w:tc>
          <w:tcPr>
            <w:tcW w:w="305" w:type="dxa"/>
            <w:shd w:val="clear" w:color="auto" w:fill="auto"/>
            <w:vAlign w:val="center"/>
          </w:tcPr>
          <w:p w14:paraId="7AADCB1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276" w:type="dxa"/>
            <w:shd w:val="clear" w:color="auto" w:fill="auto"/>
            <w:vAlign w:val="center"/>
          </w:tcPr>
          <w:p w14:paraId="7C34ECC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40" w:type="dxa"/>
            <w:shd w:val="clear" w:color="auto" w:fill="auto"/>
            <w:vAlign w:val="center"/>
          </w:tcPr>
          <w:p w14:paraId="6DCE207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240" w:type="dxa"/>
            <w:shd w:val="clear" w:color="auto" w:fill="auto"/>
            <w:vAlign w:val="center"/>
          </w:tcPr>
          <w:p w14:paraId="7955F30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09" w:type="dxa"/>
            <w:shd w:val="clear" w:color="auto" w:fill="auto"/>
            <w:vAlign w:val="center"/>
          </w:tcPr>
          <w:p w14:paraId="71C3056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30" w:type="dxa"/>
            <w:gridSpan w:val="2"/>
            <w:shd w:val="clear" w:color="auto" w:fill="auto"/>
            <w:vAlign w:val="center"/>
          </w:tcPr>
          <w:p w14:paraId="594B411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7" w:type="dxa"/>
            <w:shd w:val="clear" w:color="auto" w:fill="auto"/>
            <w:vAlign w:val="center"/>
          </w:tcPr>
          <w:p w14:paraId="54FC5C5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r>
              <w:rPr>
                <w:rFonts w:hint="eastAsia" w:ascii="仿宋_GB2312" w:hAnsi="仿宋_GB2312" w:eastAsia="仿宋_GB2312" w:cs="仿宋_GB2312"/>
                <w:i w:val="0"/>
                <w:color w:val="000000"/>
                <w:spacing w:val="-20"/>
                <w:kern w:val="0"/>
                <w:sz w:val="20"/>
                <w:szCs w:val="20"/>
                <w:highlight w:val="none"/>
                <w:u w:val="none"/>
                <w:lang w:val="en-US" w:eastAsia="zh-CN" w:bidi="ar"/>
              </w:rPr>
              <w:t>考查</w:t>
            </w:r>
          </w:p>
        </w:tc>
      </w:tr>
      <w:tr w14:paraId="67CE5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14:paraId="18BC410F">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1795F05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50" w:type="dxa"/>
            <w:shd w:val="clear" w:color="auto" w:fill="auto"/>
            <w:vAlign w:val="center"/>
          </w:tcPr>
          <w:p w14:paraId="0F0292F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11</w:t>
            </w:r>
          </w:p>
        </w:tc>
        <w:tc>
          <w:tcPr>
            <w:tcW w:w="1348" w:type="dxa"/>
            <w:shd w:val="clear" w:color="auto" w:fill="auto"/>
            <w:vAlign w:val="center"/>
          </w:tcPr>
          <w:p w14:paraId="44496E77">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1B410101111</w:t>
            </w:r>
          </w:p>
        </w:tc>
        <w:tc>
          <w:tcPr>
            <w:tcW w:w="1549" w:type="dxa"/>
            <w:shd w:val="clear" w:color="auto" w:fill="auto"/>
            <w:vAlign w:val="center"/>
          </w:tcPr>
          <w:p w14:paraId="25DB3C0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大学生心理健康教育</w:t>
            </w:r>
          </w:p>
        </w:tc>
        <w:tc>
          <w:tcPr>
            <w:tcW w:w="961" w:type="dxa"/>
            <w:shd w:val="clear" w:color="auto" w:fill="auto"/>
            <w:vAlign w:val="center"/>
          </w:tcPr>
          <w:p w14:paraId="2B78D47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52" w:type="dxa"/>
            <w:shd w:val="clear" w:color="auto" w:fill="auto"/>
            <w:vAlign w:val="center"/>
          </w:tcPr>
          <w:p w14:paraId="4F16F9C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873" w:type="dxa"/>
            <w:shd w:val="clear" w:color="auto" w:fill="auto"/>
            <w:vAlign w:val="center"/>
          </w:tcPr>
          <w:p w14:paraId="08FFDC8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20</w:t>
            </w:r>
          </w:p>
        </w:tc>
        <w:tc>
          <w:tcPr>
            <w:tcW w:w="825" w:type="dxa"/>
            <w:shd w:val="clear" w:color="auto" w:fill="auto"/>
            <w:vAlign w:val="center"/>
          </w:tcPr>
          <w:p w14:paraId="6A42A8E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12</w:t>
            </w:r>
          </w:p>
        </w:tc>
        <w:tc>
          <w:tcPr>
            <w:tcW w:w="305" w:type="dxa"/>
            <w:shd w:val="clear" w:color="auto" w:fill="auto"/>
            <w:vAlign w:val="center"/>
          </w:tcPr>
          <w:p w14:paraId="4469A1F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76" w:type="dxa"/>
            <w:shd w:val="clear" w:color="auto" w:fill="auto"/>
            <w:vAlign w:val="center"/>
          </w:tcPr>
          <w:p w14:paraId="2413540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240" w:type="dxa"/>
            <w:shd w:val="clear" w:color="auto" w:fill="auto"/>
            <w:vAlign w:val="center"/>
          </w:tcPr>
          <w:p w14:paraId="4599C9E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40" w:type="dxa"/>
            <w:shd w:val="clear" w:color="auto" w:fill="auto"/>
            <w:vAlign w:val="center"/>
          </w:tcPr>
          <w:p w14:paraId="6635FE9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09" w:type="dxa"/>
            <w:shd w:val="clear" w:color="auto" w:fill="auto"/>
            <w:vAlign w:val="center"/>
          </w:tcPr>
          <w:p w14:paraId="5A91358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30" w:type="dxa"/>
            <w:gridSpan w:val="2"/>
            <w:shd w:val="clear" w:color="auto" w:fill="auto"/>
            <w:vAlign w:val="center"/>
          </w:tcPr>
          <w:p w14:paraId="5137FCD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7" w:type="dxa"/>
            <w:shd w:val="clear" w:color="auto" w:fill="auto"/>
            <w:vAlign w:val="center"/>
          </w:tcPr>
          <w:p w14:paraId="48F1202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r>
              <w:rPr>
                <w:rFonts w:hint="eastAsia" w:ascii="仿宋_GB2312" w:hAnsi="仿宋_GB2312" w:eastAsia="仿宋_GB2312" w:cs="仿宋_GB2312"/>
                <w:i w:val="0"/>
                <w:color w:val="000000"/>
                <w:spacing w:val="-20"/>
                <w:kern w:val="0"/>
                <w:sz w:val="20"/>
                <w:szCs w:val="20"/>
                <w:highlight w:val="none"/>
                <w:u w:val="none"/>
                <w:lang w:val="en-US" w:eastAsia="zh-CN" w:bidi="ar"/>
              </w:rPr>
              <w:t>考查</w:t>
            </w:r>
          </w:p>
        </w:tc>
      </w:tr>
      <w:tr w14:paraId="32294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05" w:type="dxa"/>
            <w:gridSpan w:val="2"/>
            <w:vMerge w:val="continue"/>
            <w:shd w:val="clear" w:color="auto" w:fill="auto"/>
            <w:vAlign w:val="center"/>
          </w:tcPr>
          <w:p w14:paraId="4B3E304C">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57330D16">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50" w:type="dxa"/>
            <w:shd w:val="clear" w:color="auto" w:fill="auto"/>
            <w:vAlign w:val="center"/>
          </w:tcPr>
          <w:p w14:paraId="6CF965C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12</w:t>
            </w:r>
          </w:p>
        </w:tc>
        <w:tc>
          <w:tcPr>
            <w:tcW w:w="1348" w:type="dxa"/>
            <w:shd w:val="clear" w:color="auto" w:fill="auto"/>
            <w:vAlign w:val="center"/>
          </w:tcPr>
          <w:p w14:paraId="2368E875">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1C410101112</w:t>
            </w:r>
          </w:p>
        </w:tc>
        <w:tc>
          <w:tcPr>
            <w:tcW w:w="1549" w:type="dxa"/>
            <w:shd w:val="clear" w:color="auto" w:fill="auto"/>
            <w:vAlign w:val="center"/>
          </w:tcPr>
          <w:p w14:paraId="555CB70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劳动教育</w:t>
            </w:r>
          </w:p>
        </w:tc>
        <w:tc>
          <w:tcPr>
            <w:tcW w:w="961" w:type="dxa"/>
            <w:shd w:val="clear" w:color="auto" w:fill="auto"/>
            <w:vAlign w:val="center"/>
          </w:tcPr>
          <w:p w14:paraId="285FE7C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w:t>
            </w:r>
          </w:p>
        </w:tc>
        <w:tc>
          <w:tcPr>
            <w:tcW w:w="852" w:type="dxa"/>
            <w:shd w:val="clear" w:color="auto" w:fill="auto"/>
            <w:vAlign w:val="center"/>
          </w:tcPr>
          <w:p w14:paraId="61B9289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873" w:type="dxa"/>
            <w:shd w:val="clear" w:color="auto" w:fill="auto"/>
            <w:vAlign w:val="center"/>
          </w:tcPr>
          <w:p w14:paraId="0550076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825" w:type="dxa"/>
            <w:shd w:val="clear" w:color="auto" w:fill="auto"/>
            <w:vAlign w:val="center"/>
          </w:tcPr>
          <w:p w14:paraId="7DC01AB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305" w:type="dxa"/>
            <w:shd w:val="clear" w:color="auto" w:fill="auto"/>
            <w:vAlign w:val="center"/>
          </w:tcPr>
          <w:p w14:paraId="6962C14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276" w:type="dxa"/>
            <w:shd w:val="clear" w:color="auto" w:fill="auto"/>
            <w:vAlign w:val="center"/>
          </w:tcPr>
          <w:p w14:paraId="28A783D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40" w:type="dxa"/>
            <w:shd w:val="clear" w:color="auto" w:fill="auto"/>
            <w:noWrap/>
            <w:vAlign w:val="center"/>
          </w:tcPr>
          <w:p w14:paraId="51E8A14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40" w:type="dxa"/>
            <w:shd w:val="clear" w:color="auto" w:fill="auto"/>
            <w:vAlign w:val="center"/>
          </w:tcPr>
          <w:p w14:paraId="72927FF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09" w:type="dxa"/>
            <w:shd w:val="clear" w:color="auto" w:fill="auto"/>
            <w:vAlign w:val="center"/>
          </w:tcPr>
          <w:p w14:paraId="6EA0AB2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30" w:type="dxa"/>
            <w:gridSpan w:val="2"/>
            <w:shd w:val="clear" w:color="auto" w:fill="auto"/>
            <w:vAlign w:val="center"/>
          </w:tcPr>
          <w:p w14:paraId="681966E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7" w:type="dxa"/>
            <w:shd w:val="clear" w:color="auto" w:fill="auto"/>
            <w:vAlign w:val="center"/>
          </w:tcPr>
          <w:p w14:paraId="52E2330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r>
              <w:rPr>
                <w:rFonts w:hint="eastAsia" w:ascii="仿宋_GB2312" w:hAnsi="仿宋_GB2312" w:eastAsia="仿宋_GB2312" w:cs="仿宋_GB2312"/>
                <w:i w:val="0"/>
                <w:color w:val="000000"/>
                <w:spacing w:val="-20"/>
                <w:kern w:val="0"/>
                <w:sz w:val="20"/>
                <w:szCs w:val="20"/>
                <w:highlight w:val="none"/>
                <w:u w:val="none"/>
                <w:lang w:val="en-US" w:eastAsia="zh-CN" w:bidi="ar"/>
              </w:rPr>
              <w:t>考查</w:t>
            </w:r>
          </w:p>
        </w:tc>
      </w:tr>
      <w:tr w14:paraId="15FB3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00" w:hRule="atLeast"/>
          <w:jc w:val="center"/>
        </w:trPr>
        <w:tc>
          <w:tcPr>
            <w:tcW w:w="705" w:type="dxa"/>
            <w:gridSpan w:val="2"/>
            <w:vMerge w:val="continue"/>
            <w:shd w:val="clear" w:color="auto" w:fill="auto"/>
            <w:vAlign w:val="center"/>
          </w:tcPr>
          <w:p w14:paraId="267145A2">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56DDD8E9">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50" w:type="dxa"/>
            <w:shd w:val="clear" w:color="auto" w:fill="auto"/>
            <w:vAlign w:val="center"/>
          </w:tcPr>
          <w:p w14:paraId="6CEDBA5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13</w:t>
            </w:r>
          </w:p>
        </w:tc>
        <w:tc>
          <w:tcPr>
            <w:tcW w:w="1348" w:type="dxa"/>
            <w:shd w:val="clear" w:color="auto" w:fill="auto"/>
            <w:vAlign w:val="center"/>
          </w:tcPr>
          <w:p w14:paraId="3FAF6060">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1B410101113</w:t>
            </w:r>
          </w:p>
        </w:tc>
        <w:tc>
          <w:tcPr>
            <w:tcW w:w="1549" w:type="dxa"/>
            <w:shd w:val="clear" w:color="auto" w:fill="auto"/>
            <w:vAlign w:val="center"/>
          </w:tcPr>
          <w:p w14:paraId="3357229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毛泽东思想和中国特色社会主义理论体系概论</w:t>
            </w:r>
          </w:p>
        </w:tc>
        <w:tc>
          <w:tcPr>
            <w:tcW w:w="961" w:type="dxa"/>
            <w:shd w:val="clear" w:color="auto" w:fill="auto"/>
            <w:vAlign w:val="center"/>
          </w:tcPr>
          <w:p w14:paraId="46EAFB7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52" w:type="dxa"/>
            <w:shd w:val="clear" w:color="auto" w:fill="auto"/>
            <w:vAlign w:val="center"/>
          </w:tcPr>
          <w:p w14:paraId="1AC5758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873" w:type="dxa"/>
            <w:shd w:val="clear" w:color="auto" w:fill="auto"/>
            <w:vAlign w:val="center"/>
          </w:tcPr>
          <w:p w14:paraId="338AAAC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28</w:t>
            </w:r>
          </w:p>
        </w:tc>
        <w:tc>
          <w:tcPr>
            <w:tcW w:w="825" w:type="dxa"/>
            <w:shd w:val="clear" w:color="auto" w:fill="auto"/>
            <w:vAlign w:val="center"/>
          </w:tcPr>
          <w:p w14:paraId="4280646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05" w:type="dxa"/>
            <w:shd w:val="clear" w:color="auto" w:fill="auto"/>
            <w:vAlign w:val="center"/>
          </w:tcPr>
          <w:p w14:paraId="18CEAF7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76" w:type="dxa"/>
            <w:shd w:val="clear" w:color="auto" w:fill="auto"/>
            <w:vAlign w:val="center"/>
          </w:tcPr>
          <w:p w14:paraId="6292029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40" w:type="dxa"/>
            <w:shd w:val="clear" w:color="auto" w:fill="auto"/>
            <w:vAlign w:val="center"/>
          </w:tcPr>
          <w:p w14:paraId="6DC0B8F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240" w:type="dxa"/>
            <w:shd w:val="clear" w:color="auto" w:fill="auto"/>
            <w:vAlign w:val="center"/>
          </w:tcPr>
          <w:p w14:paraId="22420A8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09" w:type="dxa"/>
            <w:shd w:val="clear" w:color="auto" w:fill="auto"/>
            <w:vAlign w:val="center"/>
          </w:tcPr>
          <w:p w14:paraId="2764BB0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30" w:type="dxa"/>
            <w:gridSpan w:val="2"/>
            <w:shd w:val="clear" w:color="auto" w:fill="auto"/>
            <w:vAlign w:val="center"/>
          </w:tcPr>
          <w:p w14:paraId="7C31D6A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7" w:type="dxa"/>
            <w:shd w:val="clear" w:color="auto" w:fill="auto"/>
            <w:vAlign w:val="center"/>
          </w:tcPr>
          <w:p w14:paraId="32CA4EF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r>
              <w:rPr>
                <w:rFonts w:hint="eastAsia" w:ascii="仿宋_GB2312" w:hAnsi="仿宋_GB2312" w:eastAsia="仿宋_GB2312" w:cs="仿宋_GB2312"/>
                <w:i w:val="0"/>
                <w:color w:val="000000"/>
                <w:spacing w:val="-20"/>
                <w:kern w:val="0"/>
                <w:sz w:val="20"/>
                <w:szCs w:val="20"/>
                <w:u w:val="none"/>
                <w:lang w:val="en-US" w:eastAsia="zh-CN" w:bidi="ar"/>
              </w:rPr>
              <w:t>考试</w:t>
            </w:r>
          </w:p>
        </w:tc>
      </w:tr>
      <w:tr w14:paraId="1CA07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99" w:hRule="atLeast"/>
          <w:jc w:val="center"/>
        </w:trPr>
        <w:tc>
          <w:tcPr>
            <w:tcW w:w="705" w:type="dxa"/>
            <w:gridSpan w:val="2"/>
            <w:vMerge w:val="continue"/>
            <w:shd w:val="clear" w:color="auto" w:fill="auto"/>
            <w:vAlign w:val="center"/>
          </w:tcPr>
          <w:p w14:paraId="331D54B2">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78A52C79">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50" w:type="dxa"/>
            <w:shd w:val="clear" w:color="auto" w:fill="auto"/>
            <w:vAlign w:val="center"/>
          </w:tcPr>
          <w:p w14:paraId="07CBF7A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14</w:t>
            </w:r>
          </w:p>
        </w:tc>
        <w:tc>
          <w:tcPr>
            <w:tcW w:w="1348" w:type="dxa"/>
            <w:shd w:val="clear" w:color="auto" w:fill="auto"/>
            <w:vAlign w:val="center"/>
          </w:tcPr>
          <w:p w14:paraId="6F63602C">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1B410101114</w:t>
            </w:r>
          </w:p>
        </w:tc>
        <w:tc>
          <w:tcPr>
            <w:tcW w:w="1549" w:type="dxa"/>
            <w:shd w:val="clear" w:color="auto" w:fill="auto"/>
            <w:vAlign w:val="center"/>
          </w:tcPr>
          <w:p w14:paraId="1D06091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创新创业教育</w:t>
            </w:r>
          </w:p>
        </w:tc>
        <w:tc>
          <w:tcPr>
            <w:tcW w:w="961" w:type="dxa"/>
            <w:shd w:val="clear" w:color="auto" w:fill="auto"/>
            <w:vAlign w:val="center"/>
          </w:tcPr>
          <w:p w14:paraId="778FFBF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w:t>
            </w:r>
          </w:p>
        </w:tc>
        <w:tc>
          <w:tcPr>
            <w:tcW w:w="852" w:type="dxa"/>
            <w:shd w:val="clear" w:color="auto" w:fill="auto"/>
            <w:vAlign w:val="center"/>
          </w:tcPr>
          <w:p w14:paraId="63F4ABF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873" w:type="dxa"/>
            <w:shd w:val="clear" w:color="auto" w:fill="auto"/>
            <w:vAlign w:val="center"/>
          </w:tcPr>
          <w:p w14:paraId="4FFBF79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12</w:t>
            </w:r>
          </w:p>
        </w:tc>
        <w:tc>
          <w:tcPr>
            <w:tcW w:w="825" w:type="dxa"/>
            <w:shd w:val="clear" w:color="auto" w:fill="auto"/>
            <w:vAlign w:val="center"/>
          </w:tcPr>
          <w:p w14:paraId="0B46071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05" w:type="dxa"/>
            <w:shd w:val="clear" w:color="auto" w:fill="auto"/>
            <w:vAlign w:val="center"/>
          </w:tcPr>
          <w:p w14:paraId="53B8D3E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276" w:type="dxa"/>
            <w:shd w:val="clear" w:color="auto" w:fill="auto"/>
            <w:vAlign w:val="center"/>
          </w:tcPr>
          <w:p w14:paraId="67D42DF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40" w:type="dxa"/>
            <w:shd w:val="clear" w:color="auto" w:fill="auto"/>
            <w:noWrap/>
            <w:vAlign w:val="center"/>
          </w:tcPr>
          <w:p w14:paraId="56A63F0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40" w:type="dxa"/>
            <w:shd w:val="clear" w:color="auto" w:fill="auto"/>
            <w:vAlign w:val="center"/>
          </w:tcPr>
          <w:p w14:paraId="2807794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09" w:type="dxa"/>
            <w:shd w:val="clear" w:color="auto" w:fill="auto"/>
            <w:vAlign w:val="center"/>
          </w:tcPr>
          <w:p w14:paraId="64E5AF9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30" w:type="dxa"/>
            <w:gridSpan w:val="2"/>
            <w:shd w:val="clear" w:color="auto" w:fill="auto"/>
            <w:vAlign w:val="center"/>
          </w:tcPr>
          <w:p w14:paraId="3286629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7" w:type="dxa"/>
            <w:shd w:val="clear" w:color="auto" w:fill="auto"/>
            <w:vAlign w:val="center"/>
          </w:tcPr>
          <w:p w14:paraId="37E8789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r>
              <w:rPr>
                <w:rFonts w:hint="eastAsia" w:ascii="仿宋_GB2312" w:hAnsi="仿宋_GB2312" w:eastAsia="仿宋_GB2312" w:cs="仿宋_GB2312"/>
                <w:i w:val="0"/>
                <w:color w:val="000000"/>
                <w:spacing w:val="-20"/>
                <w:kern w:val="0"/>
                <w:sz w:val="20"/>
                <w:szCs w:val="20"/>
                <w:highlight w:val="none"/>
                <w:u w:val="none"/>
                <w:lang w:val="en-US" w:eastAsia="zh-CN" w:bidi="ar"/>
              </w:rPr>
              <w:t>考查</w:t>
            </w:r>
          </w:p>
        </w:tc>
      </w:tr>
      <w:tr w14:paraId="2B1BF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jc w:val="center"/>
        </w:trPr>
        <w:tc>
          <w:tcPr>
            <w:tcW w:w="705" w:type="dxa"/>
            <w:gridSpan w:val="2"/>
            <w:vMerge w:val="continue"/>
            <w:shd w:val="clear" w:color="auto" w:fill="auto"/>
            <w:vAlign w:val="center"/>
          </w:tcPr>
          <w:p w14:paraId="5919D75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6775248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50" w:type="dxa"/>
            <w:shd w:val="clear" w:color="auto" w:fill="auto"/>
            <w:vAlign w:val="center"/>
          </w:tcPr>
          <w:p w14:paraId="7D338C3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15</w:t>
            </w:r>
          </w:p>
        </w:tc>
        <w:tc>
          <w:tcPr>
            <w:tcW w:w="1348" w:type="dxa"/>
            <w:shd w:val="clear" w:color="auto" w:fill="auto"/>
            <w:vAlign w:val="center"/>
          </w:tcPr>
          <w:p w14:paraId="6B00D3E0">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1B410101115</w:t>
            </w:r>
          </w:p>
        </w:tc>
        <w:tc>
          <w:tcPr>
            <w:tcW w:w="1549" w:type="dxa"/>
            <w:shd w:val="clear" w:color="auto" w:fill="auto"/>
            <w:vAlign w:val="center"/>
          </w:tcPr>
          <w:p w14:paraId="24C8ECA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习近平新时代中国特色社会主义思想概论</w:t>
            </w:r>
          </w:p>
        </w:tc>
        <w:tc>
          <w:tcPr>
            <w:tcW w:w="961" w:type="dxa"/>
            <w:shd w:val="clear" w:color="auto" w:fill="auto"/>
            <w:vAlign w:val="center"/>
          </w:tcPr>
          <w:p w14:paraId="0375BA9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w:t>
            </w:r>
          </w:p>
        </w:tc>
        <w:tc>
          <w:tcPr>
            <w:tcW w:w="852" w:type="dxa"/>
            <w:shd w:val="clear" w:color="auto" w:fill="auto"/>
            <w:vAlign w:val="center"/>
          </w:tcPr>
          <w:p w14:paraId="734809C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52</w:t>
            </w:r>
          </w:p>
        </w:tc>
        <w:tc>
          <w:tcPr>
            <w:tcW w:w="873" w:type="dxa"/>
            <w:shd w:val="clear" w:color="auto" w:fill="auto"/>
            <w:vAlign w:val="center"/>
          </w:tcPr>
          <w:p w14:paraId="52DE7AB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48</w:t>
            </w:r>
          </w:p>
        </w:tc>
        <w:tc>
          <w:tcPr>
            <w:tcW w:w="825" w:type="dxa"/>
            <w:shd w:val="clear" w:color="auto" w:fill="auto"/>
            <w:vAlign w:val="center"/>
          </w:tcPr>
          <w:p w14:paraId="05706CE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305" w:type="dxa"/>
            <w:shd w:val="clear" w:color="auto" w:fill="auto"/>
            <w:vAlign w:val="center"/>
          </w:tcPr>
          <w:p w14:paraId="3775D44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76" w:type="dxa"/>
            <w:shd w:val="clear" w:color="auto" w:fill="auto"/>
            <w:vAlign w:val="center"/>
          </w:tcPr>
          <w:p w14:paraId="6CA9310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40" w:type="dxa"/>
            <w:shd w:val="clear" w:color="auto" w:fill="auto"/>
            <w:vAlign w:val="center"/>
          </w:tcPr>
          <w:p w14:paraId="47230E0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40" w:type="dxa"/>
            <w:shd w:val="clear" w:color="auto" w:fill="auto"/>
            <w:noWrap/>
            <w:vAlign w:val="center"/>
          </w:tcPr>
          <w:p w14:paraId="626A21B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409" w:type="dxa"/>
            <w:shd w:val="clear" w:color="auto" w:fill="auto"/>
            <w:vAlign w:val="center"/>
          </w:tcPr>
          <w:p w14:paraId="277DBA5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30" w:type="dxa"/>
            <w:gridSpan w:val="2"/>
            <w:shd w:val="clear" w:color="auto" w:fill="auto"/>
            <w:vAlign w:val="center"/>
          </w:tcPr>
          <w:p w14:paraId="47000E8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7" w:type="dxa"/>
            <w:shd w:val="clear" w:color="auto" w:fill="auto"/>
            <w:vAlign w:val="center"/>
          </w:tcPr>
          <w:p w14:paraId="53F82BE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r>
              <w:rPr>
                <w:rFonts w:hint="eastAsia" w:ascii="仿宋_GB2312" w:hAnsi="仿宋_GB2312" w:eastAsia="仿宋_GB2312" w:cs="仿宋_GB2312"/>
                <w:i w:val="0"/>
                <w:color w:val="000000"/>
                <w:spacing w:val="-20"/>
                <w:kern w:val="0"/>
                <w:sz w:val="20"/>
                <w:szCs w:val="20"/>
                <w:u w:val="none"/>
                <w:lang w:val="en-US" w:eastAsia="zh-CN" w:bidi="ar"/>
              </w:rPr>
              <w:t>考试</w:t>
            </w:r>
          </w:p>
        </w:tc>
      </w:tr>
      <w:tr w14:paraId="18EC5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14:paraId="73F2A7C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restart"/>
            <w:shd w:val="clear" w:color="auto" w:fill="auto"/>
            <w:vAlign w:val="center"/>
          </w:tcPr>
          <w:p w14:paraId="0A80AF3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选修</w:t>
            </w:r>
          </w:p>
        </w:tc>
        <w:tc>
          <w:tcPr>
            <w:tcW w:w="650" w:type="dxa"/>
            <w:shd w:val="clear" w:color="auto" w:fill="auto"/>
            <w:vAlign w:val="center"/>
          </w:tcPr>
          <w:p w14:paraId="4BF927A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w:t>
            </w:r>
          </w:p>
        </w:tc>
        <w:tc>
          <w:tcPr>
            <w:tcW w:w="1348" w:type="dxa"/>
            <w:shd w:val="clear" w:color="auto" w:fill="auto"/>
            <w:vAlign w:val="center"/>
          </w:tcPr>
          <w:p w14:paraId="560E3739">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1B410101201</w:t>
            </w:r>
          </w:p>
        </w:tc>
        <w:tc>
          <w:tcPr>
            <w:tcW w:w="1549" w:type="dxa"/>
            <w:shd w:val="clear" w:color="auto" w:fill="auto"/>
            <w:vAlign w:val="center"/>
          </w:tcPr>
          <w:p w14:paraId="342DC9D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color w:val="000000"/>
                <w:spacing w:val="-17"/>
                <w:kern w:val="0"/>
                <w:sz w:val="20"/>
                <w:szCs w:val="20"/>
                <w:lang w:val="en-US" w:eastAsia="zh-CN" w:bidi="ar"/>
              </w:rPr>
              <w:t>中国民俗剪纸技法</w:t>
            </w:r>
          </w:p>
        </w:tc>
        <w:tc>
          <w:tcPr>
            <w:tcW w:w="961" w:type="dxa"/>
            <w:shd w:val="clear" w:color="auto" w:fill="auto"/>
            <w:vAlign w:val="center"/>
          </w:tcPr>
          <w:p w14:paraId="5502ECC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52" w:type="dxa"/>
            <w:shd w:val="clear" w:color="auto" w:fill="auto"/>
            <w:vAlign w:val="center"/>
          </w:tcPr>
          <w:p w14:paraId="68C9542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873" w:type="dxa"/>
            <w:shd w:val="clear" w:color="auto" w:fill="auto"/>
            <w:vAlign w:val="center"/>
          </w:tcPr>
          <w:p w14:paraId="6229EBF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w:t>
            </w:r>
          </w:p>
        </w:tc>
        <w:tc>
          <w:tcPr>
            <w:tcW w:w="825" w:type="dxa"/>
            <w:shd w:val="clear" w:color="auto" w:fill="auto"/>
            <w:vAlign w:val="center"/>
          </w:tcPr>
          <w:p w14:paraId="5BA43DE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24</w:t>
            </w:r>
          </w:p>
        </w:tc>
        <w:tc>
          <w:tcPr>
            <w:tcW w:w="1900" w:type="dxa"/>
            <w:gridSpan w:val="7"/>
            <w:vMerge w:val="restart"/>
            <w:shd w:val="clear" w:color="auto" w:fill="auto"/>
            <w:vAlign w:val="center"/>
          </w:tcPr>
          <w:p w14:paraId="79CAC3F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公共选修课最低学分要求为 8学分，其中要求2个学分为思政选修课学分。</w:t>
            </w:r>
          </w:p>
        </w:tc>
        <w:tc>
          <w:tcPr>
            <w:tcW w:w="537" w:type="dxa"/>
            <w:shd w:val="clear" w:color="auto" w:fill="auto"/>
            <w:vAlign w:val="center"/>
          </w:tcPr>
          <w:p w14:paraId="4BFCDD0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r>
              <w:rPr>
                <w:rFonts w:hint="eastAsia" w:ascii="仿宋_GB2312" w:hAnsi="仿宋_GB2312" w:eastAsia="仿宋_GB2312" w:cs="仿宋_GB2312"/>
                <w:i w:val="0"/>
                <w:color w:val="000000"/>
                <w:spacing w:val="-20"/>
                <w:kern w:val="0"/>
                <w:sz w:val="20"/>
                <w:szCs w:val="20"/>
                <w:highlight w:val="none"/>
                <w:u w:val="none"/>
                <w:lang w:val="en-US" w:eastAsia="zh-CN" w:bidi="ar"/>
              </w:rPr>
              <w:t>考查</w:t>
            </w:r>
          </w:p>
        </w:tc>
      </w:tr>
      <w:tr w14:paraId="7F884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14:paraId="15EE1FD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65436581">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50" w:type="dxa"/>
            <w:shd w:val="clear" w:color="auto" w:fill="auto"/>
            <w:vAlign w:val="center"/>
          </w:tcPr>
          <w:p w14:paraId="01C5AFC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1348" w:type="dxa"/>
            <w:shd w:val="clear" w:color="auto" w:fill="auto"/>
            <w:vAlign w:val="center"/>
          </w:tcPr>
          <w:p w14:paraId="3A1B2B90">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1B410101202</w:t>
            </w:r>
          </w:p>
        </w:tc>
        <w:tc>
          <w:tcPr>
            <w:tcW w:w="1549" w:type="dxa"/>
            <w:shd w:val="clear" w:color="auto" w:fill="auto"/>
            <w:vAlign w:val="center"/>
          </w:tcPr>
          <w:p w14:paraId="5FCBC2E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影视与鉴赏</w:t>
            </w:r>
          </w:p>
        </w:tc>
        <w:tc>
          <w:tcPr>
            <w:tcW w:w="961" w:type="dxa"/>
            <w:shd w:val="clear" w:color="auto" w:fill="auto"/>
            <w:vAlign w:val="center"/>
          </w:tcPr>
          <w:p w14:paraId="2B95AE2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52" w:type="dxa"/>
            <w:shd w:val="clear" w:color="auto" w:fill="auto"/>
            <w:vAlign w:val="center"/>
          </w:tcPr>
          <w:p w14:paraId="36EF833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873" w:type="dxa"/>
            <w:shd w:val="clear" w:color="auto" w:fill="auto"/>
            <w:vAlign w:val="center"/>
          </w:tcPr>
          <w:p w14:paraId="6B581BD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w:t>
            </w:r>
          </w:p>
        </w:tc>
        <w:tc>
          <w:tcPr>
            <w:tcW w:w="825" w:type="dxa"/>
            <w:shd w:val="clear" w:color="auto" w:fill="auto"/>
            <w:vAlign w:val="center"/>
          </w:tcPr>
          <w:p w14:paraId="18B7A66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24</w:t>
            </w:r>
          </w:p>
        </w:tc>
        <w:tc>
          <w:tcPr>
            <w:tcW w:w="1900" w:type="dxa"/>
            <w:gridSpan w:val="7"/>
            <w:vMerge w:val="continue"/>
            <w:shd w:val="clear" w:color="auto" w:fill="auto"/>
            <w:vAlign w:val="center"/>
          </w:tcPr>
          <w:p w14:paraId="53548ED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7" w:type="dxa"/>
            <w:shd w:val="clear" w:color="auto" w:fill="auto"/>
            <w:vAlign w:val="center"/>
          </w:tcPr>
          <w:p w14:paraId="21EB04C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r>
              <w:rPr>
                <w:rFonts w:hint="eastAsia" w:ascii="仿宋_GB2312" w:hAnsi="仿宋_GB2312" w:eastAsia="仿宋_GB2312" w:cs="仿宋_GB2312"/>
                <w:i w:val="0"/>
                <w:color w:val="000000"/>
                <w:spacing w:val="-20"/>
                <w:kern w:val="0"/>
                <w:sz w:val="20"/>
                <w:szCs w:val="20"/>
                <w:highlight w:val="none"/>
                <w:u w:val="none"/>
                <w:lang w:val="en-US" w:eastAsia="zh-CN" w:bidi="ar"/>
              </w:rPr>
              <w:t>考查</w:t>
            </w:r>
          </w:p>
        </w:tc>
      </w:tr>
      <w:tr w14:paraId="52A5A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14:paraId="69F2C7E8">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22599B70">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50" w:type="dxa"/>
            <w:shd w:val="clear" w:color="auto" w:fill="auto"/>
            <w:vAlign w:val="center"/>
          </w:tcPr>
          <w:p w14:paraId="34FBF7D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w:t>
            </w:r>
          </w:p>
        </w:tc>
        <w:tc>
          <w:tcPr>
            <w:tcW w:w="1348" w:type="dxa"/>
            <w:shd w:val="clear" w:color="auto" w:fill="auto"/>
            <w:vAlign w:val="center"/>
          </w:tcPr>
          <w:p w14:paraId="1032BA03">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1B410101203</w:t>
            </w:r>
          </w:p>
        </w:tc>
        <w:tc>
          <w:tcPr>
            <w:tcW w:w="1549" w:type="dxa"/>
            <w:shd w:val="clear" w:color="auto" w:fill="auto"/>
            <w:vAlign w:val="center"/>
          </w:tcPr>
          <w:p w14:paraId="6F9980A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color w:val="000000"/>
                <w:spacing w:val="-17"/>
                <w:kern w:val="0"/>
                <w:sz w:val="20"/>
                <w:szCs w:val="20"/>
                <w:lang w:val="en-US" w:eastAsia="zh-CN" w:bidi="ar"/>
              </w:rPr>
              <w:t>中华优秀传统文化</w:t>
            </w:r>
          </w:p>
        </w:tc>
        <w:tc>
          <w:tcPr>
            <w:tcW w:w="961" w:type="dxa"/>
            <w:shd w:val="clear" w:color="auto" w:fill="auto"/>
            <w:vAlign w:val="center"/>
          </w:tcPr>
          <w:p w14:paraId="50E8013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52" w:type="dxa"/>
            <w:shd w:val="clear" w:color="auto" w:fill="auto"/>
            <w:vAlign w:val="center"/>
          </w:tcPr>
          <w:p w14:paraId="5F72C0D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873" w:type="dxa"/>
            <w:shd w:val="clear" w:color="auto" w:fill="auto"/>
            <w:vAlign w:val="center"/>
          </w:tcPr>
          <w:p w14:paraId="07C3C81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825" w:type="dxa"/>
            <w:shd w:val="clear" w:color="auto" w:fill="auto"/>
            <w:vAlign w:val="center"/>
          </w:tcPr>
          <w:p w14:paraId="2AC30A8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1900" w:type="dxa"/>
            <w:gridSpan w:val="7"/>
            <w:vMerge w:val="continue"/>
            <w:shd w:val="clear" w:color="auto" w:fill="auto"/>
            <w:vAlign w:val="center"/>
          </w:tcPr>
          <w:p w14:paraId="45C0FC7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7" w:type="dxa"/>
            <w:shd w:val="clear" w:color="auto" w:fill="auto"/>
            <w:vAlign w:val="center"/>
          </w:tcPr>
          <w:p w14:paraId="7B08748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r>
              <w:rPr>
                <w:rFonts w:hint="eastAsia" w:ascii="仿宋_GB2312" w:hAnsi="仿宋_GB2312" w:eastAsia="仿宋_GB2312" w:cs="仿宋_GB2312"/>
                <w:i w:val="0"/>
                <w:color w:val="000000"/>
                <w:spacing w:val="-20"/>
                <w:kern w:val="0"/>
                <w:sz w:val="20"/>
                <w:szCs w:val="20"/>
                <w:highlight w:val="none"/>
                <w:u w:val="none"/>
                <w:lang w:val="en-US" w:eastAsia="zh-CN" w:bidi="ar"/>
              </w:rPr>
              <w:t>考查</w:t>
            </w:r>
          </w:p>
        </w:tc>
      </w:tr>
      <w:tr w14:paraId="15C94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14:paraId="5A78C268">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6CDFEF57">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50" w:type="dxa"/>
            <w:shd w:val="clear" w:color="auto" w:fill="auto"/>
            <w:vAlign w:val="center"/>
          </w:tcPr>
          <w:p w14:paraId="380D204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1348" w:type="dxa"/>
            <w:shd w:val="clear" w:color="auto" w:fill="auto"/>
            <w:vAlign w:val="center"/>
          </w:tcPr>
          <w:p w14:paraId="7573D29D">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1B410101204</w:t>
            </w:r>
          </w:p>
        </w:tc>
        <w:tc>
          <w:tcPr>
            <w:tcW w:w="1549" w:type="dxa"/>
            <w:shd w:val="clear" w:color="auto" w:fill="auto"/>
            <w:vAlign w:val="center"/>
          </w:tcPr>
          <w:p w14:paraId="0F3FB35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中国共产党简史</w:t>
            </w:r>
          </w:p>
        </w:tc>
        <w:tc>
          <w:tcPr>
            <w:tcW w:w="961" w:type="dxa"/>
            <w:shd w:val="clear" w:color="auto" w:fill="auto"/>
            <w:vAlign w:val="center"/>
          </w:tcPr>
          <w:p w14:paraId="45BB4DA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52" w:type="dxa"/>
            <w:shd w:val="clear" w:color="auto" w:fill="auto"/>
            <w:vAlign w:val="center"/>
          </w:tcPr>
          <w:p w14:paraId="6CB9762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873" w:type="dxa"/>
            <w:shd w:val="clear" w:color="auto" w:fill="auto"/>
            <w:vAlign w:val="center"/>
          </w:tcPr>
          <w:p w14:paraId="618A604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825" w:type="dxa"/>
            <w:shd w:val="clear" w:color="auto" w:fill="auto"/>
            <w:vAlign w:val="center"/>
          </w:tcPr>
          <w:p w14:paraId="4D603D1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1900" w:type="dxa"/>
            <w:gridSpan w:val="7"/>
            <w:vMerge w:val="continue"/>
            <w:shd w:val="clear" w:color="auto" w:fill="auto"/>
            <w:vAlign w:val="center"/>
          </w:tcPr>
          <w:p w14:paraId="6D7D9AC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7" w:type="dxa"/>
            <w:shd w:val="clear" w:color="auto" w:fill="auto"/>
            <w:vAlign w:val="center"/>
          </w:tcPr>
          <w:p w14:paraId="3405657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r>
              <w:rPr>
                <w:rFonts w:hint="eastAsia" w:ascii="仿宋_GB2312" w:hAnsi="仿宋_GB2312" w:eastAsia="仿宋_GB2312" w:cs="仿宋_GB2312"/>
                <w:i w:val="0"/>
                <w:color w:val="000000"/>
                <w:spacing w:val="-20"/>
                <w:kern w:val="0"/>
                <w:sz w:val="20"/>
                <w:szCs w:val="20"/>
                <w:highlight w:val="none"/>
                <w:u w:val="none"/>
                <w:lang w:val="en-US" w:eastAsia="zh-CN" w:bidi="ar"/>
              </w:rPr>
              <w:t>考查</w:t>
            </w:r>
          </w:p>
        </w:tc>
      </w:tr>
      <w:tr w14:paraId="3C02D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14:paraId="7E43D6B5">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1412EDB6">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50" w:type="dxa"/>
            <w:shd w:val="clear" w:color="auto" w:fill="auto"/>
            <w:vAlign w:val="center"/>
          </w:tcPr>
          <w:p w14:paraId="5F1A951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w:t>
            </w:r>
          </w:p>
        </w:tc>
        <w:tc>
          <w:tcPr>
            <w:tcW w:w="1348" w:type="dxa"/>
            <w:shd w:val="clear" w:color="auto" w:fill="auto"/>
            <w:vAlign w:val="center"/>
          </w:tcPr>
          <w:p w14:paraId="51230FF8">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1B410101205</w:t>
            </w:r>
          </w:p>
        </w:tc>
        <w:tc>
          <w:tcPr>
            <w:tcW w:w="1549" w:type="dxa"/>
            <w:shd w:val="clear" w:color="auto" w:fill="auto"/>
            <w:vAlign w:val="center"/>
          </w:tcPr>
          <w:p w14:paraId="5031F1D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改革开放简史</w:t>
            </w:r>
          </w:p>
        </w:tc>
        <w:tc>
          <w:tcPr>
            <w:tcW w:w="961" w:type="dxa"/>
            <w:shd w:val="clear" w:color="auto" w:fill="auto"/>
            <w:vAlign w:val="center"/>
          </w:tcPr>
          <w:p w14:paraId="2273D33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52" w:type="dxa"/>
            <w:shd w:val="clear" w:color="auto" w:fill="auto"/>
            <w:vAlign w:val="center"/>
          </w:tcPr>
          <w:p w14:paraId="1B9F6BA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873" w:type="dxa"/>
            <w:shd w:val="clear" w:color="auto" w:fill="auto"/>
            <w:vAlign w:val="center"/>
          </w:tcPr>
          <w:p w14:paraId="21CC07C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825" w:type="dxa"/>
            <w:shd w:val="clear" w:color="auto" w:fill="auto"/>
            <w:vAlign w:val="center"/>
          </w:tcPr>
          <w:p w14:paraId="1BD7B8D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1900" w:type="dxa"/>
            <w:gridSpan w:val="7"/>
            <w:vMerge w:val="continue"/>
            <w:shd w:val="clear" w:color="auto" w:fill="auto"/>
            <w:vAlign w:val="center"/>
          </w:tcPr>
          <w:p w14:paraId="4CB06E4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7" w:type="dxa"/>
            <w:shd w:val="clear" w:color="auto" w:fill="auto"/>
            <w:vAlign w:val="center"/>
          </w:tcPr>
          <w:p w14:paraId="1236CC1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r>
              <w:rPr>
                <w:rFonts w:hint="eastAsia" w:ascii="仿宋_GB2312" w:hAnsi="仿宋_GB2312" w:eastAsia="仿宋_GB2312" w:cs="仿宋_GB2312"/>
                <w:i w:val="0"/>
                <w:color w:val="000000"/>
                <w:spacing w:val="-20"/>
                <w:kern w:val="0"/>
                <w:sz w:val="20"/>
                <w:szCs w:val="20"/>
                <w:highlight w:val="none"/>
                <w:u w:val="none"/>
                <w:lang w:val="en-US" w:eastAsia="zh-CN" w:bidi="ar"/>
              </w:rPr>
              <w:t>考查</w:t>
            </w:r>
          </w:p>
        </w:tc>
      </w:tr>
      <w:tr w14:paraId="54BEB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14:paraId="590C1758">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2F34AAF1">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50" w:type="dxa"/>
            <w:shd w:val="clear" w:color="auto" w:fill="auto"/>
            <w:vAlign w:val="center"/>
          </w:tcPr>
          <w:p w14:paraId="72DE667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w:t>
            </w:r>
          </w:p>
        </w:tc>
        <w:tc>
          <w:tcPr>
            <w:tcW w:w="1348" w:type="dxa"/>
            <w:shd w:val="clear" w:color="auto" w:fill="auto"/>
            <w:vAlign w:val="center"/>
          </w:tcPr>
          <w:p w14:paraId="6AA069C6">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1B410101206</w:t>
            </w:r>
          </w:p>
        </w:tc>
        <w:tc>
          <w:tcPr>
            <w:tcW w:w="1549" w:type="dxa"/>
            <w:shd w:val="clear" w:color="auto" w:fill="auto"/>
            <w:vAlign w:val="center"/>
          </w:tcPr>
          <w:p w14:paraId="148AF4A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中华人民共和国简史</w:t>
            </w:r>
          </w:p>
        </w:tc>
        <w:tc>
          <w:tcPr>
            <w:tcW w:w="961" w:type="dxa"/>
            <w:shd w:val="clear" w:color="auto" w:fill="auto"/>
            <w:vAlign w:val="center"/>
          </w:tcPr>
          <w:p w14:paraId="70C982B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52" w:type="dxa"/>
            <w:shd w:val="clear" w:color="auto" w:fill="auto"/>
            <w:vAlign w:val="center"/>
          </w:tcPr>
          <w:p w14:paraId="0D7168D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873" w:type="dxa"/>
            <w:shd w:val="clear" w:color="auto" w:fill="auto"/>
            <w:vAlign w:val="center"/>
          </w:tcPr>
          <w:p w14:paraId="5A5B992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825" w:type="dxa"/>
            <w:shd w:val="clear" w:color="auto" w:fill="auto"/>
            <w:vAlign w:val="center"/>
          </w:tcPr>
          <w:p w14:paraId="2B6929B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1900" w:type="dxa"/>
            <w:gridSpan w:val="7"/>
            <w:vMerge w:val="continue"/>
            <w:shd w:val="clear" w:color="auto" w:fill="auto"/>
            <w:vAlign w:val="center"/>
          </w:tcPr>
          <w:p w14:paraId="1CCBCF1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7" w:type="dxa"/>
            <w:shd w:val="clear" w:color="auto" w:fill="auto"/>
            <w:vAlign w:val="center"/>
          </w:tcPr>
          <w:p w14:paraId="0191782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r>
              <w:rPr>
                <w:rFonts w:hint="eastAsia" w:ascii="仿宋_GB2312" w:hAnsi="仿宋_GB2312" w:eastAsia="仿宋_GB2312" w:cs="仿宋_GB2312"/>
                <w:i w:val="0"/>
                <w:color w:val="000000"/>
                <w:spacing w:val="-20"/>
                <w:kern w:val="0"/>
                <w:sz w:val="20"/>
                <w:szCs w:val="20"/>
                <w:highlight w:val="none"/>
                <w:u w:val="none"/>
                <w:lang w:val="en-US" w:eastAsia="zh-CN" w:bidi="ar"/>
              </w:rPr>
              <w:t>考查</w:t>
            </w:r>
          </w:p>
        </w:tc>
      </w:tr>
      <w:tr w14:paraId="75C600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14:paraId="0E200134">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213FCD5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50" w:type="dxa"/>
            <w:shd w:val="clear" w:color="auto" w:fill="auto"/>
            <w:vAlign w:val="center"/>
          </w:tcPr>
          <w:p w14:paraId="1FB698B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w:t>
            </w:r>
          </w:p>
        </w:tc>
        <w:tc>
          <w:tcPr>
            <w:tcW w:w="1348" w:type="dxa"/>
            <w:shd w:val="clear" w:color="auto" w:fill="auto"/>
            <w:vAlign w:val="center"/>
          </w:tcPr>
          <w:p w14:paraId="4616EC96">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1B410101207</w:t>
            </w:r>
          </w:p>
        </w:tc>
        <w:tc>
          <w:tcPr>
            <w:tcW w:w="1549" w:type="dxa"/>
            <w:shd w:val="clear" w:color="auto" w:fill="auto"/>
            <w:vAlign w:val="center"/>
          </w:tcPr>
          <w:p w14:paraId="2AD9016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color w:val="000000"/>
                <w:spacing w:val="-17"/>
                <w:kern w:val="0"/>
                <w:sz w:val="20"/>
                <w:szCs w:val="20"/>
                <w:lang w:val="en-US" w:eastAsia="zh-CN" w:bidi="ar"/>
              </w:rPr>
              <w:t>社会主义发展简史</w:t>
            </w:r>
          </w:p>
        </w:tc>
        <w:tc>
          <w:tcPr>
            <w:tcW w:w="961" w:type="dxa"/>
            <w:shd w:val="clear" w:color="auto" w:fill="auto"/>
            <w:vAlign w:val="center"/>
          </w:tcPr>
          <w:p w14:paraId="7DAAAF1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52" w:type="dxa"/>
            <w:shd w:val="clear" w:color="auto" w:fill="auto"/>
            <w:vAlign w:val="center"/>
          </w:tcPr>
          <w:p w14:paraId="6AECAA5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873" w:type="dxa"/>
            <w:shd w:val="clear" w:color="auto" w:fill="auto"/>
            <w:vAlign w:val="center"/>
          </w:tcPr>
          <w:p w14:paraId="0549BAE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825" w:type="dxa"/>
            <w:shd w:val="clear" w:color="auto" w:fill="auto"/>
            <w:vAlign w:val="center"/>
          </w:tcPr>
          <w:p w14:paraId="2AA2317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1900" w:type="dxa"/>
            <w:gridSpan w:val="7"/>
            <w:vMerge w:val="continue"/>
            <w:shd w:val="clear" w:color="auto" w:fill="auto"/>
            <w:vAlign w:val="center"/>
          </w:tcPr>
          <w:p w14:paraId="0423E63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7" w:type="dxa"/>
            <w:shd w:val="clear" w:color="auto" w:fill="auto"/>
            <w:vAlign w:val="center"/>
          </w:tcPr>
          <w:p w14:paraId="0647710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r>
              <w:rPr>
                <w:rFonts w:hint="eastAsia" w:ascii="仿宋_GB2312" w:hAnsi="仿宋_GB2312" w:eastAsia="仿宋_GB2312" w:cs="仿宋_GB2312"/>
                <w:i w:val="0"/>
                <w:color w:val="000000"/>
                <w:spacing w:val="-20"/>
                <w:kern w:val="0"/>
                <w:sz w:val="20"/>
                <w:szCs w:val="20"/>
                <w:highlight w:val="none"/>
                <w:u w:val="none"/>
                <w:lang w:val="en-US" w:eastAsia="zh-CN" w:bidi="ar"/>
              </w:rPr>
              <w:t>考查</w:t>
            </w:r>
          </w:p>
        </w:tc>
      </w:tr>
      <w:tr w14:paraId="11F93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14:paraId="28ED62C5">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27FF78A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50" w:type="dxa"/>
            <w:shd w:val="clear" w:color="auto" w:fill="auto"/>
            <w:vAlign w:val="center"/>
          </w:tcPr>
          <w:p w14:paraId="7F298D3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w:t>
            </w:r>
          </w:p>
        </w:tc>
        <w:tc>
          <w:tcPr>
            <w:tcW w:w="1348" w:type="dxa"/>
            <w:shd w:val="clear" w:color="auto" w:fill="auto"/>
            <w:vAlign w:val="center"/>
          </w:tcPr>
          <w:p w14:paraId="5D383BC3">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1B410101208</w:t>
            </w:r>
          </w:p>
        </w:tc>
        <w:tc>
          <w:tcPr>
            <w:tcW w:w="1549" w:type="dxa"/>
            <w:shd w:val="clear" w:color="auto" w:fill="auto"/>
            <w:vAlign w:val="center"/>
          </w:tcPr>
          <w:p w14:paraId="3C7DCE3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中华民族共同体概论</w:t>
            </w:r>
          </w:p>
        </w:tc>
        <w:tc>
          <w:tcPr>
            <w:tcW w:w="961" w:type="dxa"/>
            <w:shd w:val="clear" w:color="auto" w:fill="auto"/>
            <w:vAlign w:val="center"/>
          </w:tcPr>
          <w:p w14:paraId="4B06DB6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52" w:type="dxa"/>
            <w:shd w:val="clear" w:color="auto" w:fill="auto"/>
            <w:vAlign w:val="center"/>
          </w:tcPr>
          <w:p w14:paraId="7419892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873" w:type="dxa"/>
            <w:shd w:val="clear" w:color="auto" w:fill="auto"/>
            <w:vAlign w:val="center"/>
          </w:tcPr>
          <w:p w14:paraId="0DD30D5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825" w:type="dxa"/>
            <w:shd w:val="clear" w:color="auto" w:fill="auto"/>
            <w:vAlign w:val="center"/>
          </w:tcPr>
          <w:p w14:paraId="6D4E58E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1900" w:type="dxa"/>
            <w:gridSpan w:val="7"/>
            <w:vMerge w:val="continue"/>
            <w:shd w:val="clear" w:color="auto" w:fill="auto"/>
            <w:vAlign w:val="center"/>
          </w:tcPr>
          <w:p w14:paraId="70D7EE9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7" w:type="dxa"/>
            <w:shd w:val="clear" w:color="auto" w:fill="auto"/>
            <w:vAlign w:val="center"/>
          </w:tcPr>
          <w:p w14:paraId="5E74F16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r>
              <w:rPr>
                <w:rFonts w:hint="eastAsia" w:ascii="仿宋_GB2312" w:hAnsi="仿宋_GB2312" w:eastAsia="仿宋_GB2312" w:cs="仿宋_GB2312"/>
                <w:i w:val="0"/>
                <w:color w:val="000000"/>
                <w:spacing w:val="-20"/>
                <w:kern w:val="0"/>
                <w:sz w:val="20"/>
                <w:szCs w:val="20"/>
                <w:highlight w:val="none"/>
                <w:u w:val="none"/>
                <w:lang w:val="en-US" w:eastAsia="zh-CN" w:bidi="ar"/>
              </w:rPr>
              <w:t>考查</w:t>
            </w:r>
          </w:p>
        </w:tc>
      </w:tr>
      <w:tr w14:paraId="39C0A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14:paraId="08E9CD66">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02B8BA5F">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50" w:type="dxa"/>
            <w:shd w:val="clear" w:color="auto" w:fill="auto"/>
            <w:vAlign w:val="center"/>
          </w:tcPr>
          <w:p w14:paraId="0F18CA5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9</w:t>
            </w:r>
          </w:p>
        </w:tc>
        <w:tc>
          <w:tcPr>
            <w:tcW w:w="1348" w:type="dxa"/>
            <w:shd w:val="clear" w:color="auto" w:fill="auto"/>
            <w:vAlign w:val="center"/>
          </w:tcPr>
          <w:p w14:paraId="299299CE">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1B410101210</w:t>
            </w:r>
          </w:p>
        </w:tc>
        <w:tc>
          <w:tcPr>
            <w:tcW w:w="1549" w:type="dxa"/>
            <w:shd w:val="clear" w:color="auto" w:fill="auto"/>
            <w:vAlign w:val="center"/>
          </w:tcPr>
          <w:p w14:paraId="6161107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语文</w:t>
            </w:r>
          </w:p>
        </w:tc>
        <w:tc>
          <w:tcPr>
            <w:tcW w:w="961" w:type="dxa"/>
            <w:shd w:val="clear" w:color="auto" w:fill="auto"/>
            <w:vAlign w:val="center"/>
          </w:tcPr>
          <w:p w14:paraId="3F2221A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52" w:type="dxa"/>
            <w:shd w:val="clear" w:color="auto" w:fill="auto"/>
            <w:vAlign w:val="center"/>
          </w:tcPr>
          <w:p w14:paraId="03D1BC9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873" w:type="dxa"/>
            <w:shd w:val="clear" w:color="auto" w:fill="auto"/>
            <w:vAlign w:val="center"/>
          </w:tcPr>
          <w:p w14:paraId="6D239DE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825" w:type="dxa"/>
            <w:shd w:val="clear" w:color="auto" w:fill="auto"/>
            <w:vAlign w:val="center"/>
          </w:tcPr>
          <w:p w14:paraId="6B81010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1900" w:type="dxa"/>
            <w:gridSpan w:val="7"/>
            <w:vMerge w:val="continue"/>
            <w:shd w:val="clear" w:color="auto" w:fill="auto"/>
            <w:vAlign w:val="center"/>
          </w:tcPr>
          <w:p w14:paraId="2A16ED5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7" w:type="dxa"/>
            <w:shd w:val="clear" w:color="auto" w:fill="auto"/>
            <w:vAlign w:val="center"/>
          </w:tcPr>
          <w:p w14:paraId="0150095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r>
              <w:rPr>
                <w:rFonts w:hint="eastAsia" w:ascii="仿宋_GB2312" w:hAnsi="仿宋_GB2312" w:eastAsia="仿宋_GB2312" w:cs="仿宋_GB2312"/>
                <w:i w:val="0"/>
                <w:color w:val="000000"/>
                <w:spacing w:val="-20"/>
                <w:kern w:val="0"/>
                <w:sz w:val="20"/>
                <w:szCs w:val="20"/>
                <w:highlight w:val="none"/>
                <w:u w:val="none"/>
                <w:lang w:val="en-US" w:eastAsia="zh-CN" w:bidi="ar"/>
              </w:rPr>
              <w:t>考查</w:t>
            </w:r>
          </w:p>
        </w:tc>
      </w:tr>
      <w:tr w14:paraId="0E694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14:paraId="7DD97E16">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00A0469D">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50" w:type="dxa"/>
            <w:shd w:val="clear" w:color="auto" w:fill="auto"/>
            <w:vAlign w:val="center"/>
          </w:tcPr>
          <w:p w14:paraId="1DF8871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10</w:t>
            </w:r>
          </w:p>
        </w:tc>
        <w:tc>
          <w:tcPr>
            <w:tcW w:w="1348" w:type="dxa"/>
            <w:shd w:val="clear" w:color="auto" w:fill="auto"/>
            <w:vAlign w:val="center"/>
          </w:tcPr>
          <w:p w14:paraId="38D4426F">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1B410101211</w:t>
            </w:r>
          </w:p>
        </w:tc>
        <w:tc>
          <w:tcPr>
            <w:tcW w:w="1549" w:type="dxa"/>
            <w:shd w:val="clear" w:color="auto" w:fill="auto"/>
            <w:vAlign w:val="center"/>
          </w:tcPr>
          <w:p w14:paraId="7927AB9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物理</w:t>
            </w:r>
          </w:p>
        </w:tc>
        <w:tc>
          <w:tcPr>
            <w:tcW w:w="961" w:type="dxa"/>
            <w:shd w:val="clear" w:color="auto" w:fill="auto"/>
            <w:vAlign w:val="center"/>
          </w:tcPr>
          <w:p w14:paraId="46413BC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52" w:type="dxa"/>
            <w:shd w:val="clear" w:color="auto" w:fill="auto"/>
            <w:vAlign w:val="center"/>
          </w:tcPr>
          <w:p w14:paraId="1D86EB3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873" w:type="dxa"/>
            <w:shd w:val="clear" w:color="auto" w:fill="auto"/>
            <w:vAlign w:val="center"/>
          </w:tcPr>
          <w:p w14:paraId="2206DC3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825" w:type="dxa"/>
            <w:shd w:val="clear" w:color="auto" w:fill="auto"/>
            <w:vAlign w:val="center"/>
          </w:tcPr>
          <w:p w14:paraId="224D57D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1900" w:type="dxa"/>
            <w:gridSpan w:val="7"/>
            <w:vMerge w:val="continue"/>
            <w:shd w:val="clear" w:color="auto" w:fill="auto"/>
            <w:vAlign w:val="center"/>
          </w:tcPr>
          <w:p w14:paraId="3B7E56C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7" w:type="dxa"/>
            <w:shd w:val="clear" w:color="auto" w:fill="auto"/>
            <w:vAlign w:val="center"/>
          </w:tcPr>
          <w:p w14:paraId="1F92B40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r>
              <w:rPr>
                <w:rFonts w:hint="eastAsia" w:ascii="仿宋_GB2312" w:hAnsi="仿宋_GB2312" w:eastAsia="仿宋_GB2312" w:cs="仿宋_GB2312"/>
                <w:i w:val="0"/>
                <w:color w:val="000000"/>
                <w:spacing w:val="-20"/>
                <w:kern w:val="0"/>
                <w:sz w:val="20"/>
                <w:szCs w:val="20"/>
                <w:highlight w:val="none"/>
                <w:u w:val="none"/>
                <w:lang w:val="en-US" w:eastAsia="zh-CN" w:bidi="ar"/>
              </w:rPr>
              <w:t>考查</w:t>
            </w:r>
          </w:p>
        </w:tc>
      </w:tr>
      <w:tr w14:paraId="707BE5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5" w:type="dxa"/>
            <w:gridSpan w:val="2"/>
            <w:vMerge w:val="continue"/>
            <w:shd w:val="clear" w:color="auto" w:fill="auto"/>
            <w:vAlign w:val="center"/>
          </w:tcPr>
          <w:p w14:paraId="22BF56AE">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4A435A37">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50" w:type="dxa"/>
            <w:shd w:val="clear" w:color="auto" w:fill="auto"/>
            <w:vAlign w:val="center"/>
          </w:tcPr>
          <w:p w14:paraId="6075079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11</w:t>
            </w:r>
          </w:p>
        </w:tc>
        <w:tc>
          <w:tcPr>
            <w:tcW w:w="1348" w:type="dxa"/>
            <w:shd w:val="clear" w:color="auto" w:fill="auto"/>
            <w:vAlign w:val="center"/>
          </w:tcPr>
          <w:p w14:paraId="5C9D268D">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1B410101212</w:t>
            </w:r>
          </w:p>
        </w:tc>
        <w:tc>
          <w:tcPr>
            <w:tcW w:w="1549" w:type="dxa"/>
            <w:shd w:val="clear" w:color="auto" w:fill="auto"/>
            <w:vAlign w:val="center"/>
          </w:tcPr>
          <w:p w14:paraId="526F30D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化学</w:t>
            </w:r>
          </w:p>
        </w:tc>
        <w:tc>
          <w:tcPr>
            <w:tcW w:w="961" w:type="dxa"/>
            <w:shd w:val="clear" w:color="auto" w:fill="auto"/>
            <w:vAlign w:val="center"/>
          </w:tcPr>
          <w:p w14:paraId="2049421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52" w:type="dxa"/>
            <w:shd w:val="clear" w:color="auto" w:fill="auto"/>
            <w:vAlign w:val="center"/>
          </w:tcPr>
          <w:p w14:paraId="675835E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873" w:type="dxa"/>
            <w:shd w:val="clear" w:color="auto" w:fill="auto"/>
            <w:vAlign w:val="center"/>
          </w:tcPr>
          <w:p w14:paraId="02D0ECB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825" w:type="dxa"/>
            <w:shd w:val="clear" w:color="auto" w:fill="auto"/>
            <w:vAlign w:val="center"/>
          </w:tcPr>
          <w:p w14:paraId="7752EBF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1900" w:type="dxa"/>
            <w:gridSpan w:val="7"/>
            <w:vMerge w:val="continue"/>
            <w:shd w:val="clear" w:color="auto" w:fill="auto"/>
            <w:vAlign w:val="center"/>
          </w:tcPr>
          <w:p w14:paraId="49748E5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7" w:type="dxa"/>
            <w:shd w:val="clear" w:color="auto" w:fill="auto"/>
            <w:vAlign w:val="center"/>
          </w:tcPr>
          <w:p w14:paraId="0BED2B6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r>
              <w:rPr>
                <w:rFonts w:hint="eastAsia" w:ascii="仿宋_GB2312" w:hAnsi="仿宋_GB2312" w:eastAsia="仿宋_GB2312" w:cs="仿宋_GB2312"/>
                <w:i w:val="0"/>
                <w:color w:val="000000"/>
                <w:spacing w:val="-20"/>
                <w:kern w:val="0"/>
                <w:sz w:val="20"/>
                <w:szCs w:val="20"/>
                <w:highlight w:val="none"/>
                <w:u w:val="none"/>
                <w:lang w:val="en-US" w:eastAsia="zh-CN" w:bidi="ar"/>
              </w:rPr>
              <w:t>考查</w:t>
            </w:r>
          </w:p>
        </w:tc>
      </w:tr>
      <w:tr w14:paraId="6151F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32" w:hRule="atLeast"/>
          <w:jc w:val="center"/>
        </w:trPr>
        <w:tc>
          <w:tcPr>
            <w:tcW w:w="705" w:type="dxa"/>
            <w:gridSpan w:val="2"/>
            <w:vMerge w:val="continue"/>
            <w:shd w:val="clear" w:color="auto" w:fill="auto"/>
            <w:vAlign w:val="center"/>
          </w:tcPr>
          <w:p w14:paraId="27C6F337">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027" w:type="dxa"/>
            <w:gridSpan w:val="4"/>
            <w:shd w:val="clear" w:color="auto" w:fill="auto"/>
            <w:vAlign w:val="center"/>
          </w:tcPr>
          <w:p w14:paraId="5E0C2A3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公共必修课程学分、学时小计</w:t>
            </w:r>
          </w:p>
        </w:tc>
        <w:tc>
          <w:tcPr>
            <w:tcW w:w="961" w:type="dxa"/>
            <w:shd w:val="clear" w:color="auto" w:fill="auto"/>
            <w:vAlign w:val="center"/>
          </w:tcPr>
          <w:p w14:paraId="7B57641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42</w:t>
            </w:r>
          </w:p>
        </w:tc>
        <w:tc>
          <w:tcPr>
            <w:tcW w:w="852" w:type="dxa"/>
            <w:shd w:val="clear" w:color="auto" w:fill="auto"/>
            <w:vAlign w:val="center"/>
          </w:tcPr>
          <w:p w14:paraId="1717D01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794</w:t>
            </w:r>
          </w:p>
        </w:tc>
        <w:tc>
          <w:tcPr>
            <w:tcW w:w="873" w:type="dxa"/>
            <w:shd w:val="clear" w:color="auto" w:fill="auto"/>
            <w:vAlign w:val="center"/>
          </w:tcPr>
          <w:p w14:paraId="172CF45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454</w:t>
            </w:r>
          </w:p>
        </w:tc>
        <w:tc>
          <w:tcPr>
            <w:tcW w:w="825" w:type="dxa"/>
            <w:shd w:val="clear" w:color="auto" w:fill="auto"/>
            <w:vAlign w:val="center"/>
          </w:tcPr>
          <w:p w14:paraId="5ED3B66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340</w:t>
            </w:r>
          </w:p>
        </w:tc>
        <w:tc>
          <w:tcPr>
            <w:tcW w:w="305" w:type="dxa"/>
            <w:shd w:val="clear" w:color="auto" w:fill="auto"/>
            <w:vAlign w:val="center"/>
          </w:tcPr>
          <w:p w14:paraId="36C08CA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76" w:type="dxa"/>
            <w:shd w:val="clear" w:color="auto" w:fill="auto"/>
            <w:vAlign w:val="center"/>
          </w:tcPr>
          <w:p w14:paraId="4E6CBCC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40" w:type="dxa"/>
            <w:shd w:val="clear" w:color="auto" w:fill="auto"/>
            <w:vAlign w:val="center"/>
          </w:tcPr>
          <w:p w14:paraId="68B2BFC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40" w:type="dxa"/>
            <w:shd w:val="clear" w:color="auto" w:fill="auto"/>
            <w:vAlign w:val="center"/>
          </w:tcPr>
          <w:p w14:paraId="5540160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09" w:type="dxa"/>
            <w:shd w:val="clear" w:color="auto" w:fill="auto"/>
            <w:vAlign w:val="center"/>
          </w:tcPr>
          <w:p w14:paraId="2CC1952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30" w:type="dxa"/>
            <w:gridSpan w:val="2"/>
            <w:shd w:val="clear" w:color="auto" w:fill="auto"/>
            <w:noWrap/>
            <w:vAlign w:val="center"/>
          </w:tcPr>
          <w:p w14:paraId="3C3E96F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7" w:type="dxa"/>
            <w:shd w:val="clear" w:color="auto" w:fill="auto"/>
            <w:noWrap/>
            <w:vAlign w:val="center"/>
          </w:tcPr>
          <w:p w14:paraId="4FDE64B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p>
        </w:tc>
      </w:tr>
      <w:tr w14:paraId="58F1B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705" w:type="dxa"/>
            <w:gridSpan w:val="2"/>
            <w:vMerge w:val="continue"/>
            <w:shd w:val="clear" w:color="auto" w:fill="auto"/>
            <w:vAlign w:val="center"/>
          </w:tcPr>
          <w:p w14:paraId="719281B9">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027" w:type="dxa"/>
            <w:gridSpan w:val="4"/>
            <w:shd w:val="clear" w:color="auto" w:fill="auto"/>
            <w:vAlign w:val="center"/>
          </w:tcPr>
          <w:p w14:paraId="4C26E18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公共必修课程学分、学时占比</w:t>
            </w:r>
          </w:p>
        </w:tc>
        <w:tc>
          <w:tcPr>
            <w:tcW w:w="961" w:type="dxa"/>
            <w:shd w:val="clear" w:color="auto" w:fill="auto"/>
            <w:vAlign w:val="center"/>
          </w:tcPr>
          <w:p w14:paraId="7B798D4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28.19%</w:t>
            </w:r>
          </w:p>
        </w:tc>
        <w:tc>
          <w:tcPr>
            <w:tcW w:w="852" w:type="dxa"/>
            <w:shd w:val="clear" w:color="auto" w:fill="auto"/>
            <w:vAlign w:val="center"/>
          </w:tcPr>
          <w:p w14:paraId="5D36FBC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29.96%</w:t>
            </w:r>
          </w:p>
        </w:tc>
        <w:tc>
          <w:tcPr>
            <w:tcW w:w="873" w:type="dxa"/>
            <w:shd w:val="clear" w:color="auto" w:fill="auto"/>
            <w:vAlign w:val="center"/>
          </w:tcPr>
          <w:p w14:paraId="402AC2E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17.13%</w:t>
            </w:r>
          </w:p>
        </w:tc>
        <w:tc>
          <w:tcPr>
            <w:tcW w:w="825" w:type="dxa"/>
            <w:shd w:val="clear" w:color="auto" w:fill="auto"/>
            <w:vAlign w:val="center"/>
          </w:tcPr>
          <w:p w14:paraId="5E78AEA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12.83%</w:t>
            </w:r>
          </w:p>
        </w:tc>
        <w:tc>
          <w:tcPr>
            <w:tcW w:w="305" w:type="dxa"/>
            <w:shd w:val="clear" w:color="auto" w:fill="auto"/>
            <w:vAlign w:val="center"/>
          </w:tcPr>
          <w:p w14:paraId="2100AA4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76" w:type="dxa"/>
            <w:shd w:val="clear" w:color="auto" w:fill="auto"/>
            <w:vAlign w:val="center"/>
          </w:tcPr>
          <w:p w14:paraId="0700C75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40" w:type="dxa"/>
            <w:shd w:val="clear" w:color="auto" w:fill="auto"/>
            <w:vAlign w:val="center"/>
          </w:tcPr>
          <w:p w14:paraId="4CB5277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40" w:type="dxa"/>
            <w:shd w:val="clear" w:color="auto" w:fill="auto"/>
            <w:vAlign w:val="center"/>
          </w:tcPr>
          <w:p w14:paraId="7264840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09" w:type="dxa"/>
            <w:shd w:val="clear" w:color="auto" w:fill="auto"/>
            <w:noWrap/>
            <w:vAlign w:val="center"/>
          </w:tcPr>
          <w:p w14:paraId="46DAC12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30" w:type="dxa"/>
            <w:gridSpan w:val="2"/>
            <w:shd w:val="clear" w:color="auto" w:fill="auto"/>
            <w:noWrap/>
            <w:vAlign w:val="center"/>
          </w:tcPr>
          <w:p w14:paraId="7FC3CEA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7" w:type="dxa"/>
            <w:shd w:val="clear" w:color="auto" w:fill="auto"/>
            <w:noWrap/>
            <w:vAlign w:val="center"/>
          </w:tcPr>
          <w:p w14:paraId="183D3C3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p>
        </w:tc>
      </w:tr>
      <w:tr w14:paraId="602BA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705" w:type="dxa"/>
            <w:gridSpan w:val="2"/>
            <w:vMerge w:val="continue"/>
            <w:shd w:val="clear" w:color="auto" w:fill="auto"/>
            <w:vAlign w:val="center"/>
          </w:tcPr>
          <w:p w14:paraId="24DBBDF6">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027" w:type="dxa"/>
            <w:gridSpan w:val="4"/>
            <w:shd w:val="clear" w:color="auto" w:fill="auto"/>
            <w:noWrap/>
            <w:vAlign w:val="center"/>
          </w:tcPr>
          <w:p w14:paraId="5364B08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公共选修课程学分、学时小计</w:t>
            </w:r>
          </w:p>
        </w:tc>
        <w:tc>
          <w:tcPr>
            <w:tcW w:w="961" w:type="dxa"/>
            <w:shd w:val="clear" w:color="auto" w:fill="auto"/>
            <w:vAlign w:val="center"/>
          </w:tcPr>
          <w:p w14:paraId="6AB4C34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w:t>
            </w:r>
          </w:p>
        </w:tc>
        <w:tc>
          <w:tcPr>
            <w:tcW w:w="852" w:type="dxa"/>
            <w:shd w:val="clear" w:color="auto" w:fill="auto"/>
            <w:vAlign w:val="center"/>
          </w:tcPr>
          <w:p w14:paraId="6EDCE7C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128</w:t>
            </w:r>
          </w:p>
        </w:tc>
        <w:tc>
          <w:tcPr>
            <w:tcW w:w="873" w:type="dxa"/>
            <w:shd w:val="clear" w:color="auto" w:fill="auto"/>
            <w:vAlign w:val="center"/>
          </w:tcPr>
          <w:p w14:paraId="18E9AD5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80</w:t>
            </w:r>
          </w:p>
        </w:tc>
        <w:tc>
          <w:tcPr>
            <w:tcW w:w="825" w:type="dxa"/>
            <w:shd w:val="clear" w:color="auto" w:fill="auto"/>
            <w:vAlign w:val="center"/>
          </w:tcPr>
          <w:p w14:paraId="4DF29F4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48</w:t>
            </w:r>
          </w:p>
        </w:tc>
        <w:tc>
          <w:tcPr>
            <w:tcW w:w="305" w:type="dxa"/>
            <w:shd w:val="clear" w:color="auto" w:fill="auto"/>
            <w:noWrap/>
            <w:vAlign w:val="center"/>
          </w:tcPr>
          <w:p w14:paraId="0D21639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76" w:type="dxa"/>
            <w:shd w:val="clear" w:color="auto" w:fill="auto"/>
            <w:noWrap/>
            <w:vAlign w:val="center"/>
          </w:tcPr>
          <w:p w14:paraId="3C9DCC3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40" w:type="dxa"/>
            <w:shd w:val="clear" w:color="auto" w:fill="auto"/>
            <w:noWrap/>
            <w:vAlign w:val="center"/>
          </w:tcPr>
          <w:p w14:paraId="3850BEE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40" w:type="dxa"/>
            <w:shd w:val="clear" w:color="auto" w:fill="auto"/>
            <w:noWrap/>
            <w:vAlign w:val="center"/>
          </w:tcPr>
          <w:p w14:paraId="5863138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09" w:type="dxa"/>
            <w:shd w:val="clear" w:color="auto" w:fill="auto"/>
            <w:noWrap/>
            <w:vAlign w:val="center"/>
          </w:tcPr>
          <w:p w14:paraId="3D36AD5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30" w:type="dxa"/>
            <w:gridSpan w:val="2"/>
            <w:shd w:val="clear" w:color="auto" w:fill="auto"/>
            <w:noWrap/>
            <w:vAlign w:val="center"/>
          </w:tcPr>
          <w:p w14:paraId="3FE2A26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7" w:type="dxa"/>
            <w:shd w:val="clear" w:color="auto" w:fill="auto"/>
            <w:vAlign w:val="center"/>
          </w:tcPr>
          <w:p w14:paraId="557D5D9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p>
        </w:tc>
      </w:tr>
      <w:tr w14:paraId="7EAE3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705" w:type="dxa"/>
            <w:gridSpan w:val="2"/>
            <w:vMerge w:val="continue"/>
            <w:shd w:val="clear" w:color="auto" w:fill="auto"/>
            <w:vAlign w:val="center"/>
          </w:tcPr>
          <w:p w14:paraId="2B664E76">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027" w:type="dxa"/>
            <w:gridSpan w:val="4"/>
            <w:shd w:val="clear" w:color="auto" w:fill="auto"/>
            <w:noWrap/>
            <w:vAlign w:val="center"/>
          </w:tcPr>
          <w:p w14:paraId="5D2904C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公共选修课程学分、学时占比</w:t>
            </w:r>
          </w:p>
        </w:tc>
        <w:tc>
          <w:tcPr>
            <w:tcW w:w="961" w:type="dxa"/>
            <w:shd w:val="clear" w:color="auto" w:fill="auto"/>
            <w:vAlign w:val="center"/>
          </w:tcPr>
          <w:p w14:paraId="5C11CA9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5.37%</w:t>
            </w:r>
          </w:p>
        </w:tc>
        <w:tc>
          <w:tcPr>
            <w:tcW w:w="852" w:type="dxa"/>
            <w:shd w:val="clear" w:color="auto" w:fill="auto"/>
            <w:vAlign w:val="center"/>
          </w:tcPr>
          <w:p w14:paraId="5D5E9BD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4.83%</w:t>
            </w:r>
          </w:p>
        </w:tc>
        <w:tc>
          <w:tcPr>
            <w:tcW w:w="873" w:type="dxa"/>
            <w:shd w:val="clear" w:color="auto" w:fill="auto"/>
            <w:vAlign w:val="center"/>
          </w:tcPr>
          <w:p w14:paraId="7FEB06F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3.02%</w:t>
            </w:r>
          </w:p>
        </w:tc>
        <w:tc>
          <w:tcPr>
            <w:tcW w:w="825" w:type="dxa"/>
            <w:shd w:val="clear" w:color="auto" w:fill="auto"/>
            <w:vAlign w:val="center"/>
          </w:tcPr>
          <w:p w14:paraId="2EA4C35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1.81%</w:t>
            </w:r>
          </w:p>
        </w:tc>
        <w:tc>
          <w:tcPr>
            <w:tcW w:w="305" w:type="dxa"/>
            <w:shd w:val="clear" w:color="auto" w:fill="auto"/>
            <w:noWrap/>
            <w:vAlign w:val="center"/>
          </w:tcPr>
          <w:p w14:paraId="3937470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76" w:type="dxa"/>
            <w:shd w:val="clear" w:color="auto" w:fill="auto"/>
            <w:noWrap/>
            <w:vAlign w:val="center"/>
          </w:tcPr>
          <w:p w14:paraId="301EA70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40" w:type="dxa"/>
            <w:shd w:val="clear" w:color="auto" w:fill="auto"/>
            <w:noWrap/>
            <w:vAlign w:val="center"/>
          </w:tcPr>
          <w:p w14:paraId="64B6407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40" w:type="dxa"/>
            <w:shd w:val="clear" w:color="auto" w:fill="auto"/>
            <w:noWrap/>
            <w:vAlign w:val="center"/>
          </w:tcPr>
          <w:p w14:paraId="410D211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09" w:type="dxa"/>
            <w:shd w:val="clear" w:color="auto" w:fill="auto"/>
            <w:noWrap/>
            <w:vAlign w:val="center"/>
          </w:tcPr>
          <w:p w14:paraId="700297A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30" w:type="dxa"/>
            <w:gridSpan w:val="2"/>
            <w:shd w:val="clear" w:color="auto" w:fill="auto"/>
            <w:noWrap/>
            <w:vAlign w:val="center"/>
          </w:tcPr>
          <w:p w14:paraId="6848534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7" w:type="dxa"/>
            <w:shd w:val="clear" w:color="auto" w:fill="auto"/>
            <w:vAlign w:val="center"/>
          </w:tcPr>
          <w:p w14:paraId="40F5FC8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p>
        </w:tc>
      </w:tr>
      <w:tr w14:paraId="29E81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23" w:type="dxa"/>
            <w:vMerge w:val="restart"/>
            <w:shd w:val="clear" w:color="auto" w:fill="auto"/>
            <w:vAlign w:val="center"/>
          </w:tcPr>
          <w:p w14:paraId="4E2FA15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p w14:paraId="7D33E1C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p w14:paraId="5C8C6C6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p w14:paraId="0649250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p w14:paraId="758A9E2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p w14:paraId="1950C44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p w14:paraId="4287522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p w14:paraId="15CDE04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p w14:paraId="158DDE1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p w14:paraId="5C84BDA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p w14:paraId="5C8FE52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p w14:paraId="11AF03B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p w14:paraId="2F5046E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p w14:paraId="54AD9DC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p w14:paraId="489F61F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p w14:paraId="453C913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p w14:paraId="3120A0C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专业课</w:t>
            </w:r>
          </w:p>
          <w:p w14:paraId="39FF47B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p w14:paraId="23AF6D8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p w14:paraId="44C342C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p w14:paraId="10BBAA8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p w14:paraId="0A2A498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p w14:paraId="299F2D1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vMerge w:val="restart"/>
            <w:shd w:val="clear" w:color="auto" w:fill="auto"/>
            <w:vAlign w:val="center"/>
          </w:tcPr>
          <w:p w14:paraId="2D5BDD3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专业基础课</w:t>
            </w:r>
          </w:p>
        </w:tc>
        <w:tc>
          <w:tcPr>
            <w:tcW w:w="480" w:type="dxa"/>
            <w:vMerge w:val="restart"/>
            <w:shd w:val="clear" w:color="auto" w:fill="auto"/>
            <w:noWrap/>
            <w:vAlign w:val="center"/>
          </w:tcPr>
          <w:p w14:paraId="19820E6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必修</w:t>
            </w:r>
          </w:p>
        </w:tc>
        <w:tc>
          <w:tcPr>
            <w:tcW w:w="650" w:type="dxa"/>
            <w:shd w:val="clear" w:color="auto" w:fill="auto"/>
            <w:noWrap/>
            <w:vAlign w:val="center"/>
          </w:tcPr>
          <w:p w14:paraId="2550933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w:t>
            </w:r>
          </w:p>
        </w:tc>
        <w:tc>
          <w:tcPr>
            <w:tcW w:w="1348" w:type="dxa"/>
            <w:shd w:val="clear" w:color="auto" w:fill="auto"/>
            <w:noWrap/>
            <w:vAlign w:val="center"/>
          </w:tcPr>
          <w:p w14:paraId="01A7C62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3B500211301</w:t>
            </w:r>
          </w:p>
        </w:tc>
        <w:tc>
          <w:tcPr>
            <w:tcW w:w="1549" w:type="dxa"/>
            <w:shd w:val="clear" w:color="auto" w:fill="auto"/>
            <w:vAlign w:val="center"/>
          </w:tcPr>
          <w:p w14:paraId="3B2D1FE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汽车机械基础</w:t>
            </w:r>
          </w:p>
        </w:tc>
        <w:tc>
          <w:tcPr>
            <w:tcW w:w="961" w:type="dxa"/>
            <w:shd w:val="clear" w:color="auto" w:fill="auto"/>
            <w:vAlign w:val="center"/>
          </w:tcPr>
          <w:p w14:paraId="283377E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852" w:type="dxa"/>
            <w:shd w:val="clear" w:color="auto" w:fill="auto"/>
            <w:noWrap/>
            <w:vAlign w:val="center"/>
          </w:tcPr>
          <w:p w14:paraId="3F314D5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64</w:t>
            </w:r>
          </w:p>
        </w:tc>
        <w:tc>
          <w:tcPr>
            <w:tcW w:w="873" w:type="dxa"/>
            <w:shd w:val="clear" w:color="auto" w:fill="auto"/>
            <w:noWrap/>
            <w:vAlign w:val="center"/>
          </w:tcPr>
          <w:p w14:paraId="3F62337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48</w:t>
            </w:r>
          </w:p>
        </w:tc>
        <w:tc>
          <w:tcPr>
            <w:tcW w:w="825" w:type="dxa"/>
            <w:shd w:val="clear" w:color="auto" w:fill="auto"/>
            <w:noWrap/>
            <w:vAlign w:val="center"/>
          </w:tcPr>
          <w:p w14:paraId="7E607AA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305" w:type="dxa"/>
            <w:shd w:val="clear" w:color="auto" w:fill="auto"/>
            <w:noWrap/>
            <w:vAlign w:val="center"/>
          </w:tcPr>
          <w:p w14:paraId="7582557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276" w:type="dxa"/>
            <w:shd w:val="clear" w:color="auto" w:fill="auto"/>
            <w:noWrap/>
            <w:vAlign w:val="center"/>
          </w:tcPr>
          <w:p w14:paraId="5408A1E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40" w:type="dxa"/>
            <w:shd w:val="clear" w:color="auto" w:fill="auto"/>
            <w:noWrap/>
            <w:vAlign w:val="center"/>
          </w:tcPr>
          <w:p w14:paraId="3F53D15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40" w:type="dxa"/>
            <w:shd w:val="clear" w:color="auto" w:fill="auto"/>
            <w:noWrap/>
            <w:vAlign w:val="center"/>
          </w:tcPr>
          <w:p w14:paraId="0424AC0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09" w:type="dxa"/>
            <w:shd w:val="clear" w:color="auto" w:fill="auto"/>
            <w:noWrap/>
            <w:vAlign w:val="center"/>
          </w:tcPr>
          <w:p w14:paraId="53BC382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30" w:type="dxa"/>
            <w:gridSpan w:val="2"/>
            <w:shd w:val="clear" w:color="auto" w:fill="auto"/>
            <w:noWrap/>
            <w:vAlign w:val="center"/>
          </w:tcPr>
          <w:p w14:paraId="1194F7E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7" w:type="dxa"/>
            <w:shd w:val="clear" w:color="auto" w:fill="auto"/>
            <w:vAlign w:val="center"/>
          </w:tcPr>
          <w:p w14:paraId="4A62141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r>
              <w:rPr>
                <w:rFonts w:hint="eastAsia" w:ascii="仿宋_GB2312" w:hAnsi="仿宋_GB2312" w:eastAsia="仿宋_GB2312" w:cs="仿宋_GB2312"/>
                <w:i w:val="0"/>
                <w:color w:val="000000"/>
                <w:spacing w:val="-20"/>
                <w:kern w:val="0"/>
                <w:sz w:val="20"/>
                <w:szCs w:val="20"/>
                <w:u w:val="none"/>
                <w:lang w:val="en-US" w:eastAsia="zh-CN" w:bidi="ar"/>
              </w:rPr>
              <w:t>考试</w:t>
            </w:r>
          </w:p>
        </w:tc>
      </w:tr>
      <w:tr w14:paraId="3EDE3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0A3D6394">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14:paraId="34694335">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noWrap/>
            <w:vAlign w:val="center"/>
          </w:tcPr>
          <w:p w14:paraId="2BB34352">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50" w:type="dxa"/>
            <w:shd w:val="clear" w:color="auto" w:fill="auto"/>
            <w:noWrap/>
            <w:vAlign w:val="center"/>
          </w:tcPr>
          <w:p w14:paraId="59BA9DA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1348" w:type="dxa"/>
            <w:shd w:val="clear" w:color="auto" w:fill="auto"/>
            <w:noWrap/>
            <w:vAlign w:val="center"/>
          </w:tcPr>
          <w:p w14:paraId="2813944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3B500211302</w:t>
            </w:r>
          </w:p>
        </w:tc>
        <w:tc>
          <w:tcPr>
            <w:tcW w:w="1549" w:type="dxa"/>
            <w:shd w:val="clear" w:color="auto" w:fill="auto"/>
            <w:vAlign w:val="center"/>
          </w:tcPr>
          <w:p w14:paraId="21953E6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汽车概论</w:t>
            </w:r>
          </w:p>
        </w:tc>
        <w:tc>
          <w:tcPr>
            <w:tcW w:w="961" w:type="dxa"/>
            <w:shd w:val="clear" w:color="auto" w:fill="auto"/>
            <w:vAlign w:val="center"/>
          </w:tcPr>
          <w:p w14:paraId="53EBAE5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852" w:type="dxa"/>
            <w:shd w:val="clear" w:color="auto" w:fill="auto"/>
            <w:noWrap/>
            <w:vAlign w:val="center"/>
          </w:tcPr>
          <w:p w14:paraId="3A1EAD6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64</w:t>
            </w:r>
          </w:p>
        </w:tc>
        <w:tc>
          <w:tcPr>
            <w:tcW w:w="873" w:type="dxa"/>
            <w:shd w:val="clear" w:color="auto" w:fill="auto"/>
            <w:noWrap/>
            <w:vAlign w:val="center"/>
          </w:tcPr>
          <w:p w14:paraId="3328A2F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825" w:type="dxa"/>
            <w:shd w:val="clear" w:color="auto" w:fill="auto"/>
            <w:noWrap/>
            <w:vAlign w:val="center"/>
          </w:tcPr>
          <w:p w14:paraId="1ECBCA1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305" w:type="dxa"/>
            <w:shd w:val="clear" w:color="auto" w:fill="auto"/>
            <w:noWrap/>
            <w:vAlign w:val="center"/>
          </w:tcPr>
          <w:p w14:paraId="2916C75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276" w:type="dxa"/>
            <w:shd w:val="clear" w:color="auto" w:fill="auto"/>
            <w:noWrap/>
            <w:vAlign w:val="center"/>
          </w:tcPr>
          <w:p w14:paraId="21DCD88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40" w:type="dxa"/>
            <w:shd w:val="clear" w:color="auto" w:fill="auto"/>
            <w:noWrap/>
            <w:vAlign w:val="center"/>
          </w:tcPr>
          <w:p w14:paraId="19D0D87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40" w:type="dxa"/>
            <w:shd w:val="clear" w:color="auto" w:fill="auto"/>
            <w:noWrap/>
            <w:vAlign w:val="center"/>
          </w:tcPr>
          <w:p w14:paraId="4E7A733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09" w:type="dxa"/>
            <w:shd w:val="clear" w:color="auto" w:fill="auto"/>
            <w:noWrap/>
            <w:vAlign w:val="center"/>
          </w:tcPr>
          <w:p w14:paraId="3A0AC89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30" w:type="dxa"/>
            <w:gridSpan w:val="2"/>
            <w:shd w:val="clear" w:color="auto" w:fill="auto"/>
            <w:noWrap/>
            <w:vAlign w:val="center"/>
          </w:tcPr>
          <w:p w14:paraId="0D9175C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7" w:type="dxa"/>
            <w:shd w:val="clear" w:color="auto" w:fill="auto"/>
            <w:vAlign w:val="center"/>
          </w:tcPr>
          <w:p w14:paraId="66E7CC3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r>
              <w:rPr>
                <w:rFonts w:hint="eastAsia" w:ascii="仿宋_GB2312" w:hAnsi="仿宋_GB2312" w:eastAsia="仿宋_GB2312" w:cs="仿宋_GB2312"/>
                <w:i w:val="0"/>
                <w:color w:val="000000"/>
                <w:spacing w:val="-20"/>
                <w:kern w:val="0"/>
                <w:sz w:val="20"/>
                <w:szCs w:val="20"/>
                <w:u w:val="none"/>
                <w:lang w:val="en-US" w:eastAsia="zh-CN" w:bidi="ar"/>
              </w:rPr>
              <w:t>考试</w:t>
            </w:r>
          </w:p>
        </w:tc>
      </w:tr>
      <w:tr w14:paraId="64F00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71DD5A3C">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14:paraId="693443BB">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noWrap/>
            <w:vAlign w:val="center"/>
          </w:tcPr>
          <w:p w14:paraId="42FA2BC5">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50" w:type="dxa"/>
            <w:shd w:val="clear" w:color="auto" w:fill="auto"/>
            <w:noWrap/>
            <w:vAlign w:val="center"/>
          </w:tcPr>
          <w:p w14:paraId="4788F7B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w:t>
            </w:r>
          </w:p>
        </w:tc>
        <w:tc>
          <w:tcPr>
            <w:tcW w:w="1348" w:type="dxa"/>
            <w:shd w:val="clear" w:color="auto" w:fill="auto"/>
            <w:noWrap/>
            <w:vAlign w:val="center"/>
          </w:tcPr>
          <w:p w14:paraId="2110827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3B500211303</w:t>
            </w:r>
          </w:p>
        </w:tc>
        <w:tc>
          <w:tcPr>
            <w:tcW w:w="1549" w:type="dxa"/>
            <w:shd w:val="clear" w:color="auto" w:fill="auto"/>
            <w:vAlign w:val="center"/>
          </w:tcPr>
          <w:p w14:paraId="0D2694C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汽车机械识图</w:t>
            </w:r>
          </w:p>
        </w:tc>
        <w:tc>
          <w:tcPr>
            <w:tcW w:w="961" w:type="dxa"/>
            <w:shd w:val="clear" w:color="auto" w:fill="auto"/>
            <w:vAlign w:val="center"/>
          </w:tcPr>
          <w:p w14:paraId="1198A72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852" w:type="dxa"/>
            <w:shd w:val="clear" w:color="auto" w:fill="auto"/>
            <w:noWrap/>
            <w:vAlign w:val="center"/>
          </w:tcPr>
          <w:p w14:paraId="0F45339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64</w:t>
            </w:r>
          </w:p>
        </w:tc>
        <w:tc>
          <w:tcPr>
            <w:tcW w:w="873" w:type="dxa"/>
            <w:shd w:val="clear" w:color="auto" w:fill="auto"/>
            <w:noWrap/>
            <w:vAlign w:val="center"/>
          </w:tcPr>
          <w:p w14:paraId="12FBC28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48</w:t>
            </w:r>
          </w:p>
        </w:tc>
        <w:tc>
          <w:tcPr>
            <w:tcW w:w="825" w:type="dxa"/>
            <w:shd w:val="clear" w:color="auto" w:fill="auto"/>
            <w:noWrap/>
            <w:vAlign w:val="center"/>
          </w:tcPr>
          <w:p w14:paraId="4955D6B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305" w:type="dxa"/>
            <w:shd w:val="clear" w:color="auto" w:fill="auto"/>
            <w:noWrap/>
            <w:vAlign w:val="center"/>
          </w:tcPr>
          <w:p w14:paraId="66A7106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76" w:type="dxa"/>
            <w:shd w:val="clear" w:color="auto" w:fill="auto"/>
            <w:noWrap/>
            <w:vAlign w:val="center"/>
          </w:tcPr>
          <w:p w14:paraId="1A1F510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240" w:type="dxa"/>
            <w:shd w:val="clear" w:color="auto" w:fill="auto"/>
            <w:noWrap/>
            <w:vAlign w:val="center"/>
          </w:tcPr>
          <w:p w14:paraId="576EA78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40" w:type="dxa"/>
            <w:shd w:val="clear" w:color="auto" w:fill="auto"/>
            <w:noWrap/>
            <w:vAlign w:val="center"/>
          </w:tcPr>
          <w:p w14:paraId="2B08CF7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09" w:type="dxa"/>
            <w:shd w:val="clear" w:color="auto" w:fill="auto"/>
            <w:noWrap/>
            <w:vAlign w:val="center"/>
          </w:tcPr>
          <w:p w14:paraId="614254C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30" w:type="dxa"/>
            <w:gridSpan w:val="2"/>
            <w:shd w:val="clear" w:color="auto" w:fill="auto"/>
            <w:noWrap/>
            <w:vAlign w:val="center"/>
          </w:tcPr>
          <w:p w14:paraId="64C7162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7" w:type="dxa"/>
            <w:shd w:val="clear" w:color="auto" w:fill="auto"/>
            <w:vAlign w:val="center"/>
          </w:tcPr>
          <w:p w14:paraId="2345E2A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r>
              <w:rPr>
                <w:rFonts w:hint="eastAsia" w:ascii="仿宋_GB2312" w:hAnsi="仿宋_GB2312" w:eastAsia="仿宋_GB2312" w:cs="仿宋_GB2312"/>
                <w:i w:val="0"/>
                <w:color w:val="000000"/>
                <w:spacing w:val="-20"/>
                <w:kern w:val="0"/>
                <w:sz w:val="20"/>
                <w:szCs w:val="20"/>
                <w:u w:val="none"/>
                <w:lang w:val="en-US" w:eastAsia="zh-CN" w:bidi="ar"/>
              </w:rPr>
              <w:t>考试</w:t>
            </w:r>
          </w:p>
        </w:tc>
      </w:tr>
      <w:tr w14:paraId="5B2C9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0CC0780E">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14:paraId="65B82618">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noWrap/>
            <w:vAlign w:val="center"/>
          </w:tcPr>
          <w:p w14:paraId="6965086C">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50" w:type="dxa"/>
            <w:shd w:val="clear" w:color="auto" w:fill="auto"/>
            <w:noWrap/>
            <w:vAlign w:val="center"/>
          </w:tcPr>
          <w:p w14:paraId="39AFF7B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1348" w:type="dxa"/>
            <w:shd w:val="clear" w:color="auto" w:fill="auto"/>
            <w:noWrap/>
            <w:vAlign w:val="center"/>
          </w:tcPr>
          <w:p w14:paraId="68C1945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3B500211304</w:t>
            </w:r>
          </w:p>
        </w:tc>
        <w:tc>
          <w:tcPr>
            <w:tcW w:w="1549" w:type="dxa"/>
            <w:shd w:val="clear" w:color="auto" w:fill="auto"/>
            <w:vAlign w:val="center"/>
          </w:tcPr>
          <w:p w14:paraId="23825C3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客户沟通技巧与投诉处理</w:t>
            </w:r>
          </w:p>
        </w:tc>
        <w:tc>
          <w:tcPr>
            <w:tcW w:w="961" w:type="dxa"/>
            <w:shd w:val="clear" w:color="auto" w:fill="auto"/>
            <w:vAlign w:val="center"/>
          </w:tcPr>
          <w:p w14:paraId="3A5D7F2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852" w:type="dxa"/>
            <w:shd w:val="clear" w:color="auto" w:fill="auto"/>
            <w:noWrap/>
            <w:vAlign w:val="center"/>
          </w:tcPr>
          <w:p w14:paraId="7F452E4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64</w:t>
            </w:r>
          </w:p>
        </w:tc>
        <w:tc>
          <w:tcPr>
            <w:tcW w:w="873" w:type="dxa"/>
            <w:shd w:val="clear" w:color="auto" w:fill="auto"/>
            <w:noWrap/>
            <w:vAlign w:val="center"/>
          </w:tcPr>
          <w:p w14:paraId="3C1A55C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825" w:type="dxa"/>
            <w:shd w:val="clear" w:color="auto" w:fill="auto"/>
            <w:noWrap/>
            <w:vAlign w:val="center"/>
          </w:tcPr>
          <w:p w14:paraId="044833E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305" w:type="dxa"/>
            <w:shd w:val="clear" w:color="auto" w:fill="auto"/>
            <w:noWrap/>
            <w:vAlign w:val="center"/>
          </w:tcPr>
          <w:p w14:paraId="004C2B0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76" w:type="dxa"/>
            <w:shd w:val="clear" w:color="auto" w:fill="auto"/>
            <w:noWrap/>
            <w:vAlign w:val="center"/>
          </w:tcPr>
          <w:p w14:paraId="5F0FE88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240" w:type="dxa"/>
            <w:shd w:val="clear" w:color="auto" w:fill="auto"/>
            <w:noWrap/>
            <w:vAlign w:val="center"/>
          </w:tcPr>
          <w:p w14:paraId="47FA540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40" w:type="dxa"/>
            <w:shd w:val="clear" w:color="auto" w:fill="auto"/>
            <w:noWrap/>
            <w:vAlign w:val="center"/>
          </w:tcPr>
          <w:p w14:paraId="42A3A87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09" w:type="dxa"/>
            <w:shd w:val="clear" w:color="auto" w:fill="auto"/>
            <w:noWrap/>
            <w:vAlign w:val="center"/>
          </w:tcPr>
          <w:p w14:paraId="5949AF4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30" w:type="dxa"/>
            <w:gridSpan w:val="2"/>
            <w:shd w:val="clear" w:color="auto" w:fill="auto"/>
            <w:noWrap/>
            <w:vAlign w:val="center"/>
          </w:tcPr>
          <w:p w14:paraId="1371D5E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7" w:type="dxa"/>
            <w:shd w:val="clear" w:color="auto" w:fill="auto"/>
            <w:vAlign w:val="center"/>
          </w:tcPr>
          <w:p w14:paraId="0EC2867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r>
              <w:rPr>
                <w:rFonts w:hint="eastAsia" w:ascii="仿宋_GB2312" w:hAnsi="仿宋_GB2312" w:eastAsia="仿宋_GB2312" w:cs="仿宋_GB2312"/>
                <w:i w:val="0"/>
                <w:color w:val="000000"/>
                <w:spacing w:val="-20"/>
                <w:kern w:val="0"/>
                <w:sz w:val="20"/>
                <w:szCs w:val="20"/>
                <w:u w:val="none"/>
                <w:lang w:val="en-US" w:eastAsia="zh-CN" w:bidi="ar"/>
              </w:rPr>
              <w:t>考试</w:t>
            </w:r>
          </w:p>
        </w:tc>
      </w:tr>
      <w:tr w14:paraId="6716C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2F3D7FF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14:paraId="68E75634">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noWrap/>
            <w:vAlign w:val="center"/>
          </w:tcPr>
          <w:p w14:paraId="5A6C8AAE">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50" w:type="dxa"/>
            <w:shd w:val="clear" w:color="auto" w:fill="auto"/>
            <w:noWrap/>
            <w:vAlign w:val="center"/>
          </w:tcPr>
          <w:p w14:paraId="4611AEA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w:t>
            </w:r>
          </w:p>
        </w:tc>
        <w:tc>
          <w:tcPr>
            <w:tcW w:w="1348" w:type="dxa"/>
            <w:shd w:val="clear" w:color="auto" w:fill="auto"/>
            <w:noWrap/>
            <w:vAlign w:val="center"/>
          </w:tcPr>
          <w:p w14:paraId="3D8BA28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3B500211305</w:t>
            </w:r>
          </w:p>
        </w:tc>
        <w:tc>
          <w:tcPr>
            <w:tcW w:w="1549" w:type="dxa"/>
            <w:shd w:val="clear" w:color="auto" w:fill="auto"/>
            <w:vAlign w:val="center"/>
          </w:tcPr>
          <w:p w14:paraId="61718DC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汽车电工电子技术</w:t>
            </w:r>
          </w:p>
        </w:tc>
        <w:tc>
          <w:tcPr>
            <w:tcW w:w="961" w:type="dxa"/>
            <w:shd w:val="clear" w:color="auto" w:fill="auto"/>
            <w:vAlign w:val="center"/>
          </w:tcPr>
          <w:p w14:paraId="1B40681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852" w:type="dxa"/>
            <w:shd w:val="clear" w:color="auto" w:fill="auto"/>
            <w:noWrap/>
            <w:vAlign w:val="center"/>
          </w:tcPr>
          <w:p w14:paraId="426CFFB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64</w:t>
            </w:r>
          </w:p>
        </w:tc>
        <w:tc>
          <w:tcPr>
            <w:tcW w:w="873" w:type="dxa"/>
            <w:shd w:val="clear" w:color="auto" w:fill="auto"/>
            <w:noWrap/>
            <w:vAlign w:val="center"/>
          </w:tcPr>
          <w:p w14:paraId="7087000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825" w:type="dxa"/>
            <w:shd w:val="clear" w:color="auto" w:fill="auto"/>
            <w:noWrap/>
            <w:vAlign w:val="center"/>
          </w:tcPr>
          <w:p w14:paraId="72A4C92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305" w:type="dxa"/>
            <w:shd w:val="clear" w:color="auto" w:fill="auto"/>
            <w:noWrap/>
            <w:vAlign w:val="center"/>
          </w:tcPr>
          <w:p w14:paraId="7A35917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76" w:type="dxa"/>
            <w:shd w:val="clear" w:color="auto" w:fill="auto"/>
            <w:noWrap/>
            <w:vAlign w:val="center"/>
          </w:tcPr>
          <w:p w14:paraId="2A0E587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40" w:type="dxa"/>
            <w:shd w:val="clear" w:color="auto" w:fill="auto"/>
            <w:noWrap/>
            <w:vAlign w:val="center"/>
          </w:tcPr>
          <w:p w14:paraId="00CBCFD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240" w:type="dxa"/>
            <w:shd w:val="clear" w:color="auto" w:fill="auto"/>
            <w:noWrap/>
            <w:vAlign w:val="center"/>
          </w:tcPr>
          <w:p w14:paraId="710391E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09" w:type="dxa"/>
            <w:shd w:val="clear" w:color="auto" w:fill="auto"/>
            <w:noWrap/>
            <w:vAlign w:val="center"/>
          </w:tcPr>
          <w:p w14:paraId="07D5241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30" w:type="dxa"/>
            <w:gridSpan w:val="2"/>
            <w:shd w:val="clear" w:color="auto" w:fill="auto"/>
            <w:noWrap/>
            <w:vAlign w:val="center"/>
          </w:tcPr>
          <w:p w14:paraId="06A4228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7" w:type="dxa"/>
            <w:shd w:val="clear" w:color="auto" w:fill="auto"/>
            <w:vAlign w:val="center"/>
          </w:tcPr>
          <w:p w14:paraId="38ABFE9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r>
              <w:rPr>
                <w:rFonts w:hint="eastAsia" w:ascii="仿宋_GB2312" w:hAnsi="仿宋_GB2312" w:eastAsia="仿宋_GB2312" w:cs="仿宋_GB2312"/>
                <w:i w:val="0"/>
                <w:color w:val="000000"/>
                <w:spacing w:val="-20"/>
                <w:kern w:val="0"/>
                <w:sz w:val="20"/>
                <w:szCs w:val="20"/>
                <w:u w:val="none"/>
                <w:lang w:val="en-US" w:eastAsia="zh-CN" w:bidi="ar"/>
              </w:rPr>
              <w:t>考试</w:t>
            </w:r>
          </w:p>
        </w:tc>
      </w:tr>
      <w:tr w14:paraId="06E36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323" w:type="dxa"/>
            <w:vMerge w:val="continue"/>
            <w:shd w:val="clear" w:color="auto" w:fill="auto"/>
            <w:vAlign w:val="center"/>
          </w:tcPr>
          <w:p w14:paraId="7937B55F">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14:paraId="504F6595">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noWrap/>
            <w:vAlign w:val="center"/>
          </w:tcPr>
          <w:p w14:paraId="14C9E41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50" w:type="dxa"/>
            <w:shd w:val="clear" w:color="auto" w:fill="auto"/>
            <w:noWrap/>
            <w:vAlign w:val="center"/>
          </w:tcPr>
          <w:p w14:paraId="25D6E4F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w:t>
            </w:r>
          </w:p>
        </w:tc>
        <w:tc>
          <w:tcPr>
            <w:tcW w:w="1348" w:type="dxa"/>
            <w:shd w:val="clear" w:color="auto" w:fill="auto"/>
            <w:noWrap/>
            <w:vAlign w:val="center"/>
          </w:tcPr>
          <w:p w14:paraId="2C2BDF9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3B500211306</w:t>
            </w:r>
          </w:p>
        </w:tc>
        <w:tc>
          <w:tcPr>
            <w:tcW w:w="1549" w:type="dxa"/>
            <w:shd w:val="clear" w:color="auto" w:fill="auto"/>
            <w:vAlign w:val="center"/>
          </w:tcPr>
          <w:p w14:paraId="537F133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spacing w:val="-17"/>
                <w:kern w:val="0"/>
                <w:sz w:val="20"/>
                <w:szCs w:val="20"/>
                <w:u w:val="none"/>
                <w:lang w:val="en-US" w:eastAsia="zh-CN" w:bidi="ar"/>
              </w:rPr>
              <w:t>汽车计算机基础</w:t>
            </w:r>
          </w:p>
        </w:tc>
        <w:tc>
          <w:tcPr>
            <w:tcW w:w="961" w:type="dxa"/>
            <w:shd w:val="clear" w:color="auto" w:fill="auto"/>
            <w:vAlign w:val="center"/>
          </w:tcPr>
          <w:p w14:paraId="097E5FD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852" w:type="dxa"/>
            <w:shd w:val="clear" w:color="auto" w:fill="auto"/>
            <w:noWrap/>
            <w:vAlign w:val="center"/>
          </w:tcPr>
          <w:p w14:paraId="1ACD020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64</w:t>
            </w:r>
          </w:p>
        </w:tc>
        <w:tc>
          <w:tcPr>
            <w:tcW w:w="873" w:type="dxa"/>
            <w:shd w:val="clear" w:color="auto" w:fill="auto"/>
            <w:noWrap/>
            <w:vAlign w:val="center"/>
          </w:tcPr>
          <w:p w14:paraId="3356FB6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48</w:t>
            </w:r>
          </w:p>
        </w:tc>
        <w:tc>
          <w:tcPr>
            <w:tcW w:w="825" w:type="dxa"/>
            <w:shd w:val="clear" w:color="auto" w:fill="auto"/>
            <w:noWrap/>
            <w:vAlign w:val="center"/>
          </w:tcPr>
          <w:p w14:paraId="36915C2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w:t>
            </w:r>
          </w:p>
        </w:tc>
        <w:tc>
          <w:tcPr>
            <w:tcW w:w="305" w:type="dxa"/>
            <w:shd w:val="clear" w:color="auto" w:fill="auto"/>
            <w:noWrap/>
            <w:vAlign w:val="center"/>
          </w:tcPr>
          <w:p w14:paraId="2B32BE3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76" w:type="dxa"/>
            <w:shd w:val="clear" w:color="auto" w:fill="auto"/>
            <w:noWrap/>
            <w:vAlign w:val="center"/>
          </w:tcPr>
          <w:p w14:paraId="4282726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40" w:type="dxa"/>
            <w:shd w:val="clear" w:color="auto" w:fill="auto"/>
            <w:noWrap/>
            <w:vAlign w:val="center"/>
          </w:tcPr>
          <w:p w14:paraId="2DE8888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240" w:type="dxa"/>
            <w:shd w:val="clear" w:color="auto" w:fill="auto"/>
            <w:noWrap/>
            <w:vAlign w:val="center"/>
          </w:tcPr>
          <w:p w14:paraId="4608735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09" w:type="dxa"/>
            <w:shd w:val="clear" w:color="auto" w:fill="auto"/>
            <w:noWrap/>
            <w:vAlign w:val="center"/>
          </w:tcPr>
          <w:p w14:paraId="10459AB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30" w:type="dxa"/>
            <w:gridSpan w:val="2"/>
            <w:shd w:val="clear" w:color="auto" w:fill="auto"/>
            <w:noWrap/>
            <w:vAlign w:val="center"/>
          </w:tcPr>
          <w:p w14:paraId="3A77377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7" w:type="dxa"/>
            <w:shd w:val="clear" w:color="auto" w:fill="auto"/>
            <w:vAlign w:val="center"/>
          </w:tcPr>
          <w:p w14:paraId="1D42669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r>
              <w:rPr>
                <w:rFonts w:hint="eastAsia" w:ascii="仿宋_GB2312" w:hAnsi="仿宋_GB2312" w:eastAsia="仿宋_GB2312" w:cs="仿宋_GB2312"/>
                <w:i w:val="0"/>
                <w:color w:val="000000"/>
                <w:spacing w:val="-20"/>
                <w:kern w:val="0"/>
                <w:sz w:val="20"/>
                <w:szCs w:val="20"/>
                <w:u w:val="none"/>
                <w:lang w:val="en-US" w:eastAsia="zh-CN" w:bidi="ar"/>
              </w:rPr>
              <w:t>考试</w:t>
            </w:r>
          </w:p>
        </w:tc>
      </w:tr>
      <w:tr w14:paraId="3B7EA7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5F0BA468">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14:paraId="7E75F728">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noWrap/>
            <w:vAlign w:val="center"/>
          </w:tcPr>
          <w:p w14:paraId="1FBA00AF">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50" w:type="dxa"/>
            <w:shd w:val="clear" w:color="auto" w:fill="auto"/>
            <w:noWrap/>
            <w:vAlign w:val="center"/>
          </w:tcPr>
          <w:p w14:paraId="35A8D3E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w:t>
            </w:r>
          </w:p>
        </w:tc>
        <w:tc>
          <w:tcPr>
            <w:tcW w:w="1348" w:type="dxa"/>
            <w:shd w:val="clear" w:color="auto" w:fill="auto"/>
            <w:noWrap/>
            <w:vAlign w:val="center"/>
          </w:tcPr>
          <w:p w14:paraId="1E2C9AB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3B500211307</w:t>
            </w:r>
          </w:p>
        </w:tc>
        <w:tc>
          <w:tcPr>
            <w:tcW w:w="1549" w:type="dxa"/>
            <w:shd w:val="clear" w:color="auto" w:fill="auto"/>
            <w:vAlign w:val="center"/>
          </w:tcPr>
          <w:p w14:paraId="3EEFA42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汽车专业英语</w:t>
            </w:r>
          </w:p>
        </w:tc>
        <w:tc>
          <w:tcPr>
            <w:tcW w:w="961" w:type="dxa"/>
            <w:shd w:val="clear" w:color="auto" w:fill="auto"/>
            <w:vAlign w:val="center"/>
          </w:tcPr>
          <w:p w14:paraId="4D31733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52" w:type="dxa"/>
            <w:shd w:val="clear" w:color="auto" w:fill="auto"/>
            <w:noWrap/>
            <w:vAlign w:val="center"/>
          </w:tcPr>
          <w:p w14:paraId="70DC13C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873" w:type="dxa"/>
            <w:shd w:val="clear" w:color="auto" w:fill="auto"/>
            <w:noWrap/>
            <w:vAlign w:val="center"/>
          </w:tcPr>
          <w:p w14:paraId="048FD58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24</w:t>
            </w:r>
          </w:p>
        </w:tc>
        <w:tc>
          <w:tcPr>
            <w:tcW w:w="825" w:type="dxa"/>
            <w:shd w:val="clear" w:color="auto" w:fill="auto"/>
            <w:noWrap/>
            <w:vAlign w:val="center"/>
          </w:tcPr>
          <w:p w14:paraId="0452CCF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w:t>
            </w:r>
          </w:p>
        </w:tc>
        <w:tc>
          <w:tcPr>
            <w:tcW w:w="305" w:type="dxa"/>
            <w:shd w:val="clear" w:color="auto" w:fill="auto"/>
            <w:noWrap/>
            <w:vAlign w:val="center"/>
          </w:tcPr>
          <w:p w14:paraId="3D61800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76" w:type="dxa"/>
            <w:shd w:val="clear" w:color="auto" w:fill="auto"/>
            <w:noWrap/>
            <w:vAlign w:val="center"/>
          </w:tcPr>
          <w:p w14:paraId="5F93AD7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40" w:type="dxa"/>
            <w:shd w:val="clear" w:color="auto" w:fill="auto"/>
            <w:noWrap/>
            <w:vAlign w:val="center"/>
          </w:tcPr>
          <w:p w14:paraId="17A4E52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240" w:type="dxa"/>
            <w:shd w:val="clear" w:color="auto" w:fill="auto"/>
            <w:noWrap/>
            <w:vAlign w:val="center"/>
          </w:tcPr>
          <w:p w14:paraId="0CA37B0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09" w:type="dxa"/>
            <w:shd w:val="clear" w:color="auto" w:fill="auto"/>
            <w:noWrap/>
            <w:vAlign w:val="center"/>
          </w:tcPr>
          <w:p w14:paraId="110353A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30" w:type="dxa"/>
            <w:gridSpan w:val="2"/>
            <w:shd w:val="clear" w:color="auto" w:fill="auto"/>
            <w:noWrap/>
            <w:vAlign w:val="center"/>
          </w:tcPr>
          <w:p w14:paraId="27BD534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7" w:type="dxa"/>
            <w:shd w:val="clear" w:color="auto" w:fill="auto"/>
            <w:vAlign w:val="center"/>
          </w:tcPr>
          <w:p w14:paraId="4F71EE8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r>
              <w:rPr>
                <w:rFonts w:hint="eastAsia" w:ascii="仿宋_GB2312" w:hAnsi="仿宋_GB2312" w:eastAsia="仿宋_GB2312" w:cs="仿宋_GB2312"/>
                <w:i w:val="0"/>
                <w:color w:val="000000"/>
                <w:spacing w:val="-20"/>
                <w:kern w:val="0"/>
                <w:sz w:val="20"/>
                <w:szCs w:val="20"/>
                <w:u w:val="none"/>
                <w:lang w:val="en-US" w:eastAsia="zh-CN" w:bidi="ar"/>
              </w:rPr>
              <w:t>考试</w:t>
            </w:r>
          </w:p>
        </w:tc>
      </w:tr>
      <w:tr w14:paraId="28A9DD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6976CC72">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14:paraId="27657234">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noWrap/>
            <w:vAlign w:val="center"/>
          </w:tcPr>
          <w:p w14:paraId="15F9F2EE">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50" w:type="dxa"/>
            <w:shd w:val="clear" w:color="auto" w:fill="auto"/>
            <w:noWrap/>
            <w:vAlign w:val="center"/>
          </w:tcPr>
          <w:p w14:paraId="257ED3E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w:t>
            </w:r>
          </w:p>
        </w:tc>
        <w:tc>
          <w:tcPr>
            <w:tcW w:w="1348" w:type="dxa"/>
            <w:shd w:val="clear" w:color="auto" w:fill="auto"/>
            <w:noWrap/>
            <w:vAlign w:val="center"/>
          </w:tcPr>
          <w:p w14:paraId="28CBDD2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3B500211308</w:t>
            </w:r>
          </w:p>
        </w:tc>
        <w:tc>
          <w:tcPr>
            <w:tcW w:w="1549" w:type="dxa"/>
            <w:shd w:val="clear" w:color="auto" w:fill="auto"/>
            <w:vAlign w:val="center"/>
          </w:tcPr>
          <w:p w14:paraId="56A202E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b w:val="0"/>
                <w:bCs w:val="0"/>
                <w:color w:val="auto"/>
                <w:kern w:val="0"/>
                <w:sz w:val="20"/>
                <w:szCs w:val="20"/>
                <w:lang w:bidi="ar"/>
              </w:rPr>
              <w:t>汽车电路分析</w:t>
            </w:r>
          </w:p>
        </w:tc>
        <w:tc>
          <w:tcPr>
            <w:tcW w:w="961" w:type="dxa"/>
            <w:shd w:val="clear" w:color="auto" w:fill="auto"/>
            <w:vAlign w:val="center"/>
          </w:tcPr>
          <w:p w14:paraId="29D6B52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852" w:type="dxa"/>
            <w:shd w:val="clear" w:color="auto" w:fill="auto"/>
            <w:noWrap/>
            <w:vAlign w:val="center"/>
          </w:tcPr>
          <w:p w14:paraId="7CD44EB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64</w:t>
            </w:r>
          </w:p>
        </w:tc>
        <w:tc>
          <w:tcPr>
            <w:tcW w:w="873" w:type="dxa"/>
            <w:shd w:val="clear" w:color="auto" w:fill="auto"/>
            <w:noWrap/>
            <w:vAlign w:val="center"/>
          </w:tcPr>
          <w:p w14:paraId="026446A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825" w:type="dxa"/>
            <w:shd w:val="clear" w:color="auto" w:fill="auto"/>
            <w:noWrap/>
            <w:vAlign w:val="center"/>
          </w:tcPr>
          <w:p w14:paraId="5126C4F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305" w:type="dxa"/>
            <w:shd w:val="clear" w:color="auto" w:fill="auto"/>
            <w:noWrap/>
            <w:vAlign w:val="center"/>
          </w:tcPr>
          <w:p w14:paraId="0011F42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76" w:type="dxa"/>
            <w:shd w:val="clear" w:color="auto" w:fill="auto"/>
            <w:noWrap/>
            <w:vAlign w:val="center"/>
          </w:tcPr>
          <w:p w14:paraId="69C91DC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40" w:type="dxa"/>
            <w:shd w:val="clear" w:color="auto" w:fill="auto"/>
            <w:noWrap/>
            <w:vAlign w:val="center"/>
          </w:tcPr>
          <w:p w14:paraId="64A3670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40" w:type="dxa"/>
            <w:shd w:val="clear" w:color="auto" w:fill="auto"/>
            <w:noWrap/>
            <w:vAlign w:val="center"/>
          </w:tcPr>
          <w:p w14:paraId="7666166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409" w:type="dxa"/>
            <w:shd w:val="clear" w:color="auto" w:fill="auto"/>
            <w:noWrap/>
            <w:vAlign w:val="center"/>
          </w:tcPr>
          <w:p w14:paraId="77706AD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30" w:type="dxa"/>
            <w:gridSpan w:val="2"/>
            <w:shd w:val="clear" w:color="auto" w:fill="auto"/>
            <w:noWrap/>
            <w:vAlign w:val="center"/>
          </w:tcPr>
          <w:p w14:paraId="735EB91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7" w:type="dxa"/>
            <w:shd w:val="clear" w:color="auto" w:fill="auto"/>
            <w:vAlign w:val="center"/>
          </w:tcPr>
          <w:p w14:paraId="6C42AAE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r>
              <w:rPr>
                <w:rFonts w:hint="eastAsia" w:ascii="仿宋_GB2312" w:hAnsi="仿宋_GB2312" w:eastAsia="仿宋_GB2312" w:cs="仿宋_GB2312"/>
                <w:i w:val="0"/>
                <w:color w:val="000000"/>
                <w:spacing w:val="-20"/>
                <w:kern w:val="0"/>
                <w:sz w:val="20"/>
                <w:szCs w:val="20"/>
                <w:u w:val="none"/>
                <w:lang w:val="en-US" w:eastAsia="zh-CN" w:bidi="ar"/>
              </w:rPr>
              <w:t>考试</w:t>
            </w:r>
          </w:p>
        </w:tc>
      </w:tr>
      <w:tr w14:paraId="68CAD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0EDEBAC1">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restart"/>
            <w:shd w:val="clear" w:color="auto" w:fill="auto"/>
            <w:vAlign w:val="center"/>
          </w:tcPr>
          <w:p w14:paraId="20BC8D9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p w14:paraId="046AB8D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p w14:paraId="3EA6E20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专业核心课</w:t>
            </w:r>
          </w:p>
        </w:tc>
        <w:tc>
          <w:tcPr>
            <w:tcW w:w="480" w:type="dxa"/>
            <w:vMerge w:val="restart"/>
            <w:shd w:val="clear" w:color="auto" w:fill="auto"/>
            <w:noWrap/>
            <w:vAlign w:val="center"/>
          </w:tcPr>
          <w:p w14:paraId="733BC15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必修</w:t>
            </w:r>
          </w:p>
        </w:tc>
        <w:tc>
          <w:tcPr>
            <w:tcW w:w="650" w:type="dxa"/>
            <w:shd w:val="clear" w:color="auto" w:fill="auto"/>
            <w:noWrap/>
            <w:vAlign w:val="center"/>
          </w:tcPr>
          <w:p w14:paraId="56CA0C6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w:t>
            </w:r>
          </w:p>
        </w:tc>
        <w:tc>
          <w:tcPr>
            <w:tcW w:w="1348" w:type="dxa"/>
            <w:shd w:val="clear" w:color="auto" w:fill="auto"/>
            <w:noWrap/>
            <w:vAlign w:val="center"/>
          </w:tcPr>
          <w:p w14:paraId="3A9B563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3A500211401</w:t>
            </w:r>
          </w:p>
        </w:tc>
        <w:tc>
          <w:tcPr>
            <w:tcW w:w="1549" w:type="dxa"/>
            <w:shd w:val="clear" w:color="auto" w:fill="auto"/>
            <w:vAlign w:val="center"/>
          </w:tcPr>
          <w:p w14:paraId="6C00F46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spacing w:val="-17"/>
                <w:kern w:val="0"/>
                <w:sz w:val="20"/>
                <w:szCs w:val="20"/>
                <w:u w:val="none"/>
                <w:lang w:val="en-US" w:eastAsia="zh-CN" w:bidi="ar"/>
              </w:rPr>
              <w:t>汽车发动机检修</w:t>
            </w:r>
          </w:p>
        </w:tc>
        <w:tc>
          <w:tcPr>
            <w:tcW w:w="961" w:type="dxa"/>
            <w:shd w:val="clear" w:color="auto" w:fill="auto"/>
            <w:vAlign w:val="center"/>
          </w:tcPr>
          <w:p w14:paraId="28E2040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852" w:type="dxa"/>
            <w:shd w:val="clear" w:color="auto" w:fill="auto"/>
            <w:noWrap/>
            <w:vAlign w:val="center"/>
          </w:tcPr>
          <w:p w14:paraId="36D1ED6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64</w:t>
            </w:r>
          </w:p>
        </w:tc>
        <w:tc>
          <w:tcPr>
            <w:tcW w:w="873" w:type="dxa"/>
            <w:shd w:val="clear" w:color="auto" w:fill="auto"/>
            <w:noWrap/>
            <w:vAlign w:val="center"/>
          </w:tcPr>
          <w:p w14:paraId="6599DFD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64</w:t>
            </w:r>
          </w:p>
        </w:tc>
        <w:tc>
          <w:tcPr>
            <w:tcW w:w="825" w:type="dxa"/>
            <w:shd w:val="clear" w:color="auto" w:fill="auto"/>
            <w:noWrap/>
            <w:vAlign w:val="center"/>
          </w:tcPr>
          <w:p w14:paraId="354A666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305" w:type="dxa"/>
            <w:shd w:val="clear" w:color="auto" w:fill="auto"/>
            <w:noWrap/>
            <w:vAlign w:val="center"/>
          </w:tcPr>
          <w:p w14:paraId="1092936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76" w:type="dxa"/>
            <w:shd w:val="clear" w:color="auto" w:fill="auto"/>
            <w:noWrap/>
            <w:vAlign w:val="center"/>
          </w:tcPr>
          <w:p w14:paraId="7066ABF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240" w:type="dxa"/>
            <w:shd w:val="clear" w:color="auto" w:fill="auto"/>
            <w:noWrap/>
            <w:vAlign w:val="center"/>
          </w:tcPr>
          <w:p w14:paraId="3008958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40" w:type="dxa"/>
            <w:shd w:val="clear" w:color="auto" w:fill="auto"/>
            <w:noWrap/>
            <w:vAlign w:val="center"/>
          </w:tcPr>
          <w:p w14:paraId="4428C08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09" w:type="dxa"/>
            <w:shd w:val="clear" w:color="auto" w:fill="auto"/>
            <w:noWrap/>
            <w:vAlign w:val="center"/>
          </w:tcPr>
          <w:p w14:paraId="137F7A6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30" w:type="dxa"/>
            <w:gridSpan w:val="2"/>
            <w:shd w:val="clear" w:color="auto" w:fill="auto"/>
            <w:noWrap/>
            <w:vAlign w:val="center"/>
          </w:tcPr>
          <w:p w14:paraId="3B2080D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7" w:type="dxa"/>
            <w:shd w:val="clear" w:color="auto" w:fill="auto"/>
            <w:vAlign w:val="center"/>
          </w:tcPr>
          <w:p w14:paraId="6ED38DE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r>
              <w:rPr>
                <w:rFonts w:hint="eastAsia" w:ascii="仿宋_GB2312" w:hAnsi="仿宋_GB2312" w:eastAsia="仿宋_GB2312" w:cs="仿宋_GB2312"/>
                <w:i w:val="0"/>
                <w:color w:val="000000"/>
                <w:spacing w:val="-20"/>
                <w:kern w:val="0"/>
                <w:sz w:val="20"/>
                <w:szCs w:val="20"/>
                <w:u w:val="none"/>
                <w:lang w:val="en-US" w:eastAsia="zh-CN" w:bidi="ar"/>
              </w:rPr>
              <w:t>考试</w:t>
            </w:r>
          </w:p>
        </w:tc>
      </w:tr>
      <w:tr w14:paraId="3C44C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323" w:type="dxa"/>
            <w:vMerge w:val="continue"/>
            <w:shd w:val="clear" w:color="auto" w:fill="auto"/>
            <w:vAlign w:val="center"/>
          </w:tcPr>
          <w:p w14:paraId="06D39B79">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14:paraId="50011CB0">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noWrap/>
            <w:vAlign w:val="center"/>
          </w:tcPr>
          <w:p w14:paraId="74B8F1CC">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50" w:type="dxa"/>
            <w:shd w:val="clear" w:color="auto" w:fill="auto"/>
            <w:noWrap/>
            <w:vAlign w:val="center"/>
          </w:tcPr>
          <w:p w14:paraId="074DBCC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1348" w:type="dxa"/>
            <w:shd w:val="clear" w:color="auto" w:fill="auto"/>
            <w:noWrap/>
            <w:vAlign w:val="center"/>
          </w:tcPr>
          <w:p w14:paraId="188827B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3A500211402</w:t>
            </w:r>
          </w:p>
        </w:tc>
        <w:tc>
          <w:tcPr>
            <w:tcW w:w="1549" w:type="dxa"/>
            <w:shd w:val="clear" w:color="auto" w:fill="auto"/>
            <w:vAlign w:val="center"/>
          </w:tcPr>
          <w:p w14:paraId="778FE75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汽车底盘检修</w:t>
            </w:r>
          </w:p>
        </w:tc>
        <w:tc>
          <w:tcPr>
            <w:tcW w:w="961" w:type="dxa"/>
            <w:shd w:val="clear" w:color="auto" w:fill="auto"/>
            <w:vAlign w:val="center"/>
          </w:tcPr>
          <w:p w14:paraId="008FB51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852" w:type="dxa"/>
            <w:shd w:val="clear" w:color="auto" w:fill="auto"/>
            <w:noWrap/>
            <w:vAlign w:val="center"/>
          </w:tcPr>
          <w:p w14:paraId="71B6711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64</w:t>
            </w:r>
          </w:p>
        </w:tc>
        <w:tc>
          <w:tcPr>
            <w:tcW w:w="873" w:type="dxa"/>
            <w:shd w:val="clear" w:color="auto" w:fill="auto"/>
            <w:noWrap/>
            <w:vAlign w:val="center"/>
          </w:tcPr>
          <w:p w14:paraId="36AF94B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64</w:t>
            </w:r>
          </w:p>
        </w:tc>
        <w:tc>
          <w:tcPr>
            <w:tcW w:w="825" w:type="dxa"/>
            <w:shd w:val="clear" w:color="auto" w:fill="auto"/>
            <w:noWrap/>
            <w:vAlign w:val="center"/>
          </w:tcPr>
          <w:p w14:paraId="02D13EB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305" w:type="dxa"/>
            <w:shd w:val="clear" w:color="auto" w:fill="auto"/>
            <w:noWrap/>
            <w:vAlign w:val="center"/>
          </w:tcPr>
          <w:p w14:paraId="2FD4511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76" w:type="dxa"/>
            <w:shd w:val="clear" w:color="auto" w:fill="auto"/>
            <w:noWrap/>
            <w:vAlign w:val="center"/>
          </w:tcPr>
          <w:p w14:paraId="12744FB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240" w:type="dxa"/>
            <w:shd w:val="clear" w:color="auto" w:fill="auto"/>
            <w:noWrap/>
            <w:vAlign w:val="center"/>
          </w:tcPr>
          <w:p w14:paraId="5C21FFC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40" w:type="dxa"/>
            <w:shd w:val="clear" w:color="auto" w:fill="auto"/>
            <w:noWrap/>
            <w:vAlign w:val="center"/>
          </w:tcPr>
          <w:p w14:paraId="1802247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09" w:type="dxa"/>
            <w:shd w:val="clear" w:color="auto" w:fill="auto"/>
            <w:noWrap/>
            <w:vAlign w:val="center"/>
          </w:tcPr>
          <w:p w14:paraId="044A07A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30" w:type="dxa"/>
            <w:gridSpan w:val="2"/>
            <w:shd w:val="clear" w:color="auto" w:fill="auto"/>
            <w:noWrap/>
            <w:vAlign w:val="center"/>
          </w:tcPr>
          <w:p w14:paraId="6AA4977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7" w:type="dxa"/>
            <w:shd w:val="clear" w:color="auto" w:fill="auto"/>
            <w:vAlign w:val="center"/>
          </w:tcPr>
          <w:p w14:paraId="04816F2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r>
              <w:rPr>
                <w:rFonts w:hint="eastAsia" w:ascii="仿宋_GB2312" w:hAnsi="仿宋_GB2312" w:eastAsia="仿宋_GB2312" w:cs="仿宋_GB2312"/>
                <w:i w:val="0"/>
                <w:color w:val="000000"/>
                <w:spacing w:val="-20"/>
                <w:kern w:val="0"/>
                <w:sz w:val="20"/>
                <w:szCs w:val="20"/>
                <w:u w:val="none"/>
                <w:lang w:val="en-US" w:eastAsia="zh-CN" w:bidi="ar"/>
              </w:rPr>
              <w:t>考试</w:t>
            </w:r>
          </w:p>
        </w:tc>
      </w:tr>
      <w:tr w14:paraId="3BD0E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2AB8378E">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14:paraId="3A534B51">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noWrap/>
            <w:vAlign w:val="center"/>
          </w:tcPr>
          <w:p w14:paraId="60643B24">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50" w:type="dxa"/>
            <w:shd w:val="clear" w:color="auto" w:fill="auto"/>
            <w:noWrap/>
            <w:vAlign w:val="center"/>
          </w:tcPr>
          <w:p w14:paraId="73236C5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w:t>
            </w:r>
          </w:p>
        </w:tc>
        <w:tc>
          <w:tcPr>
            <w:tcW w:w="1348" w:type="dxa"/>
            <w:shd w:val="clear" w:color="auto" w:fill="auto"/>
            <w:noWrap/>
            <w:vAlign w:val="center"/>
          </w:tcPr>
          <w:p w14:paraId="74AD17E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3A500211403</w:t>
            </w:r>
          </w:p>
        </w:tc>
        <w:tc>
          <w:tcPr>
            <w:tcW w:w="1549" w:type="dxa"/>
            <w:shd w:val="clear" w:color="auto" w:fill="auto"/>
            <w:vAlign w:val="center"/>
          </w:tcPr>
          <w:p w14:paraId="459370B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000000"/>
                <w:spacing w:val="-17"/>
                <w:kern w:val="0"/>
                <w:sz w:val="20"/>
                <w:szCs w:val="20"/>
                <w:lang w:val="en-US" w:eastAsia="zh-CN" w:bidi="ar"/>
              </w:rPr>
            </w:pPr>
            <w:r>
              <w:rPr>
                <w:rFonts w:hint="eastAsia" w:ascii="仿宋_GB2312" w:hAnsi="仿宋_GB2312" w:eastAsia="仿宋_GB2312" w:cs="仿宋_GB2312"/>
                <w:color w:val="000000"/>
                <w:spacing w:val="-17"/>
                <w:kern w:val="0"/>
                <w:sz w:val="20"/>
                <w:szCs w:val="20"/>
                <w:lang w:val="en-US" w:eastAsia="zh-CN" w:bidi="ar"/>
              </w:rPr>
              <w:t>汽车电气设备检修</w:t>
            </w:r>
          </w:p>
        </w:tc>
        <w:tc>
          <w:tcPr>
            <w:tcW w:w="961" w:type="dxa"/>
            <w:shd w:val="clear" w:color="auto" w:fill="auto"/>
            <w:vAlign w:val="center"/>
          </w:tcPr>
          <w:p w14:paraId="5EF089D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852" w:type="dxa"/>
            <w:shd w:val="clear" w:color="auto" w:fill="auto"/>
            <w:noWrap/>
            <w:vAlign w:val="center"/>
          </w:tcPr>
          <w:p w14:paraId="1090EC9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64</w:t>
            </w:r>
          </w:p>
        </w:tc>
        <w:tc>
          <w:tcPr>
            <w:tcW w:w="873" w:type="dxa"/>
            <w:shd w:val="clear" w:color="auto" w:fill="auto"/>
            <w:noWrap/>
            <w:vAlign w:val="center"/>
          </w:tcPr>
          <w:p w14:paraId="1326FB7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64</w:t>
            </w:r>
          </w:p>
        </w:tc>
        <w:tc>
          <w:tcPr>
            <w:tcW w:w="825" w:type="dxa"/>
            <w:shd w:val="clear" w:color="auto" w:fill="auto"/>
            <w:noWrap/>
            <w:vAlign w:val="center"/>
          </w:tcPr>
          <w:p w14:paraId="1FB1DE7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305" w:type="dxa"/>
            <w:shd w:val="clear" w:color="auto" w:fill="auto"/>
            <w:noWrap/>
            <w:vAlign w:val="center"/>
          </w:tcPr>
          <w:p w14:paraId="12E6CC1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76" w:type="dxa"/>
            <w:shd w:val="clear" w:color="auto" w:fill="auto"/>
            <w:noWrap/>
            <w:vAlign w:val="center"/>
          </w:tcPr>
          <w:p w14:paraId="319536C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40" w:type="dxa"/>
            <w:shd w:val="clear" w:color="auto" w:fill="auto"/>
            <w:noWrap/>
            <w:vAlign w:val="center"/>
          </w:tcPr>
          <w:p w14:paraId="07EB2F1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240" w:type="dxa"/>
            <w:shd w:val="clear" w:color="auto" w:fill="auto"/>
            <w:noWrap/>
            <w:vAlign w:val="center"/>
          </w:tcPr>
          <w:p w14:paraId="52C4F95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09" w:type="dxa"/>
            <w:shd w:val="clear" w:color="auto" w:fill="auto"/>
            <w:noWrap/>
            <w:vAlign w:val="center"/>
          </w:tcPr>
          <w:p w14:paraId="7DA9BA6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30" w:type="dxa"/>
            <w:gridSpan w:val="2"/>
            <w:shd w:val="clear" w:color="auto" w:fill="auto"/>
            <w:noWrap/>
            <w:vAlign w:val="center"/>
          </w:tcPr>
          <w:p w14:paraId="148801C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7" w:type="dxa"/>
            <w:shd w:val="clear" w:color="auto" w:fill="auto"/>
            <w:vAlign w:val="center"/>
          </w:tcPr>
          <w:p w14:paraId="392E048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r>
              <w:rPr>
                <w:rFonts w:hint="eastAsia" w:ascii="仿宋_GB2312" w:hAnsi="仿宋_GB2312" w:eastAsia="仿宋_GB2312" w:cs="仿宋_GB2312"/>
                <w:i w:val="0"/>
                <w:color w:val="000000"/>
                <w:spacing w:val="-20"/>
                <w:kern w:val="0"/>
                <w:sz w:val="20"/>
                <w:szCs w:val="20"/>
                <w:u w:val="none"/>
                <w:lang w:val="en-US" w:eastAsia="zh-CN" w:bidi="ar"/>
              </w:rPr>
              <w:t>考试</w:t>
            </w:r>
          </w:p>
        </w:tc>
      </w:tr>
      <w:tr w14:paraId="3CA70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323" w:type="dxa"/>
            <w:vMerge w:val="continue"/>
            <w:shd w:val="clear" w:color="auto" w:fill="auto"/>
            <w:vAlign w:val="center"/>
          </w:tcPr>
          <w:p w14:paraId="671C9129">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14:paraId="40872F10">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noWrap/>
            <w:vAlign w:val="center"/>
          </w:tcPr>
          <w:p w14:paraId="4A5E92DD">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50" w:type="dxa"/>
            <w:shd w:val="clear" w:color="auto" w:fill="auto"/>
            <w:noWrap/>
            <w:vAlign w:val="center"/>
          </w:tcPr>
          <w:p w14:paraId="5D0F5A2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1348" w:type="dxa"/>
            <w:shd w:val="clear" w:color="auto" w:fill="auto"/>
            <w:noWrap/>
            <w:vAlign w:val="center"/>
          </w:tcPr>
          <w:p w14:paraId="036FF62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3B500211404</w:t>
            </w:r>
          </w:p>
        </w:tc>
        <w:tc>
          <w:tcPr>
            <w:tcW w:w="1549" w:type="dxa"/>
            <w:shd w:val="clear" w:color="auto" w:fill="auto"/>
            <w:vAlign w:val="center"/>
          </w:tcPr>
          <w:p w14:paraId="45DC85F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000000"/>
                <w:spacing w:val="-17"/>
                <w:kern w:val="0"/>
                <w:sz w:val="20"/>
                <w:szCs w:val="20"/>
                <w:lang w:val="en-US" w:eastAsia="zh-CN" w:bidi="ar"/>
              </w:rPr>
            </w:pPr>
            <w:r>
              <w:rPr>
                <w:rFonts w:hint="eastAsia" w:ascii="仿宋_GB2312" w:hAnsi="仿宋_GB2312" w:eastAsia="仿宋_GB2312" w:cs="仿宋_GB2312"/>
                <w:color w:val="000000"/>
                <w:spacing w:val="-17"/>
                <w:kern w:val="0"/>
                <w:sz w:val="20"/>
                <w:szCs w:val="20"/>
                <w:lang w:val="en-US" w:eastAsia="zh-CN" w:bidi="ar"/>
              </w:rPr>
              <w:t>汽车维修业务接待</w:t>
            </w:r>
          </w:p>
        </w:tc>
        <w:tc>
          <w:tcPr>
            <w:tcW w:w="961" w:type="dxa"/>
            <w:shd w:val="clear" w:color="auto" w:fill="auto"/>
            <w:vAlign w:val="center"/>
          </w:tcPr>
          <w:p w14:paraId="124AA4C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852" w:type="dxa"/>
            <w:shd w:val="clear" w:color="auto" w:fill="auto"/>
            <w:noWrap/>
            <w:vAlign w:val="center"/>
          </w:tcPr>
          <w:p w14:paraId="011343F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64</w:t>
            </w:r>
          </w:p>
        </w:tc>
        <w:tc>
          <w:tcPr>
            <w:tcW w:w="873" w:type="dxa"/>
            <w:shd w:val="clear" w:color="auto" w:fill="auto"/>
            <w:noWrap/>
            <w:vAlign w:val="center"/>
          </w:tcPr>
          <w:p w14:paraId="7345CA8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825" w:type="dxa"/>
            <w:shd w:val="clear" w:color="auto" w:fill="auto"/>
            <w:noWrap/>
            <w:vAlign w:val="center"/>
          </w:tcPr>
          <w:p w14:paraId="12A2E36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305" w:type="dxa"/>
            <w:shd w:val="clear" w:color="auto" w:fill="auto"/>
            <w:noWrap/>
            <w:vAlign w:val="center"/>
          </w:tcPr>
          <w:p w14:paraId="01EC0A6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76" w:type="dxa"/>
            <w:shd w:val="clear" w:color="auto" w:fill="auto"/>
            <w:noWrap/>
            <w:vAlign w:val="center"/>
          </w:tcPr>
          <w:p w14:paraId="56E9563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40" w:type="dxa"/>
            <w:shd w:val="clear" w:color="auto" w:fill="auto"/>
            <w:noWrap/>
            <w:vAlign w:val="center"/>
          </w:tcPr>
          <w:p w14:paraId="681912F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40" w:type="dxa"/>
            <w:shd w:val="clear" w:color="auto" w:fill="auto"/>
            <w:noWrap/>
            <w:vAlign w:val="center"/>
          </w:tcPr>
          <w:p w14:paraId="571405D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409" w:type="dxa"/>
            <w:shd w:val="clear" w:color="auto" w:fill="auto"/>
            <w:noWrap/>
            <w:vAlign w:val="center"/>
          </w:tcPr>
          <w:p w14:paraId="1111D1E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30" w:type="dxa"/>
            <w:gridSpan w:val="2"/>
            <w:shd w:val="clear" w:color="auto" w:fill="auto"/>
            <w:noWrap/>
            <w:vAlign w:val="center"/>
          </w:tcPr>
          <w:p w14:paraId="5233372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7" w:type="dxa"/>
            <w:shd w:val="clear" w:color="auto" w:fill="auto"/>
            <w:vAlign w:val="center"/>
          </w:tcPr>
          <w:p w14:paraId="2A80ED1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r>
              <w:rPr>
                <w:rFonts w:hint="eastAsia" w:ascii="仿宋_GB2312" w:hAnsi="仿宋_GB2312" w:eastAsia="仿宋_GB2312" w:cs="仿宋_GB2312"/>
                <w:i w:val="0"/>
                <w:color w:val="000000"/>
                <w:spacing w:val="-20"/>
                <w:kern w:val="0"/>
                <w:sz w:val="20"/>
                <w:szCs w:val="20"/>
                <w:u w:val="none"/>
                <w:lang w:val="en-US" w:eastAsia="zh-CN" w:bidi="ar"/>
              </w:rPr>
              <w:t>考试</w:t>
            </w:r>
          </w:p>
        </w:tc>
      </w:tr>
      <w:tr w14:paraId="7FB64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5306932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14:paraId="28BF7EBF">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noWrap/>
            <w:vAlign w:val="center"/>
          </w:tcPr>
          <w:p w14:paraId="23110E3E">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50" w:type="dxa"/>
            <w:shd w:val="clear" w:color="auto" w:fill="auto"/>
            <w:noWrap/>
            <w:vAlign w:val="center"/>
          </w:tcPr>
          <w:p w14:paraId="6A55788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w:t>
            </w:r>
          </w:p>
        </w:tc>
        <w:tc>
          <w:tcPr>
            <w:tcW w:w="1348" w:type="dxa"/>
            <w:shd w:val="clear" w:color="auto" w:fill="auto"/>
            <w:noWrap/>
            <w:vAlign w:val="center"/>
          </w:tcPr>
          <w:p w14:paraId="7990C11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3B500211405</w:t>
            </w:r>
          </w:p>
        </w:tc>
        <w:tc>
          <w:tcPr>
            <w:tcW w:w="1549" w:type="dxa"/>
            <w:shd w:val="clear" w:color="auto" w:fill="auto"/>
            <w:vAlign w:val="center"/>
          </w:tcPr>
          <w:p w14:paraId="152F595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汽车车载网络系统检修</w:t>
            </w:r>
          </w:p>
        </w:tc>
        <w:tc>
          <w:tcPr>
            <w:tcW w:w="961" w:type="dxa"/>
            <w:shd w:val="clear" w:color="auto" w:fill="auto"/>
            <w:vAlign w:val="center"/>
          </w:tcPr>
          <w:p w14:paraId="792A240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852" w:type="dxa"/>
            <w:shd w:val="clear" w:color="auto" w:fill="auto"/>
            <w:noWrap/>
            <w:vAlign w:val="center"/>
          </w:tcPr>
          <w:p w14:paraId="2440FE0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64</w:t>
            </w:r>
          </w:p>
        </w:tc>
        <w:tc>
          <w:tcPr>
            <w:tcW w:w="873" w:type="dxa"/>
            <w:shd w:val="clear" w:color="auto" w:fill="auto"/>
            <w:noWrap/>
            <w:vAlign w:val="center"/>
          </w:tcPr>
          <w:p w14:paraId="02E5490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825" w:type="dxa"/>
            <w:shd w:val="clear" w:color="auto" w:fill="auto"/>
            <w:noWrap/>
            <w:vAlign w:val="center"/>
          </w:tcPr>
          <w:p w14:paraId="444BC91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305" w:type="dxa"/>
            <w:shd w:val="clear" w:color="auto" w:fill="auto"/>
            <w:noWrap/>
            <w:vAlign w:val="center"/>
          </w:tcPr>
          <w:p w14:paraId="2517F4F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76" w:type="dxa"/>
            <w:shd w:val="clear" w:color="auto" w:fill="auto"/>
            <w:noWrap/>
            <w:vAlign w:val="center"/>
          </w:tcPr>
          <w:p w14:paraId="5AEB9D0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40" w:type="dxa"/>
            <w:shd w:val="clear" w:color="auto" w:fill="auto"/>
            <w:noWrap/>
            <w:vAlign w:val="center"/>
          </w:tcPr>
          <w:p w14:paraId="4BB29ED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40" w:type="dxa"/>
            <w:shd w:val="clear" w:color="auto" w:fill="auto"/>
            <w:noWrap/>
            <w:vAlign w:val="center"/>
          </w:tcPr>
          <w:p w14:paraId="3FDF064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409" w:type="dxa"/>
            <w:shd w:val="clear" w:color="auto" w:fill="auto"/>
            <w:noWrap/>
            <w:vAlign w:val="center"/>
          </w:tcPr>
          <w:p w14:paraId="300DD1D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30" w:type="dxa"/>
            <w:gridSpan w:val="2"/>
            <w:shd w:val="clear" w:color="auto" w:fill="auto"/>
            <w:noWrap/>
            <w:vAlign w:val="center"/>
          </w:tcPr>
          <w:p w14:paraId="7FDF424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7" w:type="dxa"/>
            <w:shd w:val="clear" w:color="auto" w:fill="auto"/>
            <w:vAlign w:val="center"/>
          </w:tcPr>
          <w:p w14:paraId="20EB25F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r>
              <w:rPr>
                <w:rFonts w:hint="eastAsia" w:ascii="仿宋_GB2312" w:hAnsi="仿宋_GB2312" w:eastAsia="仿宋_GB2312" w:cs="仿宋_GB2312"/>
                <w:i w:val="0"/>
                <w:color w:val="000000"/>
                <w:spacing w:val="-20"/>
                <w:kern w:val="0"/>
                <w:sz w:val="20"/>
                <w:szCs w:val="20"/>
                <w:u w:val="none"/>
                <w:lang w:val="en-US" w:eastAsia="zh-CN" w:bidi="ar"/>
              </w:rPr>
              <w:t>考试</w:t>
            </w:r>
          </w:p>
        </w:tc>
      </w:tr>
      <w:tr w14:paraId="352FC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323" w:type="dxa"/>
            <w:vMerge w:val="continue"/>
            <w:shd w:val="clear" w:color="auto" w:fill="auto"/>
            <w:vAlign w:val="center"/>
          </w:tcPr>
          <w:p w14:paraId="511EC0AD">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14:paraId="2AB7CC78">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noWrap/>
            <w:vAlign w:val="center"/>
          </w:tcPr>
          <w:p w14:paraId="52B1AD67">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50" w:type="dxa"/>
            <w:shd w:val="clear" w:color="auto" w:fill="auto"/>
            <w:noWrap/>
            <w:vAlign w:val="center"/>
          </w:tcPr>
          <w:p w14:paraId="44ED005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w:t>
            </w:r>
          </w:p>
        </w:tc>
        <w:tc>
          <w:tcPr>
            <w:tcW w:w="1348" w:type="dxa"/>
            <w:shd w:val="clear" w:color="auto" w:fill="auto"/>
            <w:noWrap/>
            <w:vAlign w:val="center"/>
          </w:tcPr>
          <w:p w14:paraId="5E77728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3A500211406</w:t>
            </w:r>
          </w:p>
        </w:tc>
        <w:tc>
          <w:tcPr>
            <w:tcW w:w="1549" w:type="dxa"/>
            <w:shd w:val="clear" w:color="auto" w:fill="auto"/>
            <w:vAlign w:val="center"/>
          </w:tcPr>
          <w:p w14:paraId="72BA323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汽车检测与故障诊断</w:t>
            </w:r>
          </w:p>
        </w:tc>
        <w:tc>
          <w:tcPr>
            <w:tcW w:w="961" w:type="dxa"/>
            <w:shd w:val="clear" w:color="auto" w:fill="auto"/>
            <w:vAlign w:val="center"/>
          </w:tcPr>
          <w:p w14:paraId="5308E0E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852" w:type="dxa"/>
            <w:shd w:val="clear" w:color="auto" w:fill="auto"/>
            <w:noWrap/>
            <w:vAlign w:val="center"/>
          </w:tcPr>
          <w:p w14:paraId="36FD275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64</w:t>
            </w:r>
          </w:p>
        </w:tc>
        <w:tc>
          <w:tcPr>
            <w:tcW w:w="873" w:type="dxa"/>
            <w:shd w:val="clear" w:color="auto" w:fill="auto"/>
            <w:vAlign w:val="center"/>
          </w:tcPr>
          <w:p w14:paraId="016D7CF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64</w:t>
            </w:r>
          </w:p>
        </w:tc>
        <w:tc>
          <w:tcPr>
            <w:tcW w:w="825" w:type="dxa"/>
            <w:shd w:val="clear" w:color="auto" w:fill="auto"/>
            <w:vAlign w:val="center"/>
          </w:tcPr>
          <w:p w14:paraId="20264A8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305" w:type="dxa"/>
            <w:shd w:val="clear" w:color="auto" w:fill="auto"/>
            <w:noWrap/>
            <w:vAlign w:val="center"/>
          </w:tcPr>
          <w:p w14:paraId="00EA2E4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76" w:type="dxa"/>
            <w:shd w:val="clear" w:color="auto" w:fill="auto"/>
            <w:noWrap/>
            <w:vAlign w:val="center"/>
          </w:tcPr>
          <w:p w14:paraId="59505C1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40" w:type="dxa"/>
            <w:shd w:val="clear" w:color="auto" w:fill="auto"/>
            <w:noWrap/>
            <w:vAlign w:val="center"/>
          </w:tcPr>
          <w:p w14:paraId="01E571B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40" w:type="dxa"/>
            <w:shd w:val="clear" w:color="auto" w:fill="auto"/>
            <w:noWrap/>
            <w:vAlign w:val="center"/>
          </w:tcPr>
          <w:p w14:paraId="3EE646D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409" w:type="dxa"/>
            <w:shd w:val="clear" w:color="auto" w:fill="auto"/>
            <w:noWrap/>
            <w:vAlign w:val="center"/>
          </w:tcPr>
          <w:p w14:paraId="37B849D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30" w:type="dxa"/>
            <w:gridSpan w:val="2"/>
            <w:shd w:val="clear" w:color="auto" w:fill="auto"/>
            <w:noWrap/>
            <w:vAlign w:val="center"/>
          </w:tcPr>
          <w:p w14:paraId="392D568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7" w:type="dxa"/>
            <w:shd w:val="clear" w:color="auto" w:fill="auto"/>
            <w:vAlign w:val="center"/>
          </w:tcPr>
          <w:p w14:paraId="34087A4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r>
              <w:rPr>
                <w:rFonts w:hint="eastAsia" w:ascii="仿宋_GB2312" w:hAnsi="仿宋_GB2312" w:eastAsia="仿宋_GB2312" w:cs="仿宋_GB2312"/>
                <w:i w:val="0"/>
                <w:color w:val="000000"/>
                <w:spacing w:val="-20"/>
                <w:kern w:val="0"/>
                <w:sz w:val="20"/>
                <w:szCs w:val="20"/>
                <w:u w:val="none"/>
                <w:lang w:val="en-US" w:eastAsia="zh-CN" w:bidi="ar"/>
              </w:rPr>
              <w:t>考试</w:t>
            </w:r>
          </w:p>
        </w:tc>
      </w:tr>
      <w:tr w14:paraId="48194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2EDDE02C">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restart"/>
            <w:shd w:val="clear" w:color="auto" w:fill="auto"/>
            <w:vAlign w:val="center"/>
          </w:tcPr>
          <w:p w14:paraId="415F709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rPr>
            </w:pPr>
            <w:r>
              <w:rPr>
                <w:rFonts w:hint="eastAsia" w:ascii="仿宋_GB2312" w:hAnsi="仿宋_GB2312" w:eastAsia="仿宋_GB2312" w:cs="仿宋_GB2312"/>
                <w:i w:val="0"/>
                <w:color w:val="000000"/>
                <w:kern w:val="0"/>
                <w:sz w:val="20"/>
                <w:szCs w:val="20"/>
                <w:u w:val="none"/>
                <w:lang w:val="en-US" w:eastAsia="zh-CN" w:bidi="ar"/>
              </w:rPr>
              <w:t>专业拓展课</w:t>
            </w:r>
          </w:p>
        </w:tc>
        <w:tc>
          <w:tcPr>
            <w:tcW w:w="480" w:type="dxa"/>
            <w:vMerge w:val="restart"/>
            <w:shd w:val="clear" w:color="auto" w:fill="auto"/>
            <w:vAlign w:val="center"/>
          </w:tcPr>
          <w:p w14:paraId="2CE8226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选修</w:t>
            </w:r>
          </w:p>
        </w:tc>
        <w:tc>
          <w:tcPr>
            <w:tcW w:w="650" w:type="dxa"/>
            <w:shd w:val="clear" w:color="auto" w:fill="auto"/>
            <w:noWrap/>
            <w:vAlign w:val="center"/>
          </w:tcPr>
          <w:p w14:paraId="060ECE7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w:t>
            </w:r>
          </w:p>
        </w:tc>
        <w:tc>
          <w:tcPr>
            <w:tcW w:w="1348" w:type="dxa"/>
            <w:shd w:val="clear" w:color="auto" w:fill="auto"/>
            <w:noWrap/>
            <w:vAlign w:val="center"/>
          </w:tcPr>
          <w:p w14:paraId="43C5E5F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3A500211501</w:t>
            </w:r>
          </w:p>
        </w:tc>
        <w:tc>
          <w:tcPr>
            <w:tcW w:w="1549" w:type="dxa"/>
            <w:shd w:val="clear" w:color="auto" w:fill="auto"/>
            <w:vAlign w:val="center"/>
          </w:tcPr>
          <w:p w14:paraId="7E56D48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spacing w:val="-17"/>
                <w:kern w:val="0"/>
                <w:sz w:val="20"/>
                <w:szCs w:val="20"/>
                <w:u w:val="none"/>
                <w:lang w:val="en-US" w:eastAsia="zh-CN" w:bidi="ar"/>
              </w:rPr>
              <w:t>新能源汽车技术</w:t>
            </w:r>
          </w:p>
        </w:tc>
        <w:tc>
          <w:tcPr>
            <w:tcW w:w="961" w:type="dxa"/>
            <w:shd w:val="clear" w:color="auto" w:fill="auto"/>
            <w:vAlign w:val="center"/>
          </w:tcPr>
          <w:p w14:paraId="34A38F2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52" w:type="dxa"/>
            <w:shd w:val="clear" w:color="auto" w:fill="auto"/>
            <w:vAlign w:val="center"/>
          </w:tcPr>
          <w:p w14:paraId="17A5A89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873" w:type="dxa"/>
            <w:shd w:val="clear" w:color="auto" w:fill="auto"/>
            <w:vAlign w:val="center"/>
          </w:tcPr>
          <w:p w14:paraId="36679FD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825" w:type="dxa"/>
            <w:shd w:val="clear" w:color="auto" w:fill="auto"/>
            <w:vAlign w:val="center"/>
          </w:tcPr>
          <w:p w14:paraId="07CF12D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1900" w:type="dxa"/>
            <w:gridSpan w:val="7"/>
            <w:vMerge w:val="restart"/>
            <w:shd w:val="clear" w:color="auto" w:fill="auto"/>
            <w:noWrap/>
            <w:vAlign w:val="center"/>
          </w:tcPr>
          <w:p w14:paraId="737B246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专业拓展课最低学分要求为10学分</w:t>
            </w:r>
          </w:p>
        </w:tc>
        <w:tc>
          <w:tcPr>
            <w:tcW w:w="537" w:type="dxa"/>
            <w:shd w:val="clear" w:color="auto" w:fill="auto"/>
            <w:noWrap/>
            <w:vAlign w:val="center"/>
          </w:tcPr>
          <w:p w14:paraId="19C50AB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r>
              <w:rPr>
                <w:rFonts w:hint="eastAsia" w:ascii="仿宋_GB2312" w:hAnsi="仿宋_GB2312" w:eastAsia="仿宋_GB2312" w:cs="仿宋_GB2312"/>
                <w:i w:val="0"/>
                <w:color w:val="000000"/>
                <w:spacing w:val="-20"/>
                <w:kern w:val="0"/>
                <w:sz w:val="20"/>
                <w:szCs w:val="20"/>
                <w:highlight w:val="none"/>
                <w:u w:val="none"/>
                <w:lang w:val="en-US" w:eastAsia="zh-CN" w:bidi="ar"/>
              </w:rPr>
              <w:t>考查</w:t>
            </w:r>
          </w:p>
        </w:tc>
      </w:tr>
      <w:tr w14:paraId="44042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77B7A547">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14:paraId="03DD95E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shd w:val="clear" w:color="auto" w:fill="auto"/>
            <w:vAlign w:val="center"/>
          </w:tcPr>
          <w:p w14:paraId="68149B3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650" w:type="dxa"/>
            <w:shd w:val="clear" w:color="auto" w:fill="auto"/>
            <w:noWrap/>
            <w:vAlign w:val="center"/>
          </w:tcPr>
          <w:p w14:paraId="1205E74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1348" w:type="dxa"/>
            <w:shd w:val="clear" w:color="auto" w:fill="auto"/>
            <w:noWrap/>
            <w:vAlign w:val="center"/>
          </w:tcPr>
          <w:p w14:paraId="3A37B4E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3A500211502</w:t>
            </w:r>
          </w:p>
        </w:tc>
        <w:tc>
          <w:tcPr>
            <w:tcW w:w="1549" w:type="dxa"/>
            <w:shd w:val="clear" w:color="auto" w:fill="auto"/>
            <w:vAlign w:val="center"/>
          </w:tcPr>
          <w:p w14:paraId="6C5EB50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汽车智能共享出行概论</w:t>
            </w:r>
          </w:p>
        </w:tc>
        <w:tc>
          <w:tcPr>
            <w:tcW w:w="961" w:type="dxa"/>
            <w:shd w:val="clear" w:color="auto" w:fill="auto"/>
            <w:vAlign w:val="center"/>
          </w:tcPr>
          <w:p w14:paraId="7768BC2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52" w:type="dxa"/>
            <w:shd w:val="clear" w:color="auto" w:fill="auto"/>
            <w:vAlign w:val="center"/>
          </w:tcPr>
          <w:p w14:paraId="5AEF5A4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873" w:type="dxa"/>
            <w:shd w:val="clear" w:color="auto" w:fill="auto"/>
            <w:vAlign w:val="center"/>
          </w:tcPr>
          <w:p w14:paraId="0F6BD34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825" w:type="dxa"/>
            <w:shd w:val="clear" w:color="auto" w:fill="auto"/>
            <w:vAlign w:val="center"/>
          </w:tcPr>
          <w:p w14:paraId="5F84F8B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1900" w:type="dxa"/>
            <w:gridSpan w:val="7"/>
            <w:vMerge w:val="continue"/>
            <w:shd w:val="clear" w:color="auto" w:fill="auto"/>
            <w:noWrap/>
            <w:vAlign w:val="center"/>
          </w:tcPr>
          <w:p w14:paraId="6754AB9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7" w:type="dxa"/>
            <w:shd w:val="clear" w:color="auto" w:fill="auto"/>
            <w:noWrap/>
            <w:vAlign w:val="center"/>
          </w:tcPr>
          <w:p w14:paraId="5D449F9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r>
              <w:rPr>
                <w:rFonts w:hint="eastAsia" w:ascii="仿宋_GB2312" w:hAnsi="仿宋_GB2312" w:eastAsia="仿宋_GB2312" w:cs="仿宋_GB2312"/>
                <w:i w:val="0"/>
                <w:color w:val="000000"/>
                <w:spacing w:val="-20"/>
                <w:kern w:val="0"/>
                <w:sz w:val="20"/>
                <w:szCs w:val="20"/>
                <w:highlight w:val="none"/>
                <w:u w:val="none"/>
                <w:lang w:val="en-US" w:eastAsia="zh-CN" w:bidi="ar"/>
              </w:rPr>
              <w:t>考查</w:t>
            </w:r>
          </w:p>
        </w:tc>
      </w:tr>
      <w:tr w14:paraId="3EC27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12DE147E">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14:paraId="445602B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shd w:val="clear" w:color="auto" w:fill="auto"/>
            <w:vAlign w:val="center"/>
          </w:tcPr>
          <w:p w14:paraId="51D9900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650" w:type="dxa"/>
            <w:shd w:val="clear" w:color="auto" w:fill="auto"/>
            <w:noWrap/>
            <w:vAlign w:val="center"/>
          </w:tcPr>
          <w:p w14:paraId="49AD0B4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w:t>
            </w:r>
          </w:p>
        </w:tc>
        <w:tc>
          <w:tcPr>
            <w:tcW w:w="1348" w:type="dxa"/>
            <w:shd w:val="clear" w:color="auto" w:fill="auto"/>
            <w:noWrap/>
            <w:vAlign w:val="center"/>
          </w:tcPr>
          <w:p w14:paraId="2EFBE0D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3A500211503</w:t>
            </w:r>
          </w:p>
        </w:tc>
        <w:tc>
          <w:tcPr>
            <w:tcW w:w="1549" w:type="dxa"/>
            <w:shd w:val="clear" w:color="auto" w:fill="auto"/>
            <w:vAlign w:val="center"/>
          </w:tcPr>
          <w:p w14:paraId="65F285B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000000"/>
                <w:spacing w:val="-17"/>
                <w:kern w:val="0"/>
                <w:sz w:val="20"/>
                <w:szCs w:val="20"/>
                <w:lang w:val="en-US" w:eastAsia="zh-CN" w:bidi="ar"/>
              </w:rPr>
            </w:pPr>
            <w:r>
              <w:rPr>
                <w:rFonts w:hint="eastAsia" w:ascii="仿宋_GB2312" w:hAnsi="仿宋_GB2312" w:eastAsia="仿宋_GB2312" w:cs="仿宋_GB2312"/>
                <w:color w:val="000000"/>
                <w:spacing w:val="-17"/>
                <w:kern w:val="0"/>
                <w:sz w:val="20"/>
                <w:szCs w:val="20"/>
                <w:lang w:val="en-US" w:eastAsia="zh-CN" w:bidi="ar"/>
              </w:rPr>
              <w:t>单片机技术与应用</w:t>
            </w:r>
          </w:p>
        </w:tc>
        <w:tc>
          <w:tcPr>
            <w:tcW w:w="961" w:type="dxa"/>
            <w:shd w:val="clear" w:color="auto" w:fill="auto"/>
            <w:vAlign w:val="center"/>
          </w:tcPr>
          <w:p w14:paraId="157B0E9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52" w:type="dxa"/>
            <w:shd w:val="clear" w:color="auto" w:fill="auto"/>
            <w:vAlign w:val="center"/>
          </w:tcPr>
          <w:p w14:paraId="1243AD0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873" w:type="dxa"/>
            <w:shd w:val="clear" w:color="auto" w:fill="auto"/>
            <w:vAlign w:val="center"/>
          </w:tcPr>
          <w:p w14:paraId="50F4A9D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825" w:type="dxa"/>
            <w:shd w:val="clear" w:color="auto" w:fill="auto"/>
            <w:vAlign w:val="center"/>
          </w:tcPr>
          <w:p w14:paraId="1C32AC6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1900" w:type="dxa"/>
            <w:gridSpan w:val="7"/>
            <w:vMerge w:val="continue"/>
            <w:shd w:val="clear" w:color="auto" w:fill="auto"/>
            <w:noWrap/>
            <w:vAlign w:val="center"/>
          </w:tcPr>
          <w:p w14:paraId="68E3E1A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7" w:type="dxa"/>
            <w:shd w:val="clear" w:color="auto" w:fill="auto"/>
            <w:noWrap/>
            <w:vAlign w:val="center"/>
          </w:tcPr>
          <w:p w14:paraId="0432AF5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r>
              <w:rPr>
                <w:rFonts w:hint="eastAsia" w:ascii="仿宋_GB2312" w:hAnsi="仿宋_GB2312" w:eastAsia="仿宋_GB2312" w:cs="仿宋_GB2312"/>
                <w:i w:val="0"/>
                <w:color w:val="000000"/>
                <w:spacing w:val="-20"/>
                <w:kern w:val="0"/>
                <w:sz w:val="20"/>
                <w:szCs w:val="20"/>
                <w:highlight w:val="none"/>
                <w:u w:val="none"/>
                <w:lang w:val="en-US" w:eastAsia="zh-CN" w:bidi="ar"/>
              </w:rPr>
              <w:t>考查</w:t>
            </w:r>
          </w:p>
        </w:tc>
      </w:tr>
      <w:tr w14:paraId="30B58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4EB3776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14:paraId="217F31A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shd w:val="clear" w:color="auto" w:fill="auto"/>
            <w:vAlign w:val="center"/>
          </w:tcPr>
          <w:p w14:paraId="7BEECEF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650" w:type="dxa"/>
            <w:shd w:val="clear" w:color="auto" w:fill="auto"/>
            <w:noWrap/>
            <w:vAlign w:val="center"/>
          </w:tcPr>
          <w:p w14:paraId="0BBC4D6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1348" w:type="dxa"/>
            <w:shd w:val="clear" w:color="auto" w:fill="auto"/>
            <w:noWrap/>
            <w:vAlign w:val="center"/>
          </w:tcPr>
          <w:p w14:paraId="60097CA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3A500211504</w:t>
            </w:r>
          </w:p>
        </w:tc>
        <w:tc>
          <w:tcPr>
            <w:tcW w:w="1549" w:type="dxa"/>
            <w:shd w:val="clear" w:color="auto" w:fill="auto"/>
            <w:vAlign w:val="center"/>
          </w:tcPr>
          <w:p w14:paraId="0E7BE72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000000"/>
                <w:spacing w:val="-17"/>
                <w:kern w:val="0"/>
                <w:sz w:val="20"/>
                <w:szCs w:val="20"/>
                <w:lang w:val="en-US" w:eastAsia="zh-CN" w:bidi="ar"/>
              </w:rPr>
            </w:pPr>
            <w:r>
              <w:rPr>
                <w:rFonts w:hint="eastAsia" w:ascii="仿宋_GB2312" w:hAnsi="仿宋_GB2312" w:eastAsia="仿宋_GB2312" w:cs="仿宋_GB2312"/>
                <w:color w:val="000000"/>
                <w:spacing w:val="-17"/>
                <w:kern w:val="0"/>
                <w:sz w:val="20"/>
                <w:szCs w:val="20"/>
                <w:lang w:val="en-US" w:eastAsia="zh-CN" w:bidi="ar"/>
              </w:rPr>
              <w:t>智能网联汽车概论</w:t>
            </w:r>
          </w:p>
        </w:tc>
        <w:tc>
          <w:tcPr>
            <w:tcW w:w="961" w:type="dxa"/>
            <w:shd w:val="clear" w:color="auto" w:fill="auto"/>
            <w:vAlign w:val="center"/>
          </w:tcPr>
          <w:p w14:paraId="1628DC9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52" w:type="dxa"/>
            <w:shd w:val="clear" w:color="auto" w:fill="auto"/>
            <w:vAlign w:val="center"/>
          </w:tcPr>
          <w:p w14:paraId="34181F5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873" w:type="dxa"/>
            <w:shd w:val="clear" w:color="auto" w:fill="auto"/>
            <w:vAlign w:val="center"/>
          </w:tcPr>
          <w:p w14:paraId="419F975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825" w:type="dxa"/>
            <w:shd w:val="clear" w:color="auto" w:fill="auto"/>
            <w:vAlign w:val="center"/>
          </w:tcPr>
          <w:p w14:paraId="1F0FEE8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1900" w:type="dxa"/>
            <w:gridSpan w:val="7"/>
            <w:vMerge w:val="continue"/>
            <w:shd w:val="clear" w:color="auto" w:fill="auto"/>
            <w:noWrap/>
            <w:vAlign w:val="center"/>
          </w:tcPr>
          <w:p w14:paraId="18F65FC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7" w:type="dxa"/>
            <w:shd w:val="clear" w:color="auto" w:fill="auto"/>
            <w:noWrap/>
            <w:vAlign w:val="center"/>
          </w:tcPr>
          <w:p w14:paraId="0C75BB2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r>
              <w:rPr>
                <w:rFonts w:hint="eastAsia" w:ascii="仿宋_GB2312" w:hAnsi="仿宋_GB2312" w:eastAsia="仿宋_GB2312" w:cs="仿宋_GB2312"/>
                <w:i w:val="0"/>
                <w:color w:val="000000"/>
                <w:spacing w:val="-20"/>
                <w:kern w:val="0"/>
                <w:sz w:val="20"/>
                <w:szCs w:val="20"/>
                <w:highlight w:val="none"/>
                <w:u w:val="none"/>
                <w:lang w:val="en-US" w:eastAsia="zh-CN" w:bidi="ar"/>
              </w:rPr>
              <w:t>考查</w:t>
            </w:r>
          </w:p>
        </w:tc>
      </w:tr>
      <w:tr w14:paraId="136B1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2B1677FD">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14:paraId="33D17B7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shd w:val="clear" w:color="auto" w:fill="auto"/>
            <w:vAlign w:val="center"/>
          </w:tcPr>
          <w:p w14:paraId="40F0A5D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650" w:type="dxa"/>
            <w:shd w:val="clear" w:color="auto" w:fill="auto"/>
            <w:noWrap/>
            <w:vAlign w:val="center"/>
          </w:tcPr>
          <w:p w14:paraId="65BFD07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w:t>
            </w:r>
          </w:p>
        </w:tc>
        <w:tc>
          <w:tcPr>
            <w:tcW w:w="1348" w:type="dxa"/>
            <w:shd w:val="clear" w:color="auto" w:fill="auto"/>
            <w:noWrap/>
            <w:vAlign w:val="center"/>
          </w:tcPr>
          <w:p w14:paraId="16E709B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3A500211505</w:t>
            </w:r>
          </w:p>
        </w:tc>
        <w:tc>
          <w:tcPr>
            <w:tcW w:w="1549" w:type="dxa"/>
            <w:shd w:val="clear" w:color="auto" w:fill="auto"/>
            <w:vAlign w:val="center"/>
          </w:tcPr>
          <w:p w14:paraId="742395D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000000"/>
                <w:spacing w:val="-17"/>
                <w:kern w:val="0"/>
                <w:sz w:val="20"/>
                <w:szCs w:val="20"/>
                <w:lang w:val="en-US" w:eastAsia="zh-CN" w:bidi="ar"/>
              </w:rPr>
            </w:pPr>
            <w:r>
              <w:rPr>
                <w:rFonts w:hint="eastAsia" w:ascii="仿宋_GB2312" w:hAnsi="仿宋_GB2312" w:eastAsia="仿宋_GB2312" w:cs="仿宋_GB2312"/>
                <w:color w:val="000000"/>
                <w:spacing w:val="-17"/>
                <w:kern w:val="0"/>
                <w:sz w:val="20"/>
                <w:szCs w:val="20"/>
                <w:lang w:val="en-US" w:eastAsia="zh-CN" w:bidi="ar"/>
              </w:rPr>
              <w:t>二手车鉴定与评估</w:t>
            </w:r>
          </w:p>
        </w:tc>
        <w:tc>
          <w:tcPr>
            <w:tcW w:w="961" w:type="dxa"/>
            <w:shd w:val="clear" w:color="auto" w:fill="auto"/>
            <w:vAlign w:val="center"/>
          </w:tcPr>
          <w:p w14:paraId="3BF2B43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52" w:type="dxa"/>
            <w:shd w:val="clear" w:color="auto" w:fill="auto"/>
            <w:vAlign w:val="center"/>
          </w:tcPr>
          <w:p w14:paraId="6B0564B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873" w:type="dxa"/>
            <w:shd w:val="clear" w:color="auto" w:fill="auto"/>
            <w:vAlign w:val="center"/>
          </w:tcPr>
          <w:p w14:paraId="3075D84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825" w:type="dxa"/>
            <w:shd w:val="clear" w:color="auto" w:fill="auto"/>
            <w:vAlign w:val="center"/>
          </w:tcPr>
          <w:p w14:paraId="2062D50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1900" w:type="dxa"/>
            <w:gridSpan w:val="7"/>
            <w:vMerge w:val="continue"/>
            <w:shd w:val="clear" w:color="auto" w:fill="auto"/>
            <w:noWrap/>
            <w:vAlign w:val="center"/>
          </w:tcPr>
          <w:p w14:paraId="2CBD698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7" w:type="dxa"/>
            <w:shd w:val="clear" w:color="auto" w:fill="auto"/>
            <w:noWrap/>
            <w:vAlign w:val="center"/>
          </w:tcPr>
          <w:p w14:paraId="495814C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r>
              <w:rPr>
                <w:rFonts w:hint="eastAsia" w:ascii="仿宋_GB2312" w:hAnsi="仿宋_GB2312" w:eastAsia="仿宋_GB2312" w:cs="仿宋_GB2312"/>
                <w:i w:val="0"/>
                <w:color w:val="000000"/>
                <w:spacing w:val="-20"/>
                <w:kern w:val="0"/>
                <w:sz w:val="20"/>
                <w:szCs w:val="20"/>
                <w:highlight w:val="none"/>
                <w:u w:val="none"/>
                <w:lang w:val="en-US" w:eastAsia="zh-CN" w:bidi="ar"/>
              </w:rPr>
              <w:t>考查</w:t>
            </w:r>
          </w:p>
        </w:tc>
      </w:tr>
      <w:tr w14:paraId="511C57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35E0145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14:paraId="29EAD09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shd w:val="clear" w:color="auto" w:fill="auto"/>
            <w:vAlign w:val="center"/>
          </w:tcPr>
          <w:p w14:paraId="2D4FE6C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650" w:type="dxa"/>
            <w:shd w:val="clear" w:color="auto" w:fill="auto"/>
            <w:noWrap/>
            <w:vAlign w:val="center"/>
          </w:tcPr>
          <w:p w14:paraId="32607CF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w:t>
            </w:r>
          </w:p>
        </w:tc>
        <w:tc>
          <w:tcPr>
            <w:tcW w:w="1348" w:type="dxa"/>
            <w:shd w:val="clear" w:color="auto" w:fill="auto"/>
            <w:noWrap/>
            <w:vAlign w:val="center"/>
          </w:tcPr>
          <w:p w14:paraId="656CE9B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3A500211506</w:t>
            </w:r>
          </w:p>
        </w:tc>
        <w:tc>
          <w:tcPr>
            <w:tcW w:w="1549" w:type="dxa"/>
            <w:shd w:val="clear" w:color="auto" w:fill="auto"/>
            <w:vAlign w:val="center"/>
          </w:tcPr>
          <w:p w14:paraId="6471A63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汽车车险查勘与定损</w:t>
            </w:r>
          </w:p>
        </w:tc>
        <w:tc>
          <w:tcPr>
            <w:tcW w:w="961" w:type="dxa"/>
            <w:shd w:val="clear" w:color="auto" w:fill="auto"/>
            <w:vAlign w:val="center"/>
          </w:tcPr>
          <w:p w14:paraId="300DE97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52" w:type="dxa"/>
            <w:shd w:val="clear" w:color="auto" w:fill="auto"/>
            <w:vAlign w:val="center"/>
          </w:tcPr>
          <w:p w14:paraId="79AB1BB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873" w:type="dxa"/>
            <w:shd w:val="clear" w:color="auto" w:fill="auto"/>
            <w:vAlign w:val="center"/>
          </w:tcPr>
          <w:p w14:paraId="7B8E579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825" w:type="dxa"/>
            <w:shd w:val="clear" w:color="auto" w:fill="auto"/>
            <w:vAlign w:val="center"/>
          </w:tcPr>
          <w:p w14:paraId="29D4A07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1900" w:type="dxa"/>
            <w:gridSpan w:val="7"/>
            <w:vMerge w:val="continue"/>
            <w:shd w:val="clear" w:color="auto" w:fill="auto"/>
            <w:noWrap/>
            <w:vAlign w:val="center"/>
          </w:tcPr>
          <w:p w14:paraId="36035F6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7" w:type="dxa"/>
            <w:shd w:val="clear" w:color="auto" w:fill="auto"/>
            <w:noWrap/>
            <w:vAlign w:val="center"/>
          </w:tcPr>
          <w:p w14:paraId="1B2FE63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r>
              <w:rPr>
                <w:rFonts w:hint="eastAsia" w:ascii="仿宋_GB2312" w:hAnsi="仿宋_GB2312" w:eastAsia="仿宋_GB2312" w:cs="仿宋_GB2312"/>
                <w:i w:val="0"/>
                <w:color w:val="000000"/>
                <w:spacing w:val="-20"/>
                <w:kern w:val="0"/>
                <w:sz w:val="20"/>
                <w:szCs w:val="20"/>
                <w:highlight w:val="none"/>
                <w:u w:val="none"/>
                <w:lang w:val="en-US" w:eastAsia="zh-CN" w:bidi="ar"/>
              </w:rPr>
              <w:t>考查</w:t>
            </w:r>
          </w:p>
        </w:tc>
      </w:tr>
      <w:tr w14:paraId="04655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09D31847">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14:paraId="215E29F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shd w:val="clear" w:color="auto" w:fill="auto"/>
            <w:vAlign w:val="center"/>
          </w:tcPr>
          <w:p w14:paraId="6A92124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650" w:type="dxa"/>
            <w:shd w:val="clear" w:color="auto" w:fill="auto"/>
            <w:noWrap/>
            <w:vAlign w:val="center"/>
          </w:tcPr>
          <w:p w14:paraId="5DE6848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w:t>
            </w:r>
          </w:p>
        </w:tc>
        <w:tc>
          <w:tcPr>
            <w:tcW w:w="1348" w:type="dxa"/>
            <w:shd w:val="clear" w:color="auto" w:fill="auto"/>
            <w:noWrap/>
            <w:vAlign w:val="center"/>
          </w:tcPr>
          <w:p w14:paraId="3B5B911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3A500211507</w:t>
            </w:r>
          </w:p>
        </w:tc>
        <w:tc>
          <w:tcPr>
            <w:tcW w:w="1549" w:type="dxa"/>
            <w:shd w:val="clear" w:color="auto" w:fill="auto"/>
            <w:vAlign w:val="center"/>
          </w:tcPr>
          <w:p w14:paraId="4D05D83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color w:val="000000"/>
                <w:spacing w:val="-17"/>
                <w:kern w:val="0"/>
                <w:sz w:val="20"/>
                <w:szCs w:val="20"/>
                <w:lang w:val="en-US" w:eastAsia="zh-CN" w:bidi="ar"/>
              </w:rPr>
              <w:t>汽车车身修复技术</w:t>
            </w:r>
          </w:p>
        </w:tc>
        <w:tc>
          <w:tcPr>
            <w:tcW w:w="961" w:type="dxa"/>
            <w:shd w:val="clear" w:color="auto" w:fill="auto"/>
            <w:vAlign w:val="center"/>
          </w:tcPr>
          <w:p w14:paraId="4E41BE2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52" w:type="dxa"/>
            <w:shd w:val="clear" w:color="auto" w:fill="auto"/>
            <w:vAlign w:val="center"/>
          </w:tcPr>
          <w:p w14:paraId="1C79626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873" w:type="dxa"/>
            <w:shd w:val="clear" w:color="auto" w:fill="auto"/>
            <w:vAlign w:val="center"/>
          </w:tcPr>
          <w:p w14:paraId="64AD7B5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825" w:type="dxa"/>
            <w:shd w:val="clear" w:color="auto" w:fill="auto"/>
            <w:vAlign w:val="center"/>
          </w:tcPr>
          <w:p w14:paraId="0DEA97B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1900" w:type="dxa"/>
            <w:gridSpan w:val="7"/>
            <w:vMerge w:val="continue"/>
            <w:shd w:val="clear" w:color="auto" w:fill="auto"/>
            <w:noWrap/>
            <w:vAlign w:val="center"/>
          </w:tcPr>
          <w:p w14:paraId="0871B8E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7" w:type="dxa"/>
            <w:shd w:val="clear" w:color="auto" w:fill="auto"/>
            <w:noWrap/>
            <w:vAlign w:val="center"/>
          </w:tcPr>
          <w:p w14:paraId="09FE4D0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r>
              <w:rPr>
                <w:rFonts w:hint="eastAsia" w:ascii="仿宋_GB2312" w:hAnsi="仿宋_GB2312" w:eastAsia="仿宋_GB2312" w:cs="仿宋_GB2312"/>
                <w:i w:val="0"/>
                <w:color w:val="000000"/>
                <w:spacing w:val="-20"/>
                <w:kern w:val="0"/>
                <w:sz w:val="20"/>
                <w:szCs w:val="20"/>
                <w:highlight w:val="none"/>
                <w:u w:val="none"/>
                <w:lang w:val="en-US" w:eastAsia="zh-CN" w:bidi="ar"/>
              </w:rPr>
              <w:t>考查</w:t>
            </w:r>
          </w:p>
        </w:tc>
      </w:tr>
      <w:tr w14:paraId="18299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0" w:hRule="atLeast"/>
          <w:jc w:val="center"/>
        </w:trPr>
        <w:tc>
          <w:tcPr>
            <w:tcW w:w="323" w:type="dxa"/>
            <w:vMerge w:val="continue"/>
            <w:shd w:val="clear" w:color="auto" w:fill="auto"/>
            <w:vAlign w:val="center"/>
          </w:tcPr>
          <w:p w14:paraId="0472CC6D">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14:paraId="52E3249F">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128038B8">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50" w:type="dxa"/>
            <w:shd w:val="clear" w:color="auto" w:fill="auto"/>
            <w:noWrap/>
            <w:vAlign w:val="center"/>
          </w:tcPr>
          <w:p w14:paraId="188D21B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w:t>
            </w:r>
          </w:p>
        </w:tc>
        <w:tc>
          <w:tcPr>
            <w:tcW w:w="1348" w:type="dxa"/>
            <w:shd w:val="clear" w:color="auto" w:fill="auto"/>
            <w:noWrap/>
            <w:vAlign w:val="center"/>
          </w:tcPr>
          <w:p w14:paraId="5890F3D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3A500211508</w:t>
            </w:r>
          </w:p>
        </w:tc>
        <w:tc>
          <w:tcPr>
            <w:tcW w:w="1549" w:type="dxa"/>
            <w:shd w:val="clear" w:color="auto" w:fill="auto"/>
            <w:vAlign w:val="center"/>
          </w:tcPr>
          <w:p w14:paraId="24DEEEE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汽车配件管理</w:t>
            </w:r>
          </w:p>
        </w:tc>
        <w:tc>
          <w:tcPr>
            <w:tcW w:w="961" w:type="dxa"/>
            <w:shd w:val="clear" w:color="auto" w:fill="auto"/>
            <w:noWrap/>
            <w:vAlign w:val="center"/>
          </w:tcPr>
          <w:p w14:paraId="21FA2B6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52" w:type="dxa"/>
            <w:shd w:val="clear" w:color="auto" w:fill="auto"/>
            <w:noWrap/>
            <w:vAlign w:val="center"/>
          </w:tcPr>
          <w:p w14:paraId="372CF91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873" w:type="dxa"/>
            <w:shd w:val="clear" w:color="auto" w:fill="auto"/>
            <w:noWrap/>
            <w:vAlign w:val="center"/>
          </w:tcPr>
          <w:p w14:paraId="43A0057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825" w:type="dxa"/>
            <w:shd w:val="clear" w:color="auto" w:fill="auto"/>
            <w:noWrap/>
            <w:vAlign w:val="center"/>
          </w:tcPr>
          <w:p w14:paraId="24D86FC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1900" w:type="dxa"/>
            <w:gridSpan w:val="7"/>
            <w:vMerge w:val="continue"/>
            <w:shd w:val="clear" w:color="auto" w:fill="auto"/>
            <w:noWrap/>
            <w:vAlign w:val="center"/>
          </w:tcPr>
          <w:p w14:paraId="373C574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7" w:type="dxa"/>
            <w:shd w:val="clear" w:color="auto" w:fill="auto"/>
            <w:vAlign w:val="center"/>
          </w:tcPr>
          <w:p w14:paraId="5C2E04D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r>
              <w:rPr>
                <w:rFonts w:hint="eastAsia" w:ascii="仿宋_GB2312" w:hAnsi="仿宋_GB2312" w:eastAsia="仿宋_GB2312" w:cs="仿宋_GB2312"/>
                <w:i w:val="0"/>
                <w:color w:val="000000"/>
                <w:spacing w:val="-20"/>
                <w:kern w:val="0"/>
                <w:sz w:val="20"/>
                <w:szCs w:val="20"/>
                <w:highlight w:val="none"/>
                <w:u w:val="none"/>
                <w:lang w:val="en-US" w:eastAsia="zh-CN" w:bidi="ar"/>
              </w:rPr>
              <w:t>考查</w:t>
            </w:r>
          </w:p>
        </w:tc>
      </w:tr>
      <w:tr w14:paraId="29087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323" w:type="dxa"/>
            <w:vMerge w:val="continue"/>
            <w:shd w:val="clear" w:color="auto" w:fill="auto"/>
            <w:vAlign w:val="center"/>
          </w:tcPr>
          <w:p w14:paraId="09936A8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14:paraId="146A0A0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347E0F26">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50" w:type="dxa"/>
            <w:shd w:val="clear" w:color="auto" w:fill="auto"/>
            <w:noWrap/>
            <w:vAlign w:val="center"/>
          </w:tcPr>
          <w:p w14:paraId="0426C82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9</w:t>
            </w:r>
          </w:p>
        </w:tc>
        <w:tc>
          <w:tcPr>
            <w:tcW w:w="1348" w:type="dxa"/>
            <w:shd w:val="clear" w:color="auto" w:fill="auto"/>
            <w:noWrap/>
            <w:vAlign w:val="center"/>
          </w:tcPr>
          <w:p w14:paraId="7A01D95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3A500211509</w:t>
            </w:r>
          </w:p>
        </w:tc>
        <w:tc>
          <w:tcPr>
            <w:tcW w:w="1549" w:type="dxa"/>
            <w:shd w:val="clear" w:color="auto" w:fill="auto"/>
            <w:vAlign w:val="center"/>
          </w:tcPr>
          <w:p w14:paraId="56637C8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汽车法律法规</w:t>
            </w:r>
          </w:p>
        </w:tc>
        <w:tc>
          <w:tcPr>
            <w:tcW w:w="961" w:type="dxa"/>
            <w:shd w:val="clear" w:color="auto" w:fill="auto"/>
            <w:noWrap/>
            <w:vAlign w:val="center"/>
          </w:tcPr>
          <w:p w14:paraId="7F92C77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52" w:type="dxa"/>
            <w:shd w:val="clear" w:color="auto" w:fill="auto"/>
            <w:noWrap/>
            <w:vAlign w:val="center"/>
          </w:tcPr>
          <w:p w14:paraId="6EF2A2B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873" w:type="dxa"/>
            <w:shd w:val="clear" w:color="auto" w:fill="auto"/>
            <w:noWrap/>
            <w:vAlign w:val="center"/>
          </w:tcPr>
          <w:p w14:paraId="3CC8118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825" w:type="dxa"/>
            <w:shd w:val="clear" w:color="auto" w:fill="auto"/>
            <w:noWrap/>
            <w:vAlign w:val="center"/>
          </w:tcPr>
          <w:p w14:paraId="43CB71F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1900" w:type="dxa"/>
            <w:gridSpan w:val="7"/>
            <w:vMerge w:val="continue"/>
            <w:shd w:val="clear" w:color="auto" w:fill="auto"/>
            <w:noWrap/>
            <w:vAlign w:val="center"/>
          </w:tcPr>
          <w:p w14:paraId="2ED6B10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7" w:type="dxa"/>
            <w:shd w:val="clear" w:color="auto" w:fill="auto"/>
            <w:vAlign w:val="center"/>
          </w:tcPr>
          <w:p w14:paraId="5D2148F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r>
              <w:rPr>
                <w:rFonts w:hint="eastAsia" w:ascii="仿宋_GB2312" w:hAnsi="仿宋_GB2312" w:eastAsia="仿宋_GB2312" w:cs="仿宋_GB2312"/>
                <w:i w:val="0"/>
                <w:color w:val="000000"/>
                <w:spacing w:val="-20"/>
                <w:kern w:val="0"/>
                <w:sz w:val="20"/>
                <w:szCs w:val="20"/>
                <w:highlight w:val="none"/>
                <w:u w:val="none"/>
                <w:lang w:val="en-US" w:eastAsia="zh-CN" w:bidi="ar"/>
              </w:rPr>
              <w:t>考查</w:t>
            </w:r>
          </w:p>
        </w:tc>
      </w:tr>
      <w:tr w14:paraId="09701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323" w:type="dxa"/>
            <w:vMerge w:val="continue"/>
            <w:shd w:val="clear" w:color="auto" w:fill="auto"/>
            <w:vAlign w:val="center"/>
          </w:tcPr>
          <w:p w14:paraId="5446A6E4">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14:paraId="77E1AC8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43868394">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50" w:type="dxa"/>
            <w:shd w:val="clear" w:color="auto" w:fill="auto"/>
            <w:noWrap/>
            <w:vAlign w:val="center"/>
          </w:tcPr>
          <w:p w14:paraId="1CD9B3B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10</w:t>
            </w:r>
          </w:p>
        </w:tc>
        <w:tc>
          <w:tcPr>
            <w:tcW w:w="1348" w:type="dxa"/>
            <w:shd w:val="clear" w:color="auto" w:fill="auto"/>
            <w:noWrap/>
            <w:vAlign w:val="center"/>
          </w:tcPr>
          <w:p w14:paraId="49E9A20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3A500211510</w:t>
            </w:r>
          </w:p>
        </w:tc>
        <w:tc>
          <w:tcPr>
            <w:tcW w:w="1549" w:type="dxa"/>
            <w:shd w:val="clear" w:color="auto" w:fill="auto"/>
            <w:vAlign w:val="center"/>
          </w:tcPr>
          <w:p w14:paraId="06DDE4F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汽车营销技术</w:t>
            </w:r>
          </w:p>
        </w:tc>
        <w:tc>
          <w:tcPr>
            <w:tcW w:w="961" w:type="dxa"/>
            <w:shd w:val="clear" w:color="auto" w:fill="auto"/>
            <w:noWrap/>
            <w:vAlign w:val="center"/>
          </w:tcPr>
          <w:p w14:paraId="41D680A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52" w:type="dxa"/>
            <w:shd w:val="clear" w:color="auto" w:fill="auto"/>
            <w:noWrap/>
            <w:vAlign w:val="center"/>
          </w:tcPr>
          <w:p w14:paraId="7659BD5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873" w:type="dxa"/>
            <w:shd w:val="clear" w:color="auto" w:fill="auto"/>
            <w:noWrap/>
            <w:vAlign w:val="center"/>
          </w:tcPr>
          <w:p w14:paraId="0AE8CE5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825" w:type="dxa"/>
            <w:shd w:val="clear" w:color="auto" w:fill="auto"/>
            <w:noWrap/>
            <w:vAlign w:val="center"/>
          </w:tcPr>
          <w:p w14:paraId="4823163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1900" w:type="dxa"/>
            <w:gridSpan w:val="7"/>
            <w:vMerge w:val="continue"/>
            <w:shd w:val="clear" w:color="auto" w:fill="auto"/>
            <w:noWrap/>
            <w:vAlign w:val="center"/>
          </w:tcPr>
          <w:p w14:paraId="111F171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7" w:type="dxa"/>
            <w:shd w:val="clear" w:color="auto" w:fill="auto"/>
            <w:vAlign w:val="center"/>
          </w:tcPr>
          <w:p w14:paraId="76B404C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r>
              <w:rPr>
                <w:rFonts w:hint="eastAsia" w:ascii="仿宋_GB2312" w:hAnsi="仿宋_GB2312" w:eastAsia="仿宋_GB2312" w:cs="仿宋_GB2312"/>
                <w:i w:val="0"/>
                <w:color w:val="000000"/>
                <w:spacing w:val="-20"/>
                <w:kern w:val="0"/>
                <w:sz w:val="20"/>
                <w:szCs w:val="20"/>
                <w:highlight w:val="none"/>
                <w:u w:val="none"/>
                <w:lang w:val="en-US" w:eastAsia="zh-CN" w:bidi="ar"/>
              </w:rPr>
              <w:t>考查</w:t>
            </w:r>
          </w:p>
        </w:tc>
      </w:tr>
      <w:tr w14:paraId="44966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323" w:type="dxa"/>
            <w:vMerge w:val="continue"/>
            <w:shd w:val="clear" w:color="auto" w:fill="auto"/>
            <w:vAlign w:val="center"/>
          </w:tcPr>
          <w:p w14:paraId="3699AFB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p>
        </w:tc>
        <w:tc>
          <w:tcPr>
            <w:tcW w:w="382" w:type="dxa"/>
            <w:vMerge w:val="restart"/>
            <w:shd w:val="clear" w:color="auto" w:fill="auto"/>
            <w:vAlign w:val="center"/>
          </w:tcPr>
          <w:p w14:paraId="63B76E2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实践性教学环节</w:t>
            </w:r>
          </w:p>
        </w:tc>
        <w:tc>
          <w:tcPr>
            <w:tcW w:w="480" w:type="dxa"/>
            <w:vMerge w:val="restart"/>
            <w:shd w:val="clear" w:color="auto" w:fill="auto"/>
            <w:vAlign w:val="center"/>
          </w:tcPr>
          <w:p w14:paraId="4E0614A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必修</w:t>
            </w:r>
          </w:p>
        </w:tc>
        <w:tc>
          <w:tcPr>
            <w:tcW w:w="650" w:type="dxa"/>
            <w:shd w:val="clear" w:color="auto" w:fill="auto"/>
            <w:noWrap/>
            <w:vAlign w:val="center"/>
          </w:tcPr>
          <w:p w14:paraId="601FBE3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w:t>
            </w:r>
          </w:p>
        </w:tc>
        <w:tc>
          <w:tcPr>
            <w:tcW w:w="1348" w:type="dxa"/>
            <w:shd w:val="clear" w:color="auto" w:fill="auto"/>
            <w:noWrap/>
            <w:vAlign w:val="center"/>
          </w:tcPr>
          <w:p w14:paraId="358C98E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3C500211601</w:t>
            </w:r>
          </w:p>
        </w:tc>
        <w:tc>
          <w:tcPr>
            <w:tcW w:w="1549" w:type="dxa"/>
            <w:shd w:val="clear" w:color="auto" w:fill="auto"/>
            <w:vAlign w:val="center"/>
          </w:tcPr>
          <w:p w14:paraId="29762D5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汽车维护</w:t>
            </w:r>
          </w:p>
        </w:tc>
        <w:tc>
          <w:tcPr>
            <w:tcW w:w="961" w:type="dxa"/>
            <w:shd w:val="clear" w:color="auto" w:fill="auto"/>
            <w:noWrap/>
            <w:vAlign w:val="center"/>
          </w:tcPr>
          <w:p w14:paraId="3B60A3E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52" w:type="dxa"/>
            <w:shd w:val="clear" w:color="auto" w:fill="auto"/>
            <w:noWrap/>
            <w:vAlign w:val="center"/>
          </w:tcPr>
          <w:p w14:paraId="221BF78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873" w:type="dxa"/>
            <w:shd w:val="clear" w:color="auto" w:fill="auto"/>
            <w:noWrap/>
            <w:vAlign w:val="center"/>
          </w:tcPr>
          <w:p w14:paraId="6EFD3EE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825" w:type="dxa"/>
            <w:shd w:val="clear" w:color="auto" w:fill="auto"/>
            <w:noWrap/>
            <w:vAlign w:val="center"/>
          </w:tcPr>
          <w:p w14:paraId="2A9D2D2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305" w:type="dxa"/>
            <w:shd w:val="clear" w:color="auto" w:fill="auto"/>
            <w:noWrap/>
            <w:vAlign w:val="center"/>
          </w:tcPr>
          <w:p w14:paraId="533BB8D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76" w:type="dxa"/>
            <w:shd w:val="clear" w:color="auto" w:fill="auto"/>
            <w:noWrap/>
            <w:vAlign w:val="center"/>
          </w:tcPr>
          <w:p w14:paraId="21EC271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40" w:type="dxa"/>
            <w:shd w:val="clear" w:color="auto" w:fill="auto"/>
            <w:noWrap/>
            <w:vAlign w:val="center"/>
          </w:tcPr>
          <w:p w14:paraId="2B45C57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240" w:type="dxa"/>
            <w:shd w:val="clear" w:color="auto" w:fill="auto"/>
            <w:noWrap/>
            <w:vAlign w:val="center"/>
          </w:tcPr>
          <w:p w14:paraId="0DE0870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10" w:type="dxa"/>
            <w:gridSpan w:val="2"/>
            <w:shd w:val="clear" w:color="auto" w:fill="auto"/>
            <w:vAlign w:val="center"/>
          </w:tcPr>
          <w:p w14:paraId="029C00C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29" w:type="dxa"/>
            <w:shd w:val="clear" w:color="auto" w:fill="auto"/>
            <w:vAlign w:val="center"/>
          </w:tcPr>
          <w:p w14:paraId="053DFD0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7" w:type="dxa"/>
            <w:shd w:val="clear" w:color="auto" w:fill="auto"/>
            <w:vAlign w:val="center"/>
          </w:tcPr>
          <w:p w14:paraId="614DD48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r>
              <w:rPr>
                <w:rFonts w:hint="eastAsia" w:ascii="仿宋_GB2312" w:hAnsi="仿宋_GB2312" w:eastAsia="仿宋_GB2312" w:cs="仿宋_GB2312"/>
                <w:i w:val="0"/>
                <w:color w:val="000000"/>
                <w:spacing w:val="-20"/>
                <w:kern w:val="0"/>
                <w:sz w:val="20"/>
                <w:szCs w:val="20"/>
                <w:highlight w:val="none"/>
                <w:u w:val="none"/>
                <w:lang w:val="en-US" w:eastAsia="zh-CN" w:bidi="ar"/>
              </w:rPr>
              <w:t>考查</w:t>
            </w:r>
          </w:p>
        </w:tc>
      </w:tr>
      <w:tr w14:paraId="7ACF1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4AFBF8B2">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14:paraId="3FBF95B9">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516A4049">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50" w:type="dxa"/>
            <w:shd w:val="clear" w:color="auto" w:fill="auto"/>
            <w:noWrap/>
            <w:vAlign w:val="center"/>
          </w:tcPr>
          <w:p w14:paraId="497450E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1348" w:type="dxa"/>
            <w:shd w:val="clear" w:color="auto" w:fill="auto"/>
            <w:noWrap/>
            <w:vAlign w:val="center"/>
          </w:tcPr>
          <w:p w14:paraId="5245DE0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3C500211602</w:t>
            </w:r>
          </w:p>
        </w:tc>
        <w:tc>
          <w:tcPr>
            <w:tcW w:w="1549" w:type="dxa"/>
            <w:shd w:val="clear" w:color="auto" w:fill="auto"/>
            <w:vAlign w:val="center"/>
          </w:tcPr>
          <w:p w14:paraId="3AC977A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spacing w:val="-17"/>
                <w:kern w:val="0"/>
                <w:sz w:val="20"/>
                <w:szCs w:val="20"/>
                <w:u w:val="none"/>
                <w:lang w:val="en-US" w:eastAsia="zh-CN" w:bidi="ar"/>
              </w:rPr>
              <w:t>汽车发动机检修</w:t>
            </w:r>
          </w:p>
        </w:tc>
        <w:tc>
          <w:tcPr>
            <w:tcW w:w="961" w:type="dxa"/>
            <w:shd w:val="clear" w:color="auto" w:fill="auto"/>
            <w:noWrap/>
            <w:vAlign w:val="center"/>
          </w:tcPr>
          <w:p w14:paraId="1912E29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52" w:type="dxa"/>
            <w:shd w:val="clear" w:color="auto" w:fill="auto"/>
            <w:noWrap/>
            <w:vAlign w:val="center"/>
          </w:tcPr>
          <w:p w14:paraId="1BA15E7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873" w:type="dxa"/>
            <w:shd w:val="clear" w:color="auto" w:fill="auto"/>
            <w:noWrap/>
            <w:vAlign w:val="center"/>
          </w:tcPr>
          <w:p w14:paraId="00938AA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825" w:type="dxa"/>
            <w:shd w:val="clear" w:color="auto" w:fill="auto"/>
            <w:noWrap/>
            <w:vAlign w:val="center"/>
          </w:tcPr>
          <w:p w14:paraId="5617208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305" w:type="dxa"/>
            <w:shd w:val="clear" w:color="auto" w:fill="auto"/>
            <w:noWrap/>
            <w:vAlign w:val="center"/>
          </w:tcPr>
          <w:p w14:paraId="4B4E897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76" w:type="dxa"/>
            <w:shd w:val="clear" w:color="auto" w:fill="auto"/>
            <w:noWrap/>
            <w:vAlign w:val="center"/>
          </w:tcPr>
          <w:p w14:paraId="0856794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240" w:type="dxa"/>
            <w:shd w:val="clear" w:color="auto" w:fill="auto"/>
            <w:noWrap/>
            <w:vAlign w:val="center"/>
          </w:tcPr>
          <w:p w14:paraId="52CAE7E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40" w:type="dxa"/>
            <w:shd w:val="clear" w:color="auto" w:fill="auto"/>
            <w:noWrap/>
            <w:vAlign w:val="center"/>
          </w:tcPr>
          <w:p w14:paraId="5B24FC8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10" w:type="dxa"/>
            <w:gridSpan w:val="2"/>
            <w:shd w:val="clear" w:color="auto" w:fill="auto"/>
            <w:vAlign w:val="center"/>
          </w:tcPr>
          <w:p w14:paraId="2662FCE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29" w:type="dxa"/>
            <w:shd w:val="clear" w:color="auto" w:fill="auto"/>
            <w:vAlign w:val="center"/>
          </w:tcPr>
          <w:p w14:paraId="3A25092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7" w:type="dxa"/>
            <w:shd w:val="clear" w:color="auto" w:fill="auto"/>
            <w:noWrap/>
            <w:vAlign w:val="center"/>
          </w:tcPr>
          <w:p w14:paraId="3E6FA67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r>
              <w:rPr>
                <w:rFonts w:hint="eastAsia" w:ascii="仿宋_GB2312" w:hAnsi="仿宋_GB2312" w:eastAsia="仿宋_GB2312" w:cs="仿宋_GB2312"/>
                <w:i w:val="0"/>
                <w:color w:val="000000"/>
                <w:spacing w:val="-20"/>
                <w:kern w:val="0"/>
                <w:sz w:val="20"/>
                <w:szCs w:val="20"/>
                <w:highlight w:val="none"/>
                <w:u w:val="none"/>
                <w:lang w:val="en-US" w:eastAsia="zh-CN" w:bidi="ar"/>
              </w:rPr>
              <w:t>考查</w:t>
            </w:r>
          </w:p>
        </w:tc>
      </w:tr>
      <w:tr w14:paraId="6A18C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6BBD6C79">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14:paraId="274055D0">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729F9C70">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50" w:type="dxa"/>
            <w:shd w:val="clear" w:color="auto" w:fill="auto"/>
            <w:noWrap/>
            <w:vAlign w:val="center"/>
          </w:tcPr>
          <w:p w14:paraId="449BC25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w:t>
            </w:r>
          </w:p>
        </w:tc>
        <w:tc>
          <w:tcPr>
            <w:tcW w:w="1348" w:type="dxa"/>
            <w:shd w:val="clear" w:color="auto" w:fill="auto"/>
            <w:noWrap/>
            <w:vAlign w:val="center"/>
          </w:tcPr>
          <w:p w14:paraId="34803E8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3C500211603</w:t>
            </w:r>
          </w:p>
        </w:tc>
        <w:tc>
          <w:tcPr>
            <w:tcW w:w="1549" w:type="dxa"/>
            <w:shd w:val="clear" w:color="auto" w:fill="auto"/>
            <w:vAlign w:val="center"/>
          </w:tcPr>
          <w:p w14:paraId="7C1C859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汽车底盘检修</w:t>
            </w:r>
          </w:p>
        </w:tc>
        <w:tc>
          <w:tcPr>
            <w:tcW w:w="961" w:type="dxa"/>
            <w:shd w:val="clear" w:color="auto" w:fill="auto"/>
            <w:noWrap/>
            <w:vAlign w:val="center"/>
          </w:tcPr>
          <w:p w14:paraId="613FCAF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52" w:type="dxa"/>
            <w:shd w:val="clear" w:color="auto" w:fill="auto"/>
            <w:noWrap/>
            <w:vAlign w:val="center"/>
          </w:tcPr>
          <w:p w14:paraId="0A5187A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873" w:type="dxa"/>
            <w:shd w:val="clear" w:color="auto" w:fill="auto"/>
            <w:noWrap/>
            <w:vAlign w:val="center"/>
          </w:tcPr>
          <w:p w14:paraId="21BBF13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825" w:type="dxa"/>
            <w:shd w:val="clear" w:color="auto" w:fill="auto"/>
            <w:noWrap/>
            <w:vAlign w:val="center"/>
          </w:tcPr>
          <w:p w14:paraId="36B3AC4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305" w:type="dxa"/>
            <w:shd w:val="clear" w:color="auto" w:fill="auto"/>
            <w:noWrap/>
            <w:vAlign w:val="center"/>
          </w:tcPr>
          <w:p w14:paraId="05C5A54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76" w:type="dxa"/>
            <w:shd w:val="clear" w:color="auto" w:fill="auto"/>
            <w:noWrap/>
            <w:vAlign w:val="center"/>
          </w:tcPr>
          <w:p w14:paraId="5B5D2D0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240" w:type="dxa"/>
            <w:shd w:val="clear" w:color="auto" w:fill="auto"/>
            <w:noWrap/>
            <w:vAlign w:val="center"/>
          </w:tcPr>
          <w:p w14:paraId="1522B78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40" w:type="dxa"/>
            <w:shd w:val="clear" w:color="auto" w:fill="auto"/>
            <w:noWrap/>
            <w:vAlign w:val="center"/>
          </w:tcPr>
          <w:p w14:paraId="5BF5FFB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10" w:type="dxa"/>
            <w:gridSpan w:val="2"/>
            <w:shd w:val="clear" w:color="auto" w:fill="auto"/>
            <w:vAlign w:val="center"/>
          </w:tcPr>
          <w:p w14:paraId="18A2763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29" w:type="dxa"/>
            <w:shd w:val="clear" w:color="auto" w:fill="auto"/>
            <w:vAlign w:val="center"/>
          </w:tcPr>
          <w:p w14:paraId="1BC35A0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7" w:type="dxa"/>
            <w:shd w:val="clear" w:color="auto" w:fill="auto"/>
            <w:noWrap/>
            <w:vAlign w:val="center"/>
          </w:tcPr>
          <w:p w14:paraId="667D083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r>
              <w:rPr>
                <w:rFonts w:hint="eastAsia" w:ascii="仿宋_GB2312" w:hAnsi="仿宋_GB2312" w:eastAsia="仿宋_GB2312" w:cs="仿宋_GB2312"/>
                <w:i w:val="0"/>
                <w:color w:val="000000"/>
                <w:spacing w:val="-20"/>
                <w:kern w:val="0"/>
                <w:sz w:val="20"/>
                <w:szCs w:val="20"/>
                <w:highlight w:val="none"/>
                <w:u w:val="none"/>
                <w:lang w:val="en-US" w:eastAsia="zh-CN" w:bidi="ar"/>
              </w:rPr>
              <w:t>考查</w:t>
            </w:r>
          </w:p>
        </w:tc>
      </w:tr>
      <w:tr w14:paraId="49046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0581BC4D">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14:paraId="2B31EEB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6B172602">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50" w:type="dxa"/>
            <w:shd w:val="clear" w:color="auto" w:fill="auto"/>
            <w:noWrap/>
            <w:vAlign w:val="center"/>
          </w:tcPr>
          <w:p w14:paraId="67FFB00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1348" w:type="dxa"/>
            <w:shd w:val="clear" w:color="auto" w:fill="auto"/>
            <w:noWrap/>
            <w:vAlign w:val="center"/>
          </w:tcPr>
          <w:p w14:paraId="36987AD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3C500211604</w:t>
            </w:r>
          </w:p>
        </w:tc>
        <w:tc>
          <w:tcPr>
            <w:tcW w:w="1549" w:type="dxa"/>
            <w:shd w:val="clear" w:color="auto" w:fill="auto"/>
            <w:vAlign w:val="center"/>
          </w:tcPr>
          <w:p w14:paraId="12661F0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汽车故障诊断</w:t>
            </w:r>
          </w:p>
        </w:tc>
        <w:tc>
          <w:tcPr>
            <w:tcW w:w="961" w:type="dxa"/>
            <w:shd w:val="clear" w:color="auto" w:fill="auto"/>
            <w:noWrap/>
            <w:vAlign w:val="center"/>
          </w:tcPr>
          <w:p w14:paraId="7EC752A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52" w:type="dxa"/>
            <w:shd w:val="clear" w:color="auto" w:fill="auto"/>
            <w:noWrap/>
            <w:vAlign w:val="center"/>
          </w:tcPr>
          <w:p w14:paraId="05502F6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873" w:type="dxa"/>
            <w:shd w:val="clear" w:color="auto" w:fill="auto"/>
            <w:noWrap/>
            <w:vAlign w:val="center"/>
          </w:tcPr>
          <w:p w14:paraId="512D29A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825" w:type="dxa"/>
            <w:shd w:val="clear" w:color="auto" w:fill="auto"/>
            <w:noWrap/>
            <w:vAlign w:val="center"/>
          </w:tcPr>
          <w:p w14:paraId="4BA1962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305" w:type="dxa"/>
            <w:shd w:val="clear" w:color="auto" w:fill="auto"/>
            <w:noWrap/>
            <w:vAlign w:val="center"/>
          </w:tcPr>
          <w:p w14:paraId="4987301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76" w:type="dxa"/>
            <w:shd w:val="clear" w:color="auto" w:fill="auto"/>
            <w:noWrap/>
            <w:vAlign w:val="center"/>
          </w:tcPr>
          <w:p w14:paraId="085D184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40" w:type="dxa"/>
            <w:shd w:val="clear" w:color="auto" w:fill="auto"/>
            <w:noWrap/>
            <w:vAlign w:val="center"/>
          </w:tcPr>
          <w:p w14:paraId="487A505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40" w:type="dxa"/>
            <w:shd w:val="clear" w:color="auto" w:fill="auto"/>
            <w:noWrap/>
            <w:vAlign w:val="center"/>
          </w:tcPr>
          <w:p w14:paraId="389660F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410" w:type="dxa"/>
            <w:gridSpan w:val="2"/>
            <w:shd w:val="clear" w:color="auto" w:fill="auto"/>
            <w:vAlign w:val="center"/>
          </w:tcPr>
          <w:p w14:paraId="2CD5E72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29" w:type="dxa"/>
            <w:shd w:val="clear" w:color="auto" w:fill="auto"/>
            <w:vAlign w:val="center"/>
          </w:tcPr>
          <w:p w14:paraId="384BAF1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7" w:type="dxa"/>
            <w:shd w:val="clear" w:color="auto" w:fill="auto"/>
            <w:noWrap/>
            <w:vAlign w:val="center"/>
          </w:tcPr>
          <w:p w14:paraId="4AEDA9E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r>
              <w:rPr>
                <w:rFonts w:hint="eastAsia" w:ascii="仿宋_GB2312" w:hAnsi="仿宋_GB2312" w:eastAsia="仿宋_GB2312" w:cs="仿宋_GB2312"/>
                <w:i w:val="0"/>
                <w:color w:val="000000"/>
                <w:spacing w:val="-20"/>
                <w:kern w:val="0"/>
                <w:sz w:val="20"/>
                <w:szCs w:val="20"/>
                <w:highlight w:val="none"/>
                <w:u w:val="none"/>
                <w:lang w:val="en-US" w:eastAsia="zh-CN" w:bidi="ar"/>
              </w:rPr>
              <w:t>考查</w:t>
            </w:r>
          </w:p>
        </w:tc>
      </w:tr>
      <w:tr w14:paraId="32C07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73D8B8B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14:paraId="7F15A018">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07FEA558">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50" w:type="dxa"/>
            <w:shd w:val="clear" w:color="auto" w:fill="auto"/>
            <w:noWrap/>
            <w:vAlign w:val="center"/>
          </w:tcPr>
          <w:p w14:paraId="6ED358D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w:t>
            </w:r>
          </w:p>
        </w:tc>
        <w:tc>
          <w:tcPr>
            <w:tcW w:w="1348" w:type="dxa"/>
            <w:shd w:val="clear" w:color="auto" w:fill="auto"/>
            <w:noWrap/>
            <w:vAlign w:val="center"/>
          </w:tcPr>
          <w:p w14:paraId="063E008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3C500211605</w:t>
            </w:r>
          </w:p>
        </w:tc>
        <w:tc>
          <w:tcPr>
            <w:tcW w:w="1549" w:type="dxa"/>
            <w:shd w:val="clear" w:color="auto" w:fill="auto"/>
            <w:vAlign w:val="center"/>
          </w:tcPr>
          <w:p w14:paraId="02078BD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color w:val="000000"/>
                <w:spacing w:val="-17"/>
                <w:kern w:val="0"/>
                <w:sz w:val="20"/>
                <w:szCs w:val="20"/>
                <w:lang w:val="en-US" w:eastAsia="zh-CN" w:bidi="ar"/>
              </w:rPr>
              <w:t>汽车电气设备检修</w:t>
            </w:r>
          </w:p>
        </w:tc>
        <w:tc>
          <w:tcPr>
            <w:tcW w:w="961" w:type="dxa"/>
            <w:shd w:val="clear" w:color="auto" w:fill="auto"/>
            <w:noWrap/>
            <w:vAlign w:val="center"/>
          </w:tcPr>
          <w:p w14:paraId="6F44EF7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52" w:type="dxa"/>
            <w:shd w:val="clear" w:color="auto" w:fill="auto"/>
            <w:noWrap/>
            <w:vAlign w:val="center"/>
          </w:tcPr>
          <w:p w14:paraId="50871B0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873" w:type="dxa"/>
            <w:shd w:val="clear" w:color="auto" w:fill="auto"/>
            <w:noWrap/>
            <w:vAlign w:val="center"/>
          </w:tcPr>
          <w:p w14:paraId="190C314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825" w:type="dxa"/>
            <w:shd w:val="clear" w:color="auto" w:fill="auto"/>
            <w:noWrap/>
            <w:vAlign w:val="center"/>
          </w:tcPr>
          <w:p w14:paraId="68AF4A2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305" w:type="dxa"/>
            <w:shd w:val="clear" w:color="auto" w:fill="auto"/>
            <w:noWrap/>
            <w:vAlign w:val="center"/>
          </w:tcPr>
          <w:p w14:paraId="4DCDAA1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76" w:type="dxa"/>
            <w:shd w:val="clear" w:color="auto" w:fill="auto"/>
            <w:noWrap/>
            <w:vAlign w:val="center"/>
          </w:tcPr>
          <w:p w14:paraId="16E8CA8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40" w:type="dxa"/>
            <w:shd w:val="clear" w:color="auto" w:fill="auto"/>
            <w:noWrap/>
            <w:vAlign w:val="center"/>
          </w:tcPr>
          <w:p w14:paraId="5349F0A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240" w:type="dxa"/>
            <w:shd w:val="clear" w:color="auto" w:fill="auto"/>
            <w:noWrap/>
            <w:vAlign w:val="center"/>
          </w:tcPr>
          <w:p w14:paraId="4293954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10" w:type="dxa"/>
            <w:gridSpan w:val="2"/>
            <w:shd w:val="clear" w:color="auto" w:fill="auto"/>
            <w:vAlign w:val="center"/>
          </w:tcPr>
          <w:p w14:paraId="02EFC57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29" w:type="dxa"/>
            <w:shd w:val="clear" w:color="auto" w:fill="auto"/>
            <w:vAlign w:val="center"/>
          </w:tcPr>
          <w:p w14:paraId="509D166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7" w:type="dxa"/>
            <w:shd w:val="clear" w:color="auto" w:fill="auto"/>
            <w:noWrap/>
            <w:vAlign w:val="center"/>
          </w:tcPr>
          <w:p w14:paraId="6D14FE3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r>
              <w:rPr>
                <w:rFonts w:hint="eastAsia" w:ascii="仿宋_GB2312" w:hAnsi="仿宋_GB2312" w:eastAsia="仿宋_GB2312" w:cs="仿宋_GB2312"/>
                <w:i w:val="0"/>
                <w:color w:val="000000"/>
                <w:spacing w:val="-20"/>
                <w:kern w:val="0"/>
                <w:sz w:val="20"/>
                <w:szCs w:val="20"/>
                <w:highlight w:val="none"/>
                <w:u w:val="none"/>
                <w:lang w:val="en-US" w:eastAsia="zh-CN" w:bidi="ar"/>
              </w:rPr>
              <w:t>考查</w:t>
            </w:r>
          </w:p>
        </w:tc>
      </w:tr>
      <w:tr w14:paraId="264A5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5406E2D7">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14:paraId="03629EF8">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0830C00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50" w:type="dxa"/>
            <w:shd w:val="clear" w:color="auto" w:fill="auto"/>
            <w:noWrap/>
            <w:vAlign w:val="center"/>
          </w:tcPr>
          <w:p w14:paraId="761926D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w:t>
            </w:r>
          </w:p>
        </w:tc>
        <w:tc>
          <w:tcPr>
            <w:tcW w:w="1348" w:type="dxa"/>
            <w:shd w:val="clear" w:color="auto" w:fill="auto"/>
            <w:noWrap/>
            <w:vAlign w:val="center"/>
          </w:tcPr>
          <w:p w14:paraId="3EE7E95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3C500211606</w:t>
            </w:r>
          </w:p>
        </w:tc>
        <w:tc>
          <w:tcPr>
            <w:tcW w:w="1549" w:type="dxa"/>
            <w:shd w:val="clear" w:color="auto" w:fill="auto"/>
            <w:vAlign w:val="center"/>
          </w:tcPr>
          <w:p w14:paraId="6486809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汽车性能检测</w:t>
            </w:r>
          </w:p>
        </w:tc>
        <w:tc>
          <w:tcPr>
            <w:tcW w:w="961" w:type="dxa"/>
            <w:shd w:val="clear" w:color="auto" w:fill="auto"/>
            <w:noWrap/>
            <w:vAlign w:val="center"/>
          </w:tcPr>
          <w:p w14:paraId="428F7D1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852" w:type="dxa"/>
            <w:shd w:val="clear" w:color="auto" w:fill="auto"/>
            <w:noWrap/>
            <w:vAlign w:val="center"/>
          </w:tcPr>
          <w:p w14:paraId="70ACA95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873" w:type="dxa"/>
            <w:shd w:val="clear" w:color="auto" w:fill="auto"/>
            <w:noWrap/>
            <w:vAlign w:val="center"/>
          </w:tcPr>
          <w:p w14:paraId="7D982F5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825" w:type="dxa"/>
            <w:shd w:val="clear" w:color="auto" w:fill="auto"/>
            <w:noWrap/>
            <w:vAlign w:val="center"/>
          </w:tcPr>
          <w:p w14:paraId="2DC78C1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32</w:t>
            </w:r>
          </w:p>
        </w:tc>
        <w:tc>
          <w:tcPr>
            <w:tcW w:w="305" w:type="dxa"/>
            <w:shd w:val="clear" w:color="auto" w:fill="auto"/>
            <w:noWrap/>
            <w:vAlign w:val="center"/>
          </w:tcPr>
          <w:p w14:paraId="4D660FE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76" w:type="dxa"/>
            <w:shd w:val="clear" w:color="auto" w:fill="auto"/>
            <w:noWrap/>
            <w:vAlign w:val="center"/>
          </w:tcPr>
          <w:p w14:paraId="305ECB5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40" w:type="dxa"/>
            <w:shd w:val="clear" w:color="auto" w:fill="auto"/>
            <w:noWrap/>
            <w:vAlign w:val="center"/>
          </w:tcPr>
          <w:p w14:paraId="3CF655D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40" w:type="dxa"/>
            <w:shd w:val="clear" w:color="auto" w:fill="auto"/>
            <w:noWrap/>
            <w:vAlign w:val="center"/>
          </w:tcPr>
          <w:p w14:paraId="7C001A2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410" w:type="dxa"/>
            <w:gridSpan w:val="2"/>
            <w:shd w:val="clear" w:color="auto" w:fill="auto"/>
            <w:vAlign w:val="center"/>
          </w:tcPr>
          <w:p w14:paraId="2CB2598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29" w:type="dxa"/>
            <w:shd w:val="clear" w:color="auto" w:fill="auto"/>
            <w:vAlign w:val="center"/>
          </w:tcPr>
          <w:p w14:paraId="323CE49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7" w:type="dxa"/>
            <w:shd w:val="clear" w:color="auto" w:fill="auto"/>
            <w:noWrap/>
            <w:vAlign w:val="center"/>
          </w:tcPr>
          <w:p w14:paraId="3782A77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r>
              <w:rPr>
                <w:rFonts w:hint="eastAsia" w:ascii="仿宋_GB2312" w:hAnsi="仿宋_GB2312" w:eastAsia="仿宋_GB2312" w:cs="仿宋_GB2312"/>
                <w:i w:val="0"/>
                <w:color w:val="000000"/>
                <w:spacing w:val="-20"/>
                <w:kern w:val="0"/>
                <w:sz w:val="20"/>
                <w:szCs w:val="20"/>
                <w:highlight w:val="none"/>
                <w:u w:val="none"/>
                <w:lang w:val="en-US" w:eastAsia="zh-CN" w:bidi="ar"/>
              </w:rPr>
              <w:t>考查</w:t>
            </w:r>
          </w:p>
        </w:tc>
      </w:tr>
      <w:tr w14:paraId="51EE9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3F0EF5A5">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14:paraId="5BAFC3C9">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26BBACA9">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50" w:type="dxa"/>
            <w:shd w:val="clear" w:color="auto" w:fill="auto"/>
            <w:noWrap/>
            <w:vAlign w:val="center"/>
          </w:tcPr>
          <w:p w14:paraId="0B0BEB0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w:t>
            </w:r>
          </w:p>
        </w:tc>
        <w:tc>
          <w:tcPr>
            <w:tcW w:w="1348" w:type="dxa"/>
            <w:shd w:val="clear" w:color="auto" w:fill="auto"/>
            <w:noWrap/>
            <w:vAlign w:val="center"/>
          </w:tcPr>
          <w:p w14:paraId="46B4081D">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1B410101601</w:t>
            </w:r>
          </w:p>
        </w:tc>
        <w:tc>
          <w:tcPr>
            <w:tcW w:w="1549" w:type="dxa"/>
            <w:shd w:val="clear" w:color="auto" w:fill="auto"/>
            <w:vAlign w:val="center"/>
          </w:tcPr>
          <w:p w14:paraId="77D15A2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毕业设计</w:t>
            </w:r>
          </w:p>
        </w:tc>
        <w:tc>
          <w:tcPr>
            <w:tcW w:w="961" w:type="dxa"/>
            <w:shd w:val="clear" w:color="auto" w:fill="auto"/>
            <w:noWrap/>
            <w:vAlign w:val="center"/>
          </w:tcPr>
          <w:p w14:paraId="3DF4E18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w:t>
            </w:r>
          </w:p>
        </w:tc>
        <w:tc>
          <w:tcPr>
            <w:tcW w:w="852" w:type="dxa"/>
            <w:shd w:val="clear" w:color="auto" w:fill="auto"/>
            <w:noWrap/>
            <w:vAlign w:val="center"/>
          </w:tcPr>
          <w:p w14:paraId="4174EAC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80</w:t>
            </w:r>
          </w:p>
        </w:tc>
        <w:tc>
          <w:tcPr>
            <w:tcW w:w="873" w:type="dxa"/>
            <w:shd w:val="clear" w:color="auto" w:fill="auto"/>
            <w:noWrap/>
            <w:vAlign w:val="center"/>
          </w:tcPr>
          <w:p w14:paraId="00654D8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20</w:t>
            </w:r>
          </w:p>
        </w:tc>
        <w:tc>
          <w:tcPr>
            <w:tcW w:w="825" w:type="dxa"/>
            <w:shd w:val="clear" w:color="auto" w:fill="auto"/>
            <w:noWrap/>
            <w:vAlign w:val="center"/>
          </w:tcPr>
          <w:p w14:paraId="1FCE7C1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60</w:t>
            </w:r>
          </w:p>
        </w:tc>
        <w:tc>
          <w:tcPr>
            <w:tcW w:w="305" w:type="dxa"/>
            <w:shd w:val="clear" w:color="auto" w:fill="auto"/>
            <w:noWrap/>
            <w:vAlign w:val="center"/>
          </w:tcPr>
          <w:p w14:paraId="30A5570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76" w:type="dxa"/>
            <w:shd w:val="clear" w:color="auto" w:fill="auto"/>
            <w:noWrap/>
            <w:vAlign w:val="center"/>
          </w:tcPr>
          <w:p w14:paraId="7014102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40" w:type="dxa"/>
            <w:shd w:val="clear" w:color="auto" w:fill="auto"/>
            <w:noWrap/>
            <w:vAlign w:val="center"/>
          </w:tcPr>
          <w:p w14:paraId="08C1978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40" w:type="dxa"/>
            <w:shd w:val="clear" w:color="auto" w:fill="auto"/>
            <w:noWrap/>
            <w:vAlign w:val="center"/>
          </w:tcPr>
          <w:p w14:paraId="7A47311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10" w:type="dxa"/>
            <w:gridSpan w:val="2"/>
            <w:shd w:val="clear" w:color="auto" w:fill="auto"/>
            <w:vAlign w:val="center"/>
          </w:tcPr>
          <w:p w14:paraId="130E0D3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r>
              <w:rPr>
                <w:rFonts w:hint="eastAsia" w:ascii="仿宋_GB2312" w:hAnsi="仿宋_GB2312" w:eastAsia="仿宋_GB2312" w:cs="仿宋_GB2312"/>
                <w:i w:val="0"/>
                <w:color w:val="000000"/>
                <w:spacing w:val="-20"/>
                <w:kern w:val="0"/>
                <w:sz w:val="20"/>
                <w:szCs w:val="20"/>
                <w:u w:val="none"/>
                <w:lang w:val="en-US" w:eastAsia="zh-CN" w:bidi="ar"/>
              </w:rPr>
              <w:t>20</w:t>
            </w:r>
          </w:p>
        </w:tc>
        <w:tc>
          <w:tcPr>
            <w:tcW w:w="429" w:type="dxa"/>
            <w:shd w:val="clear" w:color="auto" w:fill="auto"/>
            <w:vAlign w:val="center"/>
          </w:tcPr>
          <w:p w14:paraId="30A832B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p>
        </w:tc>
        <w:tc>
          <w:tcPr>
            <w:tcW w:w="537" w:type="dxa"/>
            <w:shd w:val="clear" w:color="auto" w:fill="auto"/>
            <w:noWrap/>
            <w:vAlign w:val="center"/>
          </w:tcPr>
          <w:p w14:paraId="129F709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r>
              <w:rPr>
                <w:rFonts w:hint="eastAsia" w:ascii="仿宋_GB2312" w:hAnsi="仿宋_GB2312" w:eastAsia="仿宋_GB2312" w:cs="仿宋_GB2312"/>
                <w:i w:val="0"/>
                <w:color w:val="000000"/>
                <w:spacing w:val="-20"/>
                <w:kern w:val="0"/>
                <w:sz w:val="20"/>
                <w:szCs w:val="20"/>
                <w:highlight w:val="none"/>
                <w:u w:val="none"/>
                <w:lang w:val="en-US" w:eastAsia="zh-CN" w:bidi="ar"/>
              </w:rPr>
              <w:t>考查</w:t>
            </w:r>
          </w:p>
        </w:tc>
      </w:tr>
      <w:tr w14:paraId="315EE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23" w:type="dxa"/>
            <w:vMerge w:val="continue"/>
            <w:shd w:val="clear" w:color="auto" w:fill="auto"/>
            <w:vAlign w:val="center"/>
          </w:tcPr>
          <w:p w14:paraId="3B7C9E7C">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shd w:val="clear" w:color="auto" w:fill="auto"/>
            <w:vAlign w:val="center"/>
          </w:tcPr>
          <w:p w14:paraId="3531DD8D">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shd w:val="clear" w:color="auto" w:fill="auto"/>
            <w:vAlign w:val="center"/>
          </w:tcPr>
          <w:p w14:paraId="520AC2BE">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50" w:type="dxa"/>
            <w:shd w:val="clear" w:color="auto" w:fill="auto"/>
            <w:noWrap/>
            <w:vAlign w:val="center"/>
          </w:tcPr>
          <w:p w14:paraId="233D5F8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w:t>
            </w:r>
          </w:p>
        </w:tc>
        <w:tc>
          <w:tcPr>
            <w:tcW w:w="1348" w:type="dxa"/>
            <w:shd w:val="clear" w:color="auto" w:fill="auto"/>
            <w:noWrap/>
            <w:vAlign w:val="center"/>
          </w:tcPr>
          <w:p w14:paraId="4E366D8F">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1C410101602</w:t>
            </w:r>
          </w:p>
        </w:tc>
        <w:tc>
          <w:tcPr>
            <w:tcW w:w="1549" w:type="dxa"/>
            <w:shd w:val="clear" w:color="auto" w:fill="auto"/>
            <w:vAlign w:val="center"/>
          </w:tcPr>
          <w:p w14:paraId="4EE946A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岗位实习</w:t>
            </w:r>
          </w:p>
        </w:tc>
        <w:tc>
          <w:tcPr>
            <w:tcW w:w="961" w:type="dxa"/>
            <w:shd w:val="clear" w:color="auto" w:fill="auto"/>
            <w:noWrap/>
            <w:vAlign w:val="center"/>
          </w:tcPr>
          <w:p w14:paraId="3CFC2FC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18</w:t>
            </w:r>
          </w:p>
        </w:tc>
        <w:tc>
          <w:tcPr>
            <w:tcW w:w="852" w:type="dxa"/>
            <w:shd w:val="clear" w:color="auto" w:fill="auto"/>
            <w:noWrap/>
            <w:vAlign w:val="center"/>
          </w:tcPr>
          <w:p w14:paraId="22653D9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432</w:t>
            </w:r>
          </w:p>
        </w:tc>
        <w:tc>
          <w:tcPr>
            <w:tcW w:w="873" w:type="dxa"/>
            <w:shd w:val="clear" w:color="auto" w:fill="auto"/>
            <w:noWrap/>
            <w:vAlign w:val="center"/>
          </w:tcPr>
          <w:p w14:paraId="5EA126F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825" w:type="dxa"/>
            <w:shd w:val="clear" w:color="auto" w:fill="auto"/>
            <w:noWrap/>
            <w:vAlign w:val="center"/>
          </w:tcPr>
          <w:p w14:paraId="154B034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432</w:t>
            </w:r>
          </w:p>
        </w:tc>
        <w:tc>
          <w:tcPr>
            <w:tcW w:w="305" w:type="dxa"/>
            <w:shd w:val="clear" w:color="auto" w:fill="auto"/>
            <w:noWrap/>
            <w:vAlign w:val="center"/>
          </w:tcPr>
          <w:p w14:paraId="6EA847C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76" w:type="dxa"/>
            <w:shd w:val="clear" w:color="auto" w:fill="auto"/>
            <w:noWrap/>
            <w:vAlign w:val="center"/>
          </w:tcPr>
          <w:p w14:paraId="1856395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40" w:type="dxa"/>
            <w:shd w:val="clear" w:color="auto" w:fill="auto"/>
            <w:noWrap/>
            <w:vAlign w:val="center"/>
          </w:tcPr>
          <w:p w14:paraId="2849A48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40" w:type="dxa"/>
            <w:shd w:val="clear" w:color="auto" w:fill="auto"/>
            <w:noWrap/>
            <w:vAlign w:val="center"/>
          </w:tcPr>
          <w:p w14:paraId="47A754C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10" w:type="dxa"/>
            <w:gridSpan w:val="2"/>
            <w:shd w:val="clear" w:color="auto" w:fill="auto"/>
            <w:vAlign w:val="center"/>
          </w:tcPr>
          <w:p w14:paraId="61AD519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p>
        </w:tc>
        <w:tc>
          <w:tcPr>
            <w:tcW w:w="429" w:type="dxa"/>
            <w:shd w:val="clear" w:color="auto" w:fill="auto"/>
            <w:vAlign w:val="center"/>
          </w:tcPr>
          <w:p w14:paraId="02CAD81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r>
              <w:rPr>
                <w:rFonts w:hint="eastAsia" w:ascii="仿宋_GB2312" w:hAnsi="仿宋_GB2312" w:eastAsia="仿宋_GB2312" w:cs="仿宋_GB2312"/>
                <w:i w:val="0"/>
                <w:color w:val="000000"/>
                <w:spacing w:val="-20"/>
                <w:kern w:val="0"/>
                <w:sz w:val="20"/>
                <w:szCs w:val="20"/>
                <w:u w:val="none"/>
                <w:lang w:val="en-US" w:eastAsia="zh-CN" w:bidi="ar"/>
              </w:rPr>
              <w:t>18</w:t>
            </w:r>
          </w:p>
        </w:tc>
        <w:tc>
          <w:tcPr>
            <w:tcW w:w="537" w:type="dxa"/>
            <w:shd w:val="clear" w:color="auto" w:fill="auto"/>
            <w:noWrap/>
            <w:vAlign w:val="center"/>
          </w:tcPr>
          <w:p w14:paraId="512481D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spacing w:val="-20"/>
                <w:kern w:val="0"/>
                <w:sz w:val="20"/>
                <w:szCs w:val="20"/>
                <w:u w:val="none"/>
                <w:lang w:val="en-US" w:eastAsia="zh-CN" w:bidi="ar"/>
              </w:rPr>
            </w:pPr>
            <w:r>
              <w:rPr>
                <w:rFonts w:hint="eastAsia" w:ascii="仿宋_GB2312" w:hAnsi="仿宋_GB2312" w:eastAsia="仿宋_GB2312" w:cs="仿宋_GB2312"/>
                <w:i w:val="0"/>
                <w:color w:val="000000"/>
                <w:spacing w:val="-20"/>
                <w:kern w:val="0"/>
                <w:sz w:val="20"/>
                <w:szCs w:val="20"/>
                <w:highlight w:val="none"/>
                <w:u w:val="none"/>
                <w:lang w:val="en-US" w:eastAsia="zh-CN" w:bidi="ar"/>
              </w:rPr>
              <w:t>考查</w:t>
            </w:r>
          </w:p>
        </w:tc>
      </w:tr>
      <w:tr w14:paraId="75C65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4732" w:type="dxa"/>
            <w:gridSpan w:val="6"/>
            <w:shd w:val="clear" w:color="auto" w:fill="auto"/>
            <w:vAlign w:val="bottom"/>
          </w:tcPr>
          <w:p w14:paraId="796A528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专业必修课程学分、学时小计</w:t>
            </w:r>
          </w:p>
        </w:tc>
        <w:tc>
          <w:tcPr>
            <w:tcW w:w="961" w:type="dxa"/>
            <w:shd w:val="clear" w:color="auto" w:fill="auto"/>
            <w:vAlign w:val="center"/>
          </w:tcPr>
          <w:p w14:paraId="6DE3E19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89</w:t>
            </w:r>
          </w:p>
        </w:tc>
        <w:tc>
          <w:tcPr>
            <w:tcW w:w="852" w:type="dxa"/>
            <w:shd w:val="clear" w:color="auto" w:fill="auto"/>
            <w:vAlign w:val="center"/>
          </w:tcPr>
          <w:p w14:paraId="45DB709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1568</w:t>
            </w:r>
          </w:p>
        </w:tc>
        <w:tc>
          <w:tcPr>
            <w:tcW w:w="873" w:type="dxa"/>
            <w:shd w:val="clear" w:color="auto" w:fill="auto"/>
            <w:vAlign w:val="center"/>
          </w:tcPr>
          <w:p w14:paraId="5FDFA95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620</w:t>
            </w:r>
          </w:p>
        </w:tc>
        <w:tc>
          <w:tcPr>
            <w:tcW w:w="825" w:type="dxa"/>
            <w:shd w:val="clear" w:color="auto" w:fill="auto"/>
            <w:vAlign w:val="center"/>
          </w:tcPr>
          <w:p w14:paraId="3A52B99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948</w:t>
            </w:r>
          </w:p>
        </w:tc>
        <w:tc>
          <w:tcPr>
            <w:tcW w:w="305" w:type="dxa"/>
            <w:shd w:val="clear" w:color="auto" w:fill="auto"/>
            <w:vAlign w:val="center"/>
          </w:tcPr>
          <w:p w14:paraId="5C93073D">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276" w:type="dxa"/>
            <w:shd w:val="clear" w:color="auto" w:fill="auto"/>
            <w:vAlign w:val="center"/>
          </w:tcPr>
          <w:p w14:paraId="0BB32585">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240" w:type="dxa"/>
            <w:shd w:val="clear" w:color="auto" w:fill="auto"/>
            <w:vAlign w:val="center"/>
          </w:tcPr>
          <w:p w14:paraId="319F345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240" w:type="dxa"/>
            <w:shd w:val="clear" w:color="auto" w:fill="auto"/>
            <w:noWrap/>
            <w:vAlign w:val="center"/>
          </w:tcPr>
          <w:p w14:paraId="7553EC2B">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09" w:type="dxa"/>
            <w:shd w:val="clear" w:color="auto" w:fill="auto"/>
            <w:noWrap/>
            <w:vAlign w:val="center"/>
          </w:tcPr>
          <w:p w14:paraId="63FA7856">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30" w:type="dxa"/>
            <w:gridSpan w:val="2"/>
            <w:shd w:val="clear" w:color="auto" w:fill="auto"/>
            <w:noWrap/>
            <w:vAlign w:val="center"/>
          </w:tcPr>
          <w:p w14:paraId="4C1116C9">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537" w:type="dxa"/>
            <w:shd w:val="clear" w:color="auto" w:fill="auto"/>
            <w:noWrap/>
            <w:vAlign w:val="center"/>
          </w:tcPr>
          <w:p w14:paraId="5EE70DF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r>
      <w:tr w14:paraId="7192B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4732" w:type="dxa"/>
            <w:gridSpan w:val="6"/>
            <w:shd w:val="clear" w:color="auto" w:fill="auto"/>
            <w:vAlign w:val="center"/>
          </w:tcPr>
          <w:p w14:paraId="732EC58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专业必修课程学分、学时占比</w:t>
            </w:r>
          </w:p>
        </w:tc>
        <w:tc>
          <w:tcPr>
            <w:tcW w:w="961" w:type="dxa"/>
            <w:shd w:val="clear" w:color="auto" w:fill="auto"/>
            <w:vAlign w:val="center"/>
          </w:tcPr>
          <w:p w14:paraId="1136B76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59.73%</w:t>
            </w:r>
          </w:p>
        </w:tc>
        <w:tc>
          <w:tcPr>
            <w:tcW w:w="852" w:type="dxa"/>
            <w:shd w:val="clear" w:color="auto" w:fill="auto"/>
            <w:vAlign w:val="center"/>
          </w:tcPr>
          <w:p w14:paraId="2BFF2B6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59.17%</w:t>
            </w:r>
          </w:p>
        </w:tc>
        <w:tc>
          <w:tcPr>
            <w:tcW w:w="873" w:type="dxa"/>
            <w:shd w:val="clear" w:color="auto" w:fill="auto"/>
            <w:vAlign w:val="center"/>
          </w:tcPr>
          <w:p w14:paraId="43F8042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23.40%</w:t>
            </w:r>
          </w:p>
        </w:tc>
        <w:tc>
          <w:tcPr>
            <w:tcW w:w="825" w:type="dxa"/>
            <w:shd w:val="clear" w:color="auto" w:fill="auto"/>
            <w:vAlign w:val="center"/>
          </w:tcPr>
          <w:p w14:paraId="7B7D47B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35.77%</w:t>
            </w:r>
          </w:p>
        </w:tc>
        <w:tc>
          <w:tcPr>
            <w:tcW w:w="305" w:type="dxa"/>
            <w:shd w:val="clear" w:color="auto" w:fill="auto"/>
            <w:noWrap/>
            <w:vAlign w:val="center"/>
          </w:tcPr>
          <w:p w14:paraId="7D92174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276" w:type="dxa"/>
            <w:shd w:val="clear" w:color="auto" w:fill="auto"/>
            <w:noWrap/>
            <w:vAlign w:val="center"/>
          </w:tcPr>
          <w:p w14:paraId="7D7DD85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240" w:type="dxa"/>
            <w:shd w:val="clear" w:color="auto" w:fill="auto"/>
            <w:noWrap/>
            <w:vAlign w:val="center"/>
          </w:tcPr>
          <w:p w14:paraId="509BB15E">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240" w:type="dxa"/>
            <w:shd w:val="clear" w:color="auto" w:fill="auto"/>
            <w:noWrap/>
            <w:vAlign w:val="center"/>
          </w:tcPr>
          <w:p w14:paraId="11F1DD65">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09" w:type="dxa"/>
            <w:shd w:val="clear" w:color="auto" w:fill="auto"/>
            <w:noWrap/>
            <w:vAlign w:val="center"/>
          </w:tcPr>
          <w:p w14:paraId="33076F59">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30" w:type="dxa"/>
            <w:gridSpan w:val="2"/>
            <w:shd w:val="clear" w:color="auto" w:fill="auto"/>
            <w:noWrap/>
            <w:vAlign w:val="center"/>
          </w:tcPr>
          <w:p w14:paraId="1B108E20">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537" w:type="dxa"/>
            <w:shd w:val="clear" w:color="auto" w:fill="auto"/>
            <w:noWrap/>
            <w:vAlign w:val="center"/>
          </w:tcPr>
          <w:p w14:paraId="462413E8">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r>
      <w:tr w14:paraId="3A673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4732" w:type="dxa"/>
            <w:gridSpan w:val="6"/>
            <w:shd w:val="clear" w:color="auto" w:fill="auto"/>
            <w:vAlign w:val="center"/>
          </w:tcPr>
          <w:p w14:paraId="6AD9ECF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专业拓展课程学分、学时小计</w:t>
            </w:r>
          </w:p>
        </w:tc>
        <w:tc>
          <w:tcPr>
            <w:tcW w:w="961" w:type="dxa"/>
            <w:shd w:val="clear" w:color="auto" w:fill="auto"/>
            <w:noWrap/>
            <w:vAlign w:val="center"/>
          </w:tcPr>
          <w:p w14:paraId="158C52D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10</w:t>
            </w:r>
          </w:p>
        </w:tc>
        <w:tc>
          <w:tcPr>
            <w:tcW w:w="852" w:type="dxa"/>
            <w:shd w:val="clear" w:color="auto" w:fill="auto"/>
            <w:noWrap/>
            <w:vAlign w:val="center"/>
          </w:tcPr>
          <w:p w14:paraId="240AA6A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160</w:t>
            </w:r>
          </w:p>
        </w:tc>
        <w:tc>
          <w:tcPr>
            <w:tcW w:w="873" w:type="dxa"/>
            <w:shd w:val="clear" w:color="auto" w:fill="auto"/>
            <w:noWrap/>
            <w:vAlign w:val="center"/>
          </w:tcPr>
          <w:p w14:paraId="6EE2367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160</w:t>
            </w:r>
          </w:p>
        </w:tc>
        <w:tc>
          <w:tcPr>
            <w:tcW w:w="825" w:type="dxa"/>
            <w:shd w:val="clear" w:color="auto" w:fill="auto"/>
            <w:noWrap/>
            <w:vAlign w:val="center"/>
          </w:tcPr>
          <w:p w14:paraId="639A977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w:t>
            </w:r>
          </w:p>
        </w:tc>
        <w:tc>
          <w:tcPr>
            <w:tcW w:w="305" w:type="dxa"/>
            <w:shd w:val="clear" w:color="auto" w:fill="auto"/>
            <w:noWrap/>
            <w:vAlign w:val="center"/>
          </w:tcPr>
          <w:p w14:paraId="71F0E776">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276" w:type="dxa"/>
            <w:shd w:val="clear" w:color="auto" w:fill="auto"/>
            <w:noWrap/>
            <w:vAlign w:val="center"/>
          </w:tcPr>
          <w:p w14:paraId="14419108">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240" w:type="dxa"/>
            <w:shd w:val="clear" w:color="auto" w:fill="auto"/>
            <w:noWrap/>
            <w:vAlign w:val="center"/>
          </w:tcPr>
          <w:p w14:paraId="6FDD2488">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240" w:type="dxa"/>
            <w:shd w:val="clear" w:color="auto" w:fill="auto"/>
            <w:noWrap/>
            <w:vAlign w:val="center"/>
          </w:tcPr>
          <w:p w14:paraId="02A9AAEB">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09" w:type="dxa"/>
            <w:shd w:val="clear" w:color="auto" w:fill="auto"/>
            <w:noWrap/>
            <w:vAlign w:val="center"/>
          </w:tcPr>
          <w:p w14:paraId="2F186232">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30" w:type="dxa"/>
            <w:gridSpan w:val="2"/>
            <w:shd w:val="clear" w:color="auto" w:fill="auto"/>
            <w:noWrap/>
            <w:vAlign w:val="center"/>
          </w:tcPr>
          <w:p w14:paraId="43598E16">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537" w:type="dxa"/>
            <w:shd w:val="clear" w:color="auto" w:fill="auto"/>
            <w:noWrap/>
            <w:vAlign w:val="center"/>
          </w:tcPr>
          <w:p w14:paraId="584BA051">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r>
      <w:tr w14:paraId="17964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3" w:hRule="atLeast"/>
          <w:jc w:val="center"/>
        </w:trPr>
        <w:tc>
          <w:tcPr>
            <w:tcW w:w="4732" w:type="dxa"/>
            <w:gridSpan w:val="6"/>
            <w:shd w:val="clear" w:color="auto" w:fill="auto"/>
            <w:vAlign w:val="center"/>
          </w:tcPr>
          <w:p w14:paraId="68E0223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专业拓展课程学分、学时占比</w:t>
            </w:r>
          </w:p>
        </w:tc>
        <w:tc>
          <w:tcPr>
            <w:tcW w:w="961" w:type="dxa"/>
            <w:shd w:val="clear" w:color="auto" w:fill="auto"/>
            <w:noWrap/>
            <w:vAlign w:val="center"/>
          </w:tcPr>
          <w:p w14:paraId="018273E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6.71%</w:t>
            </w:r>
          </w:p>
        </w:tc>
        <w:tc>
          <w:tcPr>
            <w:tcW w:w="852" w:type="dxa"/>
            <w:shd w:val="clear" w:color="auto" w:fill="auto"/>
            <w:noWrap/>
            <w:vAlign w:val="center"/>
          </w:tcPr>
          <w:p w14:paraId="0E13AB0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6.04%</w:t>
            </w:r>
          </w:p>
        </w:tc>
        <w:tc>
          <w:tcPr>
            <w:tcW w:w="873" w:type="dxa"/>
            <w:shd w:val="clear" w:color="auto" w:fill="auto"/>
            <w:noWrap/>
            <w:vAlign w:val="center"/>
          </w:tcPr>
          <w:p w14:paraId="2042306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6.04%</w:t>
            </w:r>
          </w:p>
        </w:tc>
        <w:tc>
          <w:tcPr>
            <w:tcW w:w="825" w:type="dxa"/>
            <w:shd w:val="clear" w:color="auto" w:fill="auto"/>
            <w:noWrap/>
            <w:vAlign w:val="center"/>
          </w:tcPr>
          <w:p w14:paraId="3945517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0.00%</w:t>
            </w:r>
          </w:p>
        </w:tc>
        <w:tc>
          <w:tcPr>
            <w:tcW w:w="305" w:type="dxa"/>
            <w:shd w:val="clear" w:color="auto" w:fill="auto"/>
            <w:noWrap/>
            <w:vAlign w:val="center"/>
          </w:tcPr>
          <w:p w14:paraId="0A4BAF14">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276" w:type="dxa"/>
            <w:shd w:val="clear" w:color="auto" w:fill="auto"/>
            <w:noWrap/>
            <w:vAlign w:val="center"/>
          </w:tcPr>
          <w:p w14:paraId="30AFAB9F">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240" w:type="dxa"/>
            <w:shd w:val="clear" w:color="auto" w:fill="auto"/>
            <w:noWrap/>
            <w:vAlign w:val="center"/>
          </w:tcPr>
          <w:p w14:paraId="0A74CFAF">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240" w:type="dxa"/>
            <w:shd w:val="clear" w:color="auto" w:fill="auto"/>
            <w:noWrap/>
            <w:vAlign w:val="center"/>
          </w:tcPr>
          <w:p w14:paraId="506A8A5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09" w:type="dxa"/>
            <w:shd w:val="clear" w:color="auto" w:fill="auto"/>
            <w:noWrap/>
            <w:vAlign w:val="center"/>
          </w:tcPr>
          <w:p w14:paraId="7D0F2E68">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30" w:type="dxa"/>
            <w:gridSpan w:val="2"/>
            <w:shd w:val="clear" w:color="auto" w:fill="auto"/>
            <w:noWrap/>
            <w:vAlign w:val="center"/>
          </w:tcPr>
          <w:p w14:paraId="7FFA0FDD">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537" w:type="dxa"/>
            <w:shd w:val="clear" w:color="auto" w:fill="auto"/>
            <w:noWrap/>
            <w:vAlign w:val="center"/>
          </w:tcPr>
          <w:p w14:paraId="1B7F4B28">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r>
      <w:tr w14:paraId="02F71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3" w:hRule="atLeast"/>
          <w:jc w:val="center"/>
        </w:trPr>
        <w:tc>
          <w:tcPr>
            <w:tcW w:w="4732" w:type="dxa"/>
            <w:gridSpan w:val="6"/>
            <w:shd w:val="clear" w:color="auto" w:fill="auto"/>
            <w:vAlign w:val="center"/>
          </w:tcPr>
          <w:p w14:paraId="6F94FF6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总学分、学时合计</w:t>
            </w:r>
          </w:p>
        </w:tc>
        <w:tc>
          <w:tcPr>
            <w:tcW w:w="961" w:type="dxa"/>
            <w:shd w:val="clear" w:color="auto" w:fill="auto"/>
            <w:noWrap/>
            <w:vAlign w:val="center"/>
          </w:tcPr>
          <w:p w14:paraId="0D12B0B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149</w:t>
            </w:r>
          </w:p>
        </w:tc>
        <w:tc>
          <w:tcPr>
            <w:tcW w:w="852" w:type="dxa"/>
            <w:shd w:val="clear" w:color="auto" w:fill="auto"/>
            <w:noWrap/>
            <w:vAlign w:val="center"/>
          </w:tcPr>
          <w:p w14:paraId="6B8C5FB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2650</w:t>
            </w:r>
          </w:p>
        </w:tc>
        <w:tc>
          <w:tcPr>
            <w:tcW w:w="873" w:type="dxa"/>
            <w:shd w:val="clear" w:color="auto" w:fill="auto"/>
            <w:noWrap/>
            <w:vAlign w:val="center"/>
          </w:tcPr>
          <w:p w14:paraId="593E071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1314</w:t>
            </w:r>
          </w:p>
        </w:tc>
        <w:tc>
          <w:tcPr>
            <w:tcW w:w="825" w:type="dxa"/>
            <w:shd w:val="clear" w:color="auto" w:fill="auto"/>
            <w:noWrap/>
            <w:vAlign w:val="center"/>
          </w:tcPr>
          <w:p w14:paraId="3662619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1336</w:t>
            </w:r>
          </w:p>
        </w:tc>
        <w:tc>
          <w:tcPr>
            <w:tcW w:w="305" w:type="dxa"/>
            <w:shd w:val="clear" w:color="auto" w:fill="auto"/>
            <w:noWrap/>
            <w:vAlign w:val="center"/>
          </w:tcPr>
          <w:p w14:paraId="3F57221F">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276" w:type="dxa"/>
            <w:shd w:val="clear" w:color="auto" w:fill="auto"/>
            <w:noWrap/>
            <w:vAlign w:val="center"/>
          </w:tcPr>
          <w:p w14:paraId="5A009719">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240" w:type="dxa"/>
            <w:shd w:val="clear" w:color="auto" w:fill="auto"/>
            <w:noWrap/>
            <w:vAlign w:val="center"/>
          </w:tcPr>
          <w:p w14:paraId="116DCF0C">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240" w:type="dxa"/>
            <w:shd w:val="clear" w:color="auto" w:fill="auto"/>
            <w:noWrap/>
            <w:vAlign w:val="center"/>
          </w:tcPr>
          <w:p w14:paraId="221EF40E">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09" w:type="dxa"/>
            <w:shd w:val="clear" w:color="auto" w:fill="auto"/>
            <w:noWrap/>
            <w:vAlign w:val="center"/>
          </w:tcPr>
          <w:p w14:paraId="01262704">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30" w:type="dxa"/>
            <w:gridSpan w:val="2"/>
            <w:shd w:val="clear" w:color="auto" w:fill="auto"/>
            <w:noWrap/>
            <w:vAlign w:val="center"/>
          </w:tcPr>
          <w:p w14:paraId="01C0012F">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537" w:type="dxa"/>
            <w:shd w:val="clear" w:color="auto" w:fill="auto"/>
            <w:noWrap/>
            <w:vAlign w:val="center"/>
          </w:tcPr>
          <w:p w14:paraId="623AD2A8">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r>
      <w:bookmarkEnd w:id="10"/>
    </w:tbl>
    <w:p w14:paraId="09FF9A0D">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default"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九</w:t>
      </w:r>
      <w:r>
        <w:rPr>
          <w:rFonts w:hint="eastAsia" w:ascii="黑体" w:hAnsi="黑体" w:eastAsia="黑体" w:cs="黑体"/>
          <w:color w:val="auto"/>
          <w:sz w:val="32"/>
          <w:szCs w:val="32"/>
        </w:rPr>
        <w:t>、</w:t>
      </w:r>
      <w:r>
        <w:rPr>
          <w:rFonts w:hint="eastAsia" w:ascii="黑体" w:hAnsi="黑体" w:eastAsia="黑体" w:cs="黑体"/>
          <w:color w:val="auto"/>
          <w:sz w:val="32"/>
          <w:szCs w:val="32"/>
          <w:lang w:val="en-US" w:eastAsia="zh-CN"/>
        </w:rPr>
        <w:t>师资队伍</w:t>
      </w:r>
    </w:p>
    <w:p w14:paraId="3FEA97DA">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按照“四有好老师”“四个相统一”“四个引路人”的要求建设专业教师队伍，将师德师风作为教师队伍建设的第一标准。</w:t>
      </w:r>
    </w:p>
    <w:p w14:paraId="31D20CAC">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default"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kern w:val="2"/>
          <w:sz w:val="32"/>
          <w:szCs w:val="32"/>
          <w:lang w:val="en-US" w:eastAsia="zh-CN" w:bidi="ar-SA"/>
        </w:rPr>
        <w:t>（一）</w:t>
      </w:r>
      <w:r>
        <w:rPr>
          <w:rFonts w:hint="eastAsia" w:ascii="楷体" w:hAnsi="楷体" w:eastAsia="楷体" w:cs="楷体"/>
          <w:b w:val="0"/>
          <w:bCs w:val="0"/>
          <w:color w:val="auto"/>
          <w:sz w:val="32"/>
          <w:szCs w:val="32"/>
          <w:highlight w:val="none"/>
          <w:lang w:val="en-US" w:eastAsia="zh-CN"/>
        </w:rPr>
        <w:t>队伍结构</w:t>
      </w:r>
    </w:p>
    <w:p w14:paraId="4D19E8CA">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default" w:ascii="楷体" w:hAnsi="楷体" w:eastAsia="楷体" w:cs="楷体"/>
          <w:b w:val="0"/>
          <w:bCs w:val="0"/>
          <w:color w:val="auto"/>
          <w:sz w:val="32"/>
          <w:szCs w:val="32"/>
          <w:highlight w:val="none"/>
          <w:lang w:val="en-US" w:eastAsia="zh-CN"/>
        </w:rPr>
      </w:pPr>
      <w:r>
        <w:rPr>
          <w:rFonts w:hint="eastAsia" w:ascii="仿宋_GB2312" w:hAnsi="仿宋_GB2312" w:eastAsia="仿宋_GB2312" w:cs="仿宋_GB2312"/>
          <w:color w:val="auto"/>
          <w:kern w:val="0"/>
          <w:sz w:val="32"/>
          <w:szCs w:val="32"/>
          <w:lang w:val="en-US" w:eastAsia="zh-CN" w:bidi="ar-SA"/>
        </w:rPr>
        <w:t>专业教师团队现有专任教师15人，获取职称人数为12人。其中副高职称1人，中级职称6人，初级职称5人。双师型专任教师3人。</w:t>
      </w:r>
      <w:r>
        <w:rPr>
          <w:rFonts w:hint="eastAsia" w:ascii="仿宋_GB2312" w:hAnsi="仿宋_GB2312" w:eastAsia="仿宋_GB2312" w:cs="仿宋_GB2312"/>
          <w:b w:val="0"/>
          <w:bCs w:val="0"/>
          <w:color w:val="auto"/>
          <w:sz w:val="32"/>
          <w:szCs w:val="32"/>
          <w:highlight w:val="none"/>
          <w:lang w:eastAsia="zh-CN"/>
        </w:rPr>
        <w:t>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14:paraId="46619E45">
      <w:pPr>
        <w:keepNext w:val="0"/>
        <w:keepLines w:val="0"/>
        <w:pageBreakBefore w:val="0"/>
        <w:widowControl w:val="0"/>
        <w:numPr>
          <w:ilvl w:val="0"/>
          <w:numId w:val="1"/>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专业带头人</w:t>
      </w:r>
    </w:p>
    <w:p w14:paraId="7DBBC8C0">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lang w:val="en-US" w:eastAsia="zh-CN"/>
        </w:rPr>
      </w:pPr>
      <w:r>
        <w:rPr>
          <w:rFonts w:hint="eastAsia" w:ascii="仿宋_GB2312" w:hAnsi="仿宋_GB2312" w:eastAsia="仿宋_GB2312" w:cs="仿宋_GB2312"/>
          <w:b w:val="0"/>
          <w:bCs w:val="0"/>
          <w:color w:val="auto"/>
          <w:sz w:val="32"/>
          <w:szCs w:val="32"/>
          <w:highlight w:val="none"/>
          <w:lang w:val="en-US" w:eastAsia="zh-CN"/>
        </w:rPr>
        <w:t>专业带头人原则上应具有副高及以上职称，能够较好地把握国内外汽车行业、专业发展，能广泛联系行业企业，了解行业企业对本专业人才的需求实际，教学设计、专业研究能力强，组织开展教科研工作能力强，在本区域或本领域具有一定的专业影响力</w:t>
      </w:r>
      <w:r>
        <w:rPr>
          <w:rFonts w:hint="eastAsia" w:ascii="仿宋_GB2312" w:hAnsi="仿宋_GB2312" w:eastAsia="仿宋_GB2312" w:cs="仿宋_GB2312"/>
          <w:b w:val="0"/>
          <w:bCs w:val="0"/>
          <w:color w:val="FF0000"/>
          <w:sz w:val="32"/>
          <w:szCs w:val="32"/>
          <w:highlight w:val="none"/>
          <w:lang w:val="en-US" w:eastAsia="zh-CN"/>
        </w:rPr>
        <w:t>。</w:t>
      </w:r>
      <w:r>
        <w:rPr>
          <w:rFonts w:hint="eastAsia" w:ascii="仿宋_GB2312" w:hAnsi="仿宋_GB2312" w:eastAsia="仿宋_GB2312" w:cs="仿宋_GB2312"/>
          <w:color w:val="auto"/>
          <w:kern w:val="0"/>
          <w:sz w:val="32"/>
          <w:szCs w:val="32"/>
          <w:lang w:val="en-US" w:eastAsia="zh-CN" w:bidi="ar-SA"/>
        </w:rPr>
        <w:t>本专业带头人为刘洪涛，副高职称，负责本专业的规划与建设、主持专业人才培养方案、课程标准的制定与修订、教材、专业教学标准、专业认证体系的建设工作、负责本专业教学改革和实践技能培养方案的制定等工作。</w:t>
      </w:r>
      <w:r>
        <w:rPr>
          <w:rFonts w:hint="eastAsia" w:ascii="楷体" w:hAnsi="楷体" w:eastAsia="楷体" w:cs="楷体"/>
          <w:color w:val="auto"/>
          <w:sz w:val="32"/>
          <w:szCs w:val="32"/>
        </w:rPr>
        <w:br w:type="textWrapping"/>
      </w:r>
      <w:r>
        <w:rPr>
          <w:rFonts w:hint="eastAsia" w:ascii="楷体" w:hAnsi="楷体" w:eastAsia="楷体" w:cs="楷体"/>
          <w:color w:val="auto"/>
          <w:sz w:val="32"/>
          <w:szCs w:val="32"/>
        </w:rPr>
        <w:t xml:space="preserve">    </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三</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专任教师</w:t>
      </w:r>
    </w:p>
    <w:p w14:paraId="63B34211">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仿宋_GB2312" w:hAnsi="仿宋_GB2312" w:eastAsia="仿宋_GB2312" w:cs="仿宋_GB2312"/>
          <w:b w:val="0"/>
          <w:bCs w:val="0"/>
          <w:color w:val="auto"/>
          <w:sz w:val="32"/>
          <w:szCs w:val="32"/>
          <w:highlight w:val="none"/>
        </w:rPr>
        <w:t>专任教师应具有高校教师资格</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有理想信念、有道德情操、有扎实学识</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有仁爱之心</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具有</w:t>
      </w:r>
      <w:r>
        <w:rPr>
          <w:rFonts w:hint="eastAsia" w:ascii="仿宋_GB2312" w:hAnsi="仿宋_GB2312" w:eastAsia="仿宋_GB2312" w:cs="仿宋_GB2312"/>
          <w:b w:val="0"/>
          <w:bCs w:val="0"/>
          <w:color w:val="auto"/>
          <w:sz w:val="32"/>
          <w:szCs w:val="32"/>
          <w:highlight w:val="none"/>
          <w:lang w:val="en-US" w:eastAsia="zh-CN"/>
        </w:rPr>
        <w:t>交通运输，车辆工程</w:t>
      </w:r>
      <w:r>
        <w:rPr>
          <w:rFonts w:hint="eastAsia" w:ascii="仿宋_GB2312" w:hAnsi="仿宋_GB2312" w:eastAsia="仿宋_GB2312" w:cs="仿宋_GB2312"/>
          <w:b w:val="0"/>
          <w:bCs w:val="0"/>
          <w:color w:val="auto"/>
          <w:sz w:val="32"/>
          <w:szCs w:val="32"/>
          <w:highlight w:val="none"/>
        </w:rPr>
        <w:t>等相关专业本科及以上学历</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具有扎实的本专业相关理论功底和实践能力</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具有较强信息化教学能力，能够开展课程教学改革和科学研究</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有每5年累计不少于6个月的企业实践经历。</w:t>
      </w:r>
      <w:r>
        <w:rPr>
          <w:rFonts w:hint="eastAsia" w:ascii="楷体" w:hAnsi="楷体" w:eastAsia="楷体" w:cs="楷体"/>
          <w:color w:val="auto"/>
          <w:sz w:val="32"/>
          <w:szCs w:val="32"/>
        </w:rPr>
        <w:br w:type="textWrapping"/>
      </w:r>
      <w:r>
        <w:rPr>
          <w:rFonts w:hint="eastAsia" w:ascii="楷体" w:hAnsi="楷体" w:eastAsia="楷体" w:cs="楷体"/>
          <w:color w:val="auto"/>
          <w:sz w:val="32"/>
          <w:szCs w:val="32"/>
        </w:rPr>
        <w:t xml:space="preserve">    </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四</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兼职教师</w:t>
      </w:r>
    </w:p>
    <w:p w14:paraId="2E9F16AE">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rPr>
      </w:pPr>
      <w:r>
        <w:rPr>
          <w:rFonts w:hint="eastAsia" w:ascii="仿宋_GB2312" w:hAnsi="仿宋_GB2312" w:eastAsia="仿宋_GB2312" w:cs="仿宋_GB2312"/>
          <w:b w:val="0"/>
          <w:bCs w:val="0"/>
          <w:color w:val="auto"/>
          <w:sz w:val="32"/>
          <w:szCs w:val="32"/>
          <w:highlight w:val="none"/>
          <w:lang w:val="en-US" w:eastAsia="zh-CN"/>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本专业现有兼职教师</w:t>
      </w:r>
      <w:r>
        <w:rPr>
          <w:rFonts w:hint="eastAsia" w:ascii="仿宋_GB2312" w:hAnsi="仿宋_GB2312" w:eastAsia="仿宋_GB2312" w:cs="仿宋_GB2312"/>
          <w:color w:val="auto"/>
          <w:kern w:val="0"/>
          <w:sz w:val="32"/>
          <w:szCs w:val="32"/>
          <w:lang w:val="en-US" w:eastAsia="zh-CN" w:bidi="ar-SA"/>
        </w:rPr>
        <w:t>3人，中级职称，</w:t>
      </w:r>
      <w:r>
        <w:rPr>
          <w:rFonts w:hint="eastAsia" w:ascii="仿宋_GB2312" w:hAnsi="仿宋_GB2312" w:eastAsia="仿宋_GB2312" w:cs="仿宋_GB2312"/>
          <w:b w:val="0"/>
          <w:bCs w:val="0"/>
          <w:color w:val="auto"/>
          <w:sz w:val="32"/>
          <w:szCs w:val="32"/>
          <w:highlight w:val="none"/>
          <w:lang w:val="en-US" w:eastAsia="zh-CN"/>
        </w:rPr>
        <w:t>承担</w:t>
      </w:r>
      <w:r>
        <w:rPr>
          <w:rFonts w:hint="eastAsia" w:ascii="仿宋_GB2312" w:hAnsi="仿宋_GB2312" w:eastAsia="仿宋_GB2312" w:cs="仿宋_GB2312"/>
          <w:color w:val="auto"/>
          <w:kern w:val="0"/>
          <w:sz w:val="32"/>
          <w:szCs w:val="32"/>
          <w:lang w:val="en-US" w:eastAsia="zh-CN" w:bidi="ar-SA"/>
        </w:rPr>
        <w:t>汽车电路分析，汽车发动机构造与维修、液压与气压传动等</w:t>
      </w:r>
      <w:r>
        <w:rPr>
          <w:rFonts w:hint="eastAsia" w:ascii="仿宋_GB2312" w:hAnsi="仿宋_GB2312" w:eastAsia="仿宋_GB2312" w:cs="仿宋_GB2312"/>
          <w:b w:val="0"/>
          <w:bCs w:val="0"/>
          <w:color w:val="auto"/>
          <w:sz w:val="32"/>
          <w:szCs w:val="32"/>
          <w:highlight w:val="none"/>
          <w:lang w:val="en-US" w:eastAsia="zh-CN"/>
        </w:rPr>
        <w:t>课程教学任务。</w:t>
      </w:r>
    </w:p>
    <w:p w14:paraId="44342F6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rPr>
      </w:pPr>
      <w:r>
        <w:rPr>
          <w:rFonts w:hint="eastAsia" w:ascii="黑体" w:hAnsi="黑体" w:eastAsia="黑体" w:cs="黑体"/>
          <w:color w:val="auto"/>
          <w:sz w:val="32"/>
          <w:szCs w:val="32"/>
          <w:lang w:val="en-US" w:eastAsia="zh-CN"/>
        </w:rPr>
        <w:t>十、教学条件</w:t>
      </w:r>
    </w:p>
    <w:p w14:paraId="749921E9">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一</w:t>
      </w:r>
      <w:r>
        <w:rPr>
          <w:rFonts w:hint="eastAsia" w:ascii="楷体" w:hAnsi="楷体" w:eastAsia="楷体" w:cs="楷体"/>
          <w:color w:val="auto"/>
          <w:sz w:val="32"/>
          <w:szCs w:val="32"/>
        </w:rPr>
        <w:t>）教学设施</w:t>
      </w:r>
    </w:p>
    <w:p w14:paraId="2BF17C01">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教学设施主要包括能够满足正常的课程教学、实习实训所需的专业教室、校内实训室和校外实训基地等。</w:t>
      </w:r>
    </w:p>
    <w:p w14:paraId="5DFC1038">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1.专业教室要求</w:t>
      </w:r>
    </w:p>
    <w:p w14:paraId="43B99022">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学校为该专业配备公共教室（配备有多媒体设施）、多媒体教室等，满足理论教学要求。</w:t>
      </w:r>
    </w:p>
    <w:p w14:paraId="1820827F">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z w:val="32"/>
          <w:szCs w:val="32"/>
        </w:rPr>
        <w:t>配有黑（白）板、多媒体计算机、投影设备、音响设备，安装应急照明装置并保持良好状态，符合紧急疏散要求，标志明显，逃生通道畅通无阻。</w:t>
      </w:r>
    </w:p>
    <w:p w14:paraId="0CFB780B">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z w:val="32"/>
          <w:szCs w:val="32"/>
        </w:rPr>
        <w:t>2.校内实训资源</w:t>
      </w:r>
    </w:p>
    <w:p w14:paraId="4DE22B0F">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sz w:val="32"/>
          <w:szCs w:val="32"/>
        </w:rPr>
        <w:t>表1</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kern w:val="0"/>
          <w:sz w:val="32"/>
          <w:szCs w:val="32"/>
          <w:lang w:val="en-US" w:eastAsia="zh-CN" w:bidi="ar-SA"/>
        </w:rPr>
        <w:t>汽车检测与维修技术专业</w:t>
      </w:r>
      <w:r>
        <w:rPr>
          <w:rFonts w:hint="eastAsia" w:ascii="仿宋_GB2312" w:hAnsi="仿宋_GB2312" w:eastAsia="仿宋_GB2312" w:cs="仿宋_GB2312"/>
          <w:color w:val="auto"/>
          <w:kern w:val="0"/>
          <w:sz w:val="32"/>
          <w:szCs w:val="32"/>
        </w:rPr>
        <w:t>校内实训资源列表</w:t>
      </w:r>
    </w:p>
    <w:tbl>
      <w:tblPr>
        <w:tblStyle w:val="8"/>
        <w:tblW w:w="10187" w:type="dxa"/>
        <w:tblInd w:w="-4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7"/>
        <w:gridCol w:w="1293"/>
        <w:gridCol w:w="1411"/>
        <w:gridCol w:w="1683"/>
        <w:gridCol w:w="4120"/>
        <w:gridCol w:w="853"/>
      </w:tblGrid>
      <w:tr w14:paraId="6CEF4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827" w:type="dxa"/>
            <w:vAlign w:val="center"/>
          </w:tcPr>
          <w:p w14:paraId="6AB5AFB6">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序号</w:t>
            </w:r>
          </w:p>
        </w:tc>
        <w:tc>
          <w:tcPr>
            <w:tcW w:w="1293" w:type="dxa"/>
            <w:vAlign w:val="center"/>
          </w:tcPr>
          <w:p w14:paraId="00680D4C">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实验实训室名称</w:t>
            </w:r>
          </w:p>
        </w:tc>
        <w:tc>
          <w:tcPr>
            <w:tcW w:w="1411" w:type="dxa"/>
            <w:vAlign w:val="center"/>
          </w:tcPr>
          <w:p w14:paraId="1836DC45">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实训适用</w:t>
            </w:r>
          </w:p>
          <w:p w14:paraId="79316DDE">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课程</w:t>
            </w:r>
          </w:p>
        </w:tc>
        <w:tc>
          <w:tcPr>
            <w:tcW w:w="1683" w:type="dxa"/>
            <w:vAlign w:val="center"/>
          </w:tcPr>
          <w:p w14:paraId="658E49C6">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实训</w:t>
            </w:r>
          </w:p>
          <w:p w14:paraId="5514960D">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项目</w:t>
            </w:r>
          </w:p>
        </w:tc>
        <w:tc>
          <w:tcPr>
            <w:tcW w:w="4120" w:type="dxa"/>
          </w:tcPr>
          <w:p w14:paraId="35A2DF9E">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主要设备名称</w:t>
            </w:r>
          </w:p>
          <w:p w14:paraId="5B88E43E">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及配置数量</w:t>
            </w:r>
          </w:p>
        </w:tc>
        <w:tc>
          <w:tcPr>
            <w:tcW w:w="853" w:type="dxa"/>
          </w:tcPr>
          <w:p w14:paraId="58FF45DC">
            <w:pPr>
              <w:keepNext w:val="0"/>
              <w:keepLines w:val="0"/>
              <w:pageBreakBefore w:val="0"/>
              <w:widowControl w:val="0"/>
              <w:kinsoku/>
              <w:wordWrap/>
              <w:overflowPunct w:val="0"/>
              <w:topLinePunct w:val="0"/>
              <w:autoSpaceDE/>
              <w:autoSpaceDN/>
              <w:bidi w:val="0"/>
              <w:adjustRightInd w:val="0"/>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工位数</w:t>
            </w:r>
          </w:p>
        </w:tc>
      </w:tr>
      <w:tr w14:paraId="7B7B3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trPr>
        <w:tc>
          <w:tcPr>
            <w:tcW w:w="827" w:type="dxa"/>
            <w:vAlign w:val="center"/>
          </w:tcPr>
          <w:p w14:paraId="36D71959">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w:t>
            </w:r>
          </w:p>
        </w:tc>
        <w:tc>
          <w:tcPr>
            <w:tcW w:w="1293" w:type="dxa"/>
            <w:vAlign w:val="top"/>
          </w:tcPr>
          <w:p w14:paraId="539AA2FC">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汽车电控实训室</w:t>
            </w:r>
          </w:p>
        </w:tc>
        <w:tc>
          <w:tcPr>
            <w:tcW w:w="1411" w:type="dxa"/>
            <w:vAlign w:val="top"/>
          </w:tcPr>
          <w:p w14:paraId="76EDABDA">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汽车电路分析、汽车电器</w:t>
            </w:r>
          </w:p>
        </w:tc>
        <w:tc>
          <w:tcPr>
            <w:tcW w:w="1683" w:type="dxa"/>
            <w:vAlign w:val="top"/>
          </w:tcPr>
          <w:p w14:paraId="1B9D2FB2">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汽车电路分析、汽车电器实训</w:t>
            </w:r>
          </w:p>
        </w:tc>
        <w:tc>
          <w:tcPr>
            <w:tcW w:w="4120" w:type="dxa"/>
            <w:vAlign w:val="top"/>
          </w:tcPr>
          <w:p w14:paraId="1EC5E9FF">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点火系统台架3台，照明系统台架3台</w:t>
            </w:r>
          </w:p>
        </w:tc>
        <w:tc>
          <w:tcPr>
            <w:tcW w:w="853" w:type="dxa"/>
            <w:vAlign w:val="center"/>
          </w:tcPr>
          <w:p w14:paraId="7E0798F4">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30</w:t>
            </w:r>
          </w:p>
        </w:tc>
      </w:tr>
      <w:tr w14:paraId="36C29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827" w:type="dxa"/>
            <w:vAlign w:val="center"/>
          </w:tcPr>
          <w:p w14:paraId="2CDC3D0C">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w:t>
            </w:r>
          </w:p>
        </w:tc>
        <w:tc>
          <w:tcPr>
            <w:tcW w:w="1293" w:type="dxa"/>
            <w:vAlign w:val="top"/>
          </w:tcPr>
          <w:p w14:paraId="4C0557F5">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新能源汽车实训室</w:t>
            </w:r>
          </w:p>
        </w:tc>
        <w:tc>
          <w:tcPr>
            <w:tcW w:w="1411" w:type="dxa"/>
            <w:vAlign w:val="top"/>
          </w:tcPr>
          <w:p w14:paraId="69CD22D1">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新能源汽车整车</w:t>
            </w:r>
          </w:p>
        </w:tc>
        <w:tc>
          <w:tcPr>
            <w:tcW w:w="1683" w:type="dxa"/>
            <w:vAlign w:val="top"/>
          </w:tcPr>
          <w:p w14:paraId="02592EFD">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新能源汽车整车实训</w:t>
            </w:r>
          </w:p>
        </w:tc>
        <w:tc>
          <w:tcPr>
            <w:tcW w:w="4120" w:type="dxa"/>
            <w:vAlign w:val="top"/>
          </w:tcPr>
          <w:p w14:paraId="508937FF">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新能源汽车10台，新能源台架1台</w:t>
            </w:r>
          </w:p>
        </w:tc>
        <w:tc>
          <w:tcPr>
            <w:tcW w:w="853" w:type="dxa"/>
            <w:vAlign w:val="center"/>
          </w:tcPr>
          <w:p w14:paraId="2B895086">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30</w:t>
            </w:r>
          </w:p>
        </w:tc>
      </w:tr>
      <w:tr w14:paraId="315AB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7" w:type="dxa"/>
            <w:vAlign w:val="center"/>
          </w:tcPr>
          <w:p w14:paraId="4018F39C">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w:t>
            </w:r>
          </w:p>
        </w:tc>
        <w:tc>
          <w:tcPr>
            <w:tcW w:w="1293" w:type="dxa"/>
            <w:vAlign w:val="top"/>
          </w:tcPr>
          <w:p w14:paraId="6F9E8B81">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汽车综合实训室</w:t>
            </w:r>
          </w:p>
        </w:tc>
        <w:tc>
          <w:tcPr>
            <w:tcW w:w="1411" w:type="dxa"/>
            <w:vAlign w:val="top"/>
          </w:tcPr>
          <w:p w14:paraId="575C2370">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汽车发动机</w:t>
            </w:r>
            <w:r>
              <w:rPr>
                <w:rFonts w:hint="eastAsia" w:ascii="仿宋_GB2312" w:hAnsi="仿宋_GB2312" w:eastAsia="仿宋_GB2312" w:cs="仿宋_GB2312"/>
                <w:color w:val="auto"/>
                <w:sz w:val="24"/>
                <w:szCs w:val="24"/>
                <w:lang w:val="en-US" w:eastAsia="zh-CN"/>
              </w:rPr>
              <w:t>构造与维修</w:t>
            </w:r>
            <w:r>
              <w:rPr>
                <w:rFonts w:hint="eastAsia" w:ascii="仿宋_GB2312" w:hAnsi="仿宋_GB2312" w:eastAsia="仿宋_GB2312" w:cs="仿宋_GB2312"/>
                <w:color w:val="auto"/>
                <w:sz w:val="24"/>
                <w:szCs w:val="24"/>
              </w:rPr>
              <w:t>、</w:t>
            </w:r>
            <w:r>
              <w:rPr>
                <w:rFonts w:hint="eastAsia" w:ascii="仿宋_GB2312" w:hAnsi="仿宋_GB2312" w:eastAsia="仿宋_GB2312" w:cs="仿宋_GB2312"/>
                <w:color w:val="auto"/>
                <w:sz w:val="24"/>
                <w:szCs w:val="24"/>
                <w:lang w:val="en-US" w:eastAsia="zh-CN"/>
              </w:rPr>
              <w:t>汽车</w:t>
            </w:r>
            <w:r>
              <w:rPr>
                <w:rFonts w:hint="eastAsia" w:ascii="仿宋_GB2312" w:hAnsi="仿宋_GB2312" w:eastAsia="仿宋_GB2312" w:cs="仿宋_GB2312"/>
                <w:color w:val="auto"/>
                <w:sz w:val="24"/>
                <w:szCs w:val="24"/>
              </w:rPr>
              <w:t>底盘</w:t>
            </w:r>
            <w:r>
              <w:rPr>
                <w:rFonts w:hint="eastAsia" w:ascii="仿宋_GB2312" w:hAnsi="仿宋_GB2312" w:eastAsia="仿宋_GB2312" w:cs="仿宋_GB2312"/>
                <w:color w:val="auto"/>
                <w:sz w:val="24"/>
                <w:szCs w:val="24"/>
                <w:lang w:val="en-US" w:eastAsia="zh-CN"/>
              </w:rPr>
              <w:t>构造与维修</w:t>
            </w:r>
          </w:p>
        </w:tc>
        <w:tc>
          <w:tcPr>
            <w:tcW w:w="1683" w:type="dxa"/>
            <w:vAlign w:val="top"/>
          </w:tcPr>
          <w:p w14:paraId="530B86C6">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汽车发动机、底盘拆装实训</w:t>
            </w:r>
          </w:p>
        </w:tc>
        <w:tc>
          <w:tcPr>
            <w:tcW w:w="4120" w:type="dxa"/>
            <w:vAlign w:val="top"/>
          </w:tcPr>
          <w:p w14:paraId="7FB58979">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auto"/>
                <w:sz w:val="24"/>
                <w:szCs w:val="24"/>
                <w:highlight w:val="none"/>
                <w:vertAlign w:val="baseline"/>
                <w:lang w:val="en-US" w:eastAsia="zh-CN"/>
              </w:rPr>
              <w:t>发动机台架10台，变速器台架5台</w:t>
            </w:r>
          </w:p>
        </w:tc>
        <w:tc>
          <w:tcPr>
            <w:tcW w:w="853" w:type="dxa"/>
            <w:vAlign w:val="center"/>
          </w:tcPr>
          <w:p w14:paraId="14813A8D">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30</w:t>
            </w:r>
          </w:p>
        </w:tc>
      </w:tr>
      <w:tr w14:paraId="5E734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27" w:type="dxa"/>
            <w:vAlign w:val="center"/>
          </w:tcPr>
          <w:p w14:paraId="620E9F8E">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w:t>
            </w:r>
          </w:p>
        </w:tc>
        <w:tc>
          <w:tcPr>
            <w:tcW w:w="1293" w:type="dxa"/>
            <w:vAlign w:val="top"/>
          </w:tcPr>
          <w:p w14:paraId="1BF8CEF1">
            <w:pPr>
              <w:keepNext w:val="0"/>
              <w:keepLines w:val="0"/>
              <w:pageBreakBefore w:val="0"/>
              <w:widowControl w:val="0"/>
              <w:kinsoku/>
              <w:wordWrap/>
              <w:overflowPunct w:val="0"/>
              <w:topLinePunct w:val="0"/>
              <w:autoSpaceDE/>
              <w:autoSpaceDN/>
              <w:bidi w:val="0"/>
              <w:adjustRightInd w:val="0"/>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汽车电子电路实训室</w:t>
            </w:r>
          </w:p>
        </w:tc>
        <w:tc>
          <w:tcPr>
            <w:tcW w:w="1411" w:type="dxa"/>
            <w:vAlign w:val="top"/>
          </w:tcPr>
          <w:p w14:paraId="12B0A877">
            <w:pPr>
              <w:keepNext w:val="0"/>
              <w:keepLines w:val="0"/>
              <w:pageBreakBefore w:val="0"/>
              <w:widowControl w:val="0"/>
              <w:kinsoku/>
              <w:wordWrap/>
              <w:overflowPunct w:val="0"/>
              <w:topLinePunct w:val="0"/>
              <w:autoSpaceDE/>
              <w:autoSpaceDN/>
              <w:bidi w:val="0"/>
              <w:adjustRightInd w:val="0"/>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auto"/>
                <w:kern w:val="0"/>
                <w:sz w:val="24"/>
                <w:szCs w:val="24"/>
                <w:lang w:bidi="ar"/>
              </w:rPr>
              <w:t>汽车发动机电控系统构造与维修</w:t>
            </w:r>
            <w:r>
              <w:rPr>
                <w:rFonts w:hint="eastAsia" w:ascii="仿宋_GB2312" w:hAnsi="仿宋_GB2312" w:eastAsia="仿宋_GB2312" w:cs="仿宋_GB2312"/>
                <w:b w:val="0"/>
                <w:bCs w:val="0"/>
                <w:color w:val="auto"/>
                <w:kern w:val="0"/>
                <w:sz w:val="24"/>
                <w:szCs w:val="24"/>
                <w:lang w:eastAsia="zh-CN" w:bidi="ar"/>
              </w:rPr>
              <w:t>、</w:t>
            </w:r>
            <w:r>
              <w:rPr>
                <w:rFonts w:hint="eastAsia" w:ascii="仿宋_GB2312" w:hAnsi="仿宋_GB2312" w:eastAsia="仿宋_GB2312" w:cs="仿宋_GB2312"/>
                <w:b w:val="0"/>
                <w:bCs w:val="0"/>
                <w:color w:val="auto"/>
                <w:kern w:val="0"/>
                <w:sz w:val="24"/>
                <w:szCs w:val="24"/>
                <w:lang w:bidi="ar"/>
              </w:rPr>
              <w:t>汽车电路分析</w:t>
            </w:r>
          </w:p>
        </w:tc>
        <w:tc>
          <w:tcPr>
            <w:tcW w:w="1683" w:type="dxa"/>
            <w:vAlign w:val="top"/>
          </w:tcPr>
          <w:p w14:paraId="2D0C3650">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00" w:lineRule="exact"/>
              <w:ind w:left="0" w:right="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汽车起动系统检测与排故实训、全车电器系统检测与排故实训、ABS系统检测与排故实训、汽车照明与仪表系统检测与排故实训、汽车点火系统检测与排故实训</w:t>
            </w:r>
          </w:p>
        </w:tc>
        <w:tc>
          <w:tcPr>
            <w:tcW w:w="4120" w:type="dxa"/>
            <w:vAlign w:val="top"/>
          </w:tcPr>
          <w:p w14:paraId="7A2085C9">
            <w:pPr>
              <w:keepNext w:val="0"/>
              <w:keepLines w:val="0"/>
              <w:pageBreakBefore w:val="0"/>
              <w:widowControl w:val="0"/>
              <w:kinsoku/>
              <w:wordWrap/>
              <w:overflowPunct w:val="0"/>
              <w:topLinePunct w:val="0"/>
              <w:autoSpaceDE/>
              <w:autoSpaceDN/>
              <w:bidi w:val="0"/>
              <w:adjustRightInd w:val="0"/>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柴油机全车电器实训台1台、桑塔纳时代超人全车电器实训台1台、车身电器系统示教板1台、整车电器系统实训台、汽车灯光与仪表系统示教板1台、汽车ABS系统示教板1台、汽车灯光照明系统示教板1台、汽车三合一点火系统示教板1台</w:t>
            </w:r>
          </w:p>
        </w:tc>
        <w:tc>
          <w:tcPr>
            <w:tcW w:w="853" w:type="dxa"/>
            <w:vAlign w:val="center"/>
          </w:tcPr>
          <w:p w14:paraId="4D8A43FE">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60</w:t>
            </w:r>
          </w:p>
        </w:tc>
      </w:tr>
      <w:tr w14:paraId="43E71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7" w:type="dxa"/>
            <w:vAlign w:val="center"/>
          </w:tcPr>
          <w:p w14:paraId="7F855F8A">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w:t>
            </w:r>
          </w:p>
        </w:tc>
        <w:tc>
          <w:tcPr>
            <w:tcW w:w="1293" w:type="dxa"/>
            <w:vAlign w:val="top"/>
          </w:tcPr>
          <w:p w14:paraId="7795B79C">
            <w:pPr>
              <w:keepNext w:val="0"/>
              <w:keepLines w:val="0"/>
              <w:pageBreakBefore w:val="0"/>
              <w:widowControl w:val="0"/>
              <w:kinsoku/>
              <w:wordWrap/>
              <w:overflowPunct w:val="0"/>
              <w:topLinePunct w:val="0"/>
              <w:autoSpaceDE/>
              <w:autoSpaceDN/>
              <w:bidi w:val="0"/>
              <w:adjustRightInd w:val="0"/>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汽车实训车间</w:t>
            </w:r>
          </w:p>
        </w:tc>
        <w:tc>
          <w:tcPr>
            <w:tcW w:w="1411" w:type="dxa"/>
            <w:vAlign w:val="top"/>
          </w:tcPr>
          <w:p w14:paraId="6913ABE4">
            <w:pPr>
              <w:keepNext w:val="0"/>
              <w:keepLines w:val="0"/>
              <w:pageBreakBefore w:val="0"/>
              <w:widowControl w:val="0"/>
              <w:kinsoku/>
              <w:wordWrap/>
              <w:overflowPunct w:val="0"/>
              <w:topLinePunct w:val="0"/>
              <w:autoSpaceDE/>
              <w:autoSpaceDN/>
              <w:bidi w:val="0"/>
              <w:adjustRightInd w:val="0"/>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auto"/>
                <w:kern w:val="0"/>
                <w:sz w:val="24"/>
                <w:szCs w:val="24"/>
                <w:lang w:bidi="ar"/>
              </w:rPr>
              <w:t>汽车发动机构造与维修</w:t>
            </w:r>
            <w:r>
              <w:rPr>
                <w:rFonts w:hint="eastAsia" w:ascii="仿宋_GB2312" w:hAnsi="仿宋_GB2312" w:eastAsia="仿宋_GB2312" w:cs="仿宋_GB2312"/>
                <w:b w:val="0"/>
                <w:bCs w:val="0"/>
                <w:color w:val="auto"/>
                <w:kern w:val="0"/>
                <w:sz w:val="24"/>
                <w:szCs w:val="24"/>
                <w:lang w:eastAsia="zh-CN" w:bidi="ar"/>
              </w:rPr>
              <w:t>、</w:t>
            </w:r>
            <w:r>
              <w:rPr>
                <w:rFonts w:hint="eastAsia" w:ascii="仿宋_GB2312" w:hAnsi="仿宋_GB2312" w:eastAsia="仿宋_GB2312" w:cs="仿宋_GB2312"/>
                <w:b w:val="0"/>
                <w:bCs w:val="0"/>
                <w:color w:val="auto"/>
                <w:kern w:val="0"/>
                <w:sz w:val="24"/>
                <w:szCs w:val="24"/>
                <w:lang w:bidi="ar"/>
              </w:rPr>
              <w:t>汽车空调构造与维修</w:t>
            </w:r>
            <w:r>
              <w:rPr>
                <w:rFonts w:hint="eastAsia" w:ascii="仿宋_GB2312" w:hAnsi="仿宋_GB2312" w:eastAsia="仿宋_GB2312" w:cs="仿宋_GB2312"/>
                <w:b w:val="0"/>
                <w:bCs w:val="0"/>
                <w:color w:val="auto"/>
                <w:kern w:val="0"/>
                <w:sz w:val="24"/>
                <w:szCs w:val="24"/>
                <w:lang w:eastAsia="zh-CN" w:bidi="ar"/>
              </w:rPr>
              <w:t>、</w:t>
            </w:r>
            <w:r>
              <w:rPr>
                <w:rFonts w:hint="eastAsia" w:ascii="仿宋_GB2312" w:hAnsi="仿宋_GB2312" w:eastAsia="仿宋_GB2312" w:cs="仿宋_GB2312"/>
                <w:b w:val="0"/>
                <w:bCs w:val="0"/>
                <w:color w:val="auto"/>
                <w:kern w:val="0"/>
                <w:sz w:val="24"/>
                <w:szCs w:val="24"/>
                <w:lang w:bidi="ar"/>
              </w:rPr>
              <w:t>汽车底盘构造与维修</w:t>
            </w:r>
            <w:r>
              <w:rPr>
                <w:rFonts w:hint="eastAsia" w:ascii="仿宋_GB2312" w:hAnsi="仿宋_GB2312" w:eastAsia="仿宋_GB2312" w:cs="仿宋_GB2312"/>
                <w:b w:val="0"/>
                <w:bCs w:val="0"/>
                <w:color w:val="auto"/>
                <w:kern w:val="0"/>
                <w:sz w:val="24"/>
                <w:szCs w:val="24"/>
                <w:lang w:eastAsia="zh-CN" w:bidi="ar"/>
              </w:rPr>
              <w:t>、</w:t>
            </w:r>
            <w:r>
              <w:rPr>
                <w:rFonts w:hint="eastAsia" w:ascii="仿宋_GB2312" w:hAnsi="仿宋_GB2312" w:eastAsia="仿宋_GB2312" w:cs="仿宋_GB2312"/>
                <w:b w:val="0"/>
                <w:bCs w:val="0"/>
                <w:color w:val="auto"/>
                <w:kern w:val="0"/>
                <w:sz w:val="24"/>
                <w:szCs w:val="24"/>
                <w:lang w:bidi="ar"/>
              </w:rPr>
              <w:t>汽车检测与诊断技术</w:t>
            </w:r>
          </w:p>
        </w:tc>
        <w:tc>
          <w:tcPr>
            <w:tcW w:w="1683" w:type="dxa"/>
            <w:vAlign w:val="top"/>
          </w:tcPr>
          <w:p w14:paraId="464E1B4B">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00" w:lineRule="exact"/>
              <w:ind w:left="0" w:right="0"/>
              <w:jc w:val="both"/>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汽车基础知识实训、汽车发动机拆装实训、汽车底盘拆装实训、汽车空调实训、</w:t>
            </w:r>
          </w:p>
          <w:p w14:paraId="5329BBD6">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00" w:lineRule="exact"/>
              <w:ind w:left="0" w:right="0"/>
              <w:jc w:val="both"/>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汽车故障诊断实训、整车拆装实训</w:t>
            </w:r>
          </w:p>
          <w:p w14:paraId="3EBF82FC">
            <w:pPr>
              <w:keepNext w:val="0"/>
              <w:keepLines w:val="0"/>
              <w:pageBreakBefore w:val="0"/>
              <w:widowControl w:val="0"/>
              <w:kinsoku/>
              <w:wordWrap/>
              <w:overflowPunct w:val="0"/>
              <w:topLinePunct w:val="0"/>
              <w:autoSpaceDE/>
              <w:autoSpaceDN/>
              <w:bidi w:val="0"/>
              <w:adjustRightInd w:val="0"/>
              <w:snapToGrid/>
              <w:spacing w:after="0" w:line="300" w:lineRule="exact"/>
              <w:jc w:val="both"/>
              <w:textAlignment w:val="auto"/>
              <w:rPr>
                <w:rFonts w:hint="eastAsia" w:ascii="仿宋_GB2312" w:hAnsi="仿宋_GB2312" w:eastAsia="仿宋_GB2312" w:cs="仿宋_GB2312"/>
                <w:color w:val="auto"/>
                <w:sz w:val="24"/>
                <w:szCs w:val="24"/>
              </w:rPr>
            </w:pPr>
          </w:p>
        </w:tc>
        <w:tc>
          <w:tcPr>
            <w:tcW w:w="4120" w:type="dxa"/>
            <w:vAlign w:val="top"/>
          </w:tcPr>
          <w:p w14:paraId="54812160">
            <w:pPr>
              <w:keepNext w:val="0"/>
              <w:keepLines w:val="0"/>
              <w:pageBreakBefore w:val="0"/>
              <w:widowControl w:val="0"/>
              <w:kinsoku/>
              <w:wordWrap/>
              <w:overflowPunct w:val="0"/>
              <w:topLinePunct w:val="0"/>
              <w:autoSpaceDE/>
              <w:autoSpaceDN/>
              <w:bidi w:val="0"/>
              <w:adjustRightInd w:val="0"/>
              <w:snapToGrid/>
              <w:spacing w:after="0" w:line="300" w:lineRule="exact"/>
              <w:jc w:val="both"/>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汽车手动变速器实训台1、汽车手动变速器实训台1、汽车手动变速器解剖运行实训台1台、汽车自动变速器实训台1台、汽车电控悬架系统试验台1台、可拆装二手发动机（柴油）2台、连杆校正仪1台、小型轿车（海马）4台、洋华中控桌1个、比丽普功放1个、五十铃发动机实训系统实训台1台、电控发动机实训台1台、时代超人发动机实训台1台、丰田电控发动机实训台1台、汽车气压制动系统实训台1台、汽车ABS制动试验台1台、离合器实训台液压式1台、离合器实训台拉线式1台、悬架系统实训台1台、汽车悬架系统实训台2套、汽车转向系统实训台1台、汽车液压动力转向系统实训台2套、艾尼森ANS系列四轮定位仪1套、汽车发动机电喷嘴清洗检测仪1台、可拆装二手发动机8台、气动真空抽油机1台、四柱举升机1台、可拆装二手整车6台、电控发动机解剖模型1台、汽车制动器解剖模型1台、轮胎动平衡机1台、燃油系统免拆清洗机1台、润滑系统免拆清洗机1台、自动变速器系统免拆清洗机1台、空调系统免拆清洗机1台、充气压缩机1台、轮胎拆装机1台、轮胎扩胎机1台、汽车钣金设备外形修复机1台、全自动洗车机1台、吸尘器1台低速电动车14台、观光低速电动车8台、纯电动汽车驱动系统实训台4台、电动助力转向系统实训台1台、新能源汽车车身电气系统实训台1台、高压电池管理系统及驱动实训台1台、大众桑塔纳整车底盘实训台1台、液压助力转向系统实训台1台、桑塔纳全车电器实训台1台、桑塔纳手动空调系统电器实训台1台、电动座椅实训台1台、ABS系统实训台1台、本田飞度电动助力转向实训台1台、</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帕沙特</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自动空调系统实训台1台、发动机及</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无极</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变速器一体实训台1台、丰田普锐斯油电混合动力实训台1台、六种点火系统示教板1台、新能源小型轿车10台</w:t>
            </w:r>
          </w:p>
        </w:tc>
        <w:tc>
          <w:tcPr>
            <w:tcW w:w="853" w:type="dxa"/>
            <w:vAlign w:val="center"/>
          </w:tcPr>
          <w:p w14:paraId="28C77C65">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60</w:t>
            </w:r>
          </w:p>
        </w:tc>
      </w:tr>
    </w:tbl>
    <w:p w14:paraId="7773C3C0">
      <w:pPr>
        <w:pStyle w:val="2"/>
        <w:pageBreakBefore w:val="0"/>
        <w:widowControl/>
        <w:kinsoku/>
        <w:wordWrap/>
        <w:topLinePunct w:val="0"/>
        <w:autoSpaceDE/>
        <w:autoSpaceDN/>
        <w:bidi w:val="0"/>
        <w:snapToGrid/>
        <w:spacing w:before="0"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3.校外实训资源</w:t>
      </w:r>
    </w:p>
    <w:p w14:paraId="6C95164D">
      <w:pPr>
        <w:pageBreakBefore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（1）校外实训基地基本要求</w:t>
      </w:r>
    </w:p>
    <w:p w14:paraId="406C56D2">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bCs w:val="0"/>
          <w:color w:val="auto"/>
          <w:sz w:val="32"/>
          <w:szCs w:val="32"/>
          <w:highlight w:val="none"/>
        </w:rPr>
        <w:t>具有稳定的校外实训基地</w:t>
      </w:r>
      <w:r>
        <w:rPr>
          <w:rFonts w:hint="eastAsia" w:ascii="仿宋_GB2312" w:hAnsi="仿宋_GB2312" w:eastAsia="仿宋_GB2312" w:cs="仿宋_GB2312"/>
          <w:b w:val="0"/>
          <w:bCs w:val="0"/>
          <w:color w:val="auto"/>
          <w:sz w:val="32"/>
          <w:szCs w:val="32"/>
          <w:highlight w:val="none"/>
          <w:lang w:val="en-US" w:eastAsia="zh-CN"/>
        </w:rPr>
        <w:t>2个以上</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能够开展</w:t>
      </w:r>
      <w:r>
        <w:rPr>
          <w:rFonts w:hint="eastAsia" w:ascii="仿宋_GB2312" w:hAnsi="仿宋_GB2312" w:eastAsia="仿宋_GB2312" w:cs="仿宋_GB2312"/>
          <w:b w:val="0"/>
          <w:bCs w:val="0"/>
          <w:color w:val="auto"/>
          <w:sz w:val="32"/>
          <w:szCs w:val="32"/>
          <w:highlight w:val="none"/>
          <w:lang w:val="en-US" w:eastAsia="zh-CN"/>
        </w:rPr>
        <w:t>汽车清洗，汽车维修</w:t>
      </w:r>
      <w:r>
        <w:rPr>
          <w:rFonts w:hint="eastAsia" w:ascii="仿宋_GB2312" w:hAnsi="仿宋_GB2312" w:eastAsia="仿宋_GB2312" w:cs="仿宋_GB2312"/>
          <w:b w:val="0"/>
          <w:bCs w:val="0"/>
          <w:color w:val="auto"/>
          <w:sz w:val="32"/>
          <w:szCs w:val="32"/>
          <w:highlight w:val="none"/>
        </w:rPr>
        <w:t>等实训活动</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实训设施齐备，实训岗位、实训指导教师确定，实训管理及实施规章制度齐全。</w:t>
      </w:r>
    </w:p>
    <w:p w14:paraId="0787D735">
      <w:pPr>
        <w:keepNext w:val="0"/>
        <w:keepLines w:val="0"/>
        <w:pageBreakBefore w:val="0"/>
        <w:widowControl w:val="0"/>
        <w:numPr>
          <w:ilvl w:val="0"/>
          <w:numId w:val="4"/>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学生实习基地基本要求</w:t>
      </w:r>
    </w:p>
    <w:p w14:paraId="59F2124F">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bCs w:val="0"/>
          <w:color w:val="auto"/>
          <w:sz w:val="32"/>
          <w:szCs w:val="32"/>
          <w:highlight w:val="none"/>
        </w:rPr>
        <w:t>具有稳定的校外实习基地</w:t>
      </w:r>
      <w:r>
        <w:rPr>
          <w:rFonts w:hint="eastAsia" w:ascii="仿宋_GB2312" w:hAnsi="仿宋_GB2312" w:eastAsia="仿宋_GB2312" w:cs="仿宋_GB2312"/>
          <w:b w:val="0"/>
          <w:bCs w:val="0"/>
          <w:color w:val="auto"/>
          <w:sz w:val="32"/>
          <w:szCs w:val="32"/>
          <w:highlight w:val="none"/>
          <w:lang w:val="en-US" w:eastAsia="zh-CN"/>
        </w:rPr>
        <w:t>2个以上</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能提供</w:t>
      </w:r>
      <w:r>
        <w:rPr>
          <w:rFonts w:hint="eastAsia" w:ascii="仿宋_GB2312" w:hAnsi="仿宋_GB2312" w:eastAsia="仿宋_GB2312" w:cs="仿宋_GB2312"/>
          <w:b w:val="0"/>
          <w:bCs w:val="0"/>
          <w:color w:val="auto"/>
          <w:sz w:val="32"/>
          <w:szCs w:val="32"/>
          <w:highlight w:val="none"/>
          <w:lang w:eastAsia="zh-CN"/>
        </w:rPr>
        <w:t>汽车</w:t>
      </w:r>
      <w:r>
        <w:rPr>
          <w:rFonts w:hint="eastAsia" w:ascii="仿宋_GB2312" w:hAnsi="仿宋_GB2312" w:eastAsia="仿宋_GB2312" w:cs="仿宋_GB2312"/>
          <w:b w:val="0"/>
          <w:bCs w:val="0"/>
          <w:color w:val="auto"/>
          <w:sz w:val="32"/>
          <w:szCs w:val="32"/>
          <w:highlight w:val="none"/>
          <w:lang w:val="en-US" w:eastAsia="zh-CN"/>
        </w:rPr>
        <w:t>维修工</w:t>
      </w:r>
      <w:r>
        <w:rPr>
          <w:rFonts w:hint="eastAsia" w:ascii="仿宋_GB2312" w:hAnsi="仿宋_GB2312" w:eastAsia="仿宋_GB2312" w:cs="仿宋_GB2312"/>
          <w:b w:val="0"/>
          <w:bCs w:val="0"/>
          <w:color w:val="auto"/>
          <w:sz w:val="32"/>
          <w:szCs w:val="32"/>
          <w:highlight w:val="none"/>
        </w:rPr>
        <w:t>等相关实习岗位，能涵盖当前相关产业的主流技术，可接纳一定规模的学生实习</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能够配备相应数量的指导教师对学生实习进行指导和管理</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有保证实习生日常工作、学习、生活的规章制度，有安全、保险保障。</w:t>
      </w:r>
    </w:p>
    <w:p w14:paraId="7907C804">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color w:val="auto"/>
          <w:sz w:val="32"/>
          <w:szCs w:val="32"/>
        </w:rPr>
        <w:t>表1</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b w:val="0"/>
          <w:bCs w:val="0"/>
          <w:color w:val="auto"/>
          <w:sz w:val="32"/>
          <w:szCs w:val="32"/>
          <w:highlight w:val="none"/>
          <w:lang w:val="en-US" w:eastAsia="zh-CN"/>
        </w:rPr>
        <w:t>汽车检测与维修技术专业</w:t>
      </w:r>
      <w:r>
        <w:rPr>
          <w:rFonts w:hint="eastAsia" w:ascii="仿宋_GB2312" w:hAnsi="仿宋_GB2312" w:eastAsia="仿宋_GB2312" w:cs="仿宋_GB2312"/>
          <w:b w:val="0"/>
          <w:bCs w:val="0"/>
          <w:color w:val="auto"/>
          <w:sz w:val="32"/>
          <w:szCs w:val="32"/>
          <w:highlight w:val="none"/>
        </w:rPr>
        <w:t>校外实习基地一览表</w:t>
      </w:r>
    </w:p>
    <w:tbl>
      <w:tblPr>
        <w:tblStyle w:val="8"/>
        <w:tblW w:w="10260" w:type="dxa"/>
        <w:tblInd w:w="-4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6"/>
        <w:gridCol w:w="3388"/>
        <w:gridCol w:w="2083"/>
        <w:gridCol w:w="1367"/>
        <w:gridCol w:w="1283"/>
        <w:gridCol w:w="1433"/>
      </w:tblGrid>
      <w:tr w14:paraId="18E5B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14:paraId="56BD2EE9">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序号</w:t>
            </w:r>
          </w:p>
        </w:tc>
        <w:tc>
          <w:tcPr>
            <w:tcW w:w="3388" w:type="dxa"/>
            <w:vAlign w:val="center"/>
          </w:tcPr>
          <w:p w14:paraId="5B2A4AE7">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校外实习基地名称</w:t>
            </w:r>
          </w:p>
        </w:tc>
        <w:tc>
          <w:tcPr>
            <w:tcW w:w="2083" w:type="dxa"/>
            <w:vAlign w:val="center"/>
          </w:tcPr>
          <w:p w14:paraId="2768C4FE">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合作企业名称</w:t>
            </w:r>
          </w:p>
        </w:tc>
        <w:tc>
          <w:tcPr>
            <w:tcW w:w="1367" w:type="dxa"/>
            <w:vAlign w:val="center"/>
          </w:tcPr>
          <w:p w14:paraId="4AE80685">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用途</w:t>
            </w:r>
          </w:p>
        </w:tc>
        <w:tc>
          <w:tcPr>
            <w:tcW w:w="1283" w:type="dxa"/>
            <w:vAlign w:val="center"/>
          </w:tcPr>
          <w:p w14:paraId="3F6143C7">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合作深</w:t>
            </w:r>
          </w:p>
          <w:p w14:paraId="709FC1C1">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度要求</w:t>
            </w:r>
          </w:p>
        </w:tc>
        <w:tc>
          <w:tcPr>
            <w:tcW w:w="1433" w:type="dxa"/>
            <w:vAlign w:val="center"/>
          </w:tcPr>
          <w:p w14:paraId="540D18AC">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接纳学生实习人次</w:t>
            </w:r>
          </w:p>
        </w:tc>
      </w:tr>
      <w:tr w14:paraId="003BC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706" w:type="dxa"/>
            <w:vAlign w:val="center"/>
          </w:tcPr>
          <w:p w14:paraId="1ECA1F06">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1</w:t>
            </w:r>
          </w:p>
        </w:tc>
        <w:tc>
          <w:tcPr>
            <w:tcW w:w="3388" w:type="dxa"/>
            <w:vAlign w:val="top"/>
          </w:tcPr>
          <w:p w14:paraId="0E9A9702">
            <w:pPr>
              <w:keepNext w:val="0"/>
              <w:keepLines w:val="0"/>
              <w:pageBreakBefore w:val="0"/>
              <w:widowControl w:val="0"/>
              <w:kinsoku/>
              <w:wordWrap/>
              <w:overflowPunct w:val="0"/>
              <w:topLinePunct w:val="0"/>
              <w:autoSpaceDE/>
              <w:autoSpaceDN/>
              <w:bidi w:val="0"/>
              <w:adjustRightInd w:val="0"/>
              <w:snapToGrid/>
              <w:spacing w:after="0" w:line="240" w:lineRule="auto"/>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b w:val="0"/>
                <w:bCs w:val="0"/>
                <w:color w:val="auto"/>
                <w:sz w:val="24"/>
                <w:szCs w:val="24"/>
                <w:highlight w:val="none"/>
                <w:vertAlign w:val="baseline"/>
                <w:lang w:eastAsia="zh-CN"/>
              </w:rPr>
              <w:t>广西工程职业学院汽车检测与维修技术专业校外实习基地</w:t>
            </w:r>
          </w:p>
        </w:tc>
        <w:tc>
          <w:tcPr>
            <w:tcW w:w="2083" w:type="dxa"/>
            <w:vAlign w:val="top"/>
          </w:tcPr>
          <w:p w14:paraId="483E03A8">
            <w:pPr>
              <w:keepNext w:val="0"/>
              <w:keepLines w:val="0"/>
              <w:pageBreakBefore w:val="0"/>
              <w:widowControl w:val="0"/>
              <w:kinsoku/>
              <w:wordWrap/>
              <w:overflowPunct w:val="0"/>
              <w:topLinePunct w:val="0"/>
              <w:autoSpaceDE/>
              <w:autoSpaceDN/>
              <w:bidi w:val="0"/>
              <w:adjustRightInd w:val="0"/>
              <w:snapToGrid/>
              <w:spacing w:after="0" w:line="240" w:lineRule="auto"/>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b w:val="0"/>
                <w:bCs w:val="0"/>
                <w:color w:val="auto"/>
                <w:sz w:val="24"/>
                <w:szCs w:val="24"/>
                <w:highlight w:val="none"/>
                <w:vertAlign w:val="baseline"/>
                <w:lang w:val="en-US" w:eastAsia="zh-CN"/>
              </w:rPr>
              <w:t>浙江零跑汽车有限公司</w:t>
            </w:r>
          </w:p>
        </w:tc>
        <w:tc>
          <w:tcPr>
            <w:tcW w:w="1367" w:type="dxa"/>
            <w:vAlign w:val="center"/>
          </w:tcPr>
          <w:p w14:paraId="527AA2B9">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b w:val="0"/>
                <w:bCs w:val="0"/>
                <w:color w:val="auto"/>
                <w:sz w:val="24"/>
                <w:szCs w:val="24"/>
                <w:highlight w:val="none"/>
                <w:vertAlign w:val="baseline"/>
                <w:lang w:eastAsia="zh-CN"/>
              </w:rPr>
              <w:t>岗位实习</w:t>
            </w:r>
          </w:p>
        </w:tc>
        <w:tc>
          <w:tcPr>
            <w:tcW w:w="1283" w:type="dxa"/>
            <w:vAlign w:val="center"/>
          </w:tcPr>
          <w:p w14:paraId="72A61042">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b w:val="0"/>
                <w:bCs w:val="0"/>
                <w:color w:val="auto"/>
                <w:sz w:val="24"/>
                <w:szCs w:val="24"/>
                <w:highlight w:val="none"/>
                <w:vertAlign w:val="baseline"/>
                <w:lang w:eastAsia="zh-CN"/>
              </w:rPr>
              <w:t>深度合作</w:t>
            </w:r>
          </w:p>
        </w:tc>
        <w:tc>
          <w:tcPr>
            <w:tcW w:w="1433" w:type="dxa"/>
            <w:vAlign w:val="center"/>
          </w:tcPr>
          <w:p w14:paraId="51442112">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b w:val="0"/>
                <w:bCs w:val="0"/>
                <w:color w:val="auto"/>
                <w:sz w:val="24"/>
                <w:szCs w:val="24"/>
                <w:highlight w:val="none"/>
                <w:vertAlign w:val="baseline"/>
                <w:lang w:val="en-US" w:eastAsia="zh-CN"/>
              </w:rPr>
              <w:t>150</w:t>
            </w:r>
          </w:p>
        </w:tc>
      </w:tr>
      <w:tr w14:paraId="3FF6F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706" w:type="dxa"/>
            <w:vAlign w:val="center"/>
          </w:tcPr>
          <w:p w14:paraId="4BDAE050">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2</w:t>
            </w:r>
          </w:p>
        </w:tc>
        <w:tc>
          <w:tcPr>
            <w:tcW w:w="3388" w:type="dxa"/>
            <w:vAlign w:val="top"/>
          </w:tcPr>
          <w:p w14:paraId="2675FC9D">
            <w:pPr>
              <w:keepNext w:val="0"/>
              <w:keepLines w:val="0"/>
              <w:pageBreakBefore w:val="0"/>
              <w:widowControl w:val="0"/>
              <w:kinsoku/>
              <w:wordWrap/>
              <w:overflowPunct w:val="0"/>
              <w:topLinePunct w:val="0"/>
              <w:autoSpaceDE/>
              <w:autoSpaceDN/>
              <w:bidi w:val="0"/>
              <w:adjustRightInd w:val="0"/>
              <w:snapToGrid/>
              <w:spacing w:after="0" w:line="240" w:lineRule="auto"/>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b w:val="0"/>
                <w:bCs w:val="0"/>
                <w:color w:val="auto"/>
                <w:sz w:val="24"/>
                <w:szCs w:val="24"/>
                <w:highlight w:val="none"/>
                <w:vertAlign w:val="baseline"/>
                <w:lang w:eastAsia="zh-CN"/>
              </w:rPr>
              <w:t>广西工程职业学院汽车检测与维修技术专业校外实习基地</w:t>
            </w:r>
          </w:p>
        </w:tc>
        <w:tc>
          <w:tcPr>
            <w:tcW w:w="2083" w:type="dxa"/>
            <w:vAlign w:val="top"/>
          </w:tcPr>
          <w:p w14:paraId="2C115CE8">
            <w:pPr>
              <w:keepNext w:val="0"/>
              <w:keepLines w:val="0"/>
              <w:pageBreakBefore w:val="0"/>
              <w:widowControl w:val="0"/>
              <w:kinsoku/>
              <w:wordWrap/>
              <w:overflowPunct w:val="0"/>
              <w:topLinePunct w:val="0"/>
              <w:autoSpaceDE/>
              <w:autoSpaceDN/>
              <w:bidi w:val="0"/>
              <w:adjustRightInd w:val="0"/>
              <w:snapToGrid/>
              <w:spacing w:after="0" w:line="240" w:lineRule="auto"/>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b w:val="0"/>
                <w:bCs w:val="0"/>
                <w:color w:val="auto"/>
                <w:sz w:val="24"/>
                <w:szCs w:val="24"/>
                <w:highlight w:val="none"/>
                <w:vertAlign w:val="baseline"/>
                <w:lang w:val="en-US" w:eastAsia="zh-CN"/>
              </w:rPr>
              <w:t>上汽通用五菱汽车股份有限公司</w:t>
            </w:r>
          </w:p>
        </w:tc>
        <w:tc>
          <w:tcPr>
            <w:tcW w:w="1367" w:type="dxa"/>
            <w:vAlign w:val="center"/>
          </w:tcPr>
          <w:p w14:paraId="0E33B445">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b w:val="0"/>
                <w:bCs w:val="0"/>
                <w:color w:val="auto"/>
                <w:sz w:val="24"/>
                <w:szCs w:val="24"/>
                <w:highlight w:val="none"/>
                <w:vertAlign w:val="baseline"/>
                <w:lang w:eastAsia="zh-CN"/>
              </w:rPr>
              <w:t>岗位实习</w:t>
            </w:r>
          </w:p>
        </w:tc>
        <w:tc>
          <w:tcPr>
            <w:tcW w:w="1283" w:type="dxa"/>
            <w:vAlign w:val="center"/>
          </w:tcPr>
          <w:p w14:paraId="4245C6B7">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b w:val="0"/>
                <w:bCs w:val="0"/>
                <w:color w:val="auto"/>
                <w:sz w:val="24"/>
                <w:szCs w:val="24"/>
                <w:highlight w:val="none"/>
                <w:vertAlign w:val="baseline"/>
                <w:lang w:eastAsia="zh-CN"/>
              </w:rPr>
              <w:t>深度合作</w:t>
            </w:r>
          </w:p>
        </w:tc>
        <w:tc>
          <w:tcPr>
            <w:tcW w:w="1433" w:type="dxa"/>
            <w:vAlign w:val="center"/>
          </w:tcPr>
          <w:p w14:paraId="766701A7">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b w:val="0"/>
                <w:bCs w:val="0"/>
                <w:color w:val="auto"/>
                <w:sz w:val="24"/>
                <w:szCs w:val="24"/>
                <w:highlight w:val="none"/>
                <w:vertAlign w:val="baseline"/>
                <w:lang w:val="en-US" w:eastAsia="zh-CN"/>
              </w:rPr>
              <w:t>150</w:t>
            </w:r>
          </w:p>
        </w:tc>
      </w:tr>
      <w:tr w14:paraId="10F05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trPr>
        <w:tc>
          <w:tcPr>
            <w:tcW w:w="706" w:type="dxa"/>
            <w:vAlign w:val="center"/>
          </w:tcPr>
          <w:p w14:paraId="1AB85207">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3</w:t>
            </w:r>
          </w:p>
        </w:tc>
        <w:tc>
          <w:tcPr>
            <w:tcW w:w="3388" w:type="dxa"/>
            <w:vAlign w:val="top"/>
          </w:tcPr>
          <w:p w14:paraId="2F13A3B9">
            <w:pPr>
              <w:keepNext w:val="0"/>
              <w:keepLines w:val="0"/>
              <w:pageBreakBefore w:val="0"/>
              <w:widowControl w:val="0"/>
              <w:kinsoku/>
              <w:wordWrap/>
              <w:overflowPunct w:val="0"/>
              <w:topLinePunct w:val="0"/>
              <w:autoSpaceDE/>
              <w:autoSpaceDN/>
              <w:bidi w:val="0"/>
              <w:adjustRightInd w:val="0"/>
              <w:snapToGrid/>
              <w:spacing w:after="0" w:line="240" w:lineRule="auto"/>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b w:val="0"/>
                <w:bCs w:val="0"/>
                <w:color w:val="auto"/>
                <w:sz w:val="24"/>
                <w:szCs w:val="24"/>
                <w:highlight w:val="none"/>
                <w:vertAlign w:val="baseline"/>
                <w:lang w:eastAsia="zh-CN"/>
              </w:rPr>
              <w:t>广西工程职业学院汽车检测与维修技术专业校外实习基地</w:t>
            </w:r>
          </w:p>
        </w:tc>
        <w:tc>
          <w:tcPr>
            <w:tcW w:w="2083" w:type="dxa"/>
            <w:vAlign w:val="top"/>
          </w:tcPr>
          <w:p w14:paraId="367DDB07">
            <w:pPr>
              <w:keepNext w:val="0"/>
              <w:keepLines w:val="0"/>
              <w:pageBreakBefore w:val="0"/>
              <w:widowControl w:val="0"/>
              <w:kinsoku/>
              <w:wordWrap/>
              <w:overflowPunct w:val="0"/>
              <w:topLinePunct w:val="0"/>
              <w:autoSpaceDE/>
              <w:autoSpaceDN/>
              <w:bidi w:val="0"/>
              <w:adjustRightInd w:val="0"/>
              <w:snapToGrid/>
              <w:spacing w:after="0" w:line="240" w:lineRule="auto"/>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b w:val="0"/>
                <w:bCs w:val="0"/>
                <w:color w:val="auto"/>
                <w:sz w:val="24"/>
                <w:szCs w:val="24"/>
                <w:highlight w:val="none"/>
                <w:vertAlign w:val="baseline"/>
                <w:lang w:eastAsia="zh-CN"/>
              </w:rPr>
              <w:t>百色润合汽车销售服务有限公司</w:t>
            </w:r>
          </w:p>
        </w:tc>
        <w:tc>
          <w:tcPr>
            <w:tcW w:w="1367" w:type="dxa"/>
            <w:vAlign w:val="center"/>
          </w:tcPr>
          <w:p w14:paraId="545EDE47">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b w:val="0"/>
                <w:bCs w:val="0"/>
                <w:color w:val="auto"/>
                <w:sz w:val="24"/>
                <w:szCs w:val="24"/>
                <w:highlight w:val="none"/>
                <w:vertAlign w:val="baseline"/>
                <w:lang w:eastAsia="zh-CN"/>
              </w:rPr>
              <w:t>岗位实习</w:t>
            </w:r>
          </w:p>
        </w:tc>
        <w:tc>
          <w:tcPr>
            <w:tcW w:w="1283" w:type="dxa"/>
            <w:vAlign w:val="center"/>
          </w:tcPr>
          <w:p w14:paraId="5EF8D2D6">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b w:val="0"/>
                <w:bCs w:val="0"/>
                <w:color w:val="auto"/>
                <w:sz w:val="24"/>
                <w:szCs w:val="24"/>
                <w:highlight w:val="none"/>
                <w:vertAlign w:val="baseline"/>
                <w:lang w:eastAsia="zh-CN"/>
              </w:rPr>
              <w:t>深度合作</w:t>
            </w:r>
          </w:p>
        </w:tc>
        <w:tc>
          <w:tcPr>
            <w:tcW w:w="1433" w:type="dxa"/>
            <w:vAlign w:val="center"/>
          </w:tcPr>
          <w:p w14:paraId="1D5CDCF8">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b w:val="0"/>
                <w:bCs w:val="0"/>
                <w:color w:val="auto"/>
                <w:sz w:val="24"/>
                <w:szCs w:val="24"/>
                <w:highlight w:val="none"/>
                <w:vertAlign w:val="baseline"/>
                <w:lang w:val="en-US" w:eastAsia="zh-CN"/>
              </w:rPr>
              <w:t>200</w:t>
            </w:r>
          </w:p>
        </w:tc>
      </w:tr>
      <w:tr w14:paraId="43624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706" w:type="dxa"/>
            <w:vAlign w:val="center"/>
          </w:tcPr>
          <w:p w14:paraId="43EB3C18">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4</w:t>
            </w:r>
          </w:p>
        </w:tc>
        <w:tc>
          <w:tcPr>
            <w:tcW w:w="3388" w:type="dxa"/>
            <w:vAlign w:val="top"/>
          </w:tcPr>
          <w:p w14:paraId="6945B014">
            <w:pPr>
              <w:keepNext w:val="0"/>
              <w:keepLines w:val="0"/>
              <w:pageBreakBefore w:val="0"/>
              <w:widowControl w:val="0"/>
              <w:kinsoku/>
              <w:wordWrap/>
              <w:overflowPunct w:val="0"/>
              <w:topLinePunct w:val="0"/>
              <w:autoSpaceDE/>
              <w:autoSpaceDN/>
              <w:bidi w:val="0"/>
              <w:adjustRightInd w:val="0"/>
              <w:snapToGrid/>
              <w:spacing w:after="0" w:line="240" w:lineRule="auto"/>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b w:val="0"/>
                <w:bCs w:val="0"/>
                <w:color w:val="auto"/>
                <w:sz w:val="24"/>
                <w:szCs w:val="24"/>
                <w:highlight w:val="none"/>
                <w:vertAlign w:val="baseline"/>
                <w:lang w:eastAsia="zh-CN"/>
              </w:rPr>
              <w:t>广西工程职业学院汽车检测与维修技术专业校外实习基地</w:t>
            </w:r>
          </w:p>
        </w:tc>
        <w:tc>
          <w:tcPr>
            <w:tcW w:w="2083" w:type="dxa"/>
            <w:vAlign w:val="top"/>
          </w:tcPr>
          <w:p w14:paraId="236738FB">
            <w:pPr>
              <w:keepNext w:val="0"/>
              <w:keepLines w:val="0"/>
              <w:pageBreakBefore w:val="0"/>
              <w:widowControl w:val="0"/>
              <w:kinsoku/>
              <w:wordWrap/>
              <w:overflowPunct w:val="0"/>
              <w:topLinePunct w:val="0"/>
              <w:autoSpaceDE/>
              <w:autoSpaceDN/>
              <w:bidi w:val="0"/>
              <w:adjustRightInd w:val="0"/>
              <w:snapToGrid/>
              <w:spacing w:after="0" w:line="240" w:lineRule="auto"/>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b w:val="0"/>
                <w:bCs w:val="0"/>
                <w:color w:val="auto"/>
                <w:kern w:val="2"/>
                <w:sz w:val="24"/>
                <w:szCs w:val="24"/>
                <w:highlight w:val="none"/>
                <w:vertAlign w:val="baseline"/>
                <w:lang w:val="en-US" w:eastAsia="zh-CN" w:bidi="ar-SA"/>
              </w:rPr>
              <w:t>平果洲龙汽车服务中心</w:t>
            </w:r>
          </w:p>
        </w:tc>
        <w:tc>
          <w:tcPr>
            <w:tcW w:w="1367" w:type="dxa"/>
            <w:vAlign w:val="center"/>
          </w:tcPr>
          <w:p w14:paraId="056638AE">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b w:val="0"/>
                <w:bCs w:val="0"/>
                <w:color w:val="auto"/>
                <w:sz w:val="24"/>
                <w:szCs w:val="24"/>
                <w:highlight w:val="none"/>
                <w:vertAlign w:val="baseline"/>
                <w:lang w:eastAsia="zh-CN"/>
              </w:rPr>
              <w:t>岗位实习</w:t>
            </w:r>
          </w:p>
        </w:tc>
        <w:tc>
          <w:tcPr>
            <w:tcW w:w="1283" w:type="dxa"/>
            <w:vAlign w:val="center"/>
          </w:tcPr>
          <w:p w14:paraId="786F7041">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b w:val="0"/>
                <w:bCs w:val="0"/>
                <w:color w:val="auto"/>
                <w:sz w:val="24"/>
                <w:szCs w:val="24"/>
                <w:highlight w:val="none"/>
                <w:vertAlign w:val="baseline"/>
                <w:lang w:eastAsia="zh-CN"/>
              </w:rPr>
              <w:t>深度合作</w:t>
            </w:r>
          </w:p>
        </w:tc>
        <w:tc>
          <w:tcPr>
            <w:tcW w:w="1433" w:type="dxa"/>
            <w:vAlign w:val="center"/>
          </w:tcPr>
          <w:p w14:paraId="7E8D5523">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b w:val="0"/>
                <w:bCs w:val="0"/>
                <w:color w:val="auto"/>
                <w:kern w:val="2"/>
                <w:sz w:val="24"/>
                <w:szCs w:val="24"/>
                <w:highlight w:val="none"/>
                <w:vertAlign w:val="baseline"/>
                <w:lang w:val="en-US" w:eastAsia="zh-CN" w:bidi="ar-SA"/>
              </w:rPr>
              <w:t>50</w:t>
            </w:r>
          </w:p>
        </w:tc>
      </w:tr>
      <w:tr w14:paraId="54AAC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trPr>
        <w:tc>
          <w:tcPr>
            <w:tcW w:w="706" w:type="dxa"/>
            <w:vAlign w:val="center"/>
          </w:tcPr>
          <w:p w14:paraId="3A989103">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5</w:t>
            </w:r>
          </w:p>
        </w:tc>
        <w:tc>
          <w:tcPr>
            <w:tcW w:w="3388" w:type="dxa"/>
            <w:vAlign w:val="top"/>
          </w:tcPr>
          <w:p w14:paraId="3E540252">
            <w:pPr>
              <w:keepNext w:val="0"/>
              <w:keepLines w:val="0"/>
              <w:pageBreakBefore w:val="0"/>
              <w:widowControl w:val="0"/>
              <w:kinsoku/>
              <w:wordWrap/>
              <w:overflowPunct w:val="0"/>
              <w:topLinePunct w:val="0"/>
              <w:autoSpaceDE/>
              <w:autoSpaceDN/>
              <w:bidi w:val="0"/>
              <w:adjustRightInd w:val="0"/>
              <w:snapToGrid/>
              <w:spacing w:after="0" w:line="240" w:lineRule="auto"/>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b w:val="0"/>
                <w:bCs w:val="0"/>
                <w:color w:val="auto"/>
                <w:sz w:val="24"/>
                <w:szCs w:val="24"/>
                <w:highlight w:val="none"/>
                <w:vertAlign w:val="baseline"/>
                <w:lang w:eastAsia="zh-CN"/>
              </w:rPr>
              <w:t>广西工程职业学院汽车检测与维修技术专业校外实习基地</w:t>
            </w:r>
          </w:p>
        </w:tc>
        <w:tc>
          <w:tcPr>
            <w:tcW w:w="2083" w:type="dxa"/>
            <w:vAlign w:val="top"/>
          </w:tcPr>
          <w:p w14:paraId="79624E9F">
            <w:pPr>
              <w:keepNext w:val="0"/>
              <w:keepLines w:val="0"/>
              <w:pageBreakBefore w:val="0"/>
              <w:widowControl w:val="0"/>
              <w:kinsoku/>
              <w:wordWrap/>
              <w:overflowPunct w:val="0"/>
              <w:topLinePunct w:val="0"/>
              <w:autoSpaceDE/>
              <w:autoSpaceDN/>
              <w:bidi w:val="0"/>
              <w:adjustRightInd w:val="0"/>
              <w:snapToGrid/>
              <w:spacing w:after="0" w:line="240" w:lineRule="auto"/>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b w:val="0"/>
                <w:bCs w:val="0"/>
                <w:color w:val="auto"/>
                <w:kern w:val="2"/>
                <w:sz w:val="24"/>
                <w:szCs w:val="24"/>
                <w:highlight w:val="none"/>
                <w:vertAlign w:val="baseline"/>
                <w:lang w:val="en-US" w:eastAsia="zh-CN" w:bidi="ar-SA"/>
              </w:rPr>
              <w:t>平果县昌迅汽车维修有限公司</w:t>
            </w:r>
          </w:p>
        </w:tc>
        <w:tc>
          <w:tcPr>
            <w:tcW w:w="1367" w:type="dxa"/>
            <w:vAlign w:val="center"/>
          </w:tcPr>
          <w:p w14:paraId="36B23899">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b w:val="0"/>
                <w:bCs w:val="0"/>
                <w:color w:val="auto"/>
                <w:sz w:val="24"/>
                <w:szCs w:val="24"/>
                <w:highlight w:val="none"/>
                <w:vertAlign w:val="baseline"/>
                <w:lang w:eastAsia="zh-CN"/>
              </w:rPr>
              <w:t>岗位实习</w:t>
            </w:r>
          </w:p>
        </w:tc>
        <w:tc>
          <w:tcPr>
            <w:tcW w:w="1283" w:type="dxa"/>
            <w:vAlign w:val="center"/>
          </w:tcPr>
          <w:p w14:paraId="65E12D36">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b w:val="0"/>
                <w:bCs w:val="0"/>
                <w:color w:val="auto"/>
                <w:sz w:val="24"/>
                <w:szCs w:val="24"/>
                <w:highlight w:val="none"/>
                <w:vertAlign w:val="baseline"/>
                <w:lang w:eastAsia="zh-CN"/>
              </w:rPr>
              <w:t>深度合作</w:t>
            </w:r>
          </w:p>
        </w:tc>
        <w:tc>
          <w:tcPr>
            <w:tcW w:w="1433" w:type="dxa"/>
            <w:vAlign w:val="center"/>
          </w:tcPr>
          <w:p w14:paraId="12C7460C">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b w:val="0"/>
                <w:bCs w:val="0"/>
                <w:color w:val="auto"/>
                <w:kern w:val="2"/>
                <w:sz w:val="24"/>
                <w:szCs w:val="24"/>
                <w:highlight w:val="none"/>
                <w:vertAlign w:val="baseline"/>
                <w:lang w:val="en-US" w:eastAsia="zh-CN" w:bidi="ar-SA"/>
              </w:rPr>
              <w:t>50</w:t>
            </w:r>
          </w:p>
        </w:tc>
      </w:tr>
      <w:tr w14:paraId="68542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trPr>
        <w:tc>
          <w:tcPr>
            <w:tcW w:w="706" w:type="dxa"/>
            <w:vAlign w:val="center"/>
          </w:tcPr>
          <w:p w14:paraId="3B8AAB3E">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6</w:t>
            </w:r>
          </w:p>
        </w:tc>
        <w:tc>
          <w:tcPr>
            <w:tcW w:w="3388" w:type="dxa"/>
            <w:vAlign w:val="top"/>
          </w:tcPr>
          <w:p w14:paraId="55877FD0">
            <w:pPr>
              <w:keepNext w:val="0"/>
              <w:keepLines w:val="0"/>
              <w:pageBreakBefore w:val="0"/>
              <w:widowControl w:val="0"/>
              <w:kinsoku/>
              <w:wordWrap/>
              <w:overflowPunct w:val="0"/>
              <w:topLinePunct w:val="0"/>
              <w:autoSpaceDE/>
              <w:autoSpaceDN/>
              <w:bidi w:val="0"/>
              <w:adjustRightInd w:val="0"/>
              <w:snapToGrid/>
              <w:spacing w:after="0" w:line="240" w:lineRule="auto"/>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b w:val="0"/>
                <w:bCs w:val="0"/>
                <w:color w:val="auto"/>
                <w:sz w:val="24"/>
                <w:szCs w:val="24"/>
                <w:highlight w:val="none"/>
                <w:vertAlign w:val="baseline"/>
                <w:lang w:eastAsia="zh-CN"/>
              </w:rPr>
              <w:t>广西工程职业学院汽车检测与维修技术专业校外实习基地</w:t>
            </w:r>
          </w:p>
        </w:tc>
        <w:tc>
          <w:tcPr>
            <w:tcW w:w="2083" w:type="dxa"/>
            <w:vAlign w:val="top"/>
          </w:tcPr>
          <w:p w14:paraId="70082073">
            <w:pPr>
              <w:keepNext w:val="0"/>
              <w:keepLines w:val="0"/>
              <w:pageBreakBefore w:val="0"/>
              <w:widowControl w:val="0"/>
              <w:kinsoku/>
              <w:wordWrap/>
              <w:overflowPunct w:val="0"/>
              <w:topLinePunct w:val="0"/>
              <w:autoSpaceDE/>
              <w:autoSpaceDN/>
              <w:bidi w:val="0"/>
              <w:adjustRightInd w:val="0"/>
              <w:snapToGrid/>
              <w:spacing w:after="0" w:line="240" w:lineRule="auto"/>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b w:val="0"/>
                <w:bCs w:val="0"/>
                <w:color w:val="auto"/>
                <w:kern w:val="2"/>
                <w:sz w:val="24"/>
                <w:szCs w:val="24"/>
                <w:highlight w:val="none"/>
                <w:vertAlign w:val="baseline"/>
                <w:lang w:val="en-US" w:eastAsia="zh-CN" w:bidi="ar-SA"/>
              </w:rPr>
              <w:t>广西平果久源汽车投资有限公司</w:t>
            </w:r>
          </w:p>
        </w:tc>
        <w:tc>
          <w:tcPr>
            <w:tcW w:w="1367" w:type="dxa"/>
            <w:vAlign w:val="center"/>
          </w:tcPr>
          <w:p w14:paraId="73AE1DCD">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b w:val="0"/>
                <w:bCs w:val="0"/>
                <w:color w:val="auto"/>
                <w:sz w:val="24"/>
                <w:szCs w:val="24"/>
                <w:highlight w:val="none"/>
                <w:vertAlign w:val="baseline"/>
                <w:lang w:eastAsia="zh-CN"/>
              </w:rPr>
              <w:t>岗位实习</w:t>
            </w:r>
          </w:p>
        </w:tc>
        <w:tc>
          <w:tcPr>
            <w:tcW w:w="1283" w:type="dxa"/>
            <w:vAlign w:val="center"/>
          </w:tcPr>
          <w:p w14:paraId="7149D7B3">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b w:val="0"/>
                <w:bCs w:val="0"/>
                <w:color w:val="auto"/>
                <w:sz w:val="24"/>
                <w:szCs w:val="24"/>
                <w:highlight w:val="none"/>
                <w:vertAlign w:val="baseline"/>
                <w:lang w:eastAsia="zh-CN"/>
              </w:rPr>
              <w:t>深度合作</w:t>
            </w:r>
          </w:p>
        </w:tc>
        <w:tc>
          <w:tcPr>
            <w:tcW w:w="1433" w:type="dxa"/>
            <w:vAlign w:val="center"/>
          </w:tcPr>
          <w:p w14:paraId="096EEDA7">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b w:val="0"/>
                <w:bCs w:val="0"/>
                <w:color w:val="auto"/>
                <w:kern w:val="2"/>
                <w:sz w:val="24"/>
                <w:szCs w:val="24"/>
                <w:highlight w:val="none"/>
                <w:vertAlign w:val="baseline"/>
                <w:lang w:val="en-US" w:eastAsia="zh-CN" w:bidi="ar-SA"/>
              </w:rPr>
              <w:t>50</w:t>
            </w:r>
          </w:p>
        </w:tc>
      </w:tr>
    </w:tbl>
    <w:p w14:paraId="2A828DA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二</w:t>
      </w:r>
      <w:r>
        <w:rPr>
          <w:rFonts w:hint="eastAsia" w:ascii="楷体" w:hAnsi="楷体" w:eastAsia="楷体" w:cs="楷体"/>
          <w:color w:val="auto"/>
          <w:sz w:val="32"/>
          <w:szCs w:val="32"/>
        </w:rPr>
        <w:t>）教学资源</w:t>
      </w:r>
    </w:p>
    <w:p w14:paraId="1C7C56F9">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教学资源主要包括能满足学生专业学习、教师专业教学研究和教学实施所需的教材、图书文献及数字教学资源等。</w:t>
      </w:r>
    </w:p>
    <w:p w14:paraId="21CDCFB9">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1.教材选用基本要求</w:t>
      </w:r>
    </w:p>
    <w:p w14:paraId="083146BA">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选用近五年内出版的高职高专国家级规划教材、自治区级规划教材、高职高专类出版教材。</w:t>
      </w:r>
    </w:p>
    <w:p w14:paraId="074BD676">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图书文献配备基本要求</w:t>
      </w:r>
    </w:p>
    <w:p w14:paraId="6883C130">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bCs w:val="0"/>
          <w:color w:val="auto"/>
          <w:sz w:val="32"/>
          <w:szCs w:val="32"/>
          <w:highlight w:val="none"/>
          <w:lang w:val="en-US" w:eastAsia="zh-CN"/>
        </w:rPr>
        <w:t>图书文献配备能满足人才培养、专业建设、教科研等工作的需要，方便师生查询、借阅。专业类文献主要包括：汽车相关行业政策法规、行业标准、技术规范以及维修，保养，售后等服务相关专业类图书和实务案例类图书。专业图书资料（含电子图书）不低于500册，5种以上维修类，服务类专业学术期刊，并能保持每年更新。</w:t>
      </w:r>
    </w:p>
    <w:p w14:paraId="618F8B26">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数字教学资源配置基本要求</w:t>
      </w:r>
    </w:p>
    <w:p w14:paraId="42690A92">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bCs w:val="0"/>
          <w:color w:val="auto"/>
          <w:sz w:val="32"/>
          <w:szCs w:val="32"/>
          <w:highlight w:val="none"/>
        </w:rPr>
        <w:t>建设、配备与专业相关的音视频素材、教学课件、数字化教学案例库、虚拟仿真软件、数字教材等专业教学资源库，应种类丰富、形式多样、使用便捷、动态更新，能满足教学要求。</w:t>
      </w:r>
    </w:p>
    <w:p w14:paraId="0FB174C8">
      <w:pPr>
        <w:keepNext w:val="0"/>
        <w:keepLines w:val="0"/>
        <w:pageBreakBefore w:val="0"/>
        <w:widowControl w:val="0"/>
        <w:numPr>
          <w:ilvl w:val="0"/>
          <w:numId w:val="1"/>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教学方法</w:t>
      </w:r>
    </w:p>
    <w:p w14:paraId="14BFD15A">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仿宋_GB2312" w:hAnsi="仿宋_GB2312" w:eastAsia="仿宋_GB2312" w:cs="仿宋_GB2312"/>
          <w:b w:val="0"/>
          <w:bCs w:val="0"/>
          <w:color w:val="auto"/>
          <w:sz w:val="32"/>
          <w:szCs w:val="32"/>
          <w:highlight w:val="none"/>
          <w:lang w:val="en-US" w:eastAsia="zh-CN"/>
        </w:rPr>
        <w:t>根据不同课程的性质特点，在保留传统讲授法、演示法、讨论法、问答法、案例分析法等的基础上，应充分利用信息化教学资源，尽量将项目驱动法、探究式教学、翻转课堂等新型教学模式及方法引入课堂，遵循“学生为主体，教师为主导”的原则，积极探索多种教学方法。</w:t>
      </w:r>
    </w:p>
    <w:p w14:paraId="03A68A07">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四</w:t>
      </w:r>
      <w:r>
        <w:rPr>
          <w:rFonts w:hint="eastAsia" w:ascii="楷体" w:hAnsi="楷体" w:eastAsia="楷体" w:cs="楷体"/>
          <w:color w:val="auto"/>
          <w:sz w:val="32"/>
          <w:szCs w:val="32"/>
        </w:rPr>
        <w:t>）学习评价</w:t>
      </w:r>
    </w:p>
    <w:p w14:paraId="307DCC67">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1.课程考核方法</w:t>
      </w:r>
    </w:p>
    <w:p w14:paraId="0C9E3DD0">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的考核一般分为考试评价、考查评价、鉴定评价、评语评价和答辩评价五种形式。考核评价须根据国家有关规定、课程标准及教学特点确定相应形式，可采取笔试、技能测试、机考、口试、面试等中的一种或多种方式进行。</w:t>
      </w:r>
    </w:p>
    <w:p w14:paraId="150940B5">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课程成绩评定根据学生参与度、作业质量、实训效果与期末考核等项目确定不同比例进行综合评定，评定标准如下：</w:t>
      </w:r>
    </w:p>
    <w:p w14:paraId="6FF5139E">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）A类课程成绩构成（纯理论）</w:t>
      </w:r>
    </w:p>
    <w:p w14:paraId="43EEE17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课程总成绩=期末卷面考试成绩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+平时成绩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p>
    <w:p w14:paraId="531149FC">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）B类课程成绩构成（理论+实践）</w:t>
      </w:r>
    </w:p>
    <w:p w14:paraId="49FC245D">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课程总成绩=理论部分期末卷面考试</w:t>
      </w:r>
      <w:r>
        <w:rPr>
          <w:rFonts w:hint="eastAsia" w:ascii="仿宋_GB2312" w:hAnsi="仿宋_GB2312" w:eastAsia="仿宋_GB2312" w:cs="仿宋_GB2312"/>
          <w:color w:val="auto"/>
          <w:sz w:val="32"/>
          <w:szCs w:val="32"/>
          <w:lang w:val="en-US" w:eastAsia="zh-CN"/>
        </w:rPr>
        <w:t>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40%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+技能成绩（30%）+平时成绩（30%）。</w:t>
      </w:r>
    </w:p>
    <w:p w14:paraId="6C4B3452">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）C类课程成绩构成</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rPr>
        <w:t>纯实践）</w:t>
      </w:r>
    </w:p>
    <w:p w14:paraId="3E0529B7">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课程总成绩=技能成绩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+平时成绩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p>
    <w:p w14:paraId="79E92EE0">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教学评价方式</w:t>
      </w:r>
    </w:p>
    <w:p w14:paraId="5569314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w:t>
      </w:r>
      <w:r>
        <w:rPr>
          <w:rFonts w:hint="eastAsia" w:ascii="仿宋_GB2312" w:hAnsi="仿宋_GB2312" w:eastAsia="仿宋_GB2312" w:cs="仿宋_GB2312"/>
          <w:b w:val="0"/>
          <w:bCs w:val="0"/>
          <w:color w:val="auto"/>
          <w:sz w:val="32"/>
          <w:szCs w:val="32"/>
          <w:highlight w:val="none"/>
          <w:lang w:eastAsia="zh-CN"/>
        </w:rPr>
        <w:t>以</w:t>
      </w:r>
      <w:r>
        <w:rPr>
          <w:rFonts w:hint="eastAsia" w:ascii="仿宋_GB2312" w:hAnsi="仿宋_GB2312" w:eastAsia="仿宋_GB2312" w:cs="仿宋_GB2312"/>
          <w:b w:val="0"/>
          <w:bCs w:val="0"/>
          <w:color w:val="auto"/>
          <w:sz w:val="32"/>
          <w:szCs w:val="32"/>
          <w:highlight w:val="none"/>
        </w:rPr>
        <w:t>学科成绩为核心，改变到以岗位能力为核心的轨道上来。本着为行业企业服务的原则，努力缩小或消除学校评价与企业评价之间的差异。</w:t>
      </w:r>
    </w:p>
    <w:p w14:paraId="7DD84818">
      <w:pPr>
        <w:keepNext w:val="0"/>
        <w:keepLines w:val="0"/>
        <w:pageBreakBefore w:val="0"/>
        <w:widowControl w:val="0"/>
        <w:numPr>
          <w:ilvl w:val="0"/>
          <w:numId w:val="5"/>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rPr>
        <w:t>质量</w:t>
      </w:r>
      <w:r>
        <w:rPr>
          <w:rFonts w:hint="eastAsia" w:ascii="黑体" w:hAnsi="黑体" w:eastAsia="黑体" w:cs="黑体"/>
          <w:b w:val="0"/>
          <w:bCs w:val="0"/>
          <w:color w:val="auto"/>
          <w:sz w:val="32"/>
          <w:szCs w:val="32"/>
          <w:highlight w:val="none"/>
          <w:lang w:val="en-US" w:eastAsia="zh-CN"/>
        </w:rPr>
        <w:t>保障</w:t>
      </w:r>
    </w:p>
    <w:p w14:paraId="03E21826">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一</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14:paraId="4EFDC908">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二</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完善教学管理机制，加强日常教学组织运行与管理</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定期开展课程建设水平和教学质量诊断与改进，建立健全巡课、听课、评教、评学等制度，建立与企业联动的实践教学环节督导制度，严明教学纪律，强化教学组织功能，定期开展公开课、示范课等教研活动。</w:t>
      </w:r>
    </w:p>
    <w:p w14:paraId="317A0F12">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三</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建立毕业生跟踪反馈机制及社会评价机制，并对生源情况、在校生学业水平、毕业生就业情况等进行分析，定期评价人才培养质量和培养目标达成情况。</w:t>
      </w:r>
    </w:p>
    <w:p w14:paraId="36F2B118">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黑体" w:hAnsi="黑体" w:eastAsia="黑体" w:cs="黑体"/>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（四）</w:t>
      </w:r>
      <w:r>
        <w:rPr>
          <w:rFonts w:hint="eastAsia" w:ascii="仿宋_GB2312" w:hAnsi="仿宋_GB2312" w:eastAsia="仿宋_GB2312" w:cs="仿宋_GB2312"/>
          <w:b w:val="0"/>
          <w:bCs w:val="0"/>
          <w:color w:val="auto"/>
          <w:sz w:val="32"/>
          <w:szCs w:val="32"/>
          <w:highlight w:val="none"/>
        </w:rPr>
        <w:t>充分利用评价分析结果有效改进专业教学，持续提高人才培养质量。</w:t>
      </w:r>
    </w:p>
    <w:p w14:paraId="306E1259">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s="黑体"/>
          <w:b w:val="0"/>
          <w:bCs w:val="0"/>
          <w:color w:val="1D41D5"/>
          <w:sz w:val="32"/>
          <w:szCs w:val="32"/>
          <w:highlight w:val="none"/>
          <w:lang w:eastAsia="zh-CN"/>
        </w:rPr>
      </w:pPr>
      <w:r>
        <w:rPr>
          <w:rFonts w:hint="eastAsia" w:ascii="黑体" w:hAnsi="黑体" w:eastAsia="黑体" w:cs="黑体"/>
          <w:b w:val="0"/>
          <w:bCs w:val="0"/>
          <w:color w:val="auto"/>
          <w:sz w:val="32"/>
          <w:szCs w:val="32"/>
          <w:highlight w:val="none"/>
          <w:lang w:val="en-US" w:eastAsia="zh-CN"/>
        </w:rPr>
        <w:t>十二、</w:t>
      </w:r>
      <w:r>
        <w:rPr>
          <w:rFonts w:hint="eastAsia" w:ascii="黑体" w:hAnsi="黑体" w:eastAsia="黑体" w:cs="黑体"/>
          <w:b w:val="0"/>
          <w:bCs w:val="0"/>
          <w:color w:val="auto"/>
          <w:sz w:val="32"/>
          <w:szCs w:val="32"/>
          <w:highlight w:val="none"/>
        </w:rPr>
        <w:t>毕业要求</w:t>
      </w:r>
    </w:p>
    <w:p w14:paraId="418872E1">
      <w:pPr>
        <w:keepNext w:val="0"/>
        <w:keepLines w:val="0"/>
        <w:pageBreakBefore w:val="0"/>
        <w:widowControl w:val="0"/>
        <w:numPr>
          <w:ilvl w:val="0"/>
          <w:numId w:val="6"/>
        </w:numPr>
        <w:kinsoku/>
        <w:wordWrap/>
        <w:overflowPunct w:val="0"/>
        <w:topLinePunct w:val="0"/>
        <w:autoSpaceDE/>
        <w:autoSpaceDN/>
        <w:bidi w:val="0"/>
        <w:adjustRightInd w:val="0"/>
        <w:snapToGrid/>
        <w:spacing w:after="0" w:line="520" w:lineRule="exact"/>
        <w:ind w:left="640" w:leftChars="0" w:firstLine="0" w:firstLineChars="0"/>
        <w:textAlignment w:val="auto"/>
        <w:outlineLvl w:val="0"/>
        <w:rPr>
          <w:rFonts w:hint="eastAsia" w:ascii="楷体" w:hAnsi="楷体" w:eastAsia="楷体" w:cs="楷体"/>
          <w:color w:val="auto"/>
          <w:kern w:val="2"/>
          <w:sz w:val="32"/>
          <w:szCs w:val="32"/>
          <w:lang w:val="en-US" w:eastAsia="zh-CN" w:bidi="ar-SA"/>
        </w:rPr>
      </w:pPr>
      <w:r>
        <w:rPr>
          <w:rFonts w:hint="eastAsia" w:ascii="楷体" w:hAnsi="楷体" w:eastAsia="楷体" w:cs="楷体"/>
          <w:color w:val="auto"/>
          <w:kern w:val="2"/>
          <w:sz w:val="32"/>
          <w:szCs w:val="32"/>
          <w:lang w:val="en-US" w:eastAsia="zh-CN" w:bidi="ar-SA"/>
        </w:rPr>
        <w:t>学分要求</w:t>
      </w:r>
    </w:p>
    <w:p w14:paraId="0C9012E2">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本专业要求学生根据人才培养方案确定的目标和培养规格，完成规定的实习实训，全部课程考核合格且修满至少取得149学分。其中，必修课131学分，选修课18学分。公共必修课42学分，公共选修课8学分。专业必修课89学分，专业选修课10学分。</w:t>
      </w:r>
    </w:p>
    <w:p w14:paraId="6B4A1B56">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楷体" w:hAnsi="楷体" w:eastAsia="楷体" w:cs="楷体"/>
          <w:color w:val="auto"/>
          <w:kern w:val="2"/>
          <w:sz w:val="32"/>
          <w:szCs w:val="32"/>
          <w:lang w:val="en-US" w:eastAsia="zh-CN" w:bidi="ar-SA"/>
        </w:rPr>
        <w:t>（二）综合素质要求</w:t>
      </w:r>
    </w:p>
    <w:p w14:paraId="314B6C44">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在汽车检测与维修技术专业的人才培养中，综合素质要求是衡量学生是否具备行业适配能力的重要标尺。经鉴定，学生需树立正确的</w:t>
      </w:r>
      <w:r>
        <w:rPr>
          <w:rFonts w:hint="eastAsia" w:ascii="仿宋_GB2312" w:hAnsi="仿宋_GB2312" w:eastAsia="仿宋_GB2312" w:cs="仿宋_GB2312"/>
          <w:color w:val="auto"/>
          <w:kern w:val="2"/>
          <w:sz w:val="32"/>
          <w:szCs w:val="32"/>
          <w:highlight w:val="none"/>
          <w:lang w:val="en-US" w:eastAsia="zh-CN" w:bidi="ar-SA"/>
        </w:rPr>
        <w:t>世界观、人生观、价值观</w:t>
      </w:r>
      <w:r>
        <w:rPr>
          <w:rFonts w:hint="eastAsia" w:ascii="仿宋_GB2312" w:hAnsi="仿宋_GB2312" w:eastAsia="仿宋_GB2312" w:cs="仿宋_GB2312"/>
          <w:color w:val="auto"/>
          <w:kern w:val="2"/>
          <w:sz w:val="32"/>
          <w:szCs w:val="32"/>
          <w:lang w:val="en-US" w:eastAsia="zh-CN" w:bidi="ar-SA"/>
        </w:rPr>
        <w:t>，践行社会主义核心价值观，遵守职业道德和行业规范，思想品德符合新时代技术技能人才的基本要求；国家学生体质健康测试需达到合格标准，以强健的体魄适应汽车维修行业高强度的工作节奏，确保能胜任车辆举升、部件拆装等体力与技能结合的工作；熟练掌握汽车构造、检测诊断、机电维修等专业知识和实操技能，能独立完成发动机检修、底盘维护、电气系统故障排除等核心任务；积极参与企业实习、技术竞赛、志愿服务等社会实践活动，在真实职场场景中提升沟通协作、问题解决能力；同时</w:t>
      </w:r>
      <w:r>
        <w:rPr>
          <w:rFonts w:hint="eastAsia" w:ascii="仿宋_GB2312" w:hAnsi="仿宋_GB2312" w:eastAsia="仿宋_GB2312" w:cs="仿宋_GB2312"/>
          <w:color w:val="auto"/>
          <w:kern w:val="2"/>
          <w:sz w:val="32"/>
          <w:szCs w:val="32"/>
          <w:highlight w:val="none"/>
          <w:lang w:val="en-US" w:eastAsia="zh-CN" w:bidi="ar-SA"/>
        </w:rPr>
        <w:t>须具备</w:t>
      </w:r>
      <w:r>
        <w:rPr>
          <w:rFonts w:hint="eastAsia" w:ascii="仿宋_GB2312" w:hAnsi="仿宋_GB2312" w:eastAsia="仿宋_GB2312" w:cs="仿宋_GB2312"/>
          <w:color w:val="auto"/>
          <w:kern w:val="2"/>
          <w:sz w:val="32"/>
          <w:szCs w:val="32"/>
          <w:lang w:val="en-US" w:eastAsia="zh-CN" w:bidi="ar-SA"/>
        </w:rPr>
        <w:t>严谨细致的工作态度、精益求精的工匠精神、安全环保意识以及持续学习能力，以适应汽车技术智能化、新能源化的发展趋势，真正成为具备职业综合素质和实践行动能力的高素质汽车维修人才。</w:t>
      </w:r>
    </w:p>
    <w:p w14:paraId="156B9EA4"/>
    <w:p w14:paraId="5C85B175">
      <w:pPr>
        <w:rPr>
          <w:color w:val="auto"/>
        </w:rPr>
      </w:pPr>
    </w:p>
    <w:sectPr>
      <w:footerReference r:id="rId6" w:type="default"/>
      <w:pgSz w:w="11906" w:h="16838"/>
      <w:pgMar w:top="1417" w:right="1417" w:bottom="1417" w:left="1417"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8F4DFB0-9F52-46A2-839A-A97C4B4DC9B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7F124BEA-ACFA-4628-8A20-EC565C92C083}"/>
  </w:font>
  <w:font w:name="华文新魏">
    <w:panose1 w:val="02010800040101010101"/>
    <w:charset w:val="86"/>
    <w:family w:val="auto"/>
    <w:pitch w:val="default"/>
    <w:sig w:usb0="00000001" w:usb1="080F0000" w:usb2="00000000" w:usb3="00000000" w:csb0="00040000" w:csb1="00000000"/>
    <w:embedRegular r:id="rId3" w:fontKey="{3996D750-3B57-4F87-BC91-E4B9F19C87FB}"/>
  </w:font>
  <w:font w:name="方正小标宋简体">
    <w:panose1 w:val="03000509000000000000"/>
    <w:charset w:val="86"/>
    <w:family w:val="script"/>
    <w:pitch w:val="default"/>
    <w:sig w:usb0="00000001" w:usb1="080E0000" w:usb2="00000000" w:usb3="00000000" w:csb0="00040000" w:csb1="00000000"/>
    <w:embedRegular r:id="rId4" w:fontKey="{3D722859-E2A1-4D4F-9C01-D1D1E7A2D211}"/>
  </w:font>
  <w:font w:name="仿宋_GB2312">
    <w:panose1 w:val="02010609030101010101"/>
    <w:charset w:val="86"/>
    <w:family w:val="modern"/>
    <w:pitch w:val="default"/>
    <w:sig w:usb0="00000001" w:usb1="080E0000" w:usb2="00000000" w:usb3="00000000" w:csb0="00040000" w:csb1="00000000"/>
    <w:embedRegular r:id="rId5" w:fontKey="{C396ED77-CEBD-43AF-9904-721EE3C4D054}"/>
  </w:font>
  <w:font w:name="楷体">
    <w:panose1 w:val="02010609060101010101"/>
    <w:charset w:val="86"/>
    <w:family w:val="modern"/>
    <w:pitch w:val="default"/>
    <w:sig w:usb0="800002BF" w:usb1="38CF7CFA" w:usb2="00000016" w:usb3="00000000" w:csb0="00040001" w:csb1="00000000"/>
    <w:embedRegular r:id="rId6" w:fontKey="{1D6575FD-0E6B-47EC-A5FD-769A95C094C5}"/>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9DAE99">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5578446">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35578446">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066A60">
    <w:pPr>
      <w:pStyle w:val="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25EB29"/>
    <w:multiLevelType w:val="singleLevel"/>
    <w:tmpl w:val="C525EB29"/>
    <w:lvl w:ilvl="0" w:tentative="0">
      <w:start w:val="1"/>
      <w:numFmt w:val="decimal"/>
      <w:lvlText w:val="%1."/>
      <w:lvlJc w:val="left"/>
      <w:pPr>
        <w:tabs>
          <w:tab w:val="left" w:pos="312"/>
        </w:tabs>
      </w:pPr>
    </w:lvl>
  </w:abstractNum>
  <w:abstractNum w:abstractNumId="1">
    <w:nsid w:val="C592F596"/>
    <w:multiLevelType w:val="singleLevel"/>
    <w:tmpl w:val="C592F596"/>
    <w:lvl w:ilvl="0" w:tentative="0">
      <w:start w:val="11"/>
      <w:numFmt w:val="chineseCounting"/>
      <w:suff w:val="nothing"/>
      <w:lvlText w:val="%1、"/>
      <w:lvlJc w:val="left"/>
      <w:rPr>
        <w:rFonts w:hint="eastAsia"/>
      </w:rPr>
    </w:lvl>
  </w:abstractNum>
  <w:abstractNum w:abstractNumId="2">
    <w:nsid w:val="F3F38C9F"/>
    <w:multiLevelType w:val="singleLevel"/>
    <w:tmpl w:val="F3F38C9F"/>
    <w:lvl w:ilvl="0" w:tentative="0">
      <w:start w:val="1"/>
      <w:numFmt w:val="chineseCounting"/>
      <w:suff w:val="nothing"/>
      <w:lvlText w:val="（%1）"/>
      <w:lvlJc w:val="left"/>
      <w:rPr>
        <w:rFonts w:hint="eastAsia"/>
      </w:rPr>
    </w:lvl>
  </w:abstractNum>
  <w:abstractNum w:abstractNumId="3">
    <w:nsid w:val="1598E815"/>
    <w:multiLevelType w:val="singleLevel"/>
    <w:tmpl w:val="1598E815"/>
    <w:lvl w:ilvl="0" w:tentative="0">
      <w:start w:val="1"/>
      <w:numFmt w:val="decimal"/>
      <w:lvlText w:val="%1."/>
      <w:lvlJc w:val="left"/>
      <w:pPr>
        <w:tabs>
          <w:tab w:val="left" w:pos="312"/>
        </w:tabs>
      </w:pPr>
    </w:lvl>
  </w:abstractNum>
  <w:abstractNum w:abstractNumId="4">
    <w:nsid w:val="4005274C"/>
    <w:multiLevelType w:val="singleLevel"/>
    <w:tmpl w:val="4005274C"/>
    <w:lvl w:ilvl="0" w:tentative="0">
      <w:start w:val="1"/>
      <w:numFmt w:val="chineseCounting"/>
      <w:suff w:val="nothing"/>
      <w:lvlText w:val="（%1）"/>
      <w:lvlJc w:val="left"/>
      <w:pPr>
        <w:ind w:left="640" w:firstLine="0"/>
      </w:pPr>
      <w:rPr>
        <w:rFonts w:hint="eastAsia"/>
      </w:rPr>
    </w:lvl>
  </w:abstractNum>
  <w:abstractNum w:abstractNumId="5">
    <w:nsid w:val="69251847"/>
    <w:multiLevelType w:val="singleLevel"/>
    <w:tmpl w:val="69251847"/>
    <w:lvl w:ilvl="0" w:tentative="0">
      <w:start w:val="2"/>
      <w:numFmt w:val="decimal"/>
      <w:suff w:val="nothing"/>
      <w:lvlText w:val="（%1）"/>
      <w:lvlJc w:val="left"/>
    </w:lvl>
  </w:abstractNum>
  <w:num w:numId="1">
    <w:abstractNumId w:val="2"/>
  </w:num>
  <w:num w:numId="2">
    <w:abstractNumId w:val="3"/>
  </w:num>
  <w:num w:numId="3">
    <w:abstractNumId w:val="0"/>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lODNhNmM0OTAwZDVjMTAyN2Q2MmIyMTg0YmNmNzQifQ=="/>
  </w:docVars>
  <w:rsids>
    <w:rsidRoot w:val="00FA77F6"/>
    <w:rsid w:val="00090E00"/>
    <w:rsid w:val="000A7541"/>
    <w:rsid w:val="0015300C"/>
    <w:rsid w:val="001673E5"/>
    <w:rsid w:val="001A7FBE"/>
    <w:rsid w:val="00283E45"/>
    <w:rsid w:val="002D15C0"/>
    <w:rsid w:val="003531B3"/>
    <w:rsid w:val="003D3CE4"/>
    <w:rsid w:val="0055209B"/>
    <w:rsid w:val="005645D8"/>
    <w:rsid w:val="005A2BBB"/>
    <w:rsid w:val="00623CE1"/>
    <w:rsid w:val="006A1AE0"/>
    <w:rsid w:val="0071110E"/>
    <w:rsid w:val="007F03E9"/>
    <w:rsid w:val="00A12741"/>
    <w:rsid w:val="00A165B0"/>
    <w:rsid w:val="00A23811"/>
    <w:rsid w:val="00AB71CC"/>
    <w:rsid w:val="00B14C0C"/>
    <w:rsid w:val="00B46AB6"/>
    <w:rsid w:val="00B91791"/>
    <w:rsid w:val="00C3446C"/>
    <w:rsid w:val="00C4271B"/>
    <w:rsid w:val="00D03D56"/>
    <w:rsid w:val="00E2700A"/>
    <w:rsid w:val="00ED3BD8"/>
    <w:rsid w:val="00F52A8D"/>
    <w:rsid w:val="00F63617"/>
    <w:rsid w:val="00F73E22"/>
    <w:rsid w:val="00F82685"/>
    <w:rsid w:val="00FA77F6"/>
    <w:rsid w:val="00FB052B"/>
    <w:rsid w:val="01184357"/>
    <w:rsid w:val="012339ED"/>
    <w:rsid w:val="0140551C"/>
    <w:rsid w:val="01514167"/>
    <w:rsid w:val="017117FD"/>
    <w:rsid w:val="017326F7"/>
    <w:rsid w:val="01762172"/>
    <w:rsid w:val="01786F4B"/>
    <w:rsid w:val="018C3377"/>
    <w:rsid w:val="01A1605B"/>
    <w:rsid w:val="01AA3877"/>
    <w:rsid w:val="01C631F6"/>
    <w:rsid w:val="01CE0603"/>
    <w:rsid w:val="01D3250C"/>
    <w:rsid w:val="01DA729B"/>
    <w:rsid w:val="01E46029"/>
    <w:rsid w:val="01E94E30"/>
    <w:rsid w:val="02335DA9"/>
    <w:rsid w:val="023C66B8"/>
    <w:rsid w:val="025263E9"/>
    <w:rsid w:val="025A66EB"/>
    <w:rsid w:val="02661E94"/>
    <w:rsid w:val="02971350"/>
    <w:rsid w:val="02A44DE3"/>
    <w:rsid w:val="02CB281B"/>
    <w:rsid w:val="02CD5374"/>
    <w:rsid w:val="02CF5C27"/>
    <w:rsid w:val="02EC685C"/>
    <w:rsid w:val="02FF7B1B"/>
    <w:rsid w:val="032356B1"/>
    <w:rsid w:val="03304250"/>
    <w:rsid w:val="03320C09"/>
    <w:rsid w:val="033311CF"/>
    <w:rsid w:val="036300DB"/>
    <w:rsid w:val="036761A6"/>
    <w:rsid w:val="037A1943"/>
    <w:rsid w:val="037E2547"/>
    <w:rsid w:val="03805A4B"/>
    <w:rsid w:val="0390324B"/>
    <w:rsid w:val="03A07894"/>
    <w:rsid w:val="04223055"/>
    <w:rsid w:val="04493917"/>
    <w:rsid w:val="045C6C25"/>
    <w:rsid w:val="048C3708"/>
    <w:rsid w:val="049C2D1F"/>
    <w:rsid w:val="04BC3FEE"/>
    <w:rsid w:val="04DA2804"/>
    <w:rsid w:val="04EA08A0"/>
    <w:rsid w:val="04F75D85"/>
    <w:rsid w:val="051060E7"/>
    <w:rsid w:val="051223C4"/>
    <w:rsid w:val="0522647B"/>
    <w:rsid w:val="054753B6"/>
    <w:rsid w:val="054C183E"/>
    <w:rsid w:val="056F2CF7"/>
    <w:rsid w:val="05AD6B50"/>
    <w:rsid w:val="05BC2DF7"/>
    <w:rsid w:val="05DE188C"/>
    <w:rsid w:val="05EA35BB"/>
    <w:rsid w:val="05EB4BE0"/>
    <w:rsid w:val="062E0F1B"/>
    <w:rsid w:val="063C2B41"/>
    <w:rsid w:val="06471FDD"/>
    <w:rsid w:val="066D12AA"/>
    <w:rsid w:val="068058FC"/>
    <w:rsid w:val="06942E5A"/>
    <w:rsid w:val="06A50B76"/>
    <w:rsid w:val="06BF391E"/>
    <w:rsid w:val="06C013A0"/>
    <w:rsid w:val="06C90C44"/>
    <w:rsid w:val="06D035A7"/>
    <w:rsid w:val="06D06861"/>
    <w:rsid w:val="06EB12EA"/>
    <w:rsid w:val="070954E4"/>
    <w:rsid w:val="07140E2A"/>
    <w:rsid w:val="071F71BB"/>
    <w:rsid w:val="07322345"/>
    <w:rsid w:val="073A1069"/>
    <w:rsid w:val="078D77EF"/>
    <w:rsid w:val="07D25D65"/>
    <w:rsid w:val="08270EDF"/>
    <w:rsid w:val="082F2519"/>
    <w:rsid w:val="08380F8C"/>
    <w:rsid w:val="08404A66"/>
    <w:rsid w:val="084C7436"/>
    <w:rsid w:val="08583A3F"/>
    <w:rsid w:val="0874020F"/>
    <w:rsid w:val="08961326"/>
    <w:rsid w:val="0897531E"/>
    <w:rsid w:val="089C322F"/>
    <w:rsid w:val="08A65D3D"/>
    <w:rsid w:val="08C715EF"/>
    <w:rsid w:val="08C77405"/>
    <w:rsid w:val="08CA2A7A"/>
    <w:rsid w:val="08CB1FAE"/>
    <w:rsid w:val="08DA7138"/>
    <w:rsid w:val="08E35BA2"/>
    <w:rsid w:val="08E47FB5"/>
    <w:rsid w:val="08EB73CD"/>
    <w:rsid w:val="08F70DAF"/>
    <w:rsid w:val="09075A53"/>
    <w:rsid w:val="091D6C80"/>
    <w:rsid w:val="09432435"/>
    <w:rsid w:val="094D110F"/>
    <w:rsid w:val="094D790A"/>
    <w:rsid w:val="095347F5"/>
    <w:rsid w:val="095F3FBE"/>
    <w:rsid w:val="096358FF"/>
    <w:rsid w:val="09891BB3"/>
    <w:rsid w:val="09BF2734"/>
    <w:rsid w:val="09CB082F"/>
    <w:rsid w:val="09D45935"/>
    <w:rsid w:val="09D76D8F"/>
    <w:rsid w:val="0A0475C0"/>
    <w:rsid w:val="0A133D15"/>
    <w:rsid w:val="0A1E4E03"/>
    <w:rsid w:val="0A2F768E"/>
    <w:rsid w:val="0A323436"/>
    <w:rsid w:val="0A5A4F00"/>
    <w:rsid w:val="0A634F0B"/>
    <w:rsid w:val="0A72798D"/>
    <w:rsid w:val="0A9D03F6"/>
    <w:rsid w:val="0AC91212"/>
    <w:rsid w:val="0AF33383"/>
    <w:rsid w:val="0AFF69E2"/>
    <w:rsid w:val="0B100735"/>
    <w:rsid w:val="0B64718D"/>
    <w:rsid w:val="0B713C52"/>
    <w:rsid w:val="0B813EEC"/>
    <w:rsid w:val="0B9E269F"/>
    <w:rsid w:val="0BA77F3F"/>
    <w:rsid w:val="0BB93035"/>
    <w:rsid w:val="0BCA163D"/>
    <w:rsid w:val="0BE07789"/>
    <w:rsid w:val="0BF254A5"/>
    <w:rsid w:val="0C005ABF"/>
    <w:rsid w:val="0C051F47"/>
    <w:rsid w:val="0C0A3BA0"/>
    <w:rsid w:val="0C1734E6"/>
    <w:rsid w:val="0C24614C"/>
    <w:rsid w:val="0C277EFD"/>
    <w:rsid w:val="0C4C48B9"/>
    <w:rsid w:val="0C5C7E74"/>
    <w:rsid w:val="0C730FFC"/>
    <w:rsid w:val="0C8F6628"/>
    <w:rsid w:val="0CA04344"/>
    <w:rsid w:val="0CC5036D"/>
    <w:rsid w:val="0CE642FD"/>
    <w:rsid w:val="0CFF33F7"/>
    <w:rsid w:val="0D0C1006"/>
    <w:rsid w:val="0D142104"/>
    <w:rsid w:val="0D1A620C"/>
    <w:rsid w:val="0D222046"/>
    <w:rsid w:val="0D280DA5"/>
    <w:rsid w:val="0D3000CB"/>
    <w:rsid w:val="0D5D7F7A"/>
    <w:rsid w:val="0D647C2B"/>
    <w:rsid w:val="0DDC62CA"/>
    <w:rsid w:val="0DE7465B"/>
    <w:rsid w:val="0DE924A0"/>
    <w:rsid w:val="0E2350DD"/>
    <w:rsid w:val="0E280947"/>
    <w:rsid w:val="0E286BFE"/>
    <w:rsid w:val="0E4069E3"/>
    <w:rsid w:val="0E4427F6"/>
    <w:rsid w:val="0E4F326D"/>
    <w:rsid w:val="0E5E6115"/>
    <w:rsid w:val="0E750A47"/>
    <w:rsid w:val="0ECA573F"/>
    <w:rsid w:val="0ED4462A"/>
    <w:rsid w:val="0EDE7A72"/>
    <w:rsid w:val="0EEE418B"/>
    <w:rsid w:val="0F16105F"/>
    <w:rsid w:val="0F386966"/>
    <w:rsid w:val="0F5E67C6"/>
    <w:rsid w:val="0F7F6CFB"/>
    <w:rsid w:val="0F852E7C"/>
    <w:rsid w:val="0F8A1F65"/>
    <w:rsid w:val="0FA47B58"/>
    <w:rsid w:val="0FA67D74"/>
    <w:rsid w:val="0FBE4261"/>
    <w:rsid w:val="0FD20B69"/>
    <w:rsid w:val="0FE4089C"/>
    <w:rsid w:val="10052457"/>
    <w:rsid w:val="10093E5F"/>
    <w:rsid w:val="10152804"/>
    <w:rsid w:val="10234F21"/>
    <w:rsid w:val="103F1337"/>
    <w:rsid w:val="10602D13"/>
    <w:rsid w:val="1082430A"/>
    <w:rsid w:val="10914580"/>
    <w:rsid w:val="10AA179B"/>
    <w:rsid w:val="10C7659F"/>
    <w:rsid w:val="10EE36A0"/>
    <w:rsid w:val="11491958"/>
    <w:rsid w:val="114F58AA"/>
    <w:rsid w:val="11560AFF"/>
    <w:rsid w:val="116752E1"/>
    <w:rsid w:val="11715093"/>
    <w:rsid w:val="11D70154"/>
    <w:rsid w:val="12485112"/>
    <w:rsid w:val="12604834"/>
    <w:rsid w:val="127F665A"/>
    <w:rsid w:val="12AA22E7"/>
    <w:rsid w:val="12DC3AAD"/>
    <w:rsid w:val="12DD077F"/>
    <w:rsid w:val="12F708E7"/>
    <w:rsid w:val="13203999"/>
    <w:rsid w:val="135C5E82"/>
    <w:rsid w:val="135F0ED4"/>
    <w:rsid w:val="139B5716"/>
    <w:rsid w:val="13A51648"/>
    <w:rsid w:val="13AE44D6"/>
    <w:rsid w:val="13E15C2A"/>
    <w:rsid w:val="13F454F6"/>
    <w:rsid w:val="1418768A"/>
    <w:rsid w:val="142976A3"/>
    <w:rsid w:val="14386639"/>
    <w:rsid w:val="14485742"/>
    <w:rsid w:val="14762D3D"/>
    <w:rsid w:val="148B438E"/>
    <w:rsid w:val="14A072F9"/>
    <w:rsid w:val="14A800EA"/>
    <w:rsid w:val="14E70D5B"/>
    <w:rsid w:val="15001CD4"/>
    <w:rsid w:val="15011B64"/>
    <w:rsid w:val="15023B03"/>
    <w:rsid w:val="150317C5"/>
    <w:rsid w:val="15075A0D"/>
    <w:rsid w:val="150D7916"/>
    <w:rsid w:val="1512322B"/>
    <w:rsid w:val="15202377"/>
    <w:rsid w:val="153E6BF4"/>
    <w:rsid w:val="154C2C7E"/>
    <w:rsid w:val="15542020"/>
    <w:rsid w:val="15574CD4"/>
    <w:rsid w:val="15793F12"/>
    <w:rsid w:val="159A569D"/>
    <w:rsid w:val="15B25EA5"/>
    <w:rsid w:val="15BE74C2"/>
    <w:rsid w:val="15FC65CC"/>
    <w:rsid w:val="160E65BF"/>
    <w:rsid w:val="16196B4E"/>
    <w:rsid w:val="16536810"/>
    <w:rsid w:val="165423D5"/>
    <w:rsid w:val="165F0C7D"/>
    <w:rsid w:val="166D0913"/>
    <w:rsid w:val="1683077C"/>
    <w:rsid w:val="1699418F"/>
    <w:rsid w:val="16995FBA"/>
    <w:rsid w:val="16A42B33"/>
    <w:rsid w:val="16DC051F"/>
    <w:rsid w:val="170B4961"/>
    <w:rsid w:val="172E0137"/>
    <w:rsid w:val="17347CCD"/>
    <w:rsid w:val="1740285C"/>
    <w:rsid w:val="1749510D"/>
    <w:rsid w:val="17635351"/>
    <w:rsid w:val="17823BEB"/>
    <w:rsid w:val="178570A5"/>
    <w:rsid w:val="1796247C"/>
    <w:rsid w:val="17B133ED"/>
    <w:rsid w:val="17DE7354"/>
    <w:rsid w:val="17E638F6"/>
    <w:rsid w:val="17FC5DE2"/>
    <w:rsid w:val="181C2D35"/>
    <w:rsid w:val="1831173C"/>
    <w:rsid w:val="18345F44"/>
    <w:rsid w:val="183C6545"/>
    <w:rsid w:val="187E183C"/>
    <w:rsid w:val="18857188"/>
    <w:rsid w:val="188E1497"/>
    <w:rsid w:val="18934C66"/>
    <w:rsid w:val="18980FBD"/>
    <w:rsid w:val="18C41FB0"/>
    <w:rsid w:val="18CB084B"/>
    <w:rsid w:val="19213A84"/>
    <w:rsid w:val="19481E9C"/>
    <w:rsid w:val="19630A2E"/>
    <w:rsid w:val="197752D7"/>
    <w:rsid w:val="197C175F"/>
    <w:rsid w:val="19AF3CC9"/>
    <w:rsid w:val="19B629D4"/>
    <w:rsid w:val="1A016862"/>
    <w:rsid w:val="1A1041D0"/>
    <w:rsid w:val="1A1773DF"/>
    <w:rsid w:val="1AB44CDE"/>
    <w:rsid w:val="1AE45BF4"/>
    <w:rsid w:val="1B061265"/>
    <w:rsid w:val="1B177D78"/>
    <w:rsid w:val="1B356531"/>
    <w:rsid w:val="1B435847"/>
    <w:rsid w:val="1B6F1B8E"/>
    <w:rsid w:val="1BAE7956"/>
    <w:rsid w:val="1BCC19A4"/>
    <w:rsid w:val="1BF93A5C"/>
    <w:rsid w:val="1C0D2E3D"/>
    <w:rsid w:val="1C217434"/>
    <w:rsid w:val="1C27223D"/>
    <w:rsid w:val="1C411EE7"/>
    <w:rsid w:val="1C4B29EE"/>
    <w:rsid w:val="1C4C3AFB"/>
    <w:rsid w:val="1C4E0B38"/>
    <w:rsid w:val="1C6A61BC"/>
    <w:rsid w:val="1C6F14EE"/>
    <w:rsid w:val="1C8417EC"/>
    <w:rsid w:val="1C8800DD"/>
    <w:rsid w:val="1C9828F5"/>
    <w:rsid w:val="1CB25FAA"/>
    <w:rsid w:val="1CB51EA5"/>
    <w:rsid w:val="1CE364C3"/>
    <w:rsid w:val="1CEF0D86"/>
    <w:rsid w:val="1D0377EB"/>
    <w:rsid w:val="1D1604A0"/>
    <w:rsid w:val="1D24677C"/>
    <w:rsid w:val="1D2A06BD"/>
    <w:rsid w:val="1D353A79"/>
    <w:rsid w:val="1D4573ED"/>
    <w:rsid w:val="1D60233E"/>
    <w:rsid w:val="1DAE2559"/>
    <w:rsid w:val="1DBE1DF0"/>
    <w:rsid w:val="1DC57AE4"/>
    <w:rsid w:val="1DC964EA"/>
    <w:rsid w:val="1DD51824"/>
    <w:rsid w:val="1DD5237C"/>
    <w:rsid w:val="1DFD1A31"/>
    <w:rsid w:val="1E0B605A"/>
    <w:rsid w:val="1E1D6406"/>
    <w:rsid w:val="1E3527E0"/>
    <w:rsid w:val="1E371840"/>
    <w:rsid w:val="1E431159"/>
    <w:rsid w:val="1E4B3DFE"/>
    <w:rsid w:val="1E5A7ADD"/>
    <w:rsid w:val="1E91399D"/>
    <w:rsid w:val="1E9273F1"/>
    <w:rsid w:val="1EA261CE"/>
    <w:rsid w:val="1EA77665"/>
    <w:rsid w:val="1EBC003D"/>
    <w:rsid w:val="1ECC6B87"/>
    <w:rsid w:val="1EE617E6"/>
    <w:rsid w:val="1EEA3404"/>
    <w:rsid w:val="1EFE68E7"/>
    <w:rsid w:val="1F052954"/>
    <w:rsid w:val="1F233381"/>
    <w:rsid w:val="1F3A7811"/>
    <w:rsid w:val="1F4F75EB"/>
    <w:rsid w:val="1F5350F7"/>
    <w:rsid w:val="1F7D1AF9"/>
    <w:rsid w:val="1F88077C"/>
    <w:rsid w:val="1F8E2953"/>
    <w:rsid w:val="1F9C6563"/>
    <w:rsid w:val="1FB0418D"/>
    <w:rsid w:val="1FB17C46"/>
    <w:rsid w:val="1FB21E1D"/>
    <w:rsid w:val="1FBC2C9C"/>
    <w:rsid w:val="1FBD7745"/>
    <w:rsid w:val="201605FE"/>
    <w:rsid w:val="201E69BF"/>
    <w:rsid w:val="205D3410"/>
    <w:rsid w:val="207417C9"/>
    <w:rsid w:val="20975384"/>
    <w:rsid w:val="209C0204"/>
    <w:rsid w:val="20AA1C69"/>
    <w:rsid w:val="20AA343C"/>
    <w:rsid w:val="20BD26C8"/>
    <w:rsid w:val="20BE4D41"/>
    <w:rsid w:val="20E56222"/>
    <w:rsid w:val="21097C41"/>
    <w:rsid w:val="210E0F0E"/>
    <w:rsid w:val="212320B5"/>
    <w:rsid w:val="2141361E"/>
    <w:rsid w:val="214F3025"/>
    <w:rsid w:val="215779C0"/>
    <w:rsid w:val="216102D0"/>
    <w:rsid w:val="216965F7"/>
    <w:rsid w:val="2170143C"/>
    <w:rsid w:val="217911FA"/>
    <w:rsid w:val="21826735"/>
    <w:rsid w:val="218A027E"/>
    <w:rsid w:val="218B358E"/>
    <w:rsid w:val="21BA41E2"/>
    <w:rsid w:val="21C80F79"/>
    <w:rsid w:val="21CA447C"/>
    <w:rsid w:val="21EA757A"/>
    <w:rsid w:val="21EB3D26"/>
    <w:rsid w:val="22123047"/>
    <w:rsid w:val="221C5C74"/>
    <w:rsid w:val="223461B5"/>
    <w:rsid w:val="223A4AD1"/>
    <w:rsid w:val="2284712E"/>
    <w:rsid w:val="228E4B9A"/>
    <w:rsid w:val="22967FAA"/>
    <w:rsid w:val="22A00653"/>
    <w:rsid w:val="22C55999"/>
    <w:rsid w:val="22EE0D5B"/>
    <w:rsid w:val="2320282F"/>
    <w:rsid w:val="2338088B"/>
    <w:rsid w:val="233F7861"/>
    <w:rsid w:val="235C4C12"/>
    <w:rsid w:val="236773C3"/>
    <w:rsid w:val="237D0994"/>
    <w:rsid w:val="23880F5A"/>
    <w:rsid w:val="23954DD6"/>
    <w:rsid w:val="23A52A71"/>
    <w:rsid w:val="23B52D23"/>
    <w:rsid w:val="23D42CAA"/>
    <w:rsid w:val="23D66ADB"/>
    <w:rsid w:val="24034FA7"/>
    <w:rsid w:val="24356AF4"/>
    <w:rsid w:val="244B6A99"/>
    <w:rsid w:val="247343DA"/>
    <w:rsid w:val="24905F09"/>
    <w:rsid w:val="249D12EE"/>
    <w:rsid w:val="24AA0B89"/>
    <w:rsid w:val="24DA2DF4"/>
    <w:rsid w:val="24E76143"/>
    <w:rsid w:val="24F353B2"/>
    <w:rsid w:val="253E7910"/>
    <w:rsid w:val="256107E0"/>
    <w:rsid w:val="25616DFF"/>
    <w:rsid w:val="25706CBA"/>
    <w:rsid w:val="25816B16"/>
    <w:rsid w:val="25B03DE2"/>
    <w:rsid w:val="25B55431"/>
    <w:rsid w:val="26430DD2"/>
    <w:rsid w:val="26436BD4"/>
    <w:rsid w:val="264E7761"/>
    <w:rsid w:val="26562AC8"/>
    <w:rsid w:val="267A11BB"/>
    <w:rsid w:val="268045FF"/>
    <w:rsid w:val="2682413A"/>
    <w:rsid w:val="27042341"/>
    <w:rsid w:val="27075144"/>
    <w:rsid w:val="27441EF5"/>
    <w:rsid w:val="274E2589"/>
    <w:rsid w:val="275D7321"/>
    <w:rsid w:val="27703DC3"/>
    <w:rsid w:val="2777374E"/>
    <w:rsid w:val="277F2492"/>
    <w:rsid w:val="27AB4EA2"/>
    <w:rsid w:val="27AE3812"/>
    <w:rsid w:val="27F30B19"/>
    <w:rsid w:val="27F5401D"/>
    <w:rsid w:val="27FE7D73"/>
    <w:rsid w:val="280C4F52"/>
    <w:rsid w:val="282E21C7"/>
    <w:rsid w:val="2833607F"/>
    <w:rsid w:val="28557849"/>
    <w:rsid w:val="285A12A4"/>
    <w:rsid w:val="28634650"/>
    <w:rsid w:val="286C2D61"/>
    <w:rsid w:val="289A5B44"/>
    <w:rsid w:val="28BD30CD"/>
    <w:rsid w:val="28BD5B9E"/>
    <w:rsid w:val="28C3596E"/>
    <w:rsid w:val="28D07202"/>
    <w:rsid w:val="28F151B9"/>
    <w:rsid w:val="28FA38CA"/>
    <w:rsid w:val="293D11D3"/>
    <w:rsid w:val="293F6969"/>
    <w:rsid w:val="29431740"/>
    <w:rsid w:val="296E1A2F"/>
    <w:rsid w:val="29710F8A"/>
    <w:rsid w:val="29A11E99"/>
    <w:rsid w:val="29B449E4"/>
    <w:rsid w:val="29B53A47"/>
    <w:rsid w:val="29C72B81"/>
    <w:rsid w:val="29CE38A2"/>
    <w:rsid w:val="29F3390B"/>
    <w:rsid w:val="29F55728"/>
    <w:rsid w:val="2A216480"/>
    <w:rsid w:val="2A2B3C3C"/>
    <w:rsid w:val="2A4A44F0"/>
    <w:rsid w:val="2A816F6C"/>
    <w:rsid w:val="2AAE0639"/>
    <w:rsid w:val="2AC37DB4"/>
    <w:rsid w:val="2AE333EA"/>
    <w:rsid w:val="2AF159B2"/>
    <w:rsid w:val="2B097DA7"/>
    <w:rsid w:val="2B0F281A"/>
    <w:rsid w:val="2B1B5E08"/>
    <w:rsid w:val="2B447F8C"/>
    <w:rsid w:val="2B5F65B7"/>
    <w:rsid w:val="2B722F90"/>
    <w:rsid w:val="2B88197A"/>
    <w:rsid w:val="2B8D373E"/>
    <w:rsid w:val="2BC43D5D"/>
    <w:rsid w:val="2BD177EF"/>
    <w:rsid w:val="2BF0155D"/>
    <w:rsid w:val="2BF11F1F"/>
    <w:rsid w:val="2C03763E"/>
    <w:rsid w:val="2C4A3206"/>
    <w:rsid w:val="2C5C5166"/>
    <w:rsid w:val="2C5E06D8"/>
    <w:rsid w:val="2C802418"/>
    <w:rsid w:val="2CB341C7"/>
    <w:rsid w:val="2CB4743D"/>
    <w:rsid w:val="2CB50C85"/>
    <w:rsid w:val="2CC66F08"/>
    <w:rsid w:val="2CDF57AE"/>
    <w:rsid w:val="2CEB2E12"/>
    <w:rsid w:val="2CF51ED1"/>
    <w:rsid w:val="2D23544A"/>
    <w:rsid w:val="2D560C70"/>
    <w:rsid w:val="2D5704A8"/>
    <w:rsid w:val="2D5B50F8"/>
    <w:rsid w:val="2D69660C"/>
    <w:rsid w:val="2D6F3D99"/>
    <w:rsid w:val="2D7116AF"/>
    <w:rsid w:val="2D8165B1"/>
    <w:rsid w:val="2D964B2C"/>
    <w:rsid w:val="2DAC4350"/>
    <w:rsid w:val="2DBC3E98"/>
    <w:rsid w:val="2DE47F8D"/>
    <w:rsid w:val="2DF055EB"/>
    <w:rsid w:val="2E3B6964"/>
    <w:rsid w:val="2E84005D"/>
    <w:rsid w:val="2E874865"/>
    <w:rsid w:val="2F083808"/>
    <w:rsid w:val="2F34284F"/>
    <w:rsid w:val="2F436F36"/>
    <w:rsid w:val="2F537431"/>
    <w:rsid w:val="2F681955"/>
    <w:rsid w:val="2F6F331F"/>
    <w:rsid w:val="2F7A2E0A"/>
    <w:rsid w:val="2F7E3A29"/>
    <w:rsid w:val="2F8D1F5F"/>
    <w:rsid w:val="2F9F78B1"/>
    <w:rsid w:val="2FA96B3D"/>
    <w:rsid w:val="2FBB13DF"/>
    <w:rsid w:val="2FD933F6"/>
    <w:rsid w:val="2FDF477A"/>
    <w:rsid w:val="300D5966"/>
    <w:rsid w:val="30226805"/>
    <w:rsid w:val="308E3936"/>
    <w:rsid w:val="30A6152A"/>
    <w:rsid w:val="30A77050"/>
    <w:rsid w:val="30DC27D6"/>
    <w:rsid w:val="31105907"/>
    <w:rsid w:val="3115220C"/>
    <w:rsid w:val="31203DE2"/>
    <w:rsid w:val="31213460"/>
    <w:rsid w:val="31342FDA"/>
    <w:rsid w:val="314D2C80"/>
    <w:rsid w:val="31693D78"/>
    <w:rsid w:val="31707A29"/>
    <w:rsid w:val="318A49A8"/>
    <w:rsid w:val="319D3AF3"/>
    <w:rsid w:val="31A83FF1"/>
    <w:rsid w:val="31AA329C"/>
    <w:rsid w:val="31AA6CB4"/>
    <w:rsid w:val="31D2634F"/>
    <w:rsid w:val="320B4127"/>
    <w:rsid w:val="321274BD"/>
    <w:rsid w:val="321D581C"/>
    <w:rsid w:val="32A07AE9"/>
    <w:rsid w:val="32A85E5D"/>
    <w:rsid w:val="32DA390A"/>
    <w:rsid w:val="32F0569E"/>
    <w:rsid w:val="32F32A21"/>
    <w:rsid w:val="32F92E4C"/>
    <w:rsid w:val="32FA3DAF"/>
    <w:rsid w:val="331F036E"/>
    <w:rsid w:val="33260700"/>
    <w:rsid w:val="33266952"/>
    <w:rsid w:val="334E34B9"/>
    <w:rsid w:val="33552E44"/>
    <w:rsid w:val="335A618D"/>
    <w:rsid w:val="33AB10CB"/>
    <w:rsid w:val="33AE06F6"/>
    <w:rsid w:val="33B93C14"/>
    <w:rsid w:val="33E60588"/>
    <w:rsid w:val="3426571B"/>
    <w:rsid w:val="343524B2"/>
    <w:rsid w:val="34650A83"/>
    <w:rsid w:val="34673F86"/>
    <w:rsid w:val="346F54A4"/>
    <w:rsid w:val="34860FB8"/>
    <w:rsid w:val="348B3F97"/>
    <w:rsid w:val="34B659F9"/>
    <w:rsid w:val="34B65AB4"/>
    <w:rsid w:val="34C46423"/>
    <w:rsid w:val="34DC7704"/>
    <w:rsid w:val="34EA50C0"/>
    <w:rsid w:val="34ED54E4"/>
    <w:rsid w:val="34F11083"/>
    <w:rsid w:val="34FB69F8"/>
    <w:rsid w:val="351648FA"/>
    <w:rsid w:val="35241190"/>
    <w:rsid w:val="35490E33"/>
    <w:rsid w:val="35583DAF"/>
    <w:rsid w:val="357449D1"/>
    <w:rsid w:val="35E93C67"/>
    <w:rsid w:val="360217A9"/>
    <w:rsid w:val="360A60EF"/>
    <w:rsid w:val="36160449"/>
    <w:rsid w:val="362045DC"/>
    <w:rsid w:val="3629746A"/>
    <w:rsid w:val="36362EFD"/>
    <w:rsid w:val="363B0967"/>
    <w:rsid w:val="364315C9"/>
    <w:rsid w:val="365A1134"/>
    <w:rsid w:val="36657792"/>
    <w:rsid w:val="367269DF"/>
    <w:rsid w:val="36856EF6"/>
    <w:rsid w:val="36894F05"/>
    <w:rsid w:val="3694185D"/>
    <w:rsid w:val="36992FA1"/>
    <w:rsid w:val="36B245EE"/>
    <w:rsid w:val="36D21E81"/>
    <w:rsid w:val="36E14D27"/>
    <w:rsid w:val="36E60B4A"/>
    <w:rsid w:val="36F35619"/>
    <w:rsid w:val="37031F33"/>
    <w:rsid w:val="370E7E29"/>
    <w:rsid w:val="372F06AE"/>
    <w:rsid w:val="37315150"/>
    <w:rsid w:val="3743343A"/>
    <w:rsid w:val="3748243A"/>
    <w:rsid w:val="37642B36"/>
    <w:rsid w:val="376A5878"/>
    <w:rsid w:val="376B0DD8"/>
    <w:rsid w:val="3770165B"/>
    <w:rsid w:val="37960DB8"/>
    <w:rsid w:val="37AB62E1"/>
    <w:rsid w:val="37AD2573"/>
    <w:rsid w:val="37ED1B4A"/>
    <w:rsid w:val="380C5389"/>
    <w:rsid w:val="381153F4"/>
    <w:rsid w:val="384757CD"/>
    <w:rsid w:val="38481119"/>
    <w:rsid w:val="385A0A04"/>
    <w:rsid w:val="3874733B"/>
    <w:rsid w:val="387F3C83"/>
    <w:rsid w:val="38877EE4"/>
    <w:rsid w:val="38C22C79"/>
    <w:rsid w:val="38D834D0"/>
    <w:rsid w:val="39372651"/>
    <w:rsid w:val="395E11AB"/>
    <w:rsid w:val="39752BBC"/>
    <w:rsid w:val="39A43E9E"/>
    <w:rsid w:val="39A700C1"/>
    <w:rsid w:val="39D21F33"/>
    <w:rsid w:val="39ED1D47"/>
    <w:rsid w:val="3A140046"/>
    <w:rsid w:val="3A1B4DE1"/>
    <w:rsid w:val="3A3A2173"/>
    <w:rsid w:val="3A451367"/>
    <w:rsid w:val="3A574340"/>
    <w:rsid w:val="3A5D10CE"/>
    <w:rsid w:val="3A60099C"/>
    <w:rsid w:val="3A682B9F"/>
    <w:rsid w:val="3A6D5CE5"/>
    <w:rsid w:val="3A76307C"/>
    <w:rsid w:val="3A7A7584"/>
    <w:rsid w:val="3A813820"/>
    <w:rsid w:val="3A904DA0"/>
    <w:rsid w:val="3AA1633F"/>
    <w:rsid w:val="3AAD2152"/>
    <w:rsid w:val="3ACB7183"/>
    <w:rsid w:val="3AE400AD"/>
    <w:rsid w:val="3AEA4709"/>
    <w:rsid w:val="3AFC5754"/>
    <w:rsid w:val="3B144AC9"/>
    <w:rsid w:val="3B17625C"/>
    <w:rsid w:val="3B1B19F4"/>
    <w:rsid w:val="3B216E1F"/>
    <w:rsid w:val="3B375BD2"/>
    <w:rsid w:val="3B4007CD"/>
    <w:rsid w:val="3B916910"/>
    <w:rsid w:val="3BB064FC"/>
    <w:rsid w:val="3BBD1F8F"/>
    <w:rsid w:val="3BC6104B"/>
    <w:rsid w:val="3BE71B25"/>
    <w:rsid w:val="3BEF1864"/>
    <w:rsid w:val="3C0B0112"/>
    <w:rsid w:val="3C0B1403"/>
    <w:rsid w:val="3C10781A"/>
    <w:rsid w:val="3C112B4E"/>
    <w:rsid w:val="3C1549C5"/>
    <w:rsid w:val="3C17152E"/>
    <w:rsid w:val="3C24593E"/>
    <w:rsid w:val="3C45426E"/>
    <w:rsid w:val="3C487939"/>
    <w:rsid w:val="3C5D2686"/>
    <w:rsid w:val="3C697EA9"/>
    <w:rsid w:val="3C6F3118"/>
    <w:rsid w:val="3C822FD1"/>
    <w:rsid w:val="3C86525B"/>
    <w:rsid w:val="3C8A37F5"/>
    <w:rsid w:val="3CB116D8"/>
    <w:rsid w:val="3CBA4519"/>
    <w:rsid w:val="3CEC4BFF"/>
    <w:rsid w:val="3CF2458A"/>
    <w:rsid w:val="3D0047E4"/>
    <w:rsid w:val="3D091FB1"/>
    <w:rsid w:val="3D1E730C"/>
    <w:rsid w:val="3D226AA7"/>
    <w:rsid w:val="3D423335"/>
    <w:rsid w:val="3D464014"/>
    <w:rsid w:val="3D595233"/>
    <w:rsid w:val="3D766728"/>
    <w:rsid w:val="3D8045DD"/>
    <w:rsid w:val="3D8F7C8C"/>
    <w:rsid w:val="3D9B4DA3"/>
    <w:rsid w:val="3D9E24A4"/>
    <w:rsid w:val="3D9F7A2D"/>
    <w:rsid w:val="3DB44648"/>
    <w:rsid w:val="3DC60F33"/>
    <w:rsid w:val="3E202377"/>
    <w:rsid w:val="3E4413E0"/>
    <w:rsid w:val="3E4D7489"/>
    <w:rsid w:val="3E725142"/>
    <w:rsid w:val="3EAF5B65"/>
    <w:rsid w:val="3EB92D70"/>
    <w:rsid w:val="3EBB51FB"/>
    <w:rsid w:val="3ECF4C3A"/>
    <w:rsid w:val="3EDF08B2"/>
    <w:rsid w:val="3EF21465"/>
    <w:rsid w:val="3F513170"/>
    <w:rsid w:val="3F640B0B"/>
    <w:rsid w:val="3F6A4DBB"/>
    <w:rsid w:val="3F785DC7"/>
    <w:rsid w:val="3F867DC6"/>
    <w:rsid w:val="3FAB2584"/>
    <w:rsid w:val="3FCE2FC5"/>
    <w:rsid w:val="3FF86C17"/>
    <w:rsid w:val="3FFC1167"/>
    <w:rsid w:val="40077B0C"/>
    <w:rsid w:val="403C3BD2"/>
    <w:rsid w:val="404B1A75"/>
    <w:rsid w:val="404B5C4A"/>
    <w:rsid w:val="404D383F"/>
    <w:rsid w:val="40664832"/>
    <w:rsid w:val="40726ACA"/>
    <w:rsid w:val="40743D79"/>
    <w:rsid w:val="4084115C"/>
    <w:rsid w:val="4099592E"/>
    <w:rsid w:val="40B53BBC"/>
    <w:rsid w:val="40B557B9"/>
    <w:rsid w:val="40C07532"/>
    <w:rsid w:val="40C8470D"/>
    <w:rsid w:val="40F55A1F"/>
    <w:rsid w:val="40FA7FF6"/>
    <w:rsid w:val="41122DD0"/>
    <w:rsid w:val="412F731A"/>
    <w:rsid w:val="413D6362"/>
    <w:rsid w:val="41540B2E"/>
    <w:rsid w:val="415648A7"/>
    <w:rsid w:val="415A31C5"/>
    <w:rsid w:val="41727207"/>
    <w:rsid w:val="4178729E"/>
    <w:rsid w:val="41934623"/>
    <w:rsid w:val="41981B47"/>
    <w:rsid w:val="41994442"/>
    <w:rsid w:val="41A42FA1"/>
    <w:rsid w:val="41AB1CCA"/>
    <w:rsid w:val="41AD5F93"/>
    <w:rsid w:val="41B0077B"/>
    <w:rsid w:val="41BB6E00"/>
    <w:rsid w:val="41CF62FB"/>
    <w:rsid w:val="41DE5079"/>
    <w:rsid w:val="41F84348"/>
    <w:rsid w:val="42106DB3"/>
    <w:rsid w:val="42120775"/>
    <w:rsid w:val="422A57D8"/>
    <w:rsid w:val="425930E7"/>
    <w:rsid w:val="42714011"/>
    <w:rsid w:val="427B0908"/>
    <w:rsid w:val="42817701"/>
    <w:rsid w:val="428611BC"/>
    <w:rsid w:val="428C263D"/>
    <w:rsid w:val="42972124"/>
    <w:rsid w:val="42994251"/>
    <w:rsid w:val="42A10AAA"/>
    <w:rsid w:val="42B86E9B"/>
    <w:rsid w:val="42C11812"/>
    <w:rsid w:val="42C7371B"/>
    <w:rsid w:val="42CD0EA8"/>
    <w:rsid w:val="43066FAD"/>
    <w:rsid w:val="43105F3B"/>
    <w:rsid w:val="435A364A"/>
    <w:rsid w:val="435D35E9"/>
    <w:rsid w:val="436463B1"/>
    <w:rsid w:val="43713C1A"/>
    <w:rsid w:val="43792ACE"/>
    <w:rsid w:val="43A538C3"/>
    <w:rsid w:val="43C755E8"/>
    <w:rsid w:val="43F7552A"/>
    <w:rsid w:val="44163B9B"/>
    <w:rsid w:val="44380293"/>
    <w:rsid w:val="443901D1"/>
    <w:rsid w:val="447D65EE"/>
    <w:rsid w:val="448B35DF"/>
    <w:rsid w:val="44A21D28"/>
    <w:rsid w:val="44A43B7B"/>
    <w:rsid w:val="44A761AF"/>
    <w:rsid w:val="44B71B00"/>
    <w:rsid w:val="44B862E9"/>
    <w:rsid w:val="44D043A4"/>
    <w:rsid w:val="45042979"/>
    <w:rsid w:val="450E6E58"/>
    <w:rsid w:val="45182608"/>
    <w:rsid w:val="455530C7"/>
    <w:rsid w:val="457345FE"/>
    <w:rsid w:val="45C51FFB"/>
    <w:rsid w:val="45D4339E"/>
    <w:rsid w:val="4602706C"/>
    <w:rsid w:val="462A632B"/>
    <w:rsid w:val="462F27B3"/>
    <w:rsid w:val="46585B76"/>
    <w:rsid w:val="46610A04"/>
    <w:rsid w:val="46733805"/>
    <w:rsid w:val="46B856BC"/>
    <w:rsid w:val="46D40D43"/>
    <w:rsid w:val="46D829B4"/>
    <w:rsid w:val="46EE10DD"/>
    <w:rsid w:val="46F661E4"/>
    <w:rsid w:val="470F3E67"/>
    <w:rsid w:val="47103740"/>
    <w:rsid w:val="4716133E"/>
    <w:rsid w:val="471C3E9C"/>
    <w:rsid w:val="473422E8"/>
    <w:rsid w:val="47435B44"/>
    <w:rsid w:val="4757351A"/>
    <w:rsid w:val="4794337F"/>
    <w:rsid w:val="47B303B1"/>
    <w:rsid w:val="47C87658"/>
    <w:rsid w:val="47E82E09"/>
    <w:rsid w:val="47F6431D"/>
    <w:rsid w:val="4803505C"/>
    <w:rsid w:val="480A0199"/>
    <w:rsid w:val="48182657"/>
    <w:rsid w:val="486C1747"/>
    <w:rsid w:val="487464FC"/>
    <w:rsid w:val="48944E85"/>
    <w:rsid w:val="48A57EC2"/>
    <w:rsid w:val="48AD2AEA"/>
    <w:rsid w:val="48AE4FC8"/>
    <w:rsid w:val="48BA396D"/>
    <w:rsid w:val="48BD16AF"/>
    <w:rsid w:val="48DF1625"/>
    <w:rsid w:val="48E21A6E"/>
    <w:rsid w:val="48E56510"/>
    <w:rsid w:val="48F409BD"/>
    <w:rsid w:val="48F94E45"/>
    <w:rsid w:val="4908545F"/>
    <w:rsid w:val="49195B1E"/>
    <w:rsid w:val="49195E19"/>
    <w:rsid w:val="49395702"/>
    <w:rsid w:val="49620748"/>
    <w:rsid w:val="49843F7B"/>
    <w:rsid w:val="49A63EF1"/>
    <w:rsid w:val="49AD7BB9"/>
    <w:rsid w:val="4A0836C9"/>
    <w:rsid w:val="4A117E90"/>
    <w:rsid w:val="4A3C6604"/>
    <w:rsid w:val="4A603492"/>
    <w:rsid w:val="4A626995"/>
    <w:rsid w:val="4A6B4EC3"/>
    <w:rsid w:val="4AA20B5D"/>
    <w:rsid w:val="4AB71922"/>
    <w:rsid w:val="4ACF6FC9"/>
    <w:rsid w:val="4AD8632C"/>
    <w:rsid w:val="4AF15640"/>
    <w:rsid w:val="4AF312A7"/>
    <w:rsid w:val="4AFA62A3"/>
    <w:rsid w:val="4B105834"/>
    <w:rsid w:val="4B1D01C2"/>
    <w:rsid w:val="4B251F56"/>
    <w:rsid w:val="4B380F77"/>
    <w:rsid w:val="4B3812C7"/>
    <w:rsid w:val="4B4E311B"/>
    <w:rsid w:val="4B50661E"/>
    <w:rsid w:val="4B726781"/>
    <w:rsid w:val="4B783F5F"/>
    <w:rsid w:val="4B7F38EA"/>
    <w:rsid w:val="4B9C7BBE"/>
    <w:rsid w:val="4BB3068A"/>
    <w:rsid w:val="4C0272E2"/>
    <w:rsid w:val="4C0C0983"/>
    <w:rsid w:val="4C1149B8"/>
    <w:rsid w:val="4C276840"/>
    <w:rsid w:val="4C675BBA"/>
    <w:rsid w:val="4C881B9E"/>
    <w:rsid w:val="4CF3344B"/>
    <w:rsid w:val="4D135D42"/>
    <w:rsid w:val="4D1473C4"/>
    <w:rsid w:val="4D224F3D"/>
    <w:rsid w:val="4D2A4BC8"/>
    <w:rsid w:val="4D352FBB"/>
    <w:rsid w:val="4D480957"/>
    <w:rsid w:val="4D532D26"/>
    <w:rsid w:val="4D594475"/>
    <w:rsid w:val="4D664190"/>
    <w:rsid w:val="4D6E0B97"/>
    <w:rsid w:val="4DA36531"/>
    <w:rsid w:val="4DA87A77"/>
    <w:rsid w:val="4DB33889"/>
    <w:rsid w:val="4DDF72A5"/>
    <w:rsid w:val="4DEA5F62"/>
    <w:rsid w:val="4E2A5C26"/>
    <w:rsid w:val="4E4F59AA"/>
    <w:rsid w:val="4E514358"/>
    <w:rsid w:val="4E5C7274"/>
    <w:rsid w:val="4E8844D7"/>
    <w:rsid w:val="4EDF1C72"/>
    <w:rsid w:val="4EE510EE"/>
    <w:rsid w:val="4F2A68EE"/>
    <w:rsid w:val="4F4F372C"/>
    <w:rsid w:val="4F585C8E"/>
    <w:rsid w:val="4F676753"/>
    <w:rsid w:val="4F6B3C13"/>
    <w:rsid w:val="4F7D56F4"/>
    <w:rsid w:val="4FB42FCF"/>
    <w:rsid w:val="4FBA295A"/>
    <w:rsid w:val="4FCD197A"/>
    <w:rsid w:val="4FE04A14"/>
    <w:rsid w:val="4FE52F42"/>
    <w:rsid w:val="4FF25D46"/>
    <w:rsid w:val="50087C55"/>
    <w:rsid w:val="502E78E8"/>
    <w:rsid w:val="50660874"/>
    <w:rsid w:val="50797895"/>
    <w:rsid w:val="50812723"/>
    <w:rsid w:val="50943942"/>
    <w:rsid w:val="509C4C8B"/>
    <w:rsid w:val="50B41C78"/>
    <w:rsid w:val="50CC27B6"/>
    <w:rsid w:val="50DF4CBB"/>
    <w:rsid w:val="50F2798D"/>
    <w:rsid w:val="50F72361"/>
    <w:rsid w:val="50FB22ED"/>
    <w:rsid w:val="510D0C3A"/>
    <w:rsid w:val="5135219E"/>
    <w:rsid w:val="5139664E"/>
    <w:rsid w:val="5156017D"/>
    <w:rsid w:val="51640797"/>
    <w:rsid w:val="518E3B5A"/>
    <w:rsid w:val="51C30881"/>
    <w:rsid w:val="51D535C6"/>
    <w:rsid w:val="51FE1E87"/>
    <w:rsid w:val="522105B9"/>
    <w:rsid w:val="52324668"/>
    <w:rsid w:val="5251726B"/>
    <w:rsid w:val="5259656B"/>
    <w:rsid w:val="526A3F14"/>
    <w:rsid w:val="52C36155"/>
    <w:rsid w:val="52D656BA"/>
    <w:rsid w:val="52DE42CD"/>
    <w:rsid w:val="52DF2202"/>
    <w:rsid w:val="52E361B6"/>
    <w:rsid w:val="52FF0538"/>
    <w:rsid w:val="53162385"/>
    <w:rsid w:val="5330603D"/>
    <w:rsid w:val="53455429"/>
    <w:rsid w:val="535B634F"/>
    <w:rsid w:val="537E6888"/>
    <w:rsid w:val="53807561"/>
    <w:rsid w:val="539A2935"/>
    <w:rsid w:val="53C23AF9"/>
    <w:rsid w:val="53C71634"/>
    <w:rsid w:val="53D7664F"/>
    <w:rsid w:val="53EC6EBC"/>
    <w:rsid w:val="53F72CCF"/>
    <w:rsid w:val="542919A7"/>
    <w:rsid w:val="542F6A4E"/>
    <w:rsid w:val="5443314E"/>
    <w:rsid w:val="5444263D"/>
    <w:rsid w:val="5449248C"/>
    <w:rsid w:val="544E5DFF"/>
    <w:rsid w:val="54601A80"/>
    <w:rsid w:val="54745B1B"/>
    <w:rsid w:val="54982858"/>
    <w:rsid w:val="55205E0E"/>
    <w:rsid w:val="55403CC4"/>
    <w:rsid w:val="55AA0117"/>
    <w:rsid w:val="55D87B28"/>
    <w:rsid w:val="55DD1F6D"/>
    <w:rsid w:val="56131317"/>
    <w:rsid w:val="562263C3"/>
    <w:rsid w:val="56237DE0"/>
    <w:rsid w:val="562577A5"/>
    <w:rsid w:val="563165B2"/>
    <w:rsid w:val="56397652"/>
    <w:rsid w:val="565C2507"/>
    <w:rsid w:val="566118CC"/>
    <w:rsid w:val="56685052"/>
    <w:rsid w:val="567C3CF2"/>
    <w:rsid w:val="567D1774"/>
    <w:rsid w:val="56A23A63"/>
    <w:rsid w:val="56AE57C6"/>
    <w:rsid w:val="56B01764"/>
    <w:rsid w:val="56C46405"/>
    <w:rsid w:val="56CB617A"/>
    <w:rsid w:val="56F95FA8"/>
    <w:rsid w:val="57153E7E"/>
    <w:rsid w:val="57194E75"/>
    <w:rsid w:val="572D5C52"/>
    <w:rsid w:val="572F7019"/>
    <w:rsid w:val="57545AC3"/>
    <w:rsid w:val="575823DC"/>
    <w:rsid w:val="575E42E5"/>
    <w:rsid w:val="57885129"/>
    <w:rsid w:val="57AE5369"/>
    <w:rsid w:val="57AF2DEA"/>
    <w:rsid w:val="581A249A"/>
    <w:rsid w:val="58337298"/>
    <w:rsid w:val="583C0450"/>
    <w:rsid w:val="5843585C"/>
    <w:rsid w:val="58530075"/>
    <w:rsid w:val="58680DC2"/>
    <w:rsid w:val="588673C8"/>
    <w:rsid w:val="58AC780A"/>
    <w:rsid w:val="58BB2023"/>
    <w:rsid w:val="58C470AF"/>
    <w:rsid w:val="58C51E29"/>
    <w:rsid w:val="58E02A3F"/>
    <w:rsid w:val="5900361E"/>
    <w:rsid w:val="591271AE"/>
    <w:rsid w:val="592119C7"/>
    <w:rsid w:val="59217B36"/>
    <w:rsid w:val="592C7D58"/>
    <w:rsid w:val="592F7A5F"/>
    <w:rsid w:val="59330584"/>
    <w:rsid w:val="59345076"/>
    <w:rsid w:val="5940227C"/>
    <w:rsid w:val="5955699E"/>
    <w:rsid w:val="59575208"/>
    <w:rsid w:val="595C12A3"/>
    <w:rsid w:val="59774954"/>
    <w:rsid w:val="598D6AF8"/>
    <w:rsid w:val="59935009"/>
    <w:rsid w:val="5996188C"/>
    <w:rsid w:val="599E322B"/>
    <w:rsid w:val="59C77C98"/>
    <w:rsid w:val="59DE1485"/>
    <w:rsid w:val="59EA4C93"/>
    <w:rsid w:val="5A142254"/>
    <w:rsid w:val="5A372386"/>
    <w:rsid w:val="5A4D76B3"/>
    <w:rsid w:val="5A600155"/>
    <w:rsid w:val="5A6C3F68"/>
    <w:rsid w:val="5A7744F7"/>
    <w:rsid w:val="5A9F0C15"/>
    <w:rsid w:val="5AA95605"/>
    <w:rsid w:val="5AD03C8C"/>
    <w:rsid w:val="5AD36B10"/>
    <w:rsid w:val="5ADB421C"/>
    <w:rsid w:val="5AE64A95"/>
    <w:rsid w:val="5B137EF8"/>
    <w:rsid w:val="5B1F1DFE"/>
    <w:rsid w:val="5B322D65"/>
    <w:rsid w:val="5B45318E"/>
    <w:rsid w:val="5B4A22D1"/>
    <w:rsid w:val="5B6851C0"/>
    <w:rsid w:val="5BBC75A4"/>
    <w:rsid w:val="5BCC4E68"/>
    <w:rsid w:val="5BD771F3"/>
    <w:rsid w:val="5BE302D1"/>
    <w:rsid w:val="5BFE68FD"/>
    <w:rsid w:val="5C0E6052"/>
    <w:rsid w:val="5C27423E"/>
    <w:rsid w:val="5C38700F"/>
    <w:rsid w:val="5C4E644E"/>
    <w:rsid w:val="5C606182"/>
    <w:rsid w:val="5C7A0445"/>
    <w:rsid w:val="5C8C341B"/>
    <w:rsid w:val="5C9238ED"/>
    <w:rsid w:val="5C9B365E"/>
    <w:rsid w:val="5CB73B2D"/>
    <w:rsid w:val="5CCF11D3"/>
    <w:rsid w:val="5CD1707F"/>
    <w:rsid w:val="5CDB3426"/>
    <w:rsid w:val="5CE67099"/>
    <w:rsid w:val="5D01298C"/>
    <w:rsid w:val="5D206DB4"/>
    <w:rsid w:val="5D292A17"/>
    <w:rsid w:val="5D441192"/>
    <w:rsid w:val="5D5E1D3C"/>
    <w:rsid w:val="5D6B284F"/>
    <w:rsid w:val="5D7015B8"/>
    <w:rsid w:val="5D9E11EB"/>
    <w:rsid w:val="5DA528FC"/>
    <w:rsid w:val="5DAE2DC0"/>
    <w:rsid w:val="5DB736CF"/>
    <w:rsid w:val="5E043D85"/>
    <w:rsid w:val="5E2A018B"/>
    <w:rsid w:val="5E2B5C0D"/>
    <w:rsid w:val="5E2E0A91"/>
    <w:rsid w:val="5E40232F"/>
    <w:rsid w:val="5E4C5B7F"/>
    <w:rsid w:val="5E510503"/>
    <w:rsid w:val="5E7540E3"/>
    <w:rsid w:val="5E767EDE"/>
    <w:rsid w:val="5E7E7C15"/>
    <w:rsid w:val="5E8B1BDC"/>
    <w:rsid w:val="5E8D24F9"/>
    <w:rsid w:val="5E93321A"/>
    <w:rsid w:val="5E9B7945"/>
    <w:rsid w:val="5EA65556"/>
    <w:rsid w:val="5EB95F28"/>
    <w:rsid w:val="5EBD5B0D"/>
    <w:rsid w:val="5EC8350D"/>
    <w:rsid w:val="5ECF2E97"/>
    <w:rsid w:val="5F07293D"/>
    <w:rsid w:val="5F0D4001"/>
    <w:rsid w:val="5F1915A5"/>
    <w:rsid w:val="5F1B4F3C"/>
    <w:rsid w:val="5F2B6F1B"/>
    <w:rsid w:val="5F335DCF"/>
    <w:rsid w:val="5F475456"/>
    <w:rsid w:val="5F4C0C3F"/>
    <w:rsid w:val="5F6D531F"/>
    <w:rsid w:val="5F8D7EF3"/>
    <w:rsid w:val="5F9D006D"/>
    <w:rsid w:val="5FC058B5"/>
    <w:rsid w:val="5FDE65EF"/>
    <w:rsid w:val="5FE1582B"/>
    <w:rsid w:val="5FF23595"/>
    <w:rsid w:val="5FF26ACB"/>
    <w:rsid w:val="5FF437B1"/>
    <w:rsid w:val="601C4AB5"/>
    <w:rsid w:val="60515592"/>
    <w:rsid w:val="607B236A"/>
    <w:rsid w:val="608D150F"/>
    <w:rsid w:val="60CC2CDD"/>
    <w:rsid w:val="60D422E8"/>
    <w:rsid w:val="60D84662"/>
    <w:rsid w:val="60ED4ED1"/>
    <w:rsid w:val="61034043"/>
    <w:rsid w:val="61094D40"/>
    <w:rsid w:val="611D2893"/>
    <w:rsid w:val="61216F13"/>
    <w:rsid w:val="613762BF"/>
    <w:rsid w:val="613D1187"/>
    <w:rsid w:val="614442C4"/>
    <w:rsid w:val="61750921"/>
    <w:rsid w:val="617A5F38"/>
    <w:rsid w:val="61926DDD"/>
    <w:rsid w:val="61927223"/>
    <w:rsid w:val="619A682E"/>
    <w:rsid w:val="61D64494"/>
    <w:rsid w:val="61DE601D"/>
    <w:rsid w:val="61F66F47"/>
    <w:rsid w:val="61FF3FD4"/>
    <w:rsid w:val="62055EDD"/>
    <w:rsid w:val="621351F3"/>
    <w:rsid w:val="62207D8C"/>
    <w:rsid w:val="62386256"/>
    <w:rsid w:val="628070CC"/>
    <w:rsid w:val="62934847"/>
    <w:rsid w:val="62AC11A1"/>
    <w:rsid w:val="62CF3199"/>
    <w:rsid w:val="62D11B87"/>
    <w:rsid w:val="62E35572"/>
    <w:rsid w:val="62E80EC0"/>
    <w:rsid w:val="62FB2789"/>
    <w:rsid w:val="6304076A"/>
    <w:rsid w:val="630D45EC"/>
    <w:rsid w:val="63164E21"/>
    <w:rsid w:val="631D301E"/>
    <w:rsid w:val="631F49AF"/>
    <w:rsid w:val="632717A7"/>
    <w:rsid w:val="632E4E68"/>
    <w:rsid w:val="63554905"/>
    <w:rsid w:val="6384309D"/>
    <w:rsid w:val="638D0589"/>
    <w:rsid w:val="63AB0499"/>
    <w:rsid w:val="63CA2346"/>
    <w:rsid w:val="63CE39A4"/>
    <w:rsid w:val="63D27965"/>
    <w:rsid w:val="63F6448F"/>
    <w:rsid w:val="64025D70"/>
    <w:rsid w:val="643017E4"/>
    <w:rsid w:val="64374988"/>
    <w:rsid w:val="644840CB"/>
    <w:rsid w:val="647A3219"/>
    <w:rsid w:val="64966BE4"/>
    <w:rsid w:val="64DE058B"/>
    <w:rsid w:val="65165F77"/>
    <w:rsid w:val="653144C5"/>
    <w:rsid w:val="65583C43"/>
    <w:rsid w:val="655A3D56"/>
    <w:rsid w:val="656B5ACE"/>
    <w:rsid w:val="65700A83"/>
    <w:rsid w:val="657C1028"/>
    <w:rsid w:val="658948A5"/>
    <w:rsid w:val="65B0690C"/>
    <w:rsid w:val="65FE0EE5"/>
    <w:rsid w:val="660179E7"/>
    <w:rsid w:val="6611496D"/>
    <w:rsid w:val="66302AB4"/>
    <w:rsid w:val="663F14FE"/>
    <w:rsid w:val="66613283"/>
    <w:rsid w:val="66635430"/>
    <w:rsid w:val="66707909"/>
    <w:rsid w:val="66B141AA"/>
    <w:rsid w:val="671E6EBA"/>
    <w:rsid w:val="672C3C51"/>
    <w:rsid w:val="673335DC"/>
    <w:rsid w:val="67470A9D"/>
    <w:rsid w:val="67562897"/>
    <w:rsid w:val="676818B7"/>
    <w:rsid w:val="6773145F"/>
    <w:rsid w:val="67880AE7"/>
    <w:rsid w:val="67B90B06"/>
    <w:rsid w:val="67FA56DC"/>
    <w:rsid w:val="67FE782C"/>
    <w:rsid w:val="681A3FD0"/>
    <w:rsid w:val="684F2AAF"/>
    <w:rsid w:val="68546F36"/>
    <w:rsid w:val="686065CC"/>
    <w:rsid w:val="687159D9"/>
    <w:rsid w:val="6874746B"/>
    <w:rsid w:val="6888718C"/>
    <w:rsid w:val="68A634BD"/>
    <w:rsid w:val="68B25FB7"/>
    <w:rsid w:val="68C71474"/>
    <w:rsid w:val="68D11D83"/>
    <w:rsid w:val="68F03FD9"/>
    <w:rsid w:val="69164798"/>
    <w:rsid w:val="693D2737"/>
    <w:rsid w:val="6985092D"/>
    <w:rsid w:val="699E794C"/>
    <w:rsid w:val="69D837FB"/>
    <w:rsid w:val="69DA76C2"/>
    <w:rsid w:val="69E32EC5"/>
    <w:rsid w:val="69FC1871"/>
    <w:rsid w:val="6A0720EC"/>
    <w:rsid w:val="6A246A40"/>
    <w:rsid w:val="6A3F7D1E"/>
    <w:rsid w:val="6A9C6F1F"/>
    <w:rsid w:val="6ABA1153"/>
    <w:rsid w:val="6ABD6442"/>
    <w:rsid w:val="6ACD4147"/>
    <w:rsid w:val="6ACE3FD8"/>
    <w:rsid w:val="6AF13C97"/>
    <w:rsid w:val="6AF44665"/>
    <w:rsid w:val="6B007B5D"/>
    <w:rsid w:val="6B1967C5"/>
    <w:rsid w:val="6B1A4247"/>
    <w:rsid w:val="6B491513"/>
    <w:rsid w:val="6B4D36A3"/>
    <w:rsid w:val="6B583C0D"/>
    <w:rsid w:val="6B9B3393"/>
    <w:rsid w:val="6BA072E2"/>
    <w:rsid w:val="6BDB75D3"/>
    <w:rsid w:val="6BF80185"/>
    <w:rsid w:val="6C0C2D84"/>
    <w:rsid w:val="6C2119D4"/>
    <w:rsid w:val="6C236E29"/>
    <w:rsid w:val="6C2B055A"/>
    <w:rsid w:val="6C423AF6"/>
    <w:rsid w:val="6C4E0DC0"/>
    <w:rsid w:val="6C507E9E"/>
    <w:rsid w:val="6C8A72E3"/>
    <w:rsid w:val="6C923EBF"/>
    <w:rsid w:val="6C9A53BA"/>
    <w:rsid w:val="6CA32A49"/>
    <w:rsid w:val="6CF478F3"/>
    <w:rsid w:val="6D093CB1"/>
    <w:rsid w:val="6D1D49F8"/>
    <w:rsid w:val="6D2B3C26"/>
    <w:rsid w:val="6D4013DE"/>
    <w:rsid w:val="6D8F2D6B"/>
    <w:rsid w:val="6D916E4E"/>
    <w:rsid w:val="6DCF67B5"/>
    <w:rsid w:val="6DE446DA"/>
    <w:rsid w:val="6E0C43BB"/>
    <w:rsid w:val="6E2860C8"/>
    <w:rsid w:val="6E2F12D6"/>
    <w:rsid w:val="6E4B57C8"/>
    <w:rsid w:val="6E503A09"/>
    <w:rsid w:val="6E55476E"/>
    <w:rsid w:val="6E561E68"/>
    <w:rsid w:val="6E67496D"/>
    <w:rsid w:val="6E7935D4"/>
    <w:rsid w:val="6E971A53"/>
    <w:rsid w:val="6EBB4D4F"/>
    <w:rsid w:val="6EDD74D4"/>
    <w:rsid w:val="6EE51CFE"/>
    <w:rsid w:val="6EF07839"/>
    <w:rsid w:val="6EFC1FF0"/>
    <w:rsid w:val="6F0D3085"/>
    <w:rsid w:val="6F2F65B3"/>
    <w:rsid w:val="6F507E47"/>
    <w:rsid w:val="6F5D501E"/>
    <w:rsid w:val="6F866820"/>
    <w:rsid w:val="6F973D20"/>
    <w:rsid w:val="6FC2174F"/>
    <w:rsid w:val="6FC4358D"/>
    <w:rsid w:val="6FE12E9B"/>
    <w:rsid w:val="6FF128C8"/>
    <w:rsid w:val="6FF60E7F"/>
    <w:rsid w:val="700954F1"/>
    <w:rsid w:val="700D65E5"/>
    <w:rsid w:val="70160173"/>
    <w:rsid w:val="70244C09"/>
    <w:rsid w:val="70490180"/>
    <w:rsid w:val="705A50E3"/>
    <w:rsid w:val="7088492D"/>
    <w:rsid w:val="709412D9"/>
    <w:rsid w:val="709C4596"/>
    <w:rsid w:val="70C0030A"/>
    <w:rsid w:val="70FD1562"/>
    <w:rsid w:val="710806FF"/>
    <w:rsid w:val="710A3C02"/>
    <w:rsid w:val="713C6D66"/>
    <w:rsid w:val="715A3C82"/>
    <w:rsid w:val="715A4C86"/>
    <w:rsid w:val="716C0423"/>
    <w:rsid w:val="71744751"/>
    <w:rsid w:val="718616F7"/>
    <w:rsid w:val="719402E3"/>
    <w:rsid w:val="71C52C38"/>
    <w:rsid w:val="71DD2CB4"/>
    <w:rsid w:val="71F0647E"/>
    <w:rsid w:val="72011973"/>
    <w:rsid w:val="720C2BD8"/>
    <w:rsid w:val="720E21AB"/>
    <w:rsid w:val="72563E57"/>
    <w:rsid w:val="72DA6836"/>
    <w:rsid w:val="72F21DD2"/>
    <w:rsid w:val="72FF629D"/>
    <w:rsid w:val="730022F6"/>
    <w:rsid w:val="730C7757"/>
    <w:rsid w:val="73111C53"/>
    <w:rsid w:val="732301DD"/>
    <w:rsid w:val="7329125E"/>
    <w:rsid w:val="732950C8"/>
    <w:rsid w:val="734A561B"/>
    <w:rsid w:val="735E76C4"/>
    <w:rsid w:val="737C1488"/>
    <w:rsid w:val="73861D97"/>
    <w:rsid w:val="738D3403"/>
    <w:rsid w:val="73900164"/>
    <w:rsid w:val="73AF515A"/>
    <w:rsid w:val="73C60B68"/>
    <w:rsid w:val="73F7554E"/>
    <w:rsid w:val="73FD2CDB"/>
    <w:rsid w:val="74024296"/>
    <w:rsid w:val="740F6565"/>
    <w:rsid w:val="7417695A"/>
    <w:rsid w:val="74185868"/>
    <w:rsid w:val="742510D0"/>
    <w:rsid w:val="74252B9A"/>
    <w:rsid w:val="74257F85"/>
    <w:rsid w:val="742915A0"/>
    <w:rsid w:val="742A28A5"/>
    <w:rsid w:val="743622DB"/>
    <w:rsid w:val="744F0B5E"/>
    <w:rsid w:val="744F184B"/>
    <w:rsid w:val="74727416"/>
    <w:rsid w:val="749A44CF"/>
    <w:rsid w:val="74B663A8"/>
    <w:rsid w:val="74CE7B18"/>
    <w:rsid w:val="74F55BA9"/>
    <w:rsid w:val="74F6722B"/>
    <w:rsid w:val="75091940"/>
    <w:rsid w:val="751A53DD"/>
    <w:rsid w:val="75253984"/>
    <w:rsid w:val="752949C6"/>
    <w:rsid w:val="75504B8E"/>
    <w:rsid w:val="758827E2"/>
    <w:rsid w:val="75926EB1"/>
    <w:rsid w:val="75950E36"/>
    <w:rsid w:val="75971777"/>
    <w:rsid w:val="75B15BA4"/>
    <w:rsid w:val="75C30015"/>
    <w:rsid w:val="75C451B4"/>
    <w:rsid w:val="75D160D9"/>
    <w:rsid w:val="75D62561"/>
    <w:rsid w:val="75E0564B"/>
    <w:rsid w:val="75E67BC7"/>
    <w:rsid w:val="75FD0222"/>
    <w:rsid w:val="76132559"/>
    <w:rsid w:val="76191423"/>
    <w:rsid w:val="762A1FEB"/>
    <w:rsid w:val="76326989"/>
    <w:rsid w:val="76450616"/>
    <w:rsid w:val="764A0321"/>
    <w:rsid w:val="76562678"/>
    <w:rsid w:val="767C2DB3"/>
    <w:rsid w:val="767C3953"/>
    <w:rsid w:val="76A92E4A"/>
    <w:rsid w:val="7718792D"/>
    <w:rsid w:val="772037FC"/>
    <w:rsid w:val="777619E6"/>
    <w:rsid w:val="779A0C57"/>
    <w:rsid w:val="77D965A0"/>
    <w:rsid w:val="77E23F4F"/>
    <w:rsid w:val="77E505D7"/>
    <w:rsid w:val="77FC484A"/>
    <w:rsid w:val="77FC7CE8"/>
    <w:rsid w:val="78061CE0"/>
    <w:rsid w:val="782B4FB4"/>
    <w:rsid w:val="782C5979"/>
    <w:rsid w:val="783B524E"/>
    <w:rsid w:val="7847671C"/>
    <w:rsid w:val="786B381F"/>
    <w:rsid w:val="789254BD"/>
    <w:rsid w:val="78D427BB"/>
    <w:rsid w:val="79002D6F"/>
    <w:rsid w:val="79120DC3"/>
    <w:rsid w:val="791660EE"/>
    <w:rsid w:val="79576DA5"/>
    <w:rsid w:val="79751DE3"/>
    <w:rsid w:val="79822FE7"/>
    <w:rsid w:val="7983686A"/>
    <w:rsid w:val="79C94C0D"/>
    <w:rsid w:val="79CE3466"/>
    <w:rsid w:val="7A1D096D"/>
    <w:rsid w:val="7A1E674C"/>
    <w:rsid w:val="7A3E119B"/>
    <w:rsid w:val="7A3E6F9D"/>
    <w:rsid w:val="7A795AFD"/>
    <w:rsid w:val="7A9D283A"/>
    <w:rsid w:val="7AB3115A"/>
    <w:rsid w:val="7ACA0D7F"/>
    <w:rsid w:val="7AF911C4"/>
    <w:rsid w:val="7B1249F7"/>
    <w:rsid w:val="7B36748F"/>
    <w:rsid w:val="7B821819"/>
    <w:rsid w:val="7BAA3C71"/>
    <w:rsid w:val="7BAC4AE8"/>
    <w:rsid w:val="7C077950"/>
    <w:rsid w:val="7C8F5E57"/>
    <w:rsid w:val="7C9C690A"/>
    <w:rsid w:val="7CA14209"/>
    <w:rsid w:val="7CDB38D7"/>
    <w:rsid w:val="7CDB4EAE"/>
    <w:rsid w:val="7CDD2D69"/>
    <w:rsid w:val="7CE6631F"/>
    <w:rsid w:val="7CEF376C"/>
    <w:rsid w:val="7D1172F8"/>
    <w:rsid w:val="7D2C1650"/>
    <w:rsid w:val="7D4266DB"/>
    <w:rsid w:val="7D7B6E68"/>
    <w:rsid w:val="7DA911B8"/>
    <w:rsid w:val="7DAC0DCF"/>
    <w:rsid w:val="7DD671FD"/>
    <w:rsid w:val="7DDB7408"/>
    <w:rsid w:val="7DDE038D"/>
    <w:rsid w:val="7DF30332"/>
    <w:rsid w:val="7E372159"/>
    <w:rsid w:val="7EA426D4"/>
    <w:rsid w:val="7EAF501B"/>
    <w:rsid w:val="7ECA128F"/>
    <w:rsid w:val="7EE37C3B"/>
    <w:rsid w:val="7EF603AA"/>
    <w:rsid w:val="7F080287"/>
    <w:rsid w:val="7F1255AA"/>
    <w:rsid w:val="7F1B7D95"/>
    <w:rsid w:val="7F1E2FD0"/>
    <w:rsid w:val="7F491DA9"/>
    <w:rsid w:val="7F4E48D9"/>
    <w:rsid w:val="7F4F46DF"/>
    <w:rsid w:val="7F633A0C"/>
    <w:rsid w:val="7F785F30"/>
    <w:rsid w:val="7F7D23B8"/>
    <w:rsid w:val="7F81417B"/>
    <w:rsid w:val="7F96740A"/>
    <w:rsid w:val="7FB623D9"/>
    <w:rsid w:val="7FC21827"/>
    <w:rsid w:val="7FE707E4"/>
    <w:rsid w:val="7FF72E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color w:val="0D0D0D"/>
      <w:sz w:val="2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semiHidden/>
    <w:qFormat/>
    <w:uiPriority w:val="0"/>
    <w:rPr>
      <w:rFonts w:ascii="宋体" w:hAnsi="宋体" w:cs="宋体"/>
      <w:szCs w:val="21"/>
      <w:lang w:eastAsia="en-US"/>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paragraph" w:customStyle="1" w:styleId="11">
    <w:name w:val="Table Text"/>
    <w:basedOn w:val="1"/>
    <w:semiHidden/>
    <w:qFormat/>
    <w:uiPriority w:val="0"/>
    <w:rPr>
      <w:rFonts w:ascii="宋体" w:hAnsi="宋体" w:cs="宋体"/>
      <w:sz w:val="18"/>
      <w:szCs w:val="18"/>
      <w:lang w:eastAsia="en-US"/>
    </w:rPr>
  </w:style>
  <w:style w:type="table" w:customStyle="1" w:styleId="12">
    <w:name w:val="Table Normal"/>
    <w:semiHidden/>
    <w:unhideWhenUsed/>
    <w:qFormat/>
    <w:uiPriority w:val="0"/>
    <w:tblPr>
      <w:tblCellMar>
        <w:top w:w="0" w:type="dxa"/>
        <w:left w:w="0" w:type="dxa"/>
        <w:bottom w:w="0" w:type="dxa"/>
        <w:right w:w="0" w:type="dxa"/>
      </w:tblCellMar>
    </w:tblPr>
  </w:style>
  <w:style w:type="character" w:customStyle="1" w:styleId="13">
    <w:name w:val="font01"/>
    <w:basedOn w:val="9"/>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51</Pages>
  <Words>22243</Words>
  <Characters>22622</Characters>
  <Lines>1850</Lines>
  <Paragraphs>1270</Paragraphs>
  <TotalTime>15</TotalTime>
  <ScaleCrop>false</ScaleCrop>
  <LinksUpToDate>false</LinksUpToDate>
  <CharactersWithSpaces>22735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林佑荣</cp:lastModifiedBy>
  <cp:lastPrinted>2024-09-18T02:55:00Z</cp:lastPrinted>
  <dcterms:modified xsi:type="dcterms:W3CDTF">2025-09-26T10:28:49Z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79993F30078B4FF5B50D2C5AA768D25E_13</vt:lpwstr>
  </property>
  <property fmtid="{D5CDD505-2E9C-101B-9397-08002B2CF9AE}" pid="4" name="KSOTemplateDocerSaveRecord">
    <vt:lpwstr>eyJoZGlkIjoiMjc1MmY4YmRmMWQyOTI4YTA4ZWU0YzkzZDQ5ZjQ0MWYiLCJ1c2VySWQiOiI5MzQ1MzgzNTMifQ==</vt:lpwstr>
  </property>
</Properties>
</file>