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djustRightInd w:val="0"/>
        <w:snapToGrid w:val="0"/>
        <w:jc w:val="both"/>
        <w:rPr>
          <w:rFonts w:hint="eastAsia" w:ascii="仿宋" w:hAnsi="仿宋" w:eastAsia="仿宋"/>
          <w:color w:val="auto"/>
          <w:szCs w:val="32"/>
        </w:rPr>
      </w:pPr>
      <w:r>
        <w:rPr>
          <w:rFonts w:ascii="宋体" w:hAnsi="宋体" w:eastAsia="宋体" w:cs="宋体"/>
          <w:sz w:val="24"/>
          <w:szCs w:val="24"/>
        </w:rPr>
        <w:drawing>
          <wp:anchor distT="0" distB="0" distL="114300" distR="114300" simplePos="0" relativeHeight="251660288" behindDoc="1" locked="0" layoutInCell="1" allowOverlap="1">
            <wp:simplePos x="0" y="0"/>
            <wp:positionH relativeFrom="column">
              <wp:posOffset>-116205</wp:posOffset>
            </wp:positionH>
            <wp:positionV relativeFrom="paragraph">
              <wp:posOffset>771525</wp:posOffset>
            </wp:positionV>
            <wp:extent cx="5114925" cy="1130935"/>
            <wp:effectExtent l="0" t="0" r="5715" b="12065"/>
            <wp:wrapNone/>
            <wp:docPr id="2" name="图片 2" descr="774cab3c599d63778141cb733ecde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4cab3c599d63778141cb733ecde9bc"/>
                    <pic:cNvPicPr>
                      <a:picLocks noChangeAspect="1"/>
                    </pic:cNvPicPr>
                  </pic:nvPicPr>
                  <pic:blipFill>
                    <a:blip r:embed="rId7"/>
                    <a:stretch>
                      <a:fillRect/>
                    </a:stretch>
                  </pic:blipFill>
                  <pic:spPr>
                    <a:xfrm>
                      <a:off x="0" y="0"/>
                      <a:ext cx="5114925" cy="1130935"/>
                    </a:xfrm>
                    <a:prstGeom prst="rect">
                      <a:avLst/>
                    </a:prstGeom>
                    <a:noFill/>
                    <a:ln>
                      <a:noFill/>
                    </a:ln>
                  </pic:spPr>
                </pic:pic>
              </a:graphicData>
            </a:graphic>
          </wp:anchor>
        </w:drawing>
      </w: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rPr>
          <w:rFonts w:hint="eastAsia" w:ascii="华文新魏" w:hAnsi="仿宋" w:eastAsia="华文新魏"/>
          <w:b/>
          <w:color w:val="auto"/>
          <w:sz w:val="100"/>
          <w:szCs w:val="100"/>
        </w:rPr>
      </w:pPr>
    </w:p>
    <w:p>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rPr>
        <w:t>202</w:t>
      </w:r>
      <w:r>
        <w:rPr>
          <w:rFonts w:hint="eastAsia" w:ascii="黑体" w:hAnsi="黑体" w:eastAsia="黑体" w:cs="黑体"/>
          <w:b w:val="0"/>
          <w:bCs/>
          <w:color w:val="auto"/>
          <w:sz w:val="72"/>
          <w:szCs w:val="72"/>
          <w:lang w:val="en-US" w:eastAsia="zh-CN"/>
        </w:rPr>
        <w:t>5</w:t>
      </w:r>
      <w:r>
        <w:rPr>
          <w:rFonts w:hint="eastAsia" w:ascii="黑体" w:hAnsi="黑体" w:eastAsia="黑体" w:cs="黑体"/>
          <w:b w:val="0"/>
          <w:bCs/>
          <w:color w:val="auto"/>
          <w:sz w:val="72"/>
          <w:szCs w:val="72"/>
        </w:rPr>
        <w:t>级</w:t>
      </w:r>
      <w:r>
        <w:rPr>
          <w:rFonts w:hint="eastAsia" w:ascii="黑体" w:hAnsi="黑体" w:eastAsia="黑体" w:cs="黑体"/>
          <w:b w:val="0"/>
          <w:bCs/>
          <w:color w:val="auto"/>
          <w:sz w:val="72"/>
          <w:szCs w:val="72"/>
          <w:lang w:val="en-US" w:eastAsia="zh-CN"/>
        </w:rPr>
        <w:t>婴幼儿托育服务与管理</w:t>
      </w:r>
      <w:r>
        <w:rPr>
          <w:rFonts w:hint="eastAsia" w:ascii="黑体" w:hAnsi="黑体" w:eastAsia="黑体" w:cs="黑体"/>
          <w:b w:val="0"/>
          <w:bCs/>
          <w:color w:val="auto"/>
          <w:sz w:val="72"/>
          <w:szCs w:val="72"/>
        </w:rPr>
        <w:t>专业人才培养方案</w:t>
      </w:r>
    </w:p>
    <w:p>
      <w:pPr>
        <w:widowControl/>
        <w:overflowPunct w:val="0"/>
        <w:adjustRightInd w:val="0"/>
        <w:snapToGrid w:val="0"/>
        <w:jc w:val="center"/>
        <w:rPr>
          <w:rFonts w:hint="eastAsia" w:ascii="黑体" w:hAnsi="黑体" w:eastAsia="黑体" w:cs="黑体"/>
          <w:b/>
          <w:bCs/>
          <w:color w:val="auto"/>
          <w:kern w:val="0"/>
          <w:sz w:val="52"/>
          <w:szCs w:val="52"/>
          <w:lang w:val="en-US" w:eastAsia="zh-CN"/>
        </w:rPr>
      </w:pPr>
    </w:p>
    <w:p>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教育学院</w:t>
      </w:r>
    </w:p>
    <w:p>
      <w:pPr>
        <w:widowControl/>
        <w:overflowPunct w:val="0"/>
        <w:adjustRightInd w:val="0"/>
        <w:snapToGrid w:val="0"/>
        <w:jc w:val="center"/>
        <w:rPr>
          <w:rFonts w:hint="eastAsia" w:ascii="黑体" w:hAnsi="黑体" w:eastAsia="黑体" w:cs="黑体"/>
          <w:b/>
          <w:bCs/>
          <w:color w:val="auto"/>
          <w:kern w:val="0"/>
          <w:sz w:val="52"/>
          <w:szCs w:val="52"/>
        </w:rPr>
      </w:pPr>
    </w:p>
    <w:p>
      <w:pPr>
        <w:widowControl/>
        <w:overflowPunct w:val="0"/>
        <w:adjustRightInd w:val="0"/>
        <w:snapToGrid w:val="0"/>
        <w:jc w:val="both"/>
        <w:rPr>
          <w:rFonts w:hint="eastAsia" w:ascii="黑体" w:hAnsi="黑体" w:eastAsia="黑体" w:cs="黑体"/>
          <w:b/>
          <w:bCs/>
          <w:color w:val="auto"/>
          <w:kern w:val="0"/>
          <w:sz w:val="52"/>
          <w:szCs w:val="52"/>
        </w:rPr>
      </w:pPr>
    </w:p>
    <w:p>
      <w:pPr>
        <w:widowControl/>
        <w:overflowPunct w:val="0"/>
        <w:adjustRightInd w:val="0"/>
        <w:snapToGrid w:val="0"/>
        <w:jc w:val="center"/>
        <w:rPr>
          <w:rFonts w:hint="eastAsia" w:ascii="黑体" w:hAnsi="黑体" w:eastAsia="黑体" w:cs="黑体"/>
          <w:b/>
          <w:bCs/>
          <w:color w:val="auto"/>
          <w:kern w:val="0"/>
          <w:sz w:val="52"/>
          <w:szCs w:val="52"/>
        </w:rPr>
        <w:sectPr>
          <w:headerReference r:id="rId3" w:type="default"/>
          <w:pgSz w:w="11906" w:h="16838"/>
          <w:pgMar w:top="1417" w:right="1417" w:bottom="1417" w:left="1984" w:header="851" w:footer="992" w:gutter="0"/>
          <w:pgNumType w:start="1"/>
          <w:cols w:space="425" w:num="1"/>
          <w:docGrid w:type="lines" w:linePitch="312" w:charSpace="0"/>
        </w:sectPr>
      </w:pPr>
      <w:r>
        <w:rPr>
          <w:rFonts w:hint="eastAsia" w:ascii="黑体" w:hAnsi="黑体" w:eastAsia="黑体" w:cs="黑体"/>
          <w:b/>
          <w:bCs/>
          <w:color w:val="auto"/>
          <w:kern w:val="0"/>
          <w:sz w:val="52"/>
          <w:szCs w:val="52"/>
          <w:lang w:val="en-US" w:eastAsia="zh-CN"/>
        </w:rPr>
        <w:t>2025年5月</w:t>
      </w: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sectPr>
          <w:footerReference r:id="rId4" w:type="default"/>
          <w:pgSz w:w="11906" w:h="16838"/>
          <w:pgMar w:top="1417" w:right="1417" w:bottom="1417" w:left="1417" w:header="851" w:footer="992" w:gutter="0"/>
          <w:pgNumType w:start="1"/>
          <w:cols w:space="425" w:num="1"/>
          <w:docGrid w:type="lines" w:linePitch="312" w:charSpace="0"/>
        </w:sect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lang w:val="en-US" w:eastAsia="zh-CN"/>
        </w:rPr>
        <w:t>婴幼儿托育服务与管理</w:t>
      </w:r>
      <w:r>
        <w:rPr>
          <w:rFonts w:hint="eastAsia" w:ascii="方正小标宋简体" w:hAnsi="方正小标宋简体" w:eastAsia="方正小标宋简体" w:cs="方正小标宋简体"/>
          <w:bCs/>
          <w:color w:val="auto"/>
          <w:sz w:val="44"/>
          <w:szCs w:val="44"/>
        </w:rPr>
        <w:t>专业人才培养方案</w:t>
      </w: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rPr>
      </w:pP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一、专业名称及代码</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rPr>
        <w:t>专业名称：</w:t>
      </w:r>
      <w:r>
        <w:rPr>
          <w:rFonts w:hint="eastAsia" w:ascii="仿宋_GB2312" w:hAnsi="仿宋_GB2312" w:eastAsia="仿宋_GB2312" w:cs="仿宋_GB2312"/>
          <w:color w:val="auto"/>
          <w:sz w:val="32"/>
          <w:szCs w:val="32"/>
          <w:highlight w:val="none"/>
        </w:rPr>
        <w:t>婴幼儿托育服务与管理</w:t>
      </w:r>
    </w:p>
    <w:p>
      <w:pPr>
        <w:keepNext w:val="0"/>
        <w:keepLines w:val="0"/>
        <w:pageBreakBefore w:val="0"/>
        <w:widowControl w:val="0"/>
        <w:kinsoku/>
        <w:wordWrap/>
        <w:topLinePunct w:val="0"/>
        <w:autoSpaceDE/>
        <w:autoSpaceDN/>
        <w:bidi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专业代码：</w:t>
      </w:r>
      <w:r>
        <w:rPr>
          <w:rFonts w:hint="eastAsia" w:ascii="仿宋_GB2312" w:hAnsi="仿宋_GB2312" w:eastAsia="仿宋_GB2312" w:cs="仿宋_GB2312"/>
          <w:color w:val="auto"/>
          <w:sz w:val="32"/>
          <w:szCs w:val="32"/>
          <w:highlight w:val="none"/>
        </w:rPr>
        <w:t>520802</w:t>
      </w: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二、入学要求</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中等职业学校毕业、普通高级中学毕业或具备</w:t>
      </w:r>
      <w:r>
        <w:rPr>
          <w:rFonts w:hint="eastAsia" w:ascii="仿宋_GB2312" w:hAnsi="仿宋_GB2312" w:eastAsia="仿宋_GB2312" w:cs="仿宋_GB2312"/>
          <w:color w:val="auto"/>
          <w:sz w:val="32"/>
          <w:szCs w:val="32"/>
          <w:highlight w:val="none"/>
        </w:rPr>
        <w:t>同等学力</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w:t>
      </w:r>
      <w:r>
        <w:rPr>
          <w:rFonts w:hint="eastAsia" w:ascii="黑体" w:hAnsi="黑体" w:eastAsia="黑体" w:cs="黑体"/>
          <w:color w:val="auto"/>
          <w:sz w:val="32"/>
          <w:szCs w:val="32"/>
          <w:highlight w:val="none"/>
          <w:lang w:val="en-US" w:eastAsia="zh-CN"/>
        </w:rPr>
        <w:t>基本</w:t>
      </w:r>
      <w:r>
        <w:rPr>
          <w:rFonts w:hint="eastAsia" w:ascii="黑体" w:hAnsi="黑体" w:eastAsia="黑体" w:cs="黑体"/>
          <w:color w:val="auto"/>
          <w:sz w:val="32"/>
          <w:szCs w:val="32"/>
          <w:highlight w:val="none"/>
        </w:rPr>
        <w:t>修业年限</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标准修业年限为3年，弹性学分有效修业年限为2</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5年。</w:t>
      </w: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四、职业面向</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jc w:val="center"/>
        <w:textAlignment w:val="auto"/>
        <w:rPr>
          <w:rFonts w:hint="eastAsia" w:ascii="仿宋" w:hAnsi="仿宋" w:eastAsia="仿宋"/>
          <w:color w:val="auto"/>
          <w:sz w:val="32"/>
          <w:szCs w:val="32"/>
        </w:rPr>
      </w:pPr>
      <w:r>
        <w:rPr>
          <w:rFonts w:hint="eastAsia" w:ascii="仿宋_GB2312" w:hAnsi="仿宋_GB2312" w:eastAsia="仿宋_GB2312" w:cs="仿宋_GB2312"/>
          <w:color w:val="auto"/>
          <w:sz w:val="32"/>
          <w:szCs w:val="32"/>
        </w:rPr>
        <w:t>表1职业岗位分析表</w:t>
      </w:r>
    </w:p>
    <w:tbl>
      <w:tblPr>
        <w:tblStyle w:val="8"/>
        <w:tblW w:w="9906"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2"/>
        <w:gridCol w:w="1213"/>
        <w:gridCol w:w="1200"/>
        <w:gridCol w:w="2237"/>
        <w:gridCol w:w="1691"/>
        <w:gridCol w:w="20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542"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所属专业大类（代码）</w:t>
            </w:r>
          </w:p>
        </w:tc>
        <w:tc>
          <w:tcPr>
            <w:tcW w:w="121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所属专业类（代码）</w:t>
            </w:r>
          </w:p>
        </w:tc>
        <w:tc>
          <w:tcPr>
            <w:tcW w:w="120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对应行业（代码）</w:t>
            </w:r>
          </w:p>
        </w:tc>
        <w:tc>
          <w:tcPr>
            <w:tcW w:w="2237"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主要职业类别（代码）</w:t>
            </w:r>
          </w:p>
        </w:tc>
        <w:tc>
          <w:tcPr>
            <w:tcW w:w="1691"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主要岗位（群）或技术领域</w:t>
            </w:r>
          </w:p>
        </w:tc>
        <w:tc>
          <w:tcPr>
            <w:tcW w:w="202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职业类证书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542" w:type="dxa"/>
            <w:vAlign w:val="center"/>
          </w:tcPr>
          <w:p>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szCs w:val="24"/>
                <w:highlight w:val="none"/>
              </w:rPr>
            </w:pPr>
            <w:bookmarkStart w:id="0" w:name="OLE_LINK1" w:colFirst="0" w:colLast="5"/>
            <w:r>
              <w:rPr>
                <w:rFonts w:hint="eastAsia" w:ascii="仿宋_GB2312" w:hAnsi="仿宋_GB2312" w:eastAsia="仿宋_GB2312" w:cs="仿宋_GB2312"/>
                <w:bCs/>
                <w:color w:val="auto"/>
                <w:kern w:val="0"/>
                <w:sz w:val="24"/>
                <w:szCs w:val="24"/>
                <w:highlight w:val="none"/>
              </w:rPr>
              <w:t>医院卫生大类（52）</w:t>
            </w:r>
          </w:p>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p>
        </w:tc>
        <w:tc>
          <w:tcPr>
            <w:tcW w:w="1213" w:type="dxa"/>
            <w:vAlign w:val="center"/>
          </w:tcPr>
          <w:p>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bCs/>
                <w:color w:val="auto"/>
                <w:kern w:val="0"/>
                <w:sz w:val="24"/>
                <w:szCs w:val="24"/>
                <w:highlight w:val="none"/>
              </w:rPr>
            </w:pPr>
            <w:r>
              <w:rPr>
                <w:rFonts w:hint="eastAsia" w:ascii="仿宋_GB2312" w:hAnsi="仿宋_GB2312" w:eastAsia="仿宋_GB2312" w:cs="仿宋_GB2312"/>
                <w:bCs/>
                <w:color w:val="auto"/>
                <w:kern w:val="0"/>
                <w:sz w:val="24"/>
                <w:szCs w:val="24"/>
                <w:highlight w:val="none"/>
              </w:rPr>
              <w:t>健康管理与促进类</w:t>
            </w:r>
          </w:p>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bCs/>
                <w:color w:val="auto"/>
                <w:kern w:val="0"/>
                <w:sz w:val="24"/>
                <w:szCs w:val="24"/>
                <w:highlight w:val="none"/>
                <w:lang w:eastAsia="zh-CN"/>
              </w:rPr>
              <w:t>(</w:t>
            </w:r>
            <w:r>
              <w:rPr>
                <w:rFonts w:hint="eastAsia" w:ascii="仿宋_GB2312" w:hAnsi="仿宋_GB2312" w:eastAsia="仿宋_GB2312" w:cs="仿宋_GB2312"/>
                <w:bCs/>
                <w:color w:val="auto"/>
                <w:kern w:val="0"/>
                <w:sz w:val="24"/>
                <w:szCs w:val="24"/>
                <w:highlight w:val="none"/>
              </w:rPr>
              <w:t>5208</w:t>
            </w:r>
            <w:r>
              <w:rPr>
                <w:rFonts w:hint="eastAsia" w:ascii="仿宋_GB2312" w:hAnsi="仿宋_GB2312" w:eastAsia="仿宋_GB2312" w:cs="仿宋_GB2312"/>
                <w:bCs/>
                <w:color w:val="auto"/>
                <w:kern w:val="0"/>
                <w:sz w:val="24"/>
                <w:szCs w:val="24"/>
                <w:highlight w:val="none"/>
                <w:lang w:eastAsia="zh-CN"/>
              </w:rPr>
              <w:t>)</w:t>
            </w:r>
          </w:p>
        </w:tc>
        <w:tc>
          <w:tcPr>
            <w:tcW w:w="120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kern w:val="0"/>
                <w:sz w:val="24"/>
                <w:szCs w:val="24"/>
                <w:highlight w:val="none"/>
              </w:rPr>
              <w:t>居民服务业（80）、卫生（84）</w:t>
            </w:r>
          </w:p>
        </w:tc>
        <w:tc>
          <w:tcPr>
            <w:tcW w:w="2237"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婴幼儿发展引导员</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4-10-01-01</w:t>
            </w:r>
            <w:r>
              <w:rPr>
                <w:rFonts w:hint="eastAsia" w:ascii="仿宋_GB2312" w:hAnsi="仿宋_GB2312" w:eastAsia="仿宋_GB2312" w:cs="仿宋_GB2312"/>
                <w:color w:val="auto"/>
                <w:sz w:val="24"/>
                <w:szCs w:val="24"/>
                <w:highlight w:val="none"/>
                <w:lang w:eastAsia="zh-CN"/>
              </w:rPr>
              <w:t>)</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保育师（4-10-01-03）</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健康照护师（4-14-01-03）</w:t>
            </w:r>
          </w:p>
        </w:tc>
        <w:tc>
          <w:tcPr>
            <w:tcW w:w="1691" w:type="dxa"/>
            <w:vAlign w:val="center"/>
          </w:tcPr>
          <w:p>
            <w:pPr>
              <w:keepNext w:val="0"/>
              <w:keepLines w:val="0"/>
              <w:pageBreakBefore w:val="0"/>
              <w:widowControl w:val="0"/>
              <w:kinsoku/>
              <w:wordWrap/>
              <w:topLinePunct w:val="0"/>
              <w:autoSpaceDE/>
              <w:autoSpaceDN/>
              <w:bidi w:val="0"/>
              <w:snapToGrid/>
              <w:spacing w:after="0" w:line="320" w:lineRule="exact"/>
              <w:jc w:val="left"/>
              <w:textAlignment w:val="auto"/>
              <w:rPr>
                <w:rFonts w:hint="eastAsia" w:ascii="仿宋_GB2312" w:hAnsi="仿宋_GB2312" w:eastAsia="仿宋_GB2312" w:cs="仿宋_GB2312"/>
                <w:bCs/>
                <w:color w:val="auto"/>
                <w:kern w:val="0"/>
                <w:sz w:val="24"/>
                <w:szCs w:val="24"/>
                <w:highlight w:val="none"/>
              </w:rPr>
            </w:pPr>
            <w:r>
              <w:rPr>
                <w:rFonts w:hint="eastAsia" w:ascii="仿宋_GB2312" w:hAnsi="仿宋_GB2312" w:eastAsia="仿宋_GB2312" w:cs="仿宋_GB2312"/>
                <w:bCs/>
                <w:color w:val="auto"/>
                <w:kern w:val="0"/>
                <w:sz w:val="24"/>
                <w:szCs w:val="24"/>
                <w:highlight w:val="none"/>
              </w:rPr>
              <w:t>婴幼儿保育、</w:t>
            </w:r>
          </w:p>
          <w:p>
            <w:pPr>
              <w:keepNext w:val="0"/>
              <w:keepLines w:val="0"/>
              <w:pageBreakBefore w:val="0"/>
              <w:widowControl w:val="0"/>
              <w:kinsoku/>
              <w:wordWrap/>
              <w:topLinePunct w:val="0"/>
              <w:autoSpaceDE/>
              <w:autoSpaceDN/>
              <w:bidi w:val="0"/>
              <w:snapToGrid/>
              <w:spacing w:after="0" w:line="320" w:lineRule="exact"/>
              <w:jc w:val="left"/>
              <w:textAlignment w:val="auto"/>
              <w:rPr>
                <w:rFonts w:hint="eastAsia" w:ascii="仿宋_GB2312" w:hAnsi="仿宋_GB2312" w:eastAsia="仿宋_GB2312" w:cs="仿宋_GB2312"/>
                <w:bCs/>
                <w:color w:val="auto"/>
                <w:kern w:val="0"/>
                <w:sz w:val="24"/>
                <w:szCs w:val="24"/>
                <w:highlight w:val="none"/>
              </w:rPr>
            </w:pPr>
            <w:r>
              <w:rPr>
                <w:rFonts w:hint="eastAsia" w:ascii="仿宋_GB2312" w:hAnsi="仿宋_GB2312" w:eastAsia="仿宋_GB2312" w:cs="仿宋_GB2312"/>
                <w:bCs/>
                <w:color w:val="auto"/>
                <w:kern w:val="0"/>
                <w:sz w:val="24"/>
                <w:szCs w:val="24"/>
                <w:highlight w:val="none"/>
              </w:rPr>
              <w:t>卫生保健、</w:t>
            </w:r>
          </w:p>
          <w:p>
            <w:pPr>
              <w:keepNext w:val="0"/>
              <w:keepLines w:val="0"/>
              <w:pageBreakBefore w:val="0"/>
              <w:widowControl w:val="0"/>
              <w:kinsoku/>
              <w:wordWrap/>
              <w:topLinePunct w:val="0"/>
              <w:autoSpaceDE/>
              <w:autoSpaceDN/>
              <w:bidi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kern w:val="0"/>
                <w:sz w:val="24"/>
                <w:szCs w:val="24"/>
                <w:highlight w:val="none"/>
              </w:rPr>
              <w:t>机构管理</w:t>
            </w:r>
          </w:p>
        </w:tc>
        <w:tc>
          <w:tcPr>
            <w:tcW w:w="2023" w:type="dxa"/>
            <w:vAlign w:val="center"/>
          </w:tcPr>
          <w:p>
            <w:pPr>
              <w:keepNext w:val="0"/>
              <w:keepLines w:val="0"/>
              <w:pageBreakBefore w:val="0"/>
              <w:widowControl w:val="0"/>
              <w:kinsoku/>
              <w:wordWrap/>
              <w:topLinePunct w:val="0"/>
              <w:autoSpaceDE/>
              <w:autoSpaceDN/>
              <w:bidi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幼儿照护、母婴护理</w:t>
            </w:r>
            <w:r>
              <w:rPr>
                <w:rFonts w:hint="eastAsia" w:ascii="仿宋_GB2312" w:hAnsi="仿宋_GB2312" w:eastAsia="仿宋_GB2312" w:cs="仿宋_GB2312"/>
                <w:bCs/>
                <w:color w:val="auto"/>
                <w:kern w:val="0"/>
                <w:sz w:val="24"/>
                <w:szCs w:val="24"/>
                <w:highlight w:val="none"/>
              </w:rPr>
              <w:t>管理员职业资格证书</w:t>
            </w:r>
            <w:r>
              <w:rPr>
                <w:rFonts w:hint="eastAsia" w:ascii="仿宋_GB2312" w:hAnsi="仿宋_GB2312" w:eastAsia="仿宋_GB2312" w:cs="仿宋_GB2312"/>
                <w:bCs/>
                <w:color w:val="auto"/>
                <w:kern w:val="0"/>
                <w:sz w:val="24"/>
                <w:szCs w:val="24"/>
                <w:highlight w:val="none"/>
                <w:lang w:eastAsia="zh-CN"/>
              </w:rPr>
              <w:t>、</w:t>
            </w:r>
            <w:r>
              <w:rPr>
                <w:rFonts w:hint="eastAsia" w:ascii="仿宋_GB2312" w:hAnsi="仿宋_GB2312" w:eastAsia="仿宋_GB2312" w:cs="仿宋_GB2312"/>
                <w:bCs/>
                <w:color w:val="auto"/>
                <w:kern w:val="0"/>
                <w:sz w:val="24"/>
                <w:szCs w:val="24"/>
                <w:highlight w:val="none"/>
              </w:rPr>
              <w:t>健康管理师资格证</w:t>
            </w:r>
            <w:r>
              <w:rPr>
                <w:rFonts w:hint="eastAsia" w:ascii="仿宋_GB2312" w:hAnsi="仿宋_GB2312" w:eastAsia="仿宋_GB2312" w:cs="仿宋_GB2312"/>
                <w:bCs/>
                <w:color w:val="auto"/>
                <w:kern w:val="0"/>
                <w:sz w:val="24"/>
                <w:szCs w:val="24"/>
                <w:highlight w:val="none"/>
                <w:lang w:eastAsia="zh-CN"/>
              </w:rPr>
              <w:t>、</w:t>
            </w:r>
            <w:r>
              <w:rPr>
                <w:rFonts w:hint="eastAsia" w:ascii="仿宋_GB2312" w:hAnsi="仿宋_GB2312" w:eastAsia="仿宋_GB2312" w:cs="仿宋_GB2312"/>
                <w:bCs/>
                <w:color w:val="auto"/>
                <w:kern w:val="0"/>
                <w:sz w:val="24"/>
                <w:szCs w:val="24"/>
                <w:highlight w:val="none"/>
              </w:rPr>
              <w:t>营养保健师资格证</w:t>
            </w:r>
            <w:r>
              <w:rPr>
                <w:rFonts w:hint="eastAsia" w:ascii="仿宋_GB2312" w:hAnsi="仿宋_GB2312" w:eastAsia="仿宋_GB2312" w:cs="仿宋_GB2312"/>
                <w:bCs/>
                <w:color w:val="auto"/>
                <w:kern w:val="0"/>
                <w:sz w:val="24"/>
                <w:szCs w:val="24"/>
                <w:highlight w:val="none"/>
                <w:lang w:eastAsia="zh-CN"/>
              </w:rPr>
              <w:t>、</w:t>
            </w:r>
            <w:r>
              <w:rPr>
                <w:rFonts w:hint="eastAsia" w:ascii="仿宋_GB2312" w:hAnsi="仿宋_GB2312" w:eastAsia="仿宋_GB2312" w:cs="仿宋_GB2312"/>
                <w:bCs/>
                <w:color w:val="auto"/>
                <w:kern w:val="0"/>
                <w:sz w:val="24"/>
                <w:szCs w:val="24"/>
                <w:highlight w:val="none"/>
              </w:rPr>
              <w:t>育婴师职业资格证</w:t>
            </w:r>
          </w:p>
        </w:tc>
      </w:tr>
      <w:bookmarkEnd w:id="0"/>
    </w:tbl>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黑体" w:hAnsi="黑体" w:eastAsia="黑体" w:cs="黑体"/>
          <w:color w:val="auto"/>
          <w:sz w:val="32"/>
          <w:szCs w:val="32"/>
        </w:rPr>
        <w:t>五、培养目标</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highlight w:val="none"/>
          <w:lang w:val="en-US" w:eastAsia="zh-CN"/>
        </w:rPr>
        <w:t>本专业培养能够践行社会主义核心价值观，传承技能文明，德智体美劳全面发展，具有一定的科学文化水平，良好的人文素养、科学素养、数字素养、职业道德、创新意识，敬佑生命、甘于奉献、大爱无疆的职业精神，较强的就业创业能力和可持续发展的能力，掌握本专业知识和技术技能，具备职业综合素质和行动能力，面向居民服务业、卫生等行业的保育师、婴幼儿发展引导员、健康照护师等职业，能够从事婴幼儿的生活照料、安全保障、健康看护、学习支持、家园共育及托育机构日常管理等工作的高技能人才。</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val="en-US" w:eastAsia="zh-CN"/>
        </w:rPr>
        <w:t>六</w:t>
      </w:r>
      <w:r>
        <w:rPr>
          <w:rFonts w:hint="eastAsia" w:ascii="黑体" w:hAnsi="黑体" w:eastAsia="黑体" w:cs="黑体"/>
          <w:color w:val="auto"/>
          <w:sz w:val="32"/>
          <w:szCs w:val="32"/>
        </w:rPr>
        <w:t>、培养</w:t>
      </w:r>
      <w:r>
        <w:rPr>
          <w:rFonts w:hint="eastAsia" w:ascii="黑体" w:hAnsi="黑体" w:eastAsia="黑体" w:cs="黑体"/>
          <w:color w:val="auto"/>
          <w:sz w:val="32"/>
          <w:szCs w:val="32"/>
          <w:lang w:val="en-US" w:eastAsia="zh-CN"/>
        </w:rPr>
        <w:t>规格</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本专业学生应在系统学习本专业知识并完成有关实习实训基础上，全面提升知识、能力、素质，掌握并实际运用岗位（群）需要的专业核心技术技能，实现德智体美劳全面发展，总体上须达到以下要求：</w:t>
      </w:r>
    </w:p>
    <w:p>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rPr>
        <w:t>知识</w:t>
      </w:r>
      <w:r>
        <w:rPr>
          <w:rFonts w:hint="eastAsia" w:ascii="楷体" w:hAnsi="楷体" w:eastAsia="楷体" w:cs="楷体"/>
          <w:color w:val="auto"/>
          <w:sz w:val="32"/>
          <w:szCs w:val="32"/>
          <w:lang w:val="en-US" w:eastAsia="zh-CN"/>
        </w:rPr>
        <w:t>目标</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w:t>
      </w:r>
      <w:r>
        <w:rPr>
          <w:rFonts w:hint="default" w:ascii="仿宋_GB2312" w:hAnsi="仿宋_GB2312" w:eastAsia="仿宋_GB2312" w:cs="仿宋_GB2312"/>
          <w:color w:val="auto"/>
          <w:sz w:val="32"/>
          <w:szCs w:val="32"/>
          <w:highlight w:val="none"/>
          <w:lang w:val="en-US" w:eastAsia="zh-CN"/>
        </w:rPr>
        <w:t>扎实掌握语文、数学、外语</w:t>
      </w:r>
      <w:r>
        <w:rPr>
          <w:rFonts w:hint="eastAsia" w:ascii="仿宋_GB2312" w:hAnsi="仿宋_GB2312" w:eastAsia="仿宋_GB2312" w:cs="仿宋_GB2312"/>
          <w:color w:val="auto"/>
          <w:sz w:val="32"/>
          <w:szCs w:val="32"/>
          <w:highlight w:val="none"/>
          <w:lang w:val="en-US" w:eastAsia="zh-CN"/>
        </w:rPr>
        <w:t>（英语等）、</w:t>
      </w:r>
      <w:r>
        <w:rPr>
          <w:rFonts w:hint="default" w:ascii="仿宋_GB2312" w:hAnsi="仿宋_GB2312" w:eastAsia="仿宋_GB2312" w:cs="仿宋_GB2312"/>
          <w:color w:val="auto"/>
          <w:sz w:val="32"/>
          <w:szCs w:val="32"/>
          <w:highlight w:val="none"/>
          <w:lang w:val="en-US" w:eastAsia="zh-CN"/>
        </w:rPr>
        <w:t>信息技术等文化基础知识，这些知识是专业学习与可持续发展的重要支撑。同时，拥有良好的人文素养与科学素养，能够科学规划职业生涯</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w:t>
      </w:r>
      <w:r>
        <w:rPr>
          <w:rFonts w:hint="default" w:ascii="仿宋_GB2312" w:hAnsi="仿宋_GB2312" w:eastAsia="仿宋_GB2312" w:cs="仿宋_GB2312"/>
          <w:color w:val="auto"/>
          <w:sz w:val="32"/>
          <w:szCs w:val="32"/>
          <w:highlight w:val="none"/>
          <w:lang w:val="en-US" w:eastAsia="zh-CN"/>
        </w:rPr>
        <w:t>深入掌握婴幼儿身心发展规律、各年龄段特点、认知发展进程、早期学习模式以及托育机构管理等专业基础理论知识，为开展各项工作筑牢理论根基</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w:t>
      </w:r>
      <w:r>
        <w:rPr>
          <w:rFonts w:hint="default" w:ascii="仿宋_GB2312" w:hAnsi="仿宋_GB2312" w:eastAsia="仿宋_GB2312" w:cs="仿宋_GB2312"/>
          <w:color w:val="auto"/>
          <w:sz w:val="32"/>
          <w:szCs w:val="32"/>
          <w:highlight w:val="none"/>
          <w:lang w:val="en-US" w:eastAsia="zh-CN"/>
        </w:rPr>
        <w:t>全面了解婴幼儿成长过程中在营养喂养、卫生健康、保健等方面的专业基础理论知识，为保障婴幼儿健康成长提供知识支撑</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w:t>
      </w:r>
      <w:r>
        <w:rPr>
          <w:rFonts w:hint="default" w:ascii="仿宋_GB2312" w:hAnsi="仿宋_GB2312" w:eastAsia="仿宋_GB2312" w:cs="仿宋_GB2312"/>
          <w:color w:val="auto"/>
          <w:sz w:val="32"/>
          <w:szCs w:val="32"/>
          <w:highlight w:val="none"/>
          <w:lang w:val="en-US" w:eastAsia="zh-CN"/>
        </w:rPr>
        <w:t>熟练掌握婴幼儿科学喂养方法，能够精准运用婴幼儿营养与喂养课程中的操作教具与学具，科学地为婴幼儿搭配营养膳食并实施喂养。同时，懂得依据不同月龄婴幼儿的身心需求，进行科学的睡眠安抚，熟练掌握卫生盥洗技能，有效培养婴幼儿良好的生活卫生习惯，切实具备为婴幼儿提供高质量回应性照料的能力</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w:t>
      </w:r>
      <w:r>
        <w:rPr>
          <w:rFonts w:hint="default" w:ascii="仿宋_GB2312" w:hAnsi="仿宋_GB2312" w:eastAsia="仿宋_GB2312" w:cs="仿宋_GB2312"/>
          <w:color w:val="auto"/>
          <w:sz w:val="32"/>
          <w:szCs w:val="32"/>
          <w:highlight w:val="none"/>
          <w:lang w:val="en-US" w:eastAsia="zh-CN"/>
        </w:rPr>
        <w:t>具备</w:t>
      </w:r>
      <w:r>
        <w:rPr>
          <w:rFonts w:hint="eastAsia" w:ascii="仿宋_GB2312" w:hAnsi="仿宋_GB2312" w:eastAsia="仿宋_GB2312" w:cs="仿宋_GB2312"/>
          <w:color w:val="auto"/>
          <w:sz w:val="32"/>
          <w:szCs w:val="32"/>
          <w:highlight w:val="none"/>
          <w:lang w:val="en-US" w:eastAsia="zh-CN"/>
        </w:rPr>
        <w:t>具有婴幼儿安全健康保障的能力</w:t>
      </w:r>
      <w:r>
        <w:rPr>
          <w:rFonts w:hint="default" w:ascii="仿宋_GB2312" w:hAnsi="仿宋_GB2312" w:eastAsia="仿宋_GB2312" w:cs="仿宋_GB2312"/>
          <w:color w:val="auto"/>
          <w:sz w:val="32"/>
          <w:szCs w:val="32"/>
          <w:highlight w:val="none"/>
          <w:lang w:val="en-US" w:eastAsia="zh-CN"/>
        </w:rPr>
        <w:t>，掌握健康观察、记录、分析方法，能够规范开展晨午晚检工作，准确识别与预防婴幼儿常见病，重点观察婴幼儿健康行为异常情况，熟练进行伤害基本处理、风险排查、安全教育以及应急救援等工作，切实保障婴幼儿的安全与健康</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right="0" w:firstLine="640" w:firstLineChars="2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能力</w:t>
      </w:r>
      <w:r>
        <w:rPr>
          <w:rFonts w:hint="eastAsia" w:ascii="楷体" w:hAnsi="楷体" w:eastAsia="楷体" w:cs="楷体"/>
          <w:color w:val="auto"/>
          <w:sz w:val="32"/>
          <w:szCs w:val="32"/>
          <w:lang w:val="en-US" w:eastAsia="zh-CN"/>
        </w:rPr>
        <w:t>目标</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w:t>
      </w:r>
      <w:r>
        <w:rPr>
          <w:rFonts w:hint="default" w:ascii="仿宋_GB2312" w:hAnsi="仿宋_GB2312" w:eastAsia="仿宋_GB2312" w:cs="仿宋_GB2312"/>
          <w:color w:val="auto"/>
          <w:sz w:val="32"/>
          <w:szCs w:val="32"/>
          <w:highlight w:val="none"/>
          <w:lang w:val="en-US" w:eastAsia="zh-CN"/>
        </w:rPr>
        <w:t>具备优秀的表达、沟通合作、反思实践以及终身学习能力，能够综合运用所学知识分析与解决实际问题。在工作中，能够与同事默契合作，与家长有效沟通，熟练指导亲子活动，顺利实施家园共育活动，积极宣传科学育儿知识，具有较强的集体意识与团队合作意识，并能够</w:t>
      </w:r>
      <w:r>
        <w:rPr>
          <w:rFonts w:hint="eastAsia" w:ascii="仿宋_GB2312" w:hAnsi="仿宋_GB2312" w:eastAsia="仿宋_GB2312" w:cs="仿宋_GB2312"/>
          <w:color w:val="auto"/>
          <w:sz w:val="32"/>
          <w:szCs w:val="32"/>
          <w:highlight w:val="none"/>
          <w:lang w:val="en-US" w:eastAsia="zh-CN"/>
        </w:rPr>
        <w:t>至少学习1门</w:t>
      </w:r>
      <w:r>
        <w:rPr>
          <w:rFonts w:hint="default" w:ascii="仿宋_GB2312" w:hAnsi="仿宋_GB2312" w:eastAsia="仿宋_GB2312" w:cs="仿宋_GB2312"/>
          <w:color w:val="auto"/>
          <w:sz w:val="32"/>
          <w:szCs w:val="32"/>
          <w:highlight w:val="none"/>
          <w:lang w:val="en-US" w:eastAsia="zh-CN"/>
        </w:rPr>
        <w:t>外语与本专业实际应用相结合</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w:t>
      </w:r>
      <w:r>
        <w:rPr>
          <w:rFonts w:hint="default" w:ascii="仿宋_GB2312" w:hAnsi="仿宋_GB2312" w:eastAsia="仿宋_GB2312" w:cs="仿宋_GB2312"/>
          <w:color w:val="auto"/>
          <w:sz w:val="32"/>
          <w:szCs w:val="32"/>
          <w:highlight w:val="none"/>
          <w:lang w:val="en-US" w:eastAsia="zh-CN"/>
        </w:rPr>
        <w:t>能够根据婴幼儿不同月龄的发展需求，创设支持性环境，涵盖环境中不同区域的规划与布置。同时，能够依据婴幼儿发展需要，科学设计并组织游戏活动，精准进行行为观察记录，持续提升游戏活动实施与改进的能力</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w:t>
      </w:r>
      <w:r>
        <w:rPr>
          <w:rFonts w:hint="default" w:ascii="仿宋_GB2312" w:hAnsi="仿宋_GB2312" w:eastAsia="仿宋_GB2312" w:cs="仿宋_GB2312"/>
          <w:color w:val="auto"/>
          <w:sz w:val="32"/>
          <w:szCs w:val="32"/>
          <w:highlight w:val="none"/>
          <w:lang w:val="en-US" w:eastAsia="zh-CN"/>
        </w:rPr>
        <w:t>熟练掌握与同事高效合作、与家长顺畅沟通的技巧，能够顺利开展家园共育活动、亲子活动，并为家庭提供专业的育儿指导，</w:t>
      </w:r>
      <w:r>
        <w:rPr>
          <w:rFonts w:hint="eastAsia" w:ascii="仿宋_GB2312" w:hAnsi="仿宋_GB2312" w:eastAsia="仿宋_GB2312" w:cs="仿宋_GB2312"/>
          <w:color w:val="auto"/>
          <w:sz w:val="32"/>
          <w:szCs w:val="32"/>
          <w:highlight w:val="none"/>
          <w:lang w:val="en-US" w:eastAsia="zh-CN"/>
        </w:rPr>
        <w:t>有</w:t>
      </w:r>
      <w:r>
        <w:rPr>
          <w:rFonts w:hint="default" w:ascii="仿宋_GB2312" w:hAnsi="仿宋_GB2312" w:eastAsia="仿宋_GB2312" w:cs="仿宋_GB2312"/>
          <w:color w:val="auto"/>
          <w:sz w:val="32"/>
          <w:szCs w:val="32"/>
          <w:highlight w:val="none"/>
          <w:lang w:val="en-US" w:eastAsia="zh-CN"/>
        </w:rPr>
        <w:t>力推动婴幼儿家园共育工作的开展</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w:t>
      </w:r>
      <w:r>
        <w:rPr>
          <w:rFonts w:hint="default" w:ascii="仿宋_GB2312" w:hAnsi="仿宋_GB2312" w:eastAsia="仿宋_GB2312" w:cs="仿宋_GB2312"/>
          <w:color w:val="auto"/>
          <w:sz w:val="32"/>
          <w:szCs w:val="32"/>
          <w:highlight w:val="none"/>
          <w:lang w:val="en-US" w:eastAsia="zh-CN"/>
        </w:rPr>
        <w:t>熟练掌握文化建设、教研组织、人事管理、财务管理、市场营销、后勤管理等技术技能，具备出色的托育机构日常管理能力</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lang w:val="en-US" w:eastAsia="zh-CN"/>
        </w:rPr>
        <w:t>能够独立完成托育机构中的环境安全管理、人员管理、活动安全管理、家长沟通与协调等日常管理工作事务，保障托育机构的高效运转</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w:t>
      </w:r>
      <w:r>
        <w:rPr>
          <w:rFonts w:hint="default" w:ascii="仿宋_GB2312" w:hAnsi="仿宋_GB2312" w:eastAsia="仿宋_GB2312" w:cs="仿宋_GB2312"/>
          <w:color w:val="auto"/>
          <w:sz w:val="32"/>
          <w:szCs w:val="32"/>
          <w:highlight w:val="none"/>
          <w:lang w:val="en-US" w:eastAsia="zh-CN"/>
        </w:rPr>
        <w:t>具备适应数字化发展需求的信息化技能，熟练掌握托育服务与管理领域的数字化技能，能够运用数字信息化技能创新婴幼儿教育活动的设计与实施</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lang w:val="en-US" w:eastAsia="zh-CN"/>
        </w:rPr>
      </w:pPr>
      <w:r>
        <w:rPr>
          <w:rFonts w:hint="eastAsia" w:ascii="仿宋_GB2312" w:hAnsi="仿宋_GB2312" w:eastAsia="仿宋_GB2312" w:cs="仿宋_GB2312"/>
          <w:color w:val="auto"/>
          <w:sz w:val="32"/>
          <w:szCs w:val="32"/>
          <w:highlight w:val="none"/>
          <w:lang w:val="en-US" w:eastAsia="zh-CN"/>
        </w:rPr>
        <w:t>（6）</w:t>
      </w:r>
      <w:r>
        <w:rPr>
          <w:rFonts w:hint="default" w:ascii="仿宋_GB2312" w:hAnsi="仿宋_GB2312" w:eastAsia="仿宋_GB2312" w:cs="仿宋_GB2312"/>
          <w:color w:val="auto"/>
          <w:sz w:val="32"/>
          <w:szCs w:val="32"/>
          <w:highlight w:val="none"/>
          <w:lang w:val="en-US" w:eastAsia="zh-CN"/>
        </w:rPr>
        <w:t>拥有探究学习、终身学习以及可持续发展的能力，能够整合多方面知识，综合运用知识分析和解决复杂问题，不断适应行业发展的新要求。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素质</w:t>
      </w:r>
      <w:r>
        <w:rPr>
          <w:rFonts w:hint="eastAsia" w:ascii="楷体" w:hAnsi="楷体" w:eastAsia="楷体" w:cs="楷体"/>
          <w:color w:val="auto"/>
          <w:sz w:val="32"/>
          <w:szCs w:val="32"/>
          <w:lang w:val="en-US" w:eastAsia="zh-CN"/>
        </w:rPr>
        <w:t>目标</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w:t>
      </w:r>
      <w:r>
        <w:rPr>
          <w:rFonts w:hint="default" w:ascii="仿宋_GB2312" w:hAnsi="仿宋_GB2312" w:eastAsia="仿宋_GB2312" w:cs="仿宋_GB2312"/>
          <w:color w:val="auto"/>
          <w:sz w:val="32"/>
          <w:szCs w:val="32"/>
          <w:highlight w:val="none"/>
          <w:lang w:val="en-US" w:eastAsia="zh-CN"/>
        </w:rPr>
        <w:t>坚定拥护中国共产党领导和中国特色社会主义制度，以习近平新时代中国特色社会主义思想为指引，积极践行社会主义核心价值观，树立坚定的理想信念，拥有深厚的爱国情感与中华民族自豪感</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w:t>
      </w:r>
      <w:r>
        <w:rPr>
          <w:rFonts w:hint="default" w:ascii="仿宋_GB2312" w:hAnsi="仿宋_GB2312" w:eastAsia="仿宋_GB2312" w:cs="仿宋_GB2312"/>
          <w:color w:val="auto"/>
          <w:sz w:val="32"/>
          <w:szCs w:val="32"/>
          <w:highlight w:val="none"/>
          <w:lang w:val="en-US" w:eastAsia="zh-CN"/>
        </w:rPr>
        <w:t>熟悉与本专业对应职业活动相关的国家法律、行业规定，掌握环境保护、安全防护、质量管理等方面的知识与技能，深入了解相关行业文化，树立爱岗敬业的职业精神，严格遵守职业道德准则与行为规范，具备强烈的社会责任感与担当精神</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w:t>
      </w:r>
      <w:r>
        <w:rPr>
          <w:rFonts w:hint="default" w:ascii="仿宋_GB2312" w:hAnsi="仿宋_GB2312" w:eastAsia="仿宋_GB2312" w:cs="仿宋_GB2312"/>
          <w:color w:val="auto"/>
          <w:sz w:val="32"/>
          <w:szCs w:val="32"/>
          <w:highlight w:val="none"/>
          <w:lang w:val="en-US" w:eastAsia="zh-CN"/>
        </w:rPr>
        <w:t>热爱婴幼儿教育和健康服务事业，具备高度的社会责任感，拥有爱心、耐心、细心等优良品质。密切关注婴幼儿健康成长与发展，注重医养保教相结合，乐于与家长沟通合作，重视师幼互动</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w:t>
      </w:r>
      <w:r>
        <w:rPr>
          <w:rFonts w:hint="default" w:ascii="仿宋_GB2312" w:hAnsi="仿宋_GB2312" w:eastAsia="仿宋_GB2312" w:cs="仿宋_GB2312"/>
          <w:color w:val="auto"/>
          <w:sz w:val="32"/>
          <w:szCs w:val="32"/>
          <w:highlight w:val="none"/>
          <w:lang w:val="en-US" w:eastAsia="zh-CN"/>
        </w:rPr>
        <w:t>掌握身体运动的基本知识，熟练掌握至少一项体育运动技能，达到国家大学生体质健康测试合格标准，养成良好的运动习惯、卫生习惯与行为习惯。同时，具备一定的心理调适能力，能够积极应对工作与生活中的压力与挑战</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w:t>
      </w:r>
      <w:r>
        <w:rPr>
          <w:rFonts w:hint="default" w:ascii="仿宋_GB2312" w:hAnsi="仿宋_GB2312" w:eastAsia="仿宋_GB2312" w:cs="仿宋_GB2312"/>
          <w:color w:val="auto"/>
          <w:sz w:val="32"/>
          <w:szCs w:val="32"/>
          <w:highlight w:val="none"/>
          <w:lang w:val="en-US" w:eastAsia="zh-CN"/>
        </w:rPr>
        <w:t>掌握必备的美育知识，提升文化修养与审美能力，培养至少一项艺术特长或爱好，丰富自身精神世界</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（6）</w:t>
      </w:r>
      <w:r>
        <w:rPr>
          <w:rFonts w:hint="default" w:ascii="仿宋_GB2312" w:hAnsi="仿宋_GB2312" w:eastAsia="仿宋_GB2312" w:cs="仿宋_GB2312"/>
          <w:color w:val="auto"/>
          <w:sz w:val="32"/>
          <w:szCs w:val="32"/>
          <w:highlight w:val="none"/>
          <w:lang w:val="en-US" w:eastAsia="zh-CN"/>
        </w:rPr>
        <w:t>树立正确的劳动观，尊重劳动、热爱劳动，具备与本专业职业发展相适应的劳动素养，大力弘扬劳模精神、劳动精神、工匠精神，积极践行劳动光荣、技能宝贵、创造伟大的时代风尚</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七</w:t>
      </w:r>
      <w:r>
        <w:rPr>
          <w:rFonts w:hint="eastAsia" w:ascii="黑体" w:hAnsi="黑体" w:eastAsia="黑体" w:cs="黑体"/>
          <w:color w:val="auto"/>
          <w:sz w:val="32"/>
          <w:szCs w:val="32"/>
        </w:rPr>
        <w:t>、课程设置</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主要包括公共基础课程和专业课程。</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rPr>
      </w:pPr>
      <w:r>
        <w:rPr>
          <w:rFonts w:hint="eastAsia" w:ascii="楷体" w:hAnsi="楷体" w:eastAsia="楷体" w:cs="楷体"/>
          <w:color w:val="auto"/>
          <w:sz w:val="32"/>
          <w:szCs w:val="32"/>
        </w:rPr>
        <w:t>（一）公共基础课程</w:t>
      </w:r>
    </w:p>
    <w:p>
      <w:pPr>
        <w:overflowPunct w:val="0"/>
        <w:adjustRightInd w:val="0"/>
        <w:spacing w:after="0" w:line="520" w:lineRule="exact"/>
        <w:ind w:firstLine="640" w:firstLineChars="200"/>
        <w:outlineLvl w:val="0"/>
        <w:rPr>
          <w:rFonts w:ascii="仿宋_GB2312" w:hAnsi="仿宋_GB2312" w:eastAsia="仿宋_GB2312" w:cs="仿宋_GB2312"/>
          <w:sz w:val="32"/>
          <w:szCs w:val="32"/>
        </w:rPr>
      </w:pPr>
      <w:bookmarkStart w:id="1" w:name="_Toc90734974"/>
      <w:r>
        <w:rPr>
          <w:rFonts w:hint="eastAsia" w:ascii="仿宋_GB2312" w:hAnsi="仿宋_GB2312" w:eastAsia="仿宋_GB2312" w:cs="仿宋_GB2312"/>
          <w:sz w:val="32"/>
          <w:szCs w:val="32"/>
        </w:rPr>
        <w:t>分为公共必修课和公共选修课。</w:t>
      </w:r>
    </w:p>
    <w:bookmarkEnd w:id="1"/>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必修</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课程包括</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思想道德与法治</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形势与政策</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、国家安全教</w:t>
      </w:r>
      <w:r>
        <w:rPr>
          <w:rFonts w:hint="eastAsia" w:ascii="仿宋_GB2312" w:hAnsi="仿宋_GB2312" w:eastAsia="仿宋_GB2312" w:cs="仿宋_GB2312"/>
          <w:b w:val="0"/>
          <w:bCs w:val="0"/>
          <w:color w:val="auto"/>
          <w:sz w:val="32"/>
          <w:szCs w:val="32"/>
          <w:highlight w:val="none"/>
          <w:lang w:eastAsia="zh-CN"/>
        </w:rPr>
        <w:t>育、</w:t>
      </w:r>
      <w:r>
        <w:rPr>
          <w:rFonts w:hint="eastAsia" w:ascii="仿宋_GB2312" w:hAnsi="仿宋_GB2312" w:eastAsia="仿宋_GB2312" w:cs="仿宋_GB2312"/>
          <w:b w:val="0"/>
          <w:bCs w:val="0"/>
          <w:color w:val="auto"/>
          <w:sz w:val="32"/>
          <w:szCs w:val="32"/>
          <w:highlight w:val="none"/>
        </w:rPr>
        <w:t>军事理论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军训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计</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算机基础</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大学英语</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大学</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体育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大学生职业发展与就业指导</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大学生心理健康教育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、劳动教育、</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毛泽东思想和中国特色社会主义理论体系概论</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创新创业教育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习近平新时代中国特色社会主义思想概论</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p>
    <w:p>
      <w:pPr>
        <w:overflowPunct w:val="0"/>
        <w:adjustRightInd w:val="0"/>
        <w:spacing w:after="0" w:line="52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选修课程包括：</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中国民俗剪纸技法</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影视与鉴赏</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中国共产党简史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中华人民共和国简史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改革开放简史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社会主义发展简史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、中华优秀传统文化、中华民族共同体概论、</w:t>
      </w:r>
      <w:r>
        <w:rPr>
          <w:rFonts w:hint="eastAsia" w:ascii="仿宋_GB2312" w:hAnsi="仿宋_GB2312" w:eastAsia="仿宋_GB2312" w:cs="仿宋_GB2312"/>
          <w:sz w:val="32"/>
          <w:szCs w:val="32"/>
        </w:rPr>
        <w:t>高等数学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语文</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sz w:val="32"/>
          <w:szCs w:val="32"/>
          <w:lang w:val="en-US" w:eastAsia="zh-CN"/>
        </w:rPr>
        <w:t>物理、化学</w:t>
      </w:r>
      <w:r>
        <w:rPr>
          <w:rFonts w:hint="eastAsia" w:ascii="仿宋_GB2312" w:hAnsi="仿宋_GB2312" w:eastAsia="仿宋_GB2312" w:cs="仿宋_GB2312"/>
          <w:sz w:val="32"/>
          <w:szCs w:val="32"/>
        </w:rPr>
        <w:t>。</w:t>
      </w:r>
    </w:p>
    <w:p>
      <w:pPr>
        <w:overflowPunct w:val="0"/>
        <w:adjustRightInd w:val="0"/>
        <w:spacing w:line="520" w:lineRule="exact"/>
        <w:ind w:firstLine="640" w:firstLineChars="200"/>
        <w:jc w:val="center"/>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highlight w:val="none"/>
        </w:rPr>
        <w:t>2公共基础课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7"/>
        <w:tblW w:w="10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813"/>
        <w:gridCol w:w="3750"/>
        <w:gridCol w:w="3021"/>
        <w:gridCol w:w="2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rPr>
            </w:pPr>
            <w:bookmarkStart w:id="2" w:name="_Toc90734979"/>
            <w:bookmarkStart w:id="3" w:name="_Toc2022"/>
            <w:r>
              <w:rPr>
                <w:rFonts w:hint="eastAsia" w:ascii="仿宋_GB2312" w:hAnsi="仿宋_GB2312" w:eastAsia="仿宋_GB2312" w:cs="仿宋_GB2312"/>
                <w:color w:val="auto"/>
                <w:sz w:val="24"/>
                <w:szCs w:val="24"/>
              </w:rPr>
              <w:t>序号</w:t>
            </w:r>
            <w:bookmarkEnd w:id="2"/>
            <w:bookmarkEnd w:id="3"/>
          </w:p>
        </w:tc>
        <w:tc>
          <w:tcPr>
            <w:tcW w:w="813"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rPr>
            </w:pPr>
            <w:bookmarkStart w:id="4" w:name="_Toc2635"/>
            <w:bookmarkStart w:id="5" w:name="_Toc90734980"/>
            <w:r>
              <w:rPr>
                <w:rFonts w:hint="eastAsia" w:ascii="仿宋_GB2312" w:hAnsi="仿宋_GB2312" w:eastAsia="仿宋_GB2312" w:cs="仿宋_GB2312"/>
                <w:color w:val="auto"/>
                <w:sz w:val="24"/>
                <w:szCs w:val="24"/>
              </w:rPr>
              <w:t>课程名称</w:t>
            </w:r>
            <w:bookmarkEnd w:id="4"/>
            <w:bookmarkEnd w:id="5"/>
          </w:p>
        </w:tc>
        <w:tc>
          <w:tcPr>
            <w:tcW w:w="375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rPr>
            </w:pPr>
            <w:bookmarkStart w:id="6" w:name="_Toc90734981"/>
            <w:bookmarkStart w:id="7" w:name="_Toc24608"/>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bookmarkEnd w:id="6"/>
            <w:bookmarkEnd w:id="7"/>
          </w:p>
        </w:tc>
        <w:tc>
          <w:tcPr>
            <w:tcW w:w="3021"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rPr>
            </w:pPr>
            <w:bookmarkStart w:id="8" w:name="_Toc23051"/>
            <w:bookmarkStart w:id="9" w:name="_Toc90734982"/>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bookmarkEnd w:id="8"/>
            <w:bookmarkEnd w:id="9"/>
          </w:p>
        </w:tc>
        <w:tc>
          <w:tcPr>
            <w:tcW w:w="2682"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p>
        </w:tc>
        <w:tc>
          <w:tcPr>
            <w:tcW w:w="813"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rPr>
              <w:t>思想道德与法治</w:t>
            </w:r>
          </w:p>
        </w:tc>
        <w:tc>
          <w:tcPr>
            <w:tcW w:w="3750"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b w:val="0"/>
                <w:bCs w:val="0"/>
                <w:color w:val="auto"/>
                <w:sz w:val="24"/>
                <w:szCs w:val="24"/>
                <w:highlight w:val="none"/>
              </w:rPr>
              <w:t>系统掌握本课程的基本原理和理论，了解新时代、人生观、远大理想、中国精神、社会</w:t>
            </w:r>
            <w:r>
              <w:rPr>
                <w:rFonts w:hint="eastAsia" w:ascii="仿宋_GB2312" w:hAnsi="仿宋_GB2312" w:eastAsia="仿宋_GB2312" w:cs="仿宋_GB2312"/>
                <w:b w:val="0"/>
                <w:bCs w:val="0"/>
                <w:color w:val="auto"/>
                <w:sz w:val="24"/>
                <w:szCs w:val="24"/>
                <w:highlight w:val="none"/>
                <w:lang w:eastAsia="zh-CN"/>
              </w:rPr>
              <w:t>主义</w:t>
            </w:r>
            <w:r>
              <w:rPr>
                <w:rFonts w:hint="eastAsia" w:ascii="仿宋_GB2312" w:hAnsi="仿宋_GB2312" w:eastAsia="仿宋_GB2312" w:cs="仿宋_GB2312"/>
                <w:b w:val="0"/>
                <w:bCs w:val="0"/>
                <w:color w:val="auto"/>
                <w:sz w:val="24"/>
                <w:szCs w:val="24"/>
                <w:highlight w:val="none"/>
              </w:rPr>
              <w:t>核心价值观、道德规范、法治等相关内容，构建起个人与国家、社会，个人与职业、婚姻家庭之间命运共同体内在关联的 科学认知体系。</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b w:val="0"/>
                <w:bCs w:val="0"/>
                <w:color w:val="auto"/>
                <w:sz w:val="24"/>
                <w:szCs w:val="24"/>
                <w:highlight w:val="none"/>
              </w:rPr>
              <w:t>能够运用基本原理和理论分析判断是非、明辨善恶；认真审视和正视自身言行举止，弃“恶”扬善，从“我”做起、从日常小事做起、从现在做起，逐渐养成自觉践行社会主义核心价值观的习惯。</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以习近平新时代中国特色社会主义思想为指导，以引导大学生成长为担当民族复兴大任的时代新人为着眼点，以新时代对青年大学生的新要求为切入点，以人生选择、理想信念、价值观念、道德觉悟、法治素养等为主体内容，以提升大学生思想道德素养和法治素养为目标，教育和激励大学生立大志、明大德、成大才、担大任，在实现中国梦的生动实践中放飞青春梦想，成为自觉担当民族复兴大任的时代新人。</w:t>
            </w:r>
          </w:p>
        </w:tc>
        <w:tc>
          <w:tcPr>
            <w:tcW w:w="3021"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val="0"/>
                <w:bCs w:val="0"/>
                <w:color w:val="auto"/>
                <w:sz w:val="24"/>
                <w:szCs w:val="24"/>
                <w:highlight w:val="none"/>
              </w:rPr>
              <w:t>本课程包括三大知识模块：一是思想政治教育，包括绪论、第一至四章，旨在引导帮助大学生树立正确的人生观，确立科学的理想信念，弘扬以爱国主义为核心的民族精神和以改革创新为核心的时代精神，积极培育</w:t>
            </w:r>
            <w:r>
              <w:rPr>
                <w:rFonts w:hint="eastAsia" w:ascii="仿宋_GB2312" w:hAnsi="仿宋_GB2312" w:eastAsia="仿宋_GB2312" w:cs="仿宋_GB2312"/>
                <w:b w:val="0"/>
                <w:bCs w:val="0"/>
                <w:color w:val="auto"/>
                <w:sz w:val="24"/>
                <w:szCs w:val="24"/>
                <w:highlight w:val="none"/>
                <w:lang w:val="en-US" w:eastAsia="zh-CN"/>
              </w:rPr>
              <w:t>和</w:t>
            </w:r>
            <w:r>
              <w:rPr>
                <w:rFonts w:hint="eastAsia" w:ascii="仿宋_GB2312" w:hAnsi="仿宋_GB2312" w:eastAsia="仿宋_GB2312" w:cs="仿宋_GB2312"/>
                <w:b w:val="0"/>
                <w:bCs w:val="0"/>
                <w:color w:val="auto"/>
                <w:sz w:val="24"/>
                <w:szCs w:val="24"/>
                <w:highlight w:val="none"/>
              </w:rPr>
              <w:t>践行社会主义核心价值观。二是道德教育，包括第五章，旨在帮助大学生理解道德的本质和作用，继承中华民族优秀美德和中国革命道德，遵循社会主义道德核心和原则，遵守道德规范，提升个人品德。三是法治教育，包括第六章，主要帮助大学生了解法律特别是社会主义法律的特征和运行，掌握以宪法为核心的中国特色社会主义法律体系的基本内容，领会坚持走中国特色社会主义法治道路的基本原则，引导大学生积极培养法治思维，合理行使法律规定的权利和义务。</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p>
        </w:tc>
        <w:tc>
          <w:tcPr>
            <w:tcW w:w="2682"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shd w:val="clear" w:color="auto" w:fill="FFFFFF"/>
              </w:rPr>
            </w:pPr>
            <w:r>
              <w:rPr>
                <w:rFonts w:hint="eastAsia" w:ascii="仿宋_GB2312" w:hAnsi="仿宋_GB2312" w:eastAsia="仿宋_GB2312" w:cs="仿宋_GB2312"/>
                <w:color w:val="auto"/>
                <w:sz w:val="24"/>
                <w:szCs w:val="24"/>
                <w:highlight w:val="none"/>
                <w:shd w:val="clear" w:color="auto" w:fill="FFFFFF"/>
              </w:rPr>
              <w:t>通</w:t>
            </w:r>
            <w:r>
              <w:rPr>
                <w:rFonts w:hint="eastAsia" w:ascii="仿宋_GB2312" w:hAnsi="仿宋_GB2312" w:eastAsia="仿宋_GB2312" w:cs="仿宋_GB2312"/>
                <w:color w:val="auto"/>
                <w:sz w:val="24"/>
                <w:szCs w:val="24"/>
                <w:highlight w:val="none"/>
                <w:shd w:val="clear" w:color="auto" w:fill="FFFFFF"/>
                <w:lang w:val="en-US" w:eastAsia="zh-CN"/>
              </w:rPr>
              <w:t>过</w:t>
            </w:r>
            <w:r>
              <w:rPr>
                <w:rFonts w:hint="eastAsia" w:ascii="仿宋_GB2312" w:hAnsi="仿宋_GB2312" w:eastAsia="仿宋_GB2312" w:cs="仿宋_GB2312"/>
                <w:color w:val="auto"/>
                <w:sz w:val="24"/>
                <w:szCs w:val="24"/>
                <w:highlight w:val="none"/>
                <w:shd w:val="clear" w:color="auto" w:fill="FFFFFF"/>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813"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val="0"/>
                <w:bCs w:val="0"/>
                <w:color w:val="auto"/>
                <w:sz w:val="24"/>
                <w:szCs w:val="24"/>
                <w:highlight w:val="none"/>
              </w:rPr>
              <w:t>形势与政策</w:t>
            </w:r>
          </w:p>
        </w:tc>
        <w:tc>
          <w:tcPr>
            <w:tcW w:w="3750"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引导和帮助学生掌握认识形势与政策问题的基本理论和基础知识，包括科学分析形势与政策的方法论、形势发展变化的规律、政策的产生和发展、政策的本质和特征等基础知识；了解国内外重大事件和热点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难点问题，紧跟时代脉搏，融入变革潮流；重点是了解</w:t>
            </w:r>
            <w:r>
              <w:rPr>
                <w:rFonts w:hint="eastAsia" w:ascii="仿宋_GB2312" w:hAnsi="仿宋_GB2312" w:eastAsia="仿宋_GB2312" w:cs="仿宋_GB2312"/>
                <w:b w:val="0"/>
                <w:bCs w:val="0"/>
                <w:color w:val="auto"/>
                <w:sz w:val="24"/>
                <w:szCs w:val="24"/>
                <w:highlight w:val="none"/>
                <w:lang w:val="en-US" w:eastAsia="zh-CN"/>
              </w:rPr>
              <w:t>党的二十</w:t>
            </w:r>
            <w:r>
              <w:rPr>
                <w:rFonts w:hint="eastAsia" w:ascii="仿宋_GB2312" w:hAnsi="仿宋_GB2312" w:eastAsia="仿宋_GB2312" w:cs="仿宋_GB2312"/>
                <w:b w:val="0"/>
                <w:bCs w:val="0"/>
                <w:color w:val="auto"/>
                <w:sz w:val="24"/>
                <w:szCs w:val="24"/>
                <w:highlight w:val="none"/>
              </w:rPr>
              <w:t>大以来形成的一系列政策体系，理解党的路线、方针、政策的正确性。</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培养学生掌握正确分析形势和理解政策的能力，特别是对国内外重大事件、敏感问题、社会热点、难点、疑点问题的思考、分析和判断能力。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使学生感知国情民意，体会党的路线方针政策的正确，把对形势与政策的认识统一到党和国家的科学判断上和正确决策上，</w:t>
            </w:r>
            <w:r>
              <w:rPr>
                <w:rFonts w:hint="eastAsia" w:ascii="仿宋_GB2312" w:hAnsi="仿宋_GB2312" w:eastAsia="仿宋_GB2312" w:cs="仿宋_GB2312"/>
                <w:b w:val="0"/>
                <w:bCs w:val="0"/>
                <w:color w:val="auto"/>
                <w:sz w:val="24"/>
                <w:szCs w:val="24"/>
                <w:highlight w:val="none"/>
                <w:lang w:val="en-US" w:eastAsia="zh-CN"/>
              </w:rPr>
              <w:t>不断增强</w:t>
            </w:r>
            <w:r>
              <w:rPr>
                <w:rFonts w:hint="eastAsia" w:ascii="仿宋_GB2312" w:hAnsi="仿宋_GB2312" w:eastAsia="仿宋_GB2312" w:cs="仿宋_GB2312"/>
                <w:b w:val="0"/>
                <w:bCs w:val="0"/>
                <w:color w:val="auto"/>
                <w:sz w:val="24"/>
                <w:szCs w:val="24"/>
                <w:highlight w:val="none"/>
              </w:rPr>
              <w:t>“四个意识”</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坚定“四个自信”</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做到“两个维护”，为</w:t>
            </w:r>
            <w:r>
              <w:rPr>
                <w:rFonts w:hint="eastAsia" w:ascii="仿宋_GB2312" w:hAnsi="仿宋_GB2312" w:eastAsia="仿宋_GB2312" w:cs="仿宋_GB2312"/>
                <w:b w:val="0"/>
                <w:bCs w:val="0"/>
                <w:color w:val="auto"/>
                <w:spacing w:val="-6"/>
                <w:sz w:val="24"/>
                <w:szCs w:val="24"/>
                <w:highlight w:val="none"/>
              </w:rPr>
              <w:t>实现中华民族伟大复兴而发奋学习。</w:t>
            </w:r>
          </w:p>
        </w:tc>
        <w:tc>
          <w:tcPr>
            <w:tcW w:w="3021"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val="en-US" w:eastAsia="zh-CN"/>
              </w:rPr>
              <w:t>根据</w:t>
            </w:r>
            <w:r>
              <w:rPr>
                <w:rFonts w:hint="eastAsia" w:ascii="仿宋_GB2312" w:hAnsi="仿宋_GB2312" w:eastAsia="仿宋_GB2312" w:cs="仿宋_GB2312"/>
                <w:color w:val="auto"/>
                <w:sz w:val="24"/>
                <w:szCs w:val="24"/>
                <w:highlight w:val="none"/>
                <w:lang w:eastAsia="zh-CN"/>
              </w:rPr>
              <w:t>新时代面临的新情况新问题，针对学生关注的热点问题和思想特点，</w:t>
            </w:r>
            <w:r>
              <w:rPr>
                <w:rFonts w:hint="eastAsia" w:ascii="仿宋_GB2312" w:hAnsi="仿宋_GB2312" w:eastAsia="仿宋_GB2312" w:cs="仿宋_GB2312"/>
                <w:color w:val="auto"/>
                <w:sz w:val="24"/>
                <w:szCs w:val="24"/>
                <w:highlight w:val="none"/>
              </w:rPr>
              <w:t>涵盖国际形势、国内形势、社会热点、国家政策等</w:t>
            </w:r>
            <w:r>
              <w:rPr>
                <w:rFonts w:hint="eastAsia" w:ascii="仿宋_GB2312" w:hAnsi="仿宋_GB2312" w:eastAsia="仿宋_GB2312" w:cs="仿宋_GB2312"/>
                <w:color w:val="auto"/>
                <w:sz w:val="24"/>
                <w:szCs w:val="24"/>
                <w:highlight w:val="none"/>
                <w:lang w:val="en-US" w:eastAsia="zh-CN"/>
              </w:rPr>
              <w:t>内容</w:t>
            </w:r>
            <w:r>
              <w:rPr>
                <w:rFonts w:hint="eastAsia" w:ascii="仿宋_GB2312" w:hAnsi="仿宋_GB2312" w:eastAsia="仿宋_GB2312" w:cs="仿宋_GB2312"/>
                <w:color w:val="auto"/>
                <w:sz w:val="24"/>
                <w:szCs w:val="24"/>
                <w:highlight w:val="none"/>
              </w:rPr>
              <w:t>。通过学习，学生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682" w:type="dxa"/>
            <w:vAlign w:val="top"/>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shd w:val="clear" w:color="auto" w:fill="FFFFFF"/>
              </w:rPr>
            </w:pPr>
            <w:r>
              <w:rPr>
                <w:rFonts w:hint="eastAsia" w:ascii="仿宋_GB2312" w:hAnsi="仿宋_GB2312" w:eastAsia="仿宋_GB2312" w:cs="仿宋_GB2312"/>
                <w:color w:val="auto"/>
                <w:kern w:val="0"/>
                <w:sz w:val="24"/>
                <w:szCs w:val="24"/>
                <w:highlight w:val="none"/>
                <w:lang w:val="en-US" w:eastAsia="zh-CN" w:bidi="ar"/>
              </w:rPr>
              <w:t>按照中宣部、教育部每年每学期颁发的形势与政策课教学要点、要求和内容，对指定的专题进行教学。</w:t>
            </w:r>
            <w:r>
              <w:rPr>
                <w:rFonts w:hint="eastAsia" w:ascii="仿宋_GB2312" w:hAnsi="仿宋_GB2312" w:eastAsia="仿宋_GB2312" w:cs="仿宋_GB2312"/>
                <w:color w:val="auto"/>
                <w:sz w:val="24"/>
                <w:szCs w:val="24"/>
                <w:highlight w:val="none"/>
              </w:rPr>
              <w:t>教师采取混合式教学和学生研讨，聚焦社会热点、回应学生关切问题，提高学生运用马克思主义理论的立场</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观点</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方法解决实际问题的能力，提高政治辨别力，紧密围绕在以习近平同志为核心的党中央周围，奋进新征程。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 w:hAnsi="仿宋" w:eastAsia="仿宋" w:cs="仿宋"/>
                <w:color w:val="auto"/>
                <w:sz w:val="24"/>
                <w:szCs w:val="24"/>
                <w:highlight w:val="none"/>
                <w:lang w:val="en-US" w:eastAsia="zh-CN"/>
              </w:rPr>
              <w:t>3</w:t>
            </w:r>
          </w:p>
        </w:tc>
        <w:tc>
          <w:tcPr>
            <w:tcW w:w="813"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 w:hAnsi="仿宋" w:eastAsia="仿宋" w:cs="仿宋"/>
                <w:color w:val="auto"/>
                <w:sz w:val="24"/>
                <w:szCs w:val="24"/>
                <w:highlight w:val="none"/>
              </w:rPr>
            </w:pPr>
            <w:r>
              <w:rPr>
                <w:rFonts w:hint="eastAsia" w:ascii="仿宋_GB2312" w:hAnsi="仿宋_GB2312" w:eastAsia="仿宋_GB2312" w:cs="仿宋_GB2312"/>
                <w:color w:val="auto"/>
                <w:sz w:val="24"/>
                <w:szCs w:val="24"/>
                <w:highlight w:val="none"/>
              </w:rPr>
              <w:t>国家安全教育</w:t>
            </w:r>
          </w:p>
        </w:tc>
        <w:tc>
          <w:tcPr>
            <w:tcW w:w="3750"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让学生系统掌握总体国家安全观的内涵和精神实质，理解中国特色国家安全体系，新时代我国国家安全面临的复杂形势，掌握筑牢其他各领域国家安全屏障的具体方法和途径。</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lang w:val="en-US" w:eastAsia="zh-CN"/>
              </w:rPr>
              <w:t>能</w:t>
            </w:r>
            <w:r>
              <w:rPr>
                <w:rFonts w:hint="eastAsia" w:ascii="仿宋_GB2312" w:hAnsi="仿宋_GB2312" w:eastAsia="仿宋_GB2312" w:cs="仿宋_GB2312"/>
                <w:b/>
                <w:bCs/>
                <w:color w:val="auto"/>
                <w:sz w:val="24"/>
                <w:szCs w:val="24"/>
                <w:highlight w:val="none"/>
              </w:rPr>
              <w:t>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eastAsia="zh-CN"/>
              </w:rPr>
              <w:t>能够建立总体国家安全观，树立中国特色社会主义理想信念，能够做到国家利益至上，维护国家主权、安全和发展利益，能够维护国家正当权益，绝不牺牲国家核心利益；</w:t>
            </w:r>
            <w:r>
              <w:rPr>
                <w:rFonts w:hint="eastAsia" w:ascii="仿宋_GB2312" w:hAnsi="仿宋_GB2312" w:eastAsia="仿宋_GB2312" w:cs="仿宋_GB2312"/>
                <w:color w:val="auto"/>
                <w:sz w:val="24"/>
                <w:szCs w:val="24"/>
                <w:highlight w:val="none"/>
                <w:lang w:val="en-US" w:eastAsia="zh-CN"/>
              </w:rPr>
              <w:t>能够</w:t>
            </w:r>
            <w:r>
              <w:rPr>
                <w:rFonts w:hint="eastAsia" w:ascii="仿宋_GB2312" w:hAnsi="仿宋_GB2312" w:eastAsia="仿宋_GB2312" w:cs="仿宋_GB2312"/>
                <w:color w:val="auto"/>
                <w:sz w:val="24"/>
                <w:szCs w:val="24"/>
                <w:highlight w:val="none"/>
                <w:lang w:eastAsia="zh-CN"/>
              </w:rPr>
              <w:t>增强政治认同，不信谣、不传谣，能够对危害政治安全的违法行为进行举报；能够以实际行动维护</w:t>
            </w:r>
            <w:r>
              <w:rPr>
                <w:rFonts w:hint="eastAsia" w:ascii="仿宋_GB2312" w:hAnsi="仿宋_GB2312" w:eastAsia="仿宋_GB2312" w:cs="仿宋_GB2312"/>
                <w:color w:val="auto"/>
                <w:sz w:val="24"/>
                <w:szCs w:val="24"/>
                <w:highlight w:val="none"/>
                <w:lang w:val="en-US" w:eastAsia="zh-CN"/>
              </w:rPr>
              <w:t>国家</w:t>
            </w:r>
            <w:r>
              <w:rPr>
                <w:rFonts w:hint="eastAsia" w:ascii="仿宋_GB2312" w:hAnsi="仿宋_GB2312" w:eastAsia="仿宋_GB2312" w:cs="仿宋_GB2312"/>
                <w:color w:val="auto"/>
                <w:sz w:val="24"/>
                <w:szCs w:val="24"/>
                <w:highlight w:val="none"/>
                <w:lang w:eastAsia="zh-CN"/>
              </w:rPr>
              <w:t>安全；</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能够自觉遵守法律，做到诚实守信、廉洁自律；学会合作，为人正派，具有良好的协作、沟通能力和团队精神；严守法纪，坚持原则，自觉践行社会主义核心价值观。树立国家安全意识，培养爱国精神，使其矢志不渝听党话、跟党走，不断成为社会主义合格建设者和可靠接班人。</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提升学生的国家安全意识，培养学生将理论知识与实践相结合的能力，引导学生运用马克思主义的立场、观点、方法以及总体国家安全观分析和解决问题，构建起维护国家安全的实践能力。使学生树立国家安全底线思维，将国家安全意</w:t>
            </w:r>
            <w:r>
              <w:rPr>
                <w:rFonts w:hint="eastAsia" w:ascii="仿宋_GB2312" w:hAnsi="仿宋_GB2312" w:eastAsia="仿宋_GB2312" w:cs="仿宋_GB2312"/>
                <w:color w:val="auto"/>
                <w:spacing w:val="-6"/>
                <w:sz w:val="24"/>
                <w:szCs w:val="24"/>
                <w:highlight w:val="none"/>
                <w:lang w:val="en-US" w:eastAsia="zh-CN"/>
              </w:rPr>
              <w:t>识转化为自觉行动，强化责任担当。</w:t>
            </w:r>
          </w:p>
        </w:tc>
        <w:tc>
          <w:tcPr>
            <w:tcW w:w="3021"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val="en-US" w:eastAsia="zh-CN"/>
              </w:rPr>
              <w:t>本课程包含国家安全绪论、政治安全、国土安全、军事安全、经济安全、文化安全、社会安全、科技安全。通过教学，使学生树立国家安全意识，培养学生爱国精神，使其矢志不渝听党话、跟党走，不断成为社会主义合格建设者和可靠接班人。</w:t>
            </w:r>
          </w:p>
        </w:tc>
        <w:tc>
          <w:tcPr>
            <w:tcW w:w="2682"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shd w:val="clear" w:color="auto" w:fill="FFFFFF"/>
              </w:rPr>
            </w:pPr>
            <w:r>
              <w:rPr>
                <w:rFonts w:hint="eastAsia" w:ascii="仿宋_GB2312" w:hAnsi="仿宋_GB2312" w:eastAsia="仿宋_GB2312" w:cs="仿宋_GB2312"/>
                <w:color w:val="auto"/>
                <w:sz w:val="24"/>
                <w:szCs w:val="24"/>
                <w:highlight w:val="none"/>
              </w:rPr>
              <w:t>本课程以坚持总体国家安全观为科学指导，坚持党对国家安全教育的绝对领导，坚持以构建国家安全教育体系为途径，重点围绕理解中华民族命运与国家关系，践行总体国家安全观。学生系统掌握总体国家安全观的内涵和精神实质，理解中国特色国家安全体系，树立国家安全底线思维，将国家安全意识转化为自觉行动，强化学生责任担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 w:hAnsi="仿宋" w:eastAsia="仿宋" w:cs="仿宋"/>
                <w:color w:val="auto"/>
                <w:sz w:val="24"/>
                <w:szCs w:val="24"/>
                <w:highlight w:val="none"/>
                <w:lang w:val="en-US" w:eastAsia="zh-CN"/>
              </w:rPr>
              <w:t>4</w:t>
            </w:r>
          </w:p>
        </w:tc>
        <w:tc>
          <w:tcPr>
            <w:tcW w:w="813"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 w:hAnsi="仿宋" w:eastAsia="仿宋" w:cs="仿宋"/>
                <w:color w:val="auto"/>
                <w:sz w:val="24"/>
                <w:szCs w:val="24"/>
                <w:highlight w:val="none"/>
              </w:rPr>
            </w:pPr>
            <w:r>
              <w:rPr>
                <w:rFonts w:hint="eastAsia" w:ascii="仿宋_GB2312" w:hAnsi="仿宋_GB2312" w:eastAsia="仿宋_GB2312" w:cs="仿宋_GB2312"/>
                <w:color w:val="auto"/>
                <w:sz w:val="24"/>
                <w:szCs w:val="24"/>
                <w:highlight w:val="none"/>
              </w:rPr>
              <w:t>军事理论</w:t>
            </w:r>
          </w:p>
        </w:tc>
        <w:tc>
          <w:tcPr>
            <w:tcW w:w="3750" w:type="dxa"/>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掌握基本的军事理论知识，了解中国国防政策和军事战略，认识信息化战争的特点与规律等。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运用所学军事理论知识分析国内外军事事件的能力，以及独立判断和批判性思考的习惯。提升学生的战略思维能力和实际操作技能，提高学生的应急反应速度和自我保护能力，为应对突发事件打下坚实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：激发学生对国家和民族的热爱之情，增强其作为公民的社会责任感和使命感；强化国防观念、国家安全意识与爱国主义精神。‌</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lang w:val="en-US" w:eastAsia="zh-CN"/>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通过系统的知识传授和能力培养，全面提升学生的综合素质，增强学生国家安全意识和国防观念，为未来成为具有家国情怀、战略视野和创新能力的优秀人才奠定坚实基础。</w:t>
            </w:r>
          </w:p>
        </w:tc>
        <w:tc>
          <w:tcPr>
            <w:tcW w:w="3021" w:type="dxa"/>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课程内容包括军事基础知识、军事思想、国家安全形势分析、战略环境、军事高技术、现代战争知识等。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rPr>
            </w:pPr>
          </w:p>
        </w:tc>
        <w:tc>
          <w:tcPr>
            <w:tcW w:w="2682" w:type="dxa"/>
            <w:vAlign w:val="top"/>
          </w:tcPr>
          <w:p>
            <w:pPr>
              <w:pStyle w:val="6"/>
              <w:keepNext w:val="0"/>
              <w:keepLines w:val="0"/>
              <w:widowControl/>
              <w:suppressLineNumbers w:val="0"/>
              <w:jc w:val="both"/>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本课程以马列主义、毛泽东思想、邓小平理论及习近平强军思想为指导，‌采用多媒体教学、案例研讨，使学生理解总体国家安全观，激发学生献身国防的热情、增强民族自豪感。</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813"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color w:val="auto"/>
                <w:sz w:val="24"/>
                <w:szCs w:val="24"/>
                <w:highlight w:val="none"/>
                <w:lang w:val="en-US" w:eastAsia="zh-CN"/>
              </w:rPr>
              <w:t>军训</w:t>
            </w:r>
          </w:p>
        </w:tc>
        <w:tc>
          <w:tcPr>
            <w:tcW w:w="3750" w:type="dxa"/>
            <w:vAlign w:val="center"/>
          </w:tcPr>
          <w:p>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掌握基本的军事技能、完成基础军事训练。</w:t>
            </w:r>
          </w:p>
          <w:p>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结合模拟演练和角色扮演等活动，提升学生的战略思维能力和实际操作技能，增强学生的团队意识和沟通协调能力，提高学生的应急反应速度和自我保护能力，为应对突发事件打下坚实基础。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：培养学生的纪律性和服从意识；强化团队协作精神，锻炼学生的意志力和毅力，培养其面对困难和挑战时不屈不挠的精神风貌，鼓励其为实现中华民族伟大复兴的中国梦贡献力量。</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通过能力培养，全面提升学生的综合素质，增强学生国防观念，为成为具有家国情怀、战略视野和创新能力的优秀人才奠定坚实基础。</w:t>
            </w:r>
          </w:p>
        </w:tc>
        <w:tc>
          <w:tcPr>
            <w:tcW w:w="3021" w:type="dxa"/>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课程内容包括队列、战术训练等‌军事技能训练。</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highlight w:val="none"/>
              </w:rPr>
            </w:pPr>
          </w:p>
        </w:tc>
        <w:tc>
          <w:tcPr>
            <w:tcW w:w="2682" w:type="dxa"/>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highlight w:val="none"/>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循序渐进，由浅入深，逐步提高学生的军训技能；注重示范指导，通过示范动作带动学生的学习兴趣；强化实践训练，让学生通过实际操作掌握军事技能。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 w:hAnsi="仿宋" w:eastAsia="仿宋" w:cs="仿宋"/>
                <w:color w:val="auto"/>
                <w:sz w:val="24"/>
                <w:szCs w:val="24"/>
                <w:highlight w:val="none"/>
                <w:lang w:val="en-US" w:eastAsia="zh-CN"/>
              </w:rPr>
              <w:t>6</w:t>
            </w:r>
          </w:p>
        </w:tc>
        <w:tc>
          <w:tcPr>
            <w:tcW w:w="813" w:type="dxa"/>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Fonts w:hint="eastAsia" w:ascii="仿宋" w:hAnsi="仿宋" w:eastAsia="仿宋" w:cs="仿宋"/>
                <w:color w:val="auto"/>
                <w:sz w:val="24"/>
                <w:szCs w:val="24"/>
                <w:highlight w:val="none"/>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计算机基础</w:t>
            </w:r>
          </w:p>
        </w:tc>
        <w:tc>
          <w:tcPr>
            <w:tcW w:w="3750" w:type="dxa"/>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计算机硬件组成和操作系统基本原理，理解常用办公软件功能特点，了解常用工具软件的分类及基本使用方法，拓展数字化办公技能，帮助学生系统掌握计算机领域的核心理论与前沿动态，为技能应用和职业发展奠定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培养计算机基本操作能力，熟练使用办公软件处理文档。提升网络应用和信息检索水平，具备解决常见计算机问题的技能。</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培养信息素养和数字思维，提高自主学习新技术能力。树立信息安全意识，养成规范使用计算机的良好习惯。</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sz w:val="24"/>
                <w:szCs w:val="24"/>
                <w:lang w:val="en-US" w:eastAsia="zh-CN"/>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融入科技创新案例，培养科技报国情怀。通过信息伦理教育，强化网络行为规范和责任意识。引导学生树立家国情怀、职业道德和社会责任感，</w:t>
            </w:r>
            <w:r>
              <w:rPr>
                <w:rFonts w:hint="eastAsia" w:ascii="仿宋_GB2312" w:hAnsi="仿宋_GB2312" w:eastAsia="仿宋_GB2312" w:cs="仿宋_GB2312"/>
                <w:b w:val="0"/>
                <w:bCs w:val="0"/>
                <w:color w:val="auto"/>
                <w:kern w:val="2"/>
                <w:sz w:val="24"/>
                <w:szCs w:val="24"/>
                <w:highlight w:val="none"/>
                <w:lang w:val="en-US" w:eastAsia="zh-CN" w:bidi="ar-SA"/>
              </w:rPr>
              <w:t>最终实现“德才兼备、知行合一”的技术人才培养目标，为行业发展与社会进步输送兼具职业道德素养与专业技术能力的复合型人才。</w:t>
            </w:r>
          </w:p>
        </w:tc>
        <w:tc>
          <w:tcPr>
            <w:tcW w:w="3021" w:type="dxa"/>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课程包含计算机硬件基础、Windows操作系统、Office办公软件、网络基础等模块。重点培养文档处理、数据分析和演示汇报等实用技能，融入专业相关的计算机应用案例。结合新技术发展，介绍云计算、大数据等前沿技术概念。</w:t>
            </w:r>
          </w:p>
        </w:tc>
        <w:tc>
          <w:tcPr>
            <w:tcW w:w="2682" w:type="dxa"/>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shd w:val="clear" w:color="auto" w:fill="FFFFFF"/>
              </w:rPr>
            </w:pPr>
            <w:r>
              <w:rPr>
                <w:rFonts w:hint="eastAsia" w:ascii="仿宋_GB2312" w:hAnsi="仿宋_GB2312" w:eastAsia="仿宋_GB2312" w:cs="仿宋_GB2312"/>
                <w:color w:val="auto"/>
                <w:sz w:val="24"/>
                <w:szCs w:val="24"/>
                <w:highlight w:val="none"/>
              </w:rPr>
              <w:t>教师需采用任务驱动教学法，设计贴近实际的应用场景。合理运用信息化教学手段，强化实操训练。学生需按时完成实践任务，主动探索软件功能。教学中要注重应用能力培养，突出计算机工具的实用价值，提升学生信息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 w:hAnsi="仿宋" w:eastAsia="仿宋" w:cs="仿宋"/>
                <w:color w:val="auto"/>
                <w:sz w:val="24"/>
                <w:szCs w:val="24"/>
                <w:highlight w:val="none"/>
                <w:lang w:val="en-US" w:eastAsia="zh-CN"/>
              </w:rPr>
              <w:t>7</w:t>
            </w:r>
          </w:p>
        </w:tc>
        <w:tc>
          <w:tcPr>
            <w:tcW w:w="813" w:type="dxa"/>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Fonts w:hint="eastAsia" w:ascii="仿宋" w:hAnsi="仿宋" w:eastAsia="仿宋" w:cs="仿宋"/>
                <w:color w:val="auto"/>
                <w:sz w:val="24"/>
                <w:szCs w:val="24"/>
                <w:highlight w:val="none"/>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大学英语</w:t>
            </w:r>
          </w:p>
        </w:tc>
        <w:tc>
          <w:tcPr>
            <w:tcW w:w="3750" w:type="dxa"/>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掌握基础词汇和核心语法，学习职场英语表达。了解英语国家文化常识，熟悉专业相关术语。</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培养学生掌握语言基础知识和语言技能、具备基本的英语听、说、读、写、译能力，增强其跨文化交际意识和沟通能力，为适应未来职业需求。</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培养自主学习意识，增强跨文化理解能力。树立终身学习理念，提高团队协作和沟通能力。</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lang w:val="en-US" w:eastAsia="zh-CN"/>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融入工匠精神教育，培养职业操守。通过中外文化对比，培养学生树立正确的世界观、人生观、价值观，明辨西方文化与价值观，增强文化自信和爱国情怀。</w:t>
            </w:r>
          </w:p>
        </w:tc>
        <w:tc>
          <w:tcPr>
            <w:tcW w:w="3021" w:type="dxa"/>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三大模块：基础英语模块重点训练日常交际和职场基础英语；专业英语模块针对不同专业需求，学习相关术语和场景对话；实践应用模块通过模拟职场情境，开展项目任务训练。教学内容突出实用性，融入大量真实职场案例，同时结合行业发展，介绍相关职业规范和标准。</w:t>
            </w:r>
          </w:p>
        </w:tc>
        <w:tc>
          <w:tcPr>
            <w:tcW w:w="2682" w:type="dxa"/>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shd w:val="clear" w:color="auto" w:fill="FFFFFF"/>
              </w:rPr>
            </w:pPr>
            <w:r>
              <w:rPr>
                <w:rFonts w:hint="eastAsia" w:ascii="仿宋_GB2312" w:hAnsi="仿宋_GB2312" w:eastAsia="仿宋_GB2312" w:cs="仿宋_GB2312"/>
                <w:color w:val="auto"/>
                <w:sz w:val="24"/>
                <w:szCs w:val="24"/>
                <w:highlight w:val="none"/>
              </w:rPr>
              <w:t>采用情景教学法，设计职场情境任务。结合信息化手段，注重实践能力培养。参与课堂活动，完成实践任务。利用网络资源自主学习，提升应用能力。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 w:hAnsi="仿宋" w:eastAsia="仿宋" w:cs="仿宋"/>
                <w:color w:val="auto"/>
                <w:sz w:val="24"/>
                <w:szCs w:val="24"/>
                <w:highlight w:val="none"/>
                <w:lang w:val="en-US" w:eastAsia="zh-CN"/>
              </w:rPr>
              <w:t>8</w:t>
            </w:r>
          </w:p>
        </w:tc>
        <w:tc>
          <w:tcPr>
            <w:tcW w:w="813"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 w:hAnsi="仿宋" w:eastAsia="仿宋" w:cs="仿宋"/>
                <w:color w:val="auto"/>
                <w:sz w:val="24"/>
                <w:szCs w:val="24"/>
                <w:highlight w:val="none"/>
              </w:rPr>
            </w:pPr>
            <w:r>
              <w:rPr>
                <w:rFonts w:hint="eastAsia" w:ascii="仿宋_GB2312" w:hAnsi="仿宋_GB2312" w:eastAsia="仿宋_GB2312" w:cs="仿宋_GB2312"/>
                <w:color w:val="auto"/>
                <w:sz w:val="24"/>
                <w:szCs w:val="24"/>
                <w:highlight w:val="none"/>
              </w:rPr>
              <w:t>大学体育</w:t>
            </w:r>
          </w:p>
        </w:tc>
        <w:tc>
          <w:tcPr>
            <w:tcW w:w="3750"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掌握体育运动基本理论知识，了解常见运动项目的规则与要领。学习科学锻炼方法和运动损伤预防知识，为终身体育锻炼奠定理论基础。</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发展学生基础运动技能，提升速度、力量、耐力等身体素质。培养1-2项运动特长，</w:t>
            </w:r>
            <w:r>
              <w:rPr>
                <w:rFonts w:hint="eastAsia" w:ascii="仿宋_GB2312" w:hAnsi="仿宋_GB2312" w:eastAsia="仿宋_GB2312" w:cs="仿宋_GB2312"/>
                <w:b w:val="0"/>
                <w:bCs w:val="0"/>
                <w:color w:val="auto"/>
                <w:sz w:val="24"/>
                <w:szCs w:val="24"/>
                <w:highlight w:val="none"/>
              </w:rPr>
              <w:t>提升体育运动能力，提高职业体能水平。</w:t>
            </w:r>
            <w:r>
              <w:rPr>
                <w:rFonts w:hint="eastAsia" w:ascii="仿宋_GB2312" w:hAnsi="仿宋_GB2312" w:eastAsia="仿宋_GB2312" w:cs="仿宋_GB2312"/>
                <w:color w:val="auto"/>
                <w:sz w:val="24"/>
                <w:szCs w:val="24"/>
                <w:highlight w:val="none"/>
              </w:rPr>
              <w:t>增强团队协作能力和体育竞赛组织能力。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遵守体育道德规范和行为准则，发扬体育精神，塑造良好的体育品格，增强责任意识、规则意识和团队意识</w:t>
            </w:r>
            <w:r>
              <w:rPr>
                <w:rFonts w:hint="eastAsia" w:ascii="仿宋_GB2312" w:hAnsi="仿宋_GB2312" w:eastAsia="仿宋_GB2312" w:cs="仿宋_GB2312"/>
                <w:b w:val="0"/>
                <w:bCs w:val="0"/>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以习近平新时代中国特色社会主义思想为指导，坚持知识传授与价值引领相结合， 树立健康第一的教育理念，帮助学生在体育锻炼中享受乐趣、增强体质、健全人格、锤炼意志。培养学生顽强拼搏、奋斗有我的信念，激发学生提升身体素质的责任感。</w:t>
            </w:r>
          </w:p>
        </w:tc>
        <w:tc>
          <w:tcPr>
            <w:tcW w:w="3021" w:type="dxa"/>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基础体能训练提升身体素质；球类、田径等专项技能教学；特色项目如</w:t>
            </w:r>
            <w:r>
              <w:rPr>
                <w:rFonts w:hint="eastAsia" w:ascii="仿宋_GB2312" w:hAnsi="仿宋_GB2312" w:eastAsia="仿宋_GB2312" w:cs="仿宋_GB2312"/>
                <w:color w:val="auto"/>
                <w:sz w:val="24"/>
                <w:szCs w:val="24"/>
                <w:highlight w:val="none"/>
                <w:lang w:val="en-US" w:eastAsia="zh-CN"/>
              </w:rPr>
              <w:t>武术</w:t>
            </w:r>
            <w:r>
              <w:rPr>
                <w:rFonts w:hint="eastAsia" w:ascii="仿宋_GB2312" w:hAnsi="仿宋_GB2312" w:eastAsia="仿宋_GB2312" w:cs="仿宋_GB2312"/>
                <w:color w:val="auto"/>
                <w:sz w:val="24"/>
                <w:szCs w:val="24"/>
                <w:highlight w:val="none"/>
              </w:rPr>
              <w:t>、健身操等。融入职业体能训练，结合专业特点设计教学内容。</w:t>
            </w:r>
          </w:p>
        </w:tc>
        <w:tc>
          <w:tcPr>
            <w:tcW w:w="2682" w:type="dxa"/>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shd w:val="clear" w:color="auto" w:fill="FFFFFF"/>
              </w:rPr>
            </w:pPr>
            <w:r>
              <w:rPr>
                <w:rFonts w:hint="eastAsia" w:ascii="仿宋_GB2312" w:hAnsi="仿宋_GB2312" w:eastAsia="仿宋_GB2312" w:cs="仿宋_GB2312"/>
                <w:color w:val="auto"/>
                <w:sz w:val="24"/>
                <w:szCs w:val="24"/>
                <w:highlight w:val="none"/>
                <w:lang w:val="en-US" w:eastAsia="zh-CN"/>
              </w:rPr>
              <w:t>教师需</w:t>
            </w:r>
            <w:r>
              <w:rPr>
                <w:rFonts w:hint="eastAsia" w:ascii="仿宋_GB2312" w:hAnsi="仿宋_GB2312" w:eastAsia="仿宋_GB2312" w:cs="仿宋_GB2312"/>
                <w:color w:val="auto"/>
                <w:sz w:val="24"/>
                <w:szCs w:val="24"/>
                <w:highlight w:val="none"/>
              </w:rPr>
              <w:t>采用示范教学与分组练习相结合的方式，注重因材施教。合理运用信息化教学手段，创新教学方法。学生需按时出勤，积极参与训练，完成课后锻炼任务。教学过程中要注重安全教育，培养学生终身体育意识，营造积极向上的体育文化氛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 w:hAnsi="仿宋" w:eastAsia="仿宋" w:cs="仿宋"/>
                <w:color w:val="auto"/>
                <w:sz w:val="24"/>
                <w:szCs w:val="24"/>
                <w:highlight w:val="none"/>
                <w:lang w:val="en-US" w:eastAsia="zh-CN"/>
              </w:rPr>
              <w:t>9</w:t>
            </w:r>
          </w:p>
        </w:tc>
        <w:tc>
          <w:tcPr>
            <w:tcW w:w="813"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 w:hAnsi="仿宋" w:eastAsia="仿宋" w:cs="仿宋"/>
                <w:color w:val="auto"/>
                <w:sz w:val="24"/>
                <w:szCs w:val="24"/>
                <w:highlight w:val="none"/>
              </w:rPr>
            </w:pPr>
            <w:r>
              <w:rPr>
                <w:rFonts w:hint="eastAsia" w:ascii="仿宋_GB2312" w:hAnsi="仿宋_GB2312" w:eastAsia="仿宋_GB2312" w:cs="仿宋_GB2312"/>
                <w:color w:val="auto"/>
                <w:sz w:val="24"/>
                <w:szCs w:val="24"/>
                <w:highlight w:val="none"/>
              </w:rPr>
              <w:t>大学生职业发展与就业指导</w:t>
            </w:r>
          </w:p>
        </w:tc>
        <w:tc>
          <w:tcPr>
            <w:tcW w:w="3750"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掌握职业生涯规划基本理论，了解就业政策与劳动法规。学习求职材料制作规范，熟悉职场礼仪与职业素养要求。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培养职业规划与决策能力，提升简历制作与面试技巧</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提高学生求职应职技巧，</w:t>
            </w:r>
            <w:r>
              <w:rPr>
                <w:rFonts w:hint="eastAsia" w:ascii="仿宋_GB2312" w:hAnsi="仿宋_GB2312" w:eastAsia="仿宋_GB2312" w:cs="仿宋_GB2312"/>
                <w:color w:val="auto"/>
                <w:sz w:val="24"/>
                <w:szCs w:val="24"/>
                <w:highlight w:val="none"/>
              </w:rPr>
              <w:t>增强就业信息获取能力，掌握职场适应与职业发展方法。</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分析当前大学生面临的就业形势，帮助学生及时了解就业市场的需求形势和国家、地方有关大学生就业的政策，按照社会需求确立就业心理，树立正确的就业观念和就业取向。</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通过加强就业形势和政策的宣传教育，</w:t>
            </w:r>
            <w:r>
              <w:rPr>
                <w:rFonts w:hint="eastAsia" w:ascii="仿宋_GB2312" w:hAnsi="仿宋_GB2312" w:eastAsia="仿宋_GB2312" w:cs="仿宋_GB2312"/>
                <w:b w:val="0"/>
                <w:bCs w:val="0"/>
                <w:color w:val="auto"/>
                <w:kern w:val="2"/>
                <w:sz w:val="24"/>
                <w:szCs w:val="24"/>
                <w:highlight w:val="none"/>
                <w:lang w:val="en-US" w:eastAsia="zh-CN" w:bidi="ar-SA"/>
              </w:rPr>
              <w:t>引导广大学生深刻认识到党和国家“以人民为中心”的发展理念，切实增强对国家保就业、稳增长工作的信心，充分感知国家在相关领域的坚实能力。</w:t>
            </w:r>
          </w:p>
        </w:tc>
        <w:tc>
          <w:tcPr>
            <w:tcW w:w="3021" w:type="dxa"/>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课程包含职业认知、职业规划、求职技能、职场适应四大模块。通过职业测评、行业分析、简历制作、模拟面试等实践活动，帮助学生了解职业世界，掌握求职技巧。结合专业特点，开展行业专家讲座、企业参观等特色教学活动，强化职业认知与规划能力。</w:t>
            </w:r>
          </w:p>
        </w:tc>
        <w:tc>
          <w:tcPr>
            <w:tcW w:w="2682" w:type="dxa"/>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shd w:val="clear" w:color="auto" w:fill="FFFFFF"/>
              </w:rPr>
            </w:pPr>
            <w:r>
              <w:rPr>
                <w:rFonts w:hint="eastAsia" w:ascii="仿宋_GB2312" w:hAnsi="仿宋_GB2312" w:eastAsia="仿宋_GB2312" w:cs="仿宋_GB2312"/>
                <w:color w:val="auto"/>
                <w:sz w:val="24"/>
                <w:szCs w:val="24"/>
                <w:highlight w:val="none"/>
              </w:rPr>
              <w:t>教师需结合专业特色，采用案例教学、情景模拟等互动式教学方法，注重实践环节设计。学生需主动参与课堂活动，完成职业探索任务，积极进行自我认知与职业规划。教学过程中要注重个性化指导，针对不同学生特点提供差异化就业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 w:hAnsi="仿宋" w:eastAsia="仿宋" w:cs="仿宋"/>
                <w:color w:val="auto"/>
                <w:sz w:val="24"/>
                <w:szCs w:val="24"/>
                <w:highlight w:val="none"/>
                <w:lang w:val="en-US" w:eastAsia="zh-CN"/>
              </w:rPr>
              <w:t>10</w:t>
            </w:r>
          </w:p>
        </w:tc>
        <w:tc>
          <w:tcPr>
            <w:tcW w:w="813"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 w:hAnsi="仿宋" w:eastAsia="仿宋" w:cs="仿宋"/>
                <w:color w:val="auto"/>
                <w:sz w:val="24"/>
                <w:szCs w:val="24"/>
                <w:highlight w:val="none"/>
              </w:rPr>
            </w:pPr>
            <w:r>
              <w:rPr>
                <w:rFonts w:hint="eastAsia" w:ascii="仿宋_GB2312" w:hAnsi="仿宋_GB2312" w:eastAsia="仿宋_GB2312" w:cs="仿宋_GB2312"/>
                <w:color w:val="auto"/>
                <w:sz w:val="24"/>
                <w:szCs w:val="24"/>
                <w:highlight w:val="none"/>
              </w:rPr>
              <w:t>大学生心理健康教育</w:t>
            </w:r>
          </w:p>
        </w:tc>
        <w:tc>
          <w:tcPr>
            <w:tcW w:w="3750"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掌握心理健康基本概念和标准，了解常见心理问题表现及成因。</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color w:val="auto"/>
                <w:sz w:val="24"/>
                <w:szCs w:val="24"/>
                <w:highlight w:val="none"/>
              </w:rPr>
              <w:t>情绪管理、压力应对等</w:t>
            </w:r>
            <w:r>
              <w:rPr>
                <w:rFonts w:hint="eastAsia" w:ascii="仿宋_GB2312" w:hAnsi="仿宋_GB2312" w:eastAsia="仿宋_GB2312" w:cs="仿宋_GB2312"/>
                <w:color w:val="auto"/>
                <w:spacing w:val="-6"/>
                <w:sz w:val="24"/>
                <w:szCs w:val="24"/>
                <w:highlight w:val="none"/>
              </w:rPr>
              <w:t>心理调适方法，增强自我认知能力。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情绪调节与压力管理能力，提升人际沟通与冲突解决水平。使学生掌握心理自助技巧，具备初步心理问题识别与求助能力。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积极乐观的人生态度，增强心理韧性和适应能力。树立正确的自我认知，形成健康的生活方式与行为习惯。</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坚持育心与育德相结合，引导学生以自尊自信、理性平和、积极向上的健康心态正 确对待和处理成长中的心理困惑和问题，始终围绕社会主义核心价值观来发展和完善自身人格，将个人自我实现的追求与社会发展结合起来。</w:t>
            </w:r>
          </w:p>
        </w:tc>
        <w:tc>
          <w:tcPr>
            <w:tcW w:w="3021" w:type="dxa"/>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课程包含心理健康基础知识、情绪管理、人际交往、压力应对等模块。通过案例分析、团体辅导等形式，帮助学生掌握心理调适技能。结合学生特点，重点讲解职业心理适应、就业压力疏导等内容，提升学生心理素质。</w:t>
            </w:r>
          </w:p>
        </w:tc>
        <w:tc>
          <w:tcPr>
            <w:tcW w:w="2682" w:type="dxa"/>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shd w:val="clear" w:color="auto" w:fill="FFFFFF"/>
              </w:rPr>
            </w:pPr>
            <w:r>
              <w:rPr>
                <w:rFonts w:hint="eastAsia" w:ascii="仿宋_GB2312" w:hAnsi="仿宋_GB2312" w:eastAsia="仿宋_GB2312" w:cs="仿宋_GB2312"/>
                <w:color w:val="auto"/>
                <w:sz w:val="24"/>
                <w:szCs w:val="24"/>
                <w:highlight w:val="none"/>
              </w:rPr>
              <w:t>教师需采用互动体验式教学，创设安全开放的课堂氛围。结合学生实际需求，设计实践性教学活动。学生需积极参与课堂互动，完成心理训练任务。教学中要注重隐私保护，引导学生科学看待心理问题，提升心理健康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 w:hAnsi="仿宋" w:eastAsia="仿宋" w:cs="仿宋"/>
                <w:color w:val="auto"/>
                <w:sz w:val="24"/>
                <w:szCs w:val="24"/>
                <w:highlight w:val="none"/>
                <w:lang w:val="en-US" w:eastAsia="zh-CN"/>
              </w:rPr>
              <w:t>11</w:t>
            </w:r>
          </w:p>
        </w:tc>
        <w:tc>
          <w:tcPr>
            <w:tcW w:w="813"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 w:hAnsi="仿宋" w:eastAsia="仿宋" w:cs="仿宋"/>
                <w:color w:val="auto"/>
                <w:sz w:val="24"/>
                <w:szCs w:val="24"/>
                <w:highlight w:val="none"/>
              </w:rPr>
            </w:pPr>
            <w:r>
              <w:rPr>
                <w:rFonts w:hint="eastAsia" w:ascii="仿宋_GB2312" w:hAnsi="仿宋_GB2312" w:eastAsia="仿宋_GB2312" w:cs="仿宋_GB2312"/>
                <w:color w:val="auto"/>
                <w:sz w:val="24"/>
                <w:szCs w:val="24"/>
                <w:highlight w:val="none"/>
                <w:lang w:val="en-US" w:eastAsia="zh-CN"/>
              </w:rPr>
              <w:t>劳动教育</w:t>
            </w:r>
          </w:p>
        </w:tc>
        <w:tc>
          <w:tcPr>
            <w:tcW w:w="3750"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培养基本劳动技能，提升实践操作能力。掌握团队协作方法，增强问题解决与创新应用能力，适应未来职业劳动需求。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：培育吃苦耐劳精神，树立劳动光荣意识。增强责任担当，培养勤俭节约品质，形成尊重劳动、热爱劳动的良好品格。</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rPr>
              <w:t>培养学生的劳动观念，树立尊重劳动、热爱劳动、珍惜劳动成果的意识；引导学生形成正确的劳动价值观，理解劳动的社会意义和个人价值；培养新时代坚定的马克思主义者和具有工匠精神的社会主义建设者。</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弘扬劳模精神与工匠精神，强化劳动育人功能。</w:t>
            </w:r>
            <w:r>
              <w:rPr>
                <w:rFonts w:hint="eastAsia" w:ascii="仿宋_GB2312" w:hAnsi="仿宋_GB2312" w:eastAsia="仿宋_GB2312" w:cs="仿宋_GB2312"/>
                <w:b w:val="0"/>
                <w:bCs w:val="0"/>
                <w:color w:val="auto"/>
                <w:sz w:val="24"/>
                <w:szCs w:val="24"/>
                <w:highlight w:val="none"/>
              </w:rPr>
              <w:t>引导学生做社会主义核心价值观的积极践行者，培养新时代坚定的马克思主义者和具有工匠精神的社会主义建设者。</w:t>
            </w:r>
          </w:p>
        </w:tc>
        <w:tc>
          <w:tcPr>
            <w:tcW w:w="3021" w:type="dxa"/>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val="en-US" w:eastAsia="zh-CN"/>
              </w:rPr>
              <w:t>主要包括工具使用、设备操作等基础训练；实践环节组织校园服务、专业实习等多样化活动。结合专业特色，设计职业劳动项目，融入新技术、新工艺内容，提升学生劳动素养与职业适应能力。</w:t>
            </w:r>
          </w:p>
        </w:tc>
        <w:tc>
          <w:tcPr>
            <w:tcW w:w="2682" w:type="dxa"/>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shd w:val="clear" w:color="auto" w:fill="FFFFFF"/>
              </w:rPr>
            </w:pPr>
            <w:r>
              <w:rPr>
                <w:rFonts w:hint="eastAsia" w:ascii="仿宋_GB2312" w:hAnsi="仿宋_GB2312" w:eastAsia="仿宋_GB2312" w:cs="仿宋_GB2312"/>
                <w:color w:val="auto"/>
                <w:sz w:val="24"/>
                <w:szCs w:val="24"/>
                <w:highlight w:val="none"/>
                <w:lang w:val="en-US" w:eastAsia="zh-CN"/>
              </w:rPr>
              <w:t>教师需结合专业特点设计教学内容，注重劳动安全教育，规范操作流程。学生需积极参与劳动实践，认真完成劳动任务。教学过程中要突出劳动育人功能，强化劳动价值观教育，注重培养学生的劳动习惯和职业精神，促进德智体美劳全面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w:t>
            </w:r>
          </w:p>
        </w:tc>
        <w:tc>
          <w:tcPr>
            <w:tcW w:w="813"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 w:hAnsi="仿宋" w:eastAsia="仿宋" w:cs="仿宋"/>
                <w:color w:val="auto"/>
                <w:sz w:val="24"/>
                <w:szCs w:val="24"/>
                <w:highlight w:val="none"/>
              </w:rPr>
            </w:pPr>
            <w:r>
              <w:rPr>
                <w:rFonts w:hint="eastAsia" w:ascii="仿宋_GB2312" w:hAnsi="仿宋_GB2312" w:eastAsia="仿宋_GB2312" w:cs="仿宋_GB2312"/>
                <w:color w:val="auto"/>
                <w:sz w:val="24"/>
                <w:szCs w:val="24"/>
                <w:highlight w:val="none"/>
              </w:rPr>
              <w:t>毛泽东思想和中国特色社会主义理论体系概论</w:t>
            </w:r>
          </w:p>
        </w:tc>
        <w:tc>
          <w:tcPr>
            <w:tcW w:w="3750"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全面理解马克思主义中国化理论成果的科学内涵、理论体</w:t>
            </w:r>
            <w:r>
              <w:rPr>
                <w:rFonts w:hint="eastAsia" w:ascii="仿宋_GB2312" w:hAnsi="仿宋_GB2312" w:eastAsia="仿宋_GB2312" w:cs="仿宋_GB2312"/>
                <w:b w:val="0"/>
                <w:bCs w:val="0"/>
                <w:color w:val="auto"/>
                <w:spacing w:val="-6"/>
                <w:sz w:val="24"/>
                <w:szCs w:val="24"/>
                <w:highlight w:val="none"/>
              </w:rPr>
              <w:t>系、思想精髓、精神实质</w:t>
            </w:r>
            <w:r>
              <w:rPr>
                <w:rFonts w:hint="eastAsia" w:ascii="仿宋_GB2312" w:hAnsi="仿宋_GB2312" w:eastAsia="仿宋_GB2312" w:cs="仿宋_GB2312"/>
                <w:b w:val="0"/>
                <w:bCs w:val="0"/>
                <w:color w:val="auto"/>
                <w:spacing w:val="-6"/>
                <w:sz w:val="24"/>
                <w:szCs w:val="24"/>
                <w:highlight w:val="none"/>
                <w:lang w:eastAsia="zh-CN"/>
              </w:rPr>
              <w:t>；</w:t>
            </w:r>
            <w:r>
              <w:rPr>
                <w:rFonts w:hint="eastAsia" w:ascii="仿宋_GB2312" w:hAnsi="仿宋_GB2312" w:eastAsia="仿宋_GB2312" w:cs="仿宋_GB2312"/>
                <w:b w:val="0"/>
                <w:bCs w:val="0"/>
                <w:color w:val="auto"/>
                <w:spacing w:val="-6"/>
                <w:sz w:val="24"/>
                <w:szCs w:val="24"/>
                <w:highlight w:val="none"/>
              </w:rPr>
              <w:t>系统把握马克思主义中国化理论成果所蕴含的马克思主义立场、观点和方法。</w:t>
            </w:r>
            <w:r>
              <w:rPr>
                <w:rFonts w:hint="eastAsia" w:ascii="仿宋_GB2312" w:hAnsi="仿宋_GB2312" w:eastAsia="仿宋_GB2312" w:cs="仿宋_GB2312"/>
                <w:b w:val="0"/>
                <w:bCs w:val="0"/>
                <w:color w:val="auto"/>
                <w:sz w:val="24"/>
                <w:szCs w:val="24"/>
                <w:highlight w:val="none"/>
              </w:rPr>
              <w:t xml:space="preserve"> </w:t>
            </w:r>
            <w:r>
              <w:rPr>
                <w:rFonts w:hint="eastAsia" w:ascii="仿宋_GB2312" w:hAnsi="仿宋_GB2312" w:eastAsia="仿宋_GB2312" w:cs="仿宋_GB2312"/>
                <w:b w:val="0"/>
                <w:bCs w:val="0"/>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学会用马克思主义中国化理论成果分析和解决现实问题，把理论与实践、理想与现实、主观与客观统一起来，自觉</w:t>
            </w:r>
            <w:r>
              <w:rPr>
                <w:rFonts w:hint="eastAsia" w:ascii="仿宋_GB2312" w:hAnsi="仿宋_GB2312" w:eastAsia="仿宋_GB2312" w:cs="仿宋_GB2312"/>
                <w:b w:val="0"/>
                <w:bCs w:val="0"/>
                <w:color w:val="auto"/>
                <w:spacing w:val="-6"/>
                <w:sz w:val="24"/>
                <w:szCs w:val="24"/>
                <w:highlight w:val="none"/>
              </w:rPr>
              <w:t>投身于中国特色社会主义伟大实践。</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w:t>
            </w:r>
            <w:r>
              <w:rPr>
                <w:rFonts w:hint="eastAsia" w:ascii="仿宋_GB2312" w:hAnsi="仿宋_GB2312" w:eastAsia="仿宋_GB2312" w:cs="仿宋_GB2312"/>
                <w:b/>
                <w:bCs/>
                <w:color w:val="auto"/>
                <w:sz w:val="24"/>
                <w:szCs w:val="24"/>
                <w:highlight w:val="none"/>
              </w:rPr>
              <w:t>目标</w:t>
            </w:r>
            <w:r>
              <w:rPr>
                <w:rFonts w:hint="eastAsia" w:ascii="仿宋_GB2312" w:hAnsi="仿宋_GB2312" w:eastAsia="仿宋_GB2312" w:cs="仿宋_GB2312"/>
                <w:b w:val="0"/>
                <w:bCs w:val="0"/>
                <w:color w:val="auto"/>
                <w:sz w:val="24"/>
                <w:szCs w:val="24"/>
                <w:highlight w:val="none"/>
              </w:rPr>
              <w:t>：引导大学生树立科学的世界观、历史观、大局观，深刻理解“中国共产党为什么能” “马克思主义为什么行”“中国特色社会主义为什么好”，</w:t>
            </w:r>
            <w:r>
              <w:rPr>
                <w:rFonts w:hint="eastAsia" w:ascii="仿宋_GB2312" w:hAnsi="仿宋_GB2312" w:eastAsia="仿宋_GB2312" w:cs="仿宋_GB2312"/>
                <w:b w:val="0"/>
                <w:bCs w:val="0"/>
                <w:color w:val="auto"/>
                <w:sz w:val="24"/>
                <w:szCs w:val="24"/>
                <w:highlight w:val="none"/>
                <w:lang w:val="en-US" w:eastAsia="zh-CN"/>
              </w:rPr>
              <w:t>自觉</w:t>
            </w:r>
            <w:r>
              <w:rPr>
                <w:rFonts w:hint="eastAsia" w:ascii="仿宋_GB2312" w:hAnsi="仿宋_GB2312" w:eastAsia="仿宋_GB2312" w:cs="仿宋_GB2312"/>
                <w:b w:val="0"/>
                <w:bCs w:val="0"/>
                <w:color w:val="auto"/>
                <w:sz w:val="24"/>
                <w:szCs w:val="24"/>
                <w:highlight w:val="none"/>
                <w:lang w:eastAsia="zh-CN"/>
              </w:rPr>
              <w:t>增强“四个意识”、坚定“四个自信”、</w:t>
            </w:r>
            <w:r>
              <w:rPr>
                <w:rFonts w:hint="eastAsia" w:ascii="仿宋_GB2312" w:hAnsi="仿宋_GB2312" w:eastAsia="仿宋_GB2312" w:cs="仿宋_GB2312"/>
                <w:b w:val="0"/>
                <w:bCs w:val="0"/>
                <w:color w:val="auto"/>
                <w:sz w:val="24"/>
                <w:szCs w:val="24"/>
                <w:highlight w:val="none"/>
              </w:rPr>
              <w:t>做到“两个维护”，</w:t>
            </w:r>
            <w:r>
              <w:rPr>
                <w:rFonts w:hint="eastAsia" w:ascii="仿宋_GB2312" w:hAnsi="仿宋_GB2312" w:eastAsia="仿宋_GB2312" w:cs="仿宋_GB2312"/>
                <w:b w:val="0"/>
                <w:bCs w:val="0"/>
                <w:color w:val="auto"/>
                <w:sz w:val="24"/>
                <w:szCs w:val="24"/>
                <w:highlight w:val="none"/>
                <w:lang w:val="en-US" w:eastAsia="zh-CN"/>
              </w:rPr>
              <w:t>努力学习</w:t>
            </w:r>
            <w:r>
              <w:rPr>
                <w:rFonts w:hint="eastAsia" w:ascii="仿宋_GB2312" w:hAnsi="仿宋_GB2312" w:eastAsia="仿宋_GB2312" w:cs="仿宋_GB2312"/>
                <w:i w:val="0"/>
                <w:iCs w:val="0"/>
                <w:caps w:val="0"/>
                <w:color w:val="auto"/>
                <w:spacing w:val="0"/>
                <w:sz w:val="24"/>
                <w:szCs w:val="24"/>
                <w:highlight w:val="none"/>
                <w:shd w:val="clear" w:fill="FFFFFF"/>
              </w:rPr>
              <w:t>文化知识，增强自己的本领</w:t>
            </w:r>
            <w:r>
              <w:rPr>
                <w:rFonts w:hint="eastAsia" w:ascii="仿宋_GB2312" w:hAnsi="仿宋_GB2312" w:eastAsia="仿宋_GB2312" w:cs="仿宋_GB2312"/>
                <w:i w:val="0"/>
                <w:iCs w:val="0"/>
                <w:caps w:val="0"/>
                <w:color w:val="auto"/>
                <w:spacing w:val="0"/>
                <w:sz w:val="24"/>
                <w:szCs w:val="24"/>
                <w:highlight w:val="none"/>
                <w:shd w:val="clear" w:fill="FFFFFF"/>
                <w:lang w:eastAsia="zh-CN"/>
              </w:rPr>
              <w:t>，</w:t>
            </w:r>
            <w:r>
              <w:rPr>
                <w:rFonts w:hint="eastAsia" w:ascii="仿宋_GB2312" w:hAnsi="仿宋_GB2312" w:eastAsia="仿宋_GB2312" w:cs="仿宋_GB2312"/>
                <w:b w:val="0"/>
                <w:bCs w:val="0"/>
                <w:color w:val="auto"/>
                <w:sz w:val="24"/>
                <w:szCs w:val="24"/>
                <w:highlight w:val="none"/>
              </w:rPr>
              <w:t>为实现中华民族伟大复兴中国梦而努力。</w:t>
            </w:r>
          </w:p>
        </w:tc>
        <w:tc>
          <w:tcPr>
            <w:tcW w:w="3021"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课程</w:t>
            </w:r>
            <w:r>
              <w:rPr>
                <w:rFonts w:hint="eastAsia" w:ascii="仿宋_GB2312" w:hAnsi="仿宋_GB2312" w:eastAsia="仿宋_GB2312" w:cs="仿宋_GB2312"/>
                <w:b w:val="0"/>
                <w:bCs w:val="0"/>
                <w:color w:val="auto"/>
                <w:sz w:val="24"/>
                <w:szCs w:val="24"/>
                <w:highlight w:val="none"/>
              </w:rPr>
              <w:t>包括三大知识模块：一是马克思主义中国化的科学内涵和理论成果；二是阐述毛泽东思想的时 代背景、主要内容和历史地位；三是分别阐述邓小平理论、“三个代表”重要思想、科学发展观形成的社会历史条件、形成发展过程、主要内容和历史地位。</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p>
        </w:tc>
        <w:tc>
          <w:tcPr>
            <w:tcW w:w="2682"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通过教师运用信息化技术进行史论结合、案例丰富的讲授，引导学生系统掌握马克思主义基本原理和马克思主义中国化理论成果，了解党史、新中国史、改革开放史、社会主义发展史，认识世情、国情、党情，培养运用马克思主义立场观点方法分析和解决问题的能力； 矢志不渝听党话</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跟党走，争做社会主义合格建设者和 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 w:hAnsi="仿宋" w:eastAsia="仿宋" w:cs="仿宋"/>
                <w:color w:val="auto"/>
                <w:sz w:val="24"/>
                <w:szCs w:val="24"/>
                <w:highlight w:val="none"/>
                <w:lang w:val="en-US" w:eastAsia="zh-CN"/>
              </w:rPr>
              <w:t>13</w:t>
            </w:r>
          </w:p>
        </w:tc>
        <w:tc>
          <w:tcPr>
            <w:tcW w:w="813"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 w:hAnsi="仿宋" w:eastAsia="仿宋" w:cs="仿宋"/>
                <w:color w:val="auto"/>
                <w:sz w:val="24"/>
                <w:szCs w:val="24"/>
                <w:highlight w:val="none"/>
              </w:rPr>
            </w:pPr>
            <w:r>
              <w:rPr>
                <w:rFonts w:hint="eastAsia" w:ascii="仿宋_GB2312" w:hAnsi="仿宋_GB2312" w:eastAsia="仿宋_GB2312" w:cs="仿宋_GB2312"/>
                <w:color w:val="auto"/>
                <w:sz w:val="24"/>
                <w:szCs w:val="24"/>
                <w:highlight w:val="none"/>
              </w:rPr>
              <w:t>创新创业教育</w:t>
            </w:r>
          </w:p>
        </w:tc>
        <w:tc>
          <w:tcPr>
            <w:tcW w:w="3750"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熟悉创新思维的内涵及其基本训练方法；</w:t>
            </w:r>
            <w:r>
              <w:rPr>
                <w:rFonts w:hint="eastAsia" w:ascii="仿宋_GB2312" w:hAnsi="仿宋_GB2312" w:eastAsia="仿宋_GB2312" w:cs="仿宋_GB2312"/>
                <w:color w:val="auto"/>
                <w:sz w:val="24"/>
                <w:szCs w:val="24"/>
                <w:highlight w:val="none"/>
                <w:lang w:val="en-US" w:eastAsia="zh-CN"/>
              </w:rPr>
              <w:t>了解商业模式设计要点，</w:t>
            </w:r>
            <w:r>
              <w:rPr>
                <w:rFonts w:hint="eastAsia" w:ascii="仿宋_GB2312" w:hAnsi="仿宋_GB2312" w:eastAsia="仿宋_GB2312" w:cs="仿宋_GB2312"/>
                <w:b w:val="0"/>
                <w:bCs w:val="0"/>
                <w:color w:val="auto"/>
                <w:sz w:val="24"/>
                <w:szCs w:val="24"/>
                <w:highlight w:val="none"/>
              </w:rPr>
              <w:t>掌握常用的创新方法；掌握保护创新成果的方法</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了解创新创业政策法规。</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 xml:space="preserve"> </w:t>
            </w:r>
            <w:r>
              <w:rPr>
                <w:rFonts w:hint="eastAsia" w:ascii="仿宋_GB2312" w:hAnsi="仿宋_GB2312" w:eastAsia="仿宋_GB2312" w:cs="仿宋_GB2312"/>
                <w:color w:val="auto"/>
                <w:sz w:val="24"/>
                <w:szCs w:val="24"/>
                <w:highlight w:val="none"/>
                <w:lang w:val="en-US" w:eastAsia="zh-CN"/>
              </w:rPr>
              <w:t>培养创新思维与机会识别能力，提升商业计划书撰写水平。增强资源整合与项目管理能力，掌握创业风险防范与应对方法。</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培育开拓进取精神，树立正确的创业价值观。增强团队协作意识，培养抗压能力与责任担当，形成积极向上的创业心态。</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融入企业家精神教育，强化社会责任意识。通过创新创业案例培育家国情怀，引导学生将个人发展融入国家创新驱动</w:t>
            </w:r>
            <w:r>
              <w:rPr>
                <w:rFonts w:hint="eastAsia" w:ascii="仿宋_GB2312" w:hAnsi="仿宋_GB2312" w:eastAsia="仿宋_GB2312" w:cs="仿宋_GB2312"/>
                <w:b w:val="0"/>
                <w:bCs w:val="0"/>
                <w:color w:val="auto"/>
                <w:sz w:val="24"/>
                <w:szCs w:val="24"/>
                <w:highlight w:val="none"/>
                <w:lang w:val="en-US" w:eastAsia="zh-CN"/>
              </w:rPr>
              <w:t>发展</w:t>
            </w:r>
            <w:r>
              <w:rPr>
                <w:rFonts w:hint="eastAsia" w:ascii="仿宋_GB2312" w:hAnsi="仿宋_GB2312" w:eastAsia="仿宋_GB2312" w:cs="仿宋_GB2312"/>
                <w:b w:val="0"/>
                <w:bCs w:val="0"/>
                <w:color w:val="auto"/>
                <w:sz w:val="24"/>
                <w:szCs w:val="24"/>
                <w:highlight w:val="none"/>
              </w:rPr>
              <w:t>战略。</w:t>
            </w:r>
          </w:p>
        </w:tc>
        <w:tc>
          <w:tcPr>
            <w:tcW w:w="3021" w:type="dxa"/>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val="en-US" w:eastAsia="zh-CN"/>
              </w:rPr>
              <w:t>课程包含创新思维训练、创业基础知识、商业计划设计、创业模拟实践四大模块。通过案例分析、工作坊等形式开展创新方法训练，组织商业模式设计、路演展示等实践活动。结合区域经济发展需求，引入真实创业项目，开展校企合作实践，强化学生创新创业能力培养。</w:t>
            </w:r>
          </w:p>
        </w:tc>
        <w:tc>
          <w:tcPr>
            <w:tcW w:w="2682" w:type="dxa"/>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shd w:val="clear" w:color="auto" w:fill="FFFFFF"/>
              </w:rPr>
            </w:pPr>
            <w:r>
              <w:rPr>
                <w:rFonts w:hint="eastAsia" w:ascii="仿宋_GB2312" w:hAnsi="仿宋_GB2312" w:eastAsia="仿宋_GB2312" w:cs="仿宋_GB2312"/>
                <w:color w:val="auto"/>
                <w:sz w:val="24"/>
                <w:szCs w:val="24"/>
                <w:highlight w:val="none"/>
                <w:lang w:val="en-US" w:eastAsia="zh-CN"/>
              </w:rPr>
              <w:t>教师需采用项目驱动式教学，设计真实创业情境任务。邀请企业家参与教学，保持教学内容的前沿性。学生需主动参与创新实践，完成商业计划设计。教学中要注重理论与实践结合，突出创新思维培养，强化创业伦理教育，提升学生创新创业综合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 w:hAnsi="仿宋" w:eastAsia="仿宋" w:cs="仿宋"/>
                <w:color w:val="auto"/>
                <w:sz w:val="24"/>
                <w:szCs w:val="24"/>
                <w:highlight w:val="none"/>
                <w:lang w:val="en-US" w:eastAsia="zh-CN"/>
              </w:rPr>
              <w:t>14</w:t>
            </w:r>
          </w:p>
        </w:tc>
        <w:tc>
          <w:tcPr>
            <w:tcW w:w="813"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 w:hAnsi="仿宋" w:eastAsia="仿宋" w:cs="仿宋"/>
                <w:color w:val="auto"/>
                <w:sz w:val="24"/>
                <w:szCs w:val="24"/>
                <w:highlight w:val="none"/>
              </w:rPr>
            </w:pPr>
            <w:r>
              <w:rPr>
                <w:rFonts w:hint="eastAsia" w:ascii="仿宋_GB2312" w:hAnsi="仿宋_GB2312" w:eastAsia="仿宋_GB2312" w:cs="仿宋_GB2312"/>
                <w:color w:val="auto"/>
                <w:sz w:val="24"/>
                <w:szCs w:val="24"/>
                <w:highlight w:val="none"/>
              </w:rPr>
              <w:t>习近平新时代中国特色社会主义思想概论</w:t>
            </w:r>
          </w:p>
        </w:tc>
        <w:tc>
          <w:tcPr>
            <w:tcW w:w="3750"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深刻理解习近平新时代中国特色社会主义思想是马克思主义中国化的最新理论成果；系统把握习近平新时代中国特色社会主义思想的核心观点和基本方略。</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提升大学生运用所学新思想、新理论分析和解决现实问题的能力；增强大学生全面贯彻党的基本理论和基本方略的自觉性和主动性。</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引导大学生自觉运用习近平新时代中国特色社会主义思想武装头脑，积极投身到建设新时代中国特色社会主义的伟大历史进程中，实现中国梦。 帮助大学生</w:t>
            </w:r>
            <w:r>
              <w:rPr>
                <w:rFonts w:hint="eastAsia" w:ascii="仿宋_GB2312" w:hAnsi="仿宋_GB2312" w:eastAsia="仿宋_GB2312" w:cs="仿宋_GB2312"/>
                <w:b w:val="0"/>
                <w:bCs w:val="0"/>
                <w:color w:val="auto"/>
                <w:sz w:val="24"/>
                <w:szCs w:val="24"/>
                <w:highlight w:val="none"/>
                <w:lang w:eastAsia="zh-CN"/>
              </w:rPr>
              <w:t>增强“四个意识”、坚定“四个自信”、做到“两个维护”</w:t>
            </w:r>
            <w:r>
              <w:rPr>
                <w:rFonts w:hint="eastAsia" w:ascii="仿宋_GB2312" w:hAnsi="仿宋_GB2312" w:eastAsia="仿宋_GB2312" w:cs="仿宋_GB2312"/>
                <w:b w:val="0"/>
                <w:bCs w:val="0"/>
                <w:color w:val="auto"/>
                <w:sz w:val="24"/>
                <w:szCs w:val="24"/>
                <w:highlight w:val="none"/>
              </w:rPr>
              <w:t xml:space="preserve">。 </w:t>
            </w:r>
          </w:p>
        </w:tc>
        <w:tc>
          <w:tcPr>
            <w:tcW w:w="3021"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课程主要的知识模块</w:t>
            </w:r>
            <w:r>
              <w:rPr>
                <w:rFonts w:hint="eastAsia" w:ascii="仿宋_GB2312" w:hAnsi="仿宋_GB2312" w:eastAsia="仿宋_GB2312" w:cs="仿宋_GB2312"/>
                <w:color w:val="auto"/>
                <w:sz w:val="24"/>
                <w:szCs w:val="24"/>
                <w:highlight w:val="none"/>
                <w:lang w:val="en-US" w:eastAsia="zh-CN"/>
              </w:rPr>
              <w:t>包括</w:t>
            </w:r>
            <w:r>
              <w:rPr>
                <w:rFonts w:hint="eastAsia" w:ascii="仿宋_GB2312" w:hAnsi="仿宋_GB2312" w:eastAsia="仿宋_GB2312" w:cs="仿宋_GB2312"/>
                <w:color w:val="auto"/>
                <w:sz w:val="24"/>
                <w:szCs w:val="24"/>
                <w:highlight w:val="none"/>
              </w:rPr>
              <w:t>：习近平新时代中国特色社会主义思想及其历史地位、坚持和发展中国特色社会主义的总任务、</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“五位一体”总体布局、“四个全面”战略布局、实现中华民族伟大复兴的重要保障、中国特色大国外交、坚持和加强党的领导</w:t>
            </w:r>
            <w:r>
              <w:rPr>
                <w:rFonts w:hint="eastAsia" w:ascii="仿宋_GB2312" w:hAnsi="仿宋_GB2312" w:eastAsia="仿宋_GB2312" w:cs="仿宋_GB2312"/>
                <w:color w:val="auto"/>
                <w:sz w:val="24"/>
                <w:szCs w:val="24"/>
                <w:highlight w:val="none"/>
                <w:lang w:val="en-US" w:eastAsia="zh-CN"/>
              </w:rPr>
              <w:t>等内容。</w:t>
            </w:r>
          </w:p>
        </w:tc>
        <w:tc>
          <w:tcPr>
            <w:tcW w:w="2682"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shd w:val="clear" w:color="auto" w:fill="FFFFFF"/>
              </w:rPr>
            </w:pPr>
            <w:r>
              <w:rPr>
                <w:rFonts w:hint="eastAsia" w:ascii="仿宋_GB2312" w:hAnsi="仿宋_GB2312" w:eastAsia="仿宋_GB2312" w:cs="仿宋_GB2312"/>
                <w:color w:val="auto"/>
                <w:sz w:val="24"/>
                <w:szCs w:val="24"/>
                <w:highlight w:val="none"/>
              </w:rPr>
              <w:t xml:space="preserve">通过教师的混合式教学 </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史论结合 、案例丰富的教学，让学生感悟党的创新理论的思想伟力，坚持用马克思主义理论指导实践，做 “学思想、强党性、重实践、建新功”的新时代青年。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 w:hAnsi="仿宋" w:eastAsia="仿宋" w:cs="仿宋"/>
                <w:color w:val="auto"/>
                <w:sz w:val="24"/>
                <w:szCs w:val="24"/>
                <w:highlight w:val="none"/>
                <w:lang w:val="en-US" w:eastAsia="zh-CN"/>
              </w:rPr>
              <w:t>15</w:t>
            </w:r>
          </w:p>
        </w:tc>
        <w:tc>
          <w:tcPr>
            <w:tcW w:w="813"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 w:hAnsi="仿宋" w:eastAsia="仿宋" w:cs="仿宋"/>
                <w:color w:val="auto"/>
                <w:sz w:val="24"/>
                <w:szCs w:val="24"/>
                <w:highlight w:val="none"/>
              </w:rPr>
            </w:pPr>
            <w:r>
              <w:rPr>
                <w:rFonts w:hint="eastAsia" w:ascii="仿宋_GB2312" w:hAnsi="仿宋_GB2312" w:eastAsia="仿宋_GB2312" w:cs="仿宋_GB2312"/>
                <w:color w:val="auto"/>
                <w:sz w:val="24"/>
                <w:szCs w:val="24"/>
                <w:highlight w:val="none"/>
              </w:rPr>
              <w:t>中国民俗剪纸技法</w:t>
            </w:r>
          </w:p>
        </w:tc>
        <w:tc>
          <w:tcPr>
            <w:tcW w:w="3750"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了解剪纸的历史与文化内涵和掌握剪纸的基本知识。</w:t>
            </w:r>
            <w:r>
              <w:rPr>
                <w:rFonts w:hint="eastAsia" w:ascii="仿宋_GB2312" w:hAnsi="仿宋_GB2312" w:eastAsia="仿宋_GB2312" w:cs="仿宋_GB2312"/>
                <w:color w:val="auto"/>
                <w:sz w:val="24"/>
                <w:szCs w:val="24"/>
                <w:highlight w:val="none"/>
                <w:lang w:val="en-US" w:eastAsia="zh-CN"/>
              </w:rPr>
              <w:t>掌握剪纸艺术的历史渊源与文化内涵，了解不同地域的剪纸风格特点。学习传统剪纸纹样寓意，掌握基础剪纸工具使用方法与安全规范。</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b/>
                <w:bCs/>
                <w:color w:val="auto"/>
                <w:sz w:val="24"/>
                <w:szCs w:val="24"/>
                <w:highlight w:val="none"/>
                <w:lang w:val="en-US" w:eastAsia="zh-CN"/>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学生能够熟练掌握剪纸的基本技法、剪纸的构图技巧，</w:t>
            </w:r>
            <w:r>
              <w:rPr>
                <w:rFonts w:hint="eastAsia" w:ascii="仿宋_GB2312" w:hAnsi="仿宋_GB2312" w:eastAsia="仿宋_GB2312" w:cs="仿宋_GB2312"/>
                <w:color w:val="auto"/>
                <w:sz w:val="24"/>
                <w:szCs w:val="24"/>
                <w:highlight w:val="none"/>
                <w:lang w:val="en-US" w:eastAsia="zh-CN"/>
              </w:rPr>
              <w:t>培养图案设计与剪刀运用能力，掌握对称、连续等基础剪纸技法。</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学会运用多种剪纸技法进行创作，鼓励学生在传统剪纸技法的基础上进行创新，结合现代设计理念和元素，创作出具有时代感和个性的剪纸作品。</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培育耐心细致的工作态度，提升审美鉴赏能力。增强文化自信，传承非遗技艺，培养创新思维与艺术表现力。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通过剪纸艺术，弘扬中华优秀传统文化，增强民族自豪感。在技艺传承中培育工匠精神，树立文化传承的责任意识。</w:t>
            </w:r>
          </w:p>
        </w:tc>
        <w:tc>
          <w:tcPr>
            <w:tcW w:w="3021" w:type="dxa"/>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val="en-US" w:eastAsia="zh-CN"/>
              </w:rPr>
              <w:t>课程包含剪纸文化理论、基础技法训练、创意设计实践三大模块。理论部分讲解剪纸发展历史与地域特色；技法训练包括对称剪、镂空剪等基础技法；实践环节设计传统纹样临摹与创新作品制作。结合现代设计理念，融入专业特色，开展主题性剪纸创作，如节庆装饰、文创产品设计等实践项目。</w:t>
            </w:r>
          </w:p>
        </w:tc>
        <w:tc>
          <w:tcPr>
            <w:tcW w:w="2682" w:type="dxa"/>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shd w:val="clear" w:color="auto" w:fill="FFFFFF"/>
              </w:rPr>
            </w:pPr>
            <w:r>
              <w:rPr>
                <w:rFonts w:hint="eastAsia" w:ascii="仿宋_GB2312" w:hAnsi="仿宋_GB2312" w:eastAsia="仿宋_GB2312" w:cs="仿宋_GB2312"/>
                <w:color w:val="auto"/>
                <w:sz w:val="24"/>
                <w:szCs w:val="24"/>
                <w:highlight w:val="none"/>
                <w:lang w:val="en-US" w:eastAsia="zh-CN"/>
              </w:rPr>
              <w:t>教师需采用示范教学与个别指导相结合的方式，注重传统技艺的规范性。准备充足的教学素材与工具，创设良好的创作环境。学生需认真完成课堂练习，积极参与创作实践。教学中要突出文化传承价值，注重培养学生的审美能力与创新意识，鼓励将传统技艺与现代设计相结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 w:hAnsi="仿宋" w:eastAsia="仿宋" w:cs="仿宋"/>
                <w:color w:val="auto"/>
                <w:sz w:val="24"/>
                <w:szCs w:val="24"/>
                <w:highlight w:val="none"/>
                <w:lang w:val="en-US" w:eastAsia="zh-CN"/>
              </w:rPr>
              <w:t>16</w:t>
            </w:r>
          </w:p>
        </w:tc>
        <w:tc>
          <w:tcPr>
            <w:tcW w:w="813"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 w:hAnsi="仿宋" w:eastAsia="仿宋" w:cs="仿宋"/>
                <w:color w:val="auto"/>
                <w:sz w:val="24"/>
                <w:szCs w:val="24"/>
                <w:highlight w:val="none"/>
              </w:rPr>
            </w:pPr>
            <w:r>
              <w:rPr>
                <w:rFonts w:hint="eastAsia" w:ascii="仿宋_GB2312" w:hAnsi="仿宋_GB2312" w:eastAsia="仿宋_GB2312" w:cs="仿宋_GB2312"/>
                <w:color w:val="auto"/>
                <w:sz w:val="24"/>
                <w:szCs w:val="24"/>
                <w:highlight w:val="none"/>
              </w:rPr>
              <w:t>影视与鉴赏</w:t>
            </w:r>
          </w:p>
        </w:tc>
        <w:tc>
          <w:tcPr>
            <w:tcW w:w="3750"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掌握影视基础知识，了解影视艺术的基本概念、发展历程、主要类型和流派。掌握影视制作的基本流程，鉴赏不同类型影视作品的基本方法和技巧，</w:t>
            </w:r>
            <w:r>
              <w:rPr>
                <w:rFonts w:hint="eastAsia" w:ascii="仿宋_GB2312" w:hAnsi="仿宋_GB2312" w:eastAsia="仿宋_GB2312" w:cs="仿宋_GB2312"/>
                <w:color w:val="auto"/>
                <w:sz w:val="24"/>
                <w:szCs w:val="24"/>
                <w:highlight w:val="none"/>
                <w:lang w:val="en-US" w:eastAsia="zh-CN"/>
              </w:rPr>
              <w:t>掌握影视创作基本流程。</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培养影视作品分析鉴赏能力，提升视听语言理解水平。掌握影视评论写作方法，具备基础影视审美判断能力。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培育艺术审美情趣，提高文化修养水平。增强创新思维能力，树立正确的价值观和艺术观。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通过优秀影视作品弘扬社会主义核心价值观。在艺术鉴赏中增强文化自信，培养家国情怀和人文精神。</w:t>
            </w:r>
          </w:p>
        </w:tc>
        <w:tc>
          <w:tcPr>
            <w:tcW w:w="3021" w:type="dxa"/>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val="en-US" w:eastAsia="zh-CN"/>
              </w:rPr>
              <w:t>课程包含影视艺术基础理论、经典作品赏析、创作实践三个模块。理论部分讲解影视语言、类型特征等基础知识；赏析环节重点分析中外经典影片；实践模块组织短片创作、影评写作等活动。结合时代特色，选取反映社会发展的优秀作品，开展主题式影视教育活动。</w:t>
            </w:r>
          </w:p>
        </w:tc>
        <w:tc>
          <w:tcPr>
            <w:tcW w:w="2682" w:type="dxa"/>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shd w:val="clear" w:color="auto" w:fill="FFFFFF"/>
              </w:rPr>
            </w:pPr>
            <w:r>
              <w:rPr>
                <w:rFonts w:hint="eastAsia" w:ascii="仿宋_GB2312" w:hAnsi="仿宋_GB2312" w:eastAsia="仿宋_GB2312" w:cs="仿宋_GB2312"/>
                <w:color w:val="auto"/>
                <w:sz w:val="24"/>
                <w:szCs w:val="24"/>
                <w:highlight w:val="none"/>
                <w:lang w:val="en-US" w:eastAsia="zh-CN"/>
              </w:rPr>
              <w:t>教师需采用案例教学与互动讨论相结合的方式，精选具有教育意义的影视作品。学生需积极参与课堂讨论，完成鉴赏作业。教学中要注重价值引导，突出美育功能，培养学生批判性思维能力，提升艺术素养和人文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17</w:t>
            </w:r>
          </w:p>
        </w:tc>
        <w:tc>
          <w:tcPr>
            <w:tcW w:w="813"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 w:hAnsi="仿宋" w:eastAsia="仿宋" w:cs="仿宋"/>
                <w:color w:val="auto"/>
                <w:sz w:val="24"/>
                <w:szCs w:val="24"/>
                <w:highlight w:val="none"/>
              </w:rPr>
            </w:pPr>
            <w:r>
              <w:rPr>
                <w:rFonts w:hint="eastAsia" w:ascii="仿宋_GB2312" w:hAnsi="仿宋_GB2312" w:eastAsia="仿宋_GB2312" w:cs="仿宋_GB2312"/>
                <w:color w:val="auto"/>
                <w:sz w:val="24"/>
                <w:szCs w:val="24"/>
                <w:highlight w:val="none"/>
              </w:rPr>
              <w:t>中国共产党简史</w:t>
            </w:r>
          </w:p>
        </w:tc>
        <w:tc>
          <w:tcPr>
            <w:tcW w:w="3750"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把握中国共产党历史发展脉络，了解中国共产党百年奋</w:t>
            </w:r>
            <w:r>
              <w:rPr>
                <w:rFonts w:hint="eastAsia" w:ascii="仿宋_GB2312" w:hAnsi="仿宋_GB2312" w:eastAsia="仿宋_GB2312" w:cs="仿宋_GB2312"/>
                <w:color w:val="auto"/>
                <w:sz w:val="24"/>
                <w:szCs w:val="24"/>
                <w:highlight w:val="none"/>
                <w:lang w:eastAsia="zh-CN"/>
              </w:rPr>
              <w:t>斗的</w:t>
            </w:r>
            <w:r>
              <w:rPr>
                <w:rFonts w:hint="eastAsia" w:ascii="仿宋_GB2312" w:hAnsi="仿宋_GB2312" w:eastAsia="仿宋_GB2312" w:cs="仿宋_GB2312"/>
                <w:color w:val="auto"/>
                <w:sz w:val="24"/>
                <w:szCs w:val="24"/>
                <w:highlight w:val="none"/>
              </w:rPr>
              <w:t>重大历史成就与历史经验；了解中国共产党是如何团结带领中国人民克服千难万险，创造了一个又一个彪炳史册的人间奇迹；了解一代又一代优秀中国共产党人的为民情怀与高尚情操。</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深刻领会“四大选择”，即历史和人民怎样选择了马克思主义、怎样选择了中国共产党、怎样选择了社会主义道路、选择了改革开放；历史和人民怎样经过艰辛曲折的社会主义建设道路的探索，进一步增强拥护中国共产党的领导和接受马克思主义指导的自觉性。通过课堂教学，运用参与式教学方法，鼓励学生开展自主性学习、合作性学习，帮助学生提高解决问题的能力，要求他们理论联系实际，力争解决现实社会遇到的各种问题。</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 理解中国特色社会主义进入新时代的发展历程和时代特点。了解改革开放以来，我们寻找到了中国特色社会主义道路，形成了中国特色社会主义理论体系，并在中国特色社会主义理论体系指引下振兴中华民族的历程，从而自觉地继承和发扬近代以来中国共产党人的优秀品质，进一步增强民族自尊心、自信心和自豪感， 坚定对马克思主义的信仰、对中国共产党的信任、对社会主义的信心。促进学生政治素质和思想道德素质的提高，充分理解实行改革开放和实现中华民族伟大复兴中国梦的重大历史意义。</w:t>
            </w:r>
          </w:p>
        </w:tc>
        <w:tc>
          <w:tcPr>
            <w:tcW w:w="3021"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课程内容包括中国共产党的创建和投身大革命</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的洪流</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掀起土地革命</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的</w:t>
            </w:r>
            <w:r>
              <w:rPr>
                <w:rFonts w:hint="eastAsia" w:ascii="仿宋_GB2312" w:hAnsi="仿宋_GB2312" w:eastAsia="仿宋_GB2312" w:cs="仿宋_GB2312"/>
                <w:color w:val="000000" w:themeColor="text1"/>
                <w:sz w:val="24"/>
                <w:szCs w:val="24"/>
                <w:highlight w:val="none"/>
                <w14:textFill>
                  <w14:solidFill>
                    <w14:schemeClr w14:val="tx1"/>
                  </w14:solidFill>
                </w14:textFill>
              </w:rPr>
              <w:t>风暴</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全民族抗日战争的中流砥柱</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夺取新民主主义革命的全国性胜利</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中华人民共和国的成立和社会主义制度的建立</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社会主义建设的探索和曲折发展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伟大</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历史</w:t>
            </w:r>
            <w:r>
              <w:rPr>
                <w:rFonts w:hint="eastAsia" w:ascii="仿宋_GB2312" w:hAnsi="仿宋_GB2312" w:eastAsia="仿宋_GB2312" w:cs="仿宋_GB2312"/>
                <w:color w:val="000000" w:themeColor="text1"/>
                <w:sz w:val="24"/>
                <w:szCs w:val="24"/>
                <w:highlight w:val="none"/>
                <w14:textFill>
                  <w14:solidFill>
                    <w14:schemeClr w14:val="tx1"/>
                  </w14:solidFill>
                </w14:textFill>
              </w:rPr>
              <w:t>转折和中国特色社会主义的开创</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把中国特色社会主义全面推向21世纪</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在新</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的</w:t>
            </w:r>
            <w:r>
              <w:rPr>
                <w:rFonts w:hint="eastAsia" w:ascii="仿宋_GB2312" w:hAnsi="仿宋_GB2312" w:eastAsia="仿宋_GB2312" w:cs="仿宋_GB2312"/>
                <w:color w:val="000000" w:themeColor="text1"/>
                <w:sz w:val="24"/>
                <w:szCs w:val="24"/>
                <w:highlight w:val="none"/>
                <w14:textFill>
                  <w14:solidFill>
                    <w14:schemeClr w14:val="tx1"/>
                  </w14:solidFill>
                </w14:textFill>
              </w:rPr>
              <w:t>形势下坚持和发展中国特色社会主义</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中国特色社会主义进入新时代</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等</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。通过学习，学生将全面了解中国共产党领导中国人民进行</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革命、建设、改革</w:t>
            </w:r>
            <w:r>
              <w:rPr>
                <w:rFonts w:hint="eastAsia" w:ascii="仿宋_GB2312" w:hAnsi="仿宋_GB2312" w:eastAsia="仿宋_GB2312" w:cs="仿宋_GB2312"/>
                <w:color w:val="000000" w:themeColor="text1"/>
                <w:sz w:val="24"/>
                <w:szCs w:val="24"/>
                <w:highlight w:val="none"/>
                <w14:textFill>
                  <w14:solidFill>
                    <w14:schemeClr w14:val="tx1"/>
                  </w14:solidFill>
                </w14:textFill>
              </w:rPr>
              <w:t>的光辉历程，深刻认识党在各个历史时期的伟大成就和宝贵经验，为成为一名合格的共产党员</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成为一名</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社会主义建设者奠定坚实的思想基础。</w:t>
            </w:r>
          </w:p>
        </w:tc>
        <w:tc>
          <w:tcPr>
            <w:tcW w:w="2682"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shd w:val="clear" w:color="auto" w:fill="FFFFFF"/>
              </w:rPr>
            </w:pPr>
            <w:r>
              <w:rPr>
                <w:rFonts w:hint="eastAsia" w:ascii="仿宋_GB2312" w:hAnsi="仿宋_GB2312" w:eastAsia="仿宋_GB2312" w:cs="仿宋_GB2312"/>
                <w:color w:val="auto"/>
                <w:sz w:val="24"/>
                <w:szCs w:val="24"/>
                <w:highlight w:val="none"/>
              </w:rPr>
              <w:t>通过教师的理论讲授和丰富的史料佐证，以及线上线下参观历史纪念馆，引导学生树立正确的历史观，做到“</w:t>
            </w:r>
            <w:r>
              <w:rPr>
                <w:rFonts w:hint="eastAsia" w:ascii="仿宋_GB2312" w:hAnsi="仿宋_GB2312" w:eastAsia="仿宋_GB2312" w:cs="仿宋_GB2312"/>
                <w:color w:val="auto"/>
                <w:sz w:val="24"/>
                <w:szCs w:val="24"/>
                <w:highlight w:val="none"/>
                <w:lang w:eastAsia="zh-CN"/>
              </w:rPr>
              <w:t>学史明理、学史增信、学史崇德、学史力行</w:t>
            </w:r>
            <w:r>
              <w:rPr>
                <w:rFonts w:hint="eastAsia" w:ascii="仿宋_GB2312" w:hAnsi="仿宋_GB2312" w:eastAsia="仿宋_GB2312" w:cs="仿宋_GB2312"/>
                <w:color w:val="auto"/>
                <w:sz w:val="24"/>
                <w:szCs w:val="24"/>
                <w:highlight w:val="none"/>
              </w:rPr>
              <w:t>”，感悟党的伟大，做“青春心向党</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踔厉奋发建新功”的新时代青年。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18</w:t>
            </w:r>
          </w:p>
        </w:tc>
        <w:tc>
          <w:tcPr>
            <w:tcW w:w="813"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 w:hAnsi="仿宋" w:eastAsia="仿宋" w:cs="仿宋"/>
                <w:color w:val="auto"/>
                <w:sz w:val="24"/>
                <w:szCs w:val="24"/>
                <w:highlight w:val="none"/>
              </w:rPr>
            </w:pPr>
            <w:r>
              <w:rPr>
                <w:rFonts w:hint="eastAsia" w:ascii="仿宋_GB2312" w:hAnsi="仿宋_GB2312" w:eastAsia="仿宋_GB2312" w:cs="仿宋_GB2312"/>
                <w:color w:val="auto"/>
                <w:sz w:val="24"/>
                <w:szCs w:val="24"/>
                <w:highlight w:val="none"/>
              </w:rPr>
              <w:t>中华人民共和国简史</w:t>
            </w:r>
          </w:p>
        </w:tc>
        <w:tc>
          <w:tcPr>
            <w:tcW w:w="3750"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当代中国社会主义革命、建设和改革的具体历史条件和历史方位，其对国际共产主义运动的贡献。全面了解新中国历史的发展进程、历史分期、主要成就、探索进程中的曲折及重要经验教训、历史启示。掌握观察、分析、解决社会问题的基本方法和历史思维及辩证思维的能力。了解新中国成立的历史背景、历史意义，新中国成立初期的内外形势。恢复国民经济、巩固新生政权的主要措施及成效。新中国走社会主义道路的历史必然性。三大改造的主要过程、评价，“一五”计划的编制与实施。社会主义建设艰辛探索的主要过程、成就、失误及经验教训。</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jc w:val="both"/>
              <w:textAlignment w:val="auto"/>
              <w:rPr>
                <w:rFonts w:hint="eastAsia" w:ascii="仿宋_GB2312" w:hAnsi="仿宋_GB2312" w:eastAsia="仿宋_GB2312" w:cs="仿宋_GB2312"/>
                <w:i w:val="0"/>
                <w:iCs w:val="0"/>
                <w:caps w:val="0"/>
                <w:color w:val="auto"/>
                <w:spacing w:val="0"/>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学习新中国史研究的根本意义在于总结历史、立足现实、面向未来，不断深化对共产党执政规律、社会主义建设规律、人类社会发展规律的认识，总结治国理政经验，发挥思政育人功能，为实现中华民族伟大复兴的中国梦提供坚实的理论支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rightChars="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i w:val="0"/>
                <w:iCs w:val="0"/>
                <w:caps w:val="0"/>
                <w:color w:val="auto"/>
                <w:spacing w:val="0"/>
                <w:sz w:val="24"/>
                <w:szCs w:val="24"/>
                <w:highlight w:val="none"/>
                <w:lang w:val="en-US" w:eastAsia="zh-CN"/>
              </w:rPr>
              <w:t>素质目标：</w:t>
            </w:r>
            <w:r>
              <w:rPr>
                <w:rFonts w:hint="eastAsia" w:ascii="仿宋_GB2312" w:hAnsi="仿宋_GB2312" w:eastAsia="仿宋_GB2312" w:cs="仿宋_GB2312"/>
                <w:i w:val="0"/>
                <w:iCs w:val="0"/>
                <w:caps w:val="0"/>
                <w:color w:val="auto"/>
                <w:spacing w:val="0"/>
                <w:sz w:val="24"/>
                <w:szCs w:val="24"/>
                <w:highlight w:val="none"/>
                <w:lang w:val="en-US" w:eastAsia="zh-CN"/>
              </w:rPr>
              <w:t>引导学生</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了解在中国进行社会主义革命和建设的历史决定性及探索中主要成就、探索过程的艰辛曲折，坚定走中国特色社会主义道路的信念和信心；学会观察、分析和解决问题的科学方法，不断培养和提升辩证思维能力。</w:t>
            </w:r>
          </w:p>
        </w:tc>
        <w:tc>
          <w:tcPr>
            <w:tcW w:w="3021"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val="en-US" w:eastAsia="zh-CN"/>
              </w:rPr>
              <w:t>课程主要包括：</w:t>
            </w:r>
            <w:r>
              <w:rPr>
                <w:rFonts w:hint="eastAsia" w:ascii="仿宋_GB2312" w:hAnsi="仿宋_GB2312" w:eastAsia="仿宋_GB2312" w:cs="仿宋_GB2312"/>
                <w:color w:val="auto"/>
                <w:sz w:val="24"/>
                <w:szCs w:val="24"/>
                <w:highlight w:val="none"/>
              </w:rPr>
              <w:t>新中国成立和社会主义基本制度的确立</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社会主义建设的艰辛探索和曲折发展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改革开放与中国特色社会主义的开创</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建立社会主义市场经济体制和把中国特色社会主义全面推向21世纪</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全面建设</w:t>
            </w:r>
            <w:r>
              <w:rPr>
                <w:rFonts w:hint="eastAsia" w:ascii="仿宋_GB2312" w:hAnsi="仿宋_GB2312" w:eastAsia="仿宋_GB2312" w:cs="仿宋_GB2312"/>
                <w:color w:val="auto"/>
                <w:sz w:val="24"/>
                <w:szCs w:val="24"/>
                <w:highlight w:val="none"/>
              </w:rPr>
              <w:t>小康社会与新的形势下坚持和发展中国特色社会主义</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中国特色社会主义进入新时代和实现中华民族伟大复兴的中国梦</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决胜全面建成小康社会和开启全面建成社会主义现代化强国新征程等方面。通过学习，学生将深入了解中华人民共和国在各个历史阶段的发展变化，认识到中国特色社会主义道路的历史必然性和正确性，增强对国家的热爱和对未来的信心。</w:t>
            </w:r>
          </w:p>
        </w:tc>
        <w:tc>
          <w:tcPr>
            <w:tcW w:w="2682"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shd w:val="clear" w:color="auto" w:fill="FFFFFF"/>
              </w:rPr>
            </w:pPr>
            <w:r>
              <w:rPr>
                <w:rFonts w:hint="eastAsia" w:ascii="仿宋_GB2312" w:hAnsi="仿宋_GB2312" w:eastAsia="仿宋_GB2312" w:cs="仿宋_GB2312"/>
                <w:color w:val="auto"/>
                <w:sz w:val="24"/>
                <w:szCs w:val="24"/>
                <w:highlight w:val="none"/>
              </w:rPr>
              <w:t>通过课堂讲解、案例分析、小组讨论、模拟实践等方式，促进学生进一步增强民族自尊心、自信心和自豪感</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 xml:space="preserve"> 坚定对马克思主义的信仰、对中国共产党的信任、对社会主义的信心。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19</w:t>
            </w:r>
          </w:p>
        </w:tc>
        <w:tc>
          <w:tcPr>
            <w:tcW w:w="813"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 w:hAnsi="仿宋" w:eastAsia="仿宋" w:cs="仿宋"/>
                <w:color w:val="auto"/>
                <w:sz w:val="24"/>
                <w:szCs w:val="24"/>
                <w:highlight w:val="none"/>
              </w:rPr>
            </w:pPr>
            <w:r>
              <w:rPr>
                <w:rFonts w:hint="eastAsia" w:ascii="仿宋_GB2312" w:hAnsi="仿宋_GB2312" w:eastAsia="仿宋_GB2312" w:cs="仿宋_GB2312"/>
                <w:color w:val="auto"/>
                <w:sz w:val="24"/>
                <w:szCs w:val="24"/>
                <w:highlight w:val="none"/>
              </w:rPr>
              <w:t>改革开放简史</w:t>
            </w:r>
          </w:p>
        </w:tc>
        <w:tc>
          <w:tcPr>
            <w:tcW w:w="3750"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知识目标</w:t>
            </w:r>
            <w:r>
              <w:rPr>
                <w:rFonts w:hint="eastAsia" w:ascii="仿宋_GB2312" w:hAnsi="仿宋_GB2312" w:eastAsia="仿宋_GB2312" w:cs="仿宋_GB2312"/>
                <w:color w:val="auto"/>
                <w:kern w:val="2"/>
                <w:sz w:val="24"/>
                <w:szCs w:val="24"/>
                <w:highlight w:val="none"/>
                <w:lang w:val="en-US" w:eastAsia="zh-CN" w:bidi="ar-SA"/>
              </w:rPr>
              <w:t>：帮助大学生了解我国改革开放的历史，把握一个国家、一个民族从贫穷落后到繁荣富强的规律，特别是党的十八大以来我国全面深化改革开放的新理念、新思想、新战略以及取得的重大成就和经验。掌握改革开放以来中国特色社会主义建设事业取得的历史性成就、作出的重大历史贡献，懂得进一步深化改革开放必须坚持的重要经验。</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能力目标：</w:t>
            </w:r>
            <w:r>
              <w:rPr>
                <w:rFonts w:hint="eastAsia" w:ascii="仿宋_GB2312" w:hAnsi="仿宋_GB2312" w:eastAsia="仿宋_GB2312" w:cs="仿宋_GB2312"/>
                <w:color w:val="auto"/>
                <w:kern w:val="2"/>
                <w:sz w:val="24"/>
                <w:szCs w:val="24"/>
                <w:highlight w:val="none"/>
                <w:lang w:val="en-US" w:eastAsia="zh-CN" w:bidi="ar-SA"/>
              </w:rPr>
              <w:t>帮助学生更加熟练地运用辩证唯物主义和历史唯物主义的立场、观点、方法，全面正确认识我国改革开放取得的伟大成就，客观应对改革开放中的矛盾和问题，以更加积极主动的心态投身改革开放的伟大事业中。</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kern w:val="2"/>
                <w:sz w:val="24"/>
                <w:szCs w:val="24"/>
                <w:highlight w:val="none"/>
                <w:lang w:val="en-US" w:eastAsia="zh-CN" w:bidi="ar-SA"/>
              </w:rPr>
              <w:t>素质目标：</w:t>
            </w:r>
            <w:r>
              <w:rPr>
                <w:rFonts w:hint="eastAsia" w:ascii="仿宋_GB2312" w:hAnsi="仿宋_GB2312" w:eastAsia="仿宋_GB2312" w:cs="仿宋_GB2312"/>
                <w:color w:val="auto"/>
                <w:kern w:val="2"/>
                <w:sz w:val="24"/>
                <w:szCs w:val="24"/>
                <w:highlight w:val="none"/>
                <w:lang w:val="en-US" w:eastAsia="zh-CN" w:bidi="ar-SA"/>
              </w:rPr>
              <w:t>使学生能够充分理解我国改革开放各个时期的路线、政策和目标，增强自觉执行党的路线、方针、政策的自觉性，增强“四个意识”、坚定“四个自信”、做到“两个维护”，紧密结合全面建设社会主义现代化国家的实际，把理论与实践、知与行统一起来，自觉投身于中国特色社会主义的伟大实践，为实现中华民族伟大复兴作出应有的贡献。</w:t>
            </w:r>
          </w:p>
        </w:tc>
        <w:tc>
          <w:tcPr>
            <w:tcW w:w="3021"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val="en-US" w:eastAsia="zh-CN"/>
              </w:rPr>
              <w:t>课程内容涵盖</w:t>
            </w:r>
            <w:r>
              <w:rPr>
                <w:rFonts w:hint="eastAsia" w:ascii="仿宋_GB2312" w:hAnsi="仿宋_GB2312" w:eastAsia="仿宋_GB2312" w:cs="仿宋_GB2312"/>
                <w:color w:val="auto"/>
                <w:sz w:val="24"/>
                <w:szCs w:val="24"/>
                <w:highlight w:val="none"/>
              </w:rPr>
              <w:t>改革开放拉开大幕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改革开放全面展开</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改革开放开创新局面</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改革开放在科学发展中深化</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改革开放进入新时代</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坚定不移推进全面深化改革</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坚定不移扩大高水平对外开放</w:t>
            </w:r>
            <w:r>
              <w:rPr>
                <w:rFonts w:hint="eastAsia" w:ascii="仿宋_GB2312" w:hAnsi="仿宋_GB2312" w:eastAsia="仿宋_GB2312" w:cs="仿宋_GB2312"/>
                <w:color w:val="auto"/>
                <w:sz w:val="24"/>
                <w:szCs w:val="24"/>
                <w:highlight w:val="none"/>
                <w:lang w:val="en-US" w:eastAsia="zh-CN"/>
              </w:rPr>
              <w:t>等。</w:t>
            </w:r>
            <w:r>
              <w:rPr>
                <w:rFonts w:hint="eastAsia" w:ascii="仿宋_GB2312" w:hAnsi="仿宋_GB2312" w:eastAsia="仿宋_GB2312" w:cs="仿宋_GB2312"/>
                <w:color w:val="auto"/>
                <w:sz w:val="24"/>
                <w:szCs w:val="24"/>
                <w:highlight w:val="none"/>
              </w:rPr>
              <w:t>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682"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shd w:val="clear" w:color="auto" w:fill="FFFFFF"/>
              </w:rPr>
            </w:pPr>
            <w:r>
              <w:rPr>
                <w:rFonts w:hint="eastAsia" w:ascii="仿宋_GB2312" w:hAnsi="仿宋_GB2312" w:eastAsia="仿宋_GB2312" w:cs="仿宋_GB2312"/>
                <w:color w:val="auto"/>
                <w:sz w:val="24"/>
                <w:szCs w:val="24"/>
                <w:highlight w:val="none"/>
              </w:rPr>
              <w:t>通过专题讲授法、情境教学法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案例教学法等</w:t>
            </w:r>
            <w:r>
              <w:rPr>
                <w:rFonts w:hint="eastAsia" w:ascii="仿宋_GB2312" w:hAnsi="仿宋_GB2312" w:eastAsia="仿宋_GB2312" w:cs="仿宋_GB2312"/>
                <w:color w:val="auto"/>
                <w:sz w:val="24"/>
                <w:szCs w:val="24"/>
                <w:highlight w:val="none"/>
              </w:rPr>
              <w:t>，让学生能够系统把握中国改革开放事业的辉煌成就、重大贡献、重要经验和深刻启示。</w:t>
            </w:r>
            <w:r>
              <w:rPr>
                <w:rFonts w:hint="eastAsia" w:ascii="仿宋_GB2312" w:hAnsi="仿宋_GB2312" w:eastAsia="仿宋_GB2312" w:cs="仿宋_GB2312"/>
                <w:color w:val="auto"/>
                <w:sz w:val="24"/>
                <w:szCs w:val="24"/>
                <w:highlight w:val="none"/>
                <w:lang w:val="en-US" w:eastAsia="zh-CN"/>
              </w:rPr>
              <w:t>引导大学生在全面了解中国改革开放的历史进程中，中国共产党为国家和民族作出的伟大贡献，深刻感悟中国共产党始终不渝为人民的初心宗旨，弄清楚中国共产党为什么能、马克思主义为什么行、中国特色社会主义为什么好等基本道理，坚定不移听党话、跟党走，在全面建设社会主义现代化国家、实现中华民族伟大复兴的实践中建功立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20</w:t>
            </w:r>
          </w:p>
        </w:tc>
        <w:tc>
          <w:tcPr>
            <w:tcW w:w="813"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 w:hAnsi="仿宋" w:eastAsia="仿宋" w:cs="仿宋"/>
                <w:color w:val="auto"/>
                <w:sz w:val="24"/>
                <w:szCs w:val="24"/>
                <w:highlight w:val="none"/>
              </w:rPr>
            </w:pPr>
            <w:r>
              <w:rPr>
                <w:rFonts w:hint="eastAsia" w:ascii="仿宋_GB2312" w:hAnsi="仿宋_GB2312" w:eastAsia="仿宋_GB2312" w:cs="仿宋_GB2312"/>
                <w:color w:val="auto"/>
                <w:sz w:val="24"/>
                <w:szCs w:val="24"/>
                <w:highlight w:val="none"/>
              </w:rPr>
              <w:t>社会主义发展简史</w:t>
            </w:r>
          </w:p>
        </w:tc>
        <w:tc>
          <w:tcPr>
            <w:tcW w:w="3750"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帮助大学生重点了解空想社会主义的产生和发展，了解科学社会主义的产生和发展，了解世界和中国对社会主义道路和制度的探索和实践，了解新时代中国特色社会主义的理论创造和伟大实践</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从而增强对社会主义制度的认识与信心。</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有助于大学生开阔眼界，扩大视野，增长知识，学会把中国特色社会主义理论置于社会主义发生、发展和演变的历史长河中加以认识和把握；有助于大学生全面总结社会主义历史经验，正确看待历史遗产，在总结和借鉴正反两方面社会主义历史经验的基础上，加深对中国特色社会主义理论体系的理解；有助于大学生划清科学社会主义与非科学社会主义的界线，提高大学生的鉴别、分析和批判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帮助大学生正确认识和理解社会主义制度的优越性，进一步增强大学生道路自信、理论自信、制度自信、文化自信，进一步提升大学生坚持和发展中国特色社会主义理论的自觉性和坚定性。</w:t>
            </w:r>
          </w:p>
        </w:tc>
        <w:tc>
          <w:tcPr>
            <w:tcW w:w="3021"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课程内容涵盖空想社会主义的产生与发展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科学社会主义的</w:t>
            </w:r>
            <w:r>
              <w:rPr>
                <w:rFonts w:hint="eastAsia" w:ascii="仿宋_GB2312" w:hAnsi="仿宋_GB2312" w:eastAsia="仿宋_GB2312" w:cs="仿宋_GB2312"/>
                <w:color w:val="auto"/>
                <w:sz w:val="24"/>
                <w:szCs w:val="24"/>
                <w:highlight w:val="none"/>
                <w:lang w:val="en-US" w:eastAsia="zh-CN"/>
              </w:rPr>
              <w:t>创立、</w:t>
            </w:r>
            <w:r>
              <w:rPr>
                <w:rFonts w:hint="eastAsia" w:ascii="仿宋_GB2312" w:hAnsi="仿宋_GB2312" w:eastAsia="仿宋_GB2312" w:cs="仿宋_GB2312"/>
                <w:color w:val="auto"/>
                <w:sz w:val="24"/>
                <w:szCs w:val="24"/>
                <w:highlight w:val="none"/>
              </w:rPr>
              <w:t>社会主义</w:t>
            </w:r>
            <w:r>
              <w:rPr>
                <w:rFonts w:hint="eastAsia" w:ascii="仿宋_GB2312" w:hAnsi="仿宋_GB2312" w:eastAsia="仿宋_GB2312" w:cs="仿宋_GB2312"/>
                <w:color w:val="auto"/>
                <w:sz w:val="24"/>
                <w:szCs w:val="24"/>
                <w:highlight w:val="none"/>
                <w:lang w:val="en-US" w:eastAsia="zh-CN"/>
              </w:rPr>
              <w:t>从理论到实践、社会主义在多国发展、中国特色社会主义的开创与发展</w:t>
            </w:r>
            <w:r>
              <w:rPr>
                <w:rFonts w:hint="eastAsia" w:ascii="仿宋_GB2312" w:hAnsi="仿宋_GB2312" w:eastAsia="仿宋_GB2312" w:cs="仿宋_GB2312"/>
                <w:color w:val="auto"/>
                <w:sz w:val="24"/>
                <w:szCs w:val="24"/>
                <w:highlight w:val="none"/>
              </w:rPr>
              <w:t>。通过学习，学生将了解社会主义思想的起源、发展和变革，掌握社会主义制度在不同国家的实践经验和教训，为理解和坚持中国特色社会主义提供历史依据和理论支持。</w:t>
            </w:r>
          </w:p>
        </w:tc>
        <w:tc>
          <w:tcPr>
            <w:tcW w:w="2682"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shd w:val="clear" w:color="auto" w:fill="FFFFFF"/>
              </w:rPr>
            </w:pPr>
            <w:r>
              <w:rPr>
                <w:rFonts w:hint="eastAsia" w:ascii="仿宋_GB2312" w:hAnsi="仿宋_GB2312" w:eastAsia="仿宋_GB2312" w:cs="仿宋_GB2312"/>
                <w:color w:val="auto"/>
                <w:sz w:val="24"/>
                <w:szCs w:val="24"/>
                <w:highlight w:val="none"/>
              </w:rPr>
              <w:t>课堂教学应采用启发式、研讨式、案例式、参与式、体验式、实践式等方法，充分调动学生的主体作用。在课程组织上应将理论讲授和社会实践融合在一起，贴近生活，贴近实际，使学生在现实生活中感受到历史的气息，既</w:t>
            </w:r>
            <w:r>
              <w:rPr>
                <w:rFonts w:hint="eastAsia" w:ascii="仿宋_GB2312" w:hAnsi="仿宋_GB2312" w:eastAsia="仿宋_GB2312" w:cs="仿宋_GB2312"/>
                <w:color w:val="auto"/>
                <w:sz w:val="24"/>
                <w:szCs w:val="24"/>
                <w:highlight w:val="none"/>
                <w:lang w:val="en-US" w:eastAsia="zh-CN"/>
              </w:rPr>
              <w:t>能激发学生的学习情趣</w:t>
            </w:r>
            <w:r>
              <w:rPr>
                <w:rFonts w:hint="eastAsia" w:ascii="仿宋_GB2312" w:hAnsi="仿宋_GB2312" w:eastAsia="仿宋_GB2312" w:cs="仿宋_GB2312"/>
                <w:color w:val="auto"/>
                <w:sz w:val="24"/>
                <w:szCs w:val="24"/>
                <w:highlight w:val="none"/>
              </w:rPr>
              <w:t>，又有利于提高学生的认知、动手和研究能力，进而</w:t>
            </w:r>
            <w:r>
              <w:rPr>
                <w:rFonts w:hint="eastAsia" w:ascii="仿宋_GB2312" w:hAnsi="仿宋_GB2312" w:eastAsia="仿宋_GB2312" w:cs="仿宋_GB2312"/>
                <w:color w:val="auto"/>
                <w:sz w:val="24"/>
                <w:szCs w:val="24"/>
                <w:highlight w:val="none"/>
                <w:lang w:eastAsia="zh-CN"/>
              </w:rPr>
              <w:t>增强</w:t>
            </w:r>
            <w:r>
              <w:rPr>
                <w:rFonts w:hint="eastAsia" w:ascii="仿宋_GB2312" w:hAnsi="仿宋_GB2312" w:eastAsia="仿宋_GB2312" w:cs="仿宋_GB2312"/>
                <w:color w:val="auto"/>
                <w:sz w:val="24"/>
                <w:szCs w:val="24"/>
                <w:highlight w:val="none"/>
                <w:lang w:val="en-US" w:eastAsia="zh-CN"/>
              </w:rPr>
              <w:t>学生的爱国情怀</w:t>
            </w:r>
            <w:r>
              <w:rPr>
                <w:rFonts w:hint="eastAsia" w:ascii="仿宋_GB2312" w:hAnsi="仿宋_GB2312" w:eastAsia="仿宋_GB2312" w:cs="仿宋_GB2312"/>
                <w:color w:val="auto"/>
                <w:sz w:val="24"/>
                <w:szCs w:val="24"/>
                <w:highlight w:val="none"/>
              </w:rPr>
              <w:t>、自信心和民族自豪感，帮助学生掌握关于当代社会主义的基本知识，以更深刻的视角理解认识当代中国社会，强化共产主义世界观。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21</w:t>
            </w:r>
          </w:p>
        </w:tc>
        <w:tc>
          <w:tcPr>
            <w:tcW w:w="813"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 w:hAnsi="仿宋" w:eastAsia="仿宋" w:cs="仿宋"/>
                <w:color w:val="auto"/>
                <w:sz w:val="24"/>
                <w:szCs w:val="24"/>
                <w:highlight w:val="none"/>
              </w:rPr>
            </w:pPr>
            <w:r>
              <w:rPr>
                <w:rFonts w:hint="eastAsia" w:ascii="仿宋_GB2312" w:hAnsi="仿宋_GB2312" w:eastAsia="仿宋_GB2312" w:cs="仿宋_GB2312"/>
                <w:color w:val="auto"/>
                <w:sz w:val="24"/>
                <w:szCs w:val="24"/>
                <w:highlight w:val="none"/>
              </w:rPr>
              <w:t>中华优秀传统文化</w:t>
            </w:r>
          </w:p>
        </w:tc>
        <w:tc>
          <w:tcPr>
            <w:tcW w:w="3750"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掌握并传承中</w:t>
            </w:r>
            <w:r>
              <w:rPr>
                <w:rFonts w:hint="eastAsia" w:ascii="仿宋_GB2312" w:hAnsi="仿宋_GB2312" w:eastAsia="仿宋_GB2312" w:cs="仿宋_GB2312"/>
                <w:b w:val="0"/>
                <w:bCs w:val="0"/>
                <w:color w:val="auto"/>
                <w:sz w:val="24"/>
                <w:szCs w:val="24"/>
                <w:highlight w:val="none"/>
                <w:lang w:val="en-US" w:eastAsia="zh-CN"/>
              </w:rPr>
              <w:t>华优秀</w:t>
            </w:r>
            <w:r>
              <w:rPr>
                <w:rFonts w:hint="eastAsia" w:ascii="仿宋_GB2312" w:hAnsi="仿宋_GB2312" w:eastAsia="仿宋_GB2312" w:cs="仿宋_GB2312"/>
                <w:b w:val="0"/>
                <w:bCs w:val="0"/>
                <w:color w:val="auto"/>
                <w:sz w:val="24"/>
                <w:szCs w:val="24"/>
                <w:highlight w:val="none"/>
              </w:rPr>
              <w:t>传统文化的基本内涵</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主要内容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基本精神，了解了中国传统哲学、文学、</w:t>
            </w:r>
            <w:r>
              <w:rPr>
                <w:rFonts w:hint="eastAsia" w:ascii="仿宋_GB2312" w:hAnsi="仿宋_GB2312" w:eastAsia="仿宋_GB2312" w:cs="仿宋_GB2312"/>
                <w:b w:val="0"/>
                <w:bCs w:val="0"/>
                <w:color w:val="auto"/>
                <w:sz w:val="24"/>
                <w:szCs w:val="24"/>
                <w:highlight w:val="none"/>
                <w:lang w:val="en-US" w:eastAsia="zh-CN"/>
              </w:rPr>
              <w:t>仪式</w:t>
            </w:r>
            <w:r>
              <w:rPr>
                <w:rFonts w:hint="eastAsia" w:ascii="仿宋_GB2312" w:hAnsi="仿宋_GB2312" w:eastAsia="仿宋_GB2312" w:cs="仿宋_GB2312"/>
                <w:b w:val="0"/>
                <w:bCs w:val="0"/>
                <w:color w:val="auto"/>
                <w:sz w:val="24"/>
                <w:szCs w:val="24"/>
                <w:highlight w:val="none"/>
              </w:rPr>
              <w:t>文化精髓，扩大学生视野，读懂更多的经典名著名篇，熟悉中国古代的艺术、科技、文化成果，</w:t>
            </w:r>
            <w:r>
              <w:rPr>
                <w:rFonts w:hint="eastAsia" w:ascii="仿宋_GB2312" w:hAnsi="仿宋_GB2312" w:eastAsia="仿宋_GB2312" w:cs="仿宋_GB2312"/>
                <w:b w:val="0"/>
                <w:bCs w:val="0"/>
                <w:color w:val="auto"/>
                <w:spacing w:val="-6"/>
                <w:sz w:val="24"/>
                <w:szCs w:val="24"/>
                <w:highlight w:val="none"/>
              </w:rPr>
              <w:t>弘扬中国传统礼仪、风俗及美食文化。</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掌握鉴赏中华优秀传统文化及其载体的能力；养成传统美德、树立文化自信、掌握文化精粹；培养发掘中华优秀传统文化的生成规律和闪光点的能力；能坚持创造性转化、创新性发展中华优秀传统文化。</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val="en-US" w:eastAsia="zh-CN"/>
              </w:rPr>
              <w:t>培养学生具有对中华优秀传统文化的热爱敬畏之情；具有强烈的民族精神、人文精神和科学精神；</w:t>
            </w:r>
            <w:r>
              <w:rPr>
                <w:rFonts w:hint="eastAsia" w:ascii="仿宋_GB2312" w:hAnsi="仿宋_GB2312" w:eastAsia="仿宋_GB2312" w:cs="仿宋_GB2312"/>
                <w:b w:val="0"/>
                <w:bCs w:val="0"/>
                <w:color w:val="auto"/>
                <w:sz w:val="24"/>
                <w:szCs w:val="24"/>
                <w:highlight w:val="none"/>
              </w:rPr>
              <w:t>弘扬中华优秀传统文化</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树立中华优秀传统文化是我们每一个中国人的血脉和灵魂的情感；提升人格修养，培养文化情怀，</w:t>
            </w:r>
            <w:r>
              <w:rPr>
                <w:rFonts w:hint="eastAsia" w:ascii="仿宋_GB2312" w:hAnsi="仿宋_GB2312" w:eastAsia="仿宋_GB2312" w:cs="仿宋_GB2312"/>
                <w:b w:val="0"/>
                <w:bCs w:val="0"/>
                <w:color w:val="auto"/>
                <w:sz w:val="24"/>
                <w:szCs w:val="24"/>
                <w:highlight w:val="none"/>
                <w:lang w:val="en-US" w:eastAsia="zh-CN"/>
              </w:rPr>
              <w:t>具有较好的审美情趣和审美能力，</w:t>
            </w:r>
            <w:r>
              <w:rPr>
                <w:rFonts w:hint="eastAsia" w:ascii="仿宋_GB2312" w:hAnsi="仿宋_GB2312" w:eastAsia="仿宋_GB2312" w:cs="仿宋_GB2312"/>
                <w:b w:val="0"/>
                <w:bCs w:val="0"/>
                <w:color w:val="auto"/>
                <w:sz w:val="24"/>
                <w:szCs w:val="24"/>
                <w:highlight w:val="none"/>
              </w:rPr>
              <w:t>具备一定的优秀传统文化素养。</w:t>
            </w:r>
          </w:p>
        </w:tc>
        <w:tc>
          <w:tcPr>
            <w:tcW w:w="3021"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涵盖中华优秀传统文化的多个方面，包括传统文学历史、哲学思想、传统技艺、传统建筑、传统演艺、传统书画、传统饮食、传统医药、传统风俗、传统道德等。通过经典文献解读、历史故事讲述、艺术作品赏析等形式，系统介绍传统文化的基本内容与特点。同时，结合现代社会背景，探讨传统文化在当代的价值与应用，如道德伦理、社会治理、生态文明建设等方面的启示。</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p>
        </w:tc>
        <w:tc>
          <w:tcPr>
            <w:tcW w:w="2682"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shd w:val="clear" w:color="auto" w:fill="FFFFFF"/>
              </w:rPr>
            </w:pPr>
            <w:r>
              <w:rPr>
                <w:rFonts w:hint="eastAsia" w:ascii="仿宋_GB2312" w:hAnsi="仿宋_GB2312" w:eastAsia="仿宋_GB2312" w:cs="仿宋_GB2312"/>
                <w:color w:val="auto"/>
                <w:sz w:val="24"/>
                <w:szCs w:val="24"/>
                <w:highlight w:val="none"/>
                <w:lang w:val="en-US" w:eastAsia="zh-CN"/>
              </w:rPr>
              <w:t>课堂上通过案例欣赏，要求学生积极参与课堂讨论，认真完成课后作业与阅读任务，深入理解并掌握课程知识。鼓励学生主动思考传统文化的现代意义，运用所学知识解决实际问题。同时，强调实践与体验的重要性，组织学生参与文化考察、艺术实践等活动，增强对传统文化的直观感受与亲身体验。通过多元化的考核方式，既系统介绍中国传统文化的基本精神和基本知识，又着力引导学生从文化的视野分析、解读当代社会的种种现象，全面评估学生的学习成效与综合素养。培养学生对民族文化的感情和担当大任的历史责任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22</w:t>
            </w:r>
          </w:p>
        </w:tc>
        <w:tc>
          <w:tcPr>
            <w:tcW w:w="813"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 w:hAnsi="仿宋" w:eastAsia="仿宋" w:cs="仿宋"/>
                <w:color w:val="auto"/>
                <w:sz w:val="24"/>
                <w:szCs w:val="24"/>
                <w:highlight w:val="none"/>
              </w:rPr>
            </w:pPr>
            <w:r>
              <w:rPr>
                <w:rFonts w:hint="eastAsia" w:ascii="仿宋_GB2312" w:hAnsi="仿宋_GB2312" w:eastAsia="仿宋_GB2312" w:cs="仿宋_GB2312"/>
                <w:color w:val="auto"/>
                <w:sz w:val="24"/>
                <w:szCs w:val="24"/>
                <w:highlight w:val="none"/>
              </w:rPr>
              <w:t>中华民族共同体概论</w:t>
            </w:r>
          </w:p>
        </w:tc>
        <w:tc>
          <w:tcPr>
            <w:tcW w:w="3750"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全面深入学习贯彻中央民族工作会议精神和习近平总书记关于加强和改进民族工作的重要思想，了解中华民族共同体的历史和现实，认识中华民族共同体的内涵与特征等中华民族共同体的基本常识，从历史中把握中华民族共同体演变的千年历程，树立正确的中华民族历史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引导学生牢固树立“休戚与共、荣辱与共、生死与共、命运与共”的共同体理念，牢固树立正确的国家观、历史观、民族观、文化观、宗教观，增强学生对伟大祖国、中华民族、中华文化、中国共产党、中国特色社会主义的认同，为实现中华民族伟大复兴的中国梦不懈奋斗，不断巩固中华民族共同体思想基础。</w:t>
            </w:r>
            <w:r>
              <w:rPr>
                <w:rFonts w:hint="eastAsia" w:ascii="仿宋_GB2312" w:hAnsi="仿宋_GB2312" w:eastAsia="仿宋_GB2312" w:cs="仿宋_GB2312"/>
                <w:color w:val="auto"/>
                <w:sz w:val="24"/>
                <w:szCs w:val="24"/>
                <w:highlight w:val="none"/>
                <w:lang w:val="en-US" w:eastAsia="zh-CN"/>
              </w:rPr>
              <w:t>紧扣铸牢中华民族共同体意识的基本任务，自觉推动中华民族共同体建设。</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引导学生树立正确的中华民族历史观，不断增强“五个认同”，树立“四个与共”的理念，铸牢中华民族共同体意识，铸就中国心、铸造中华魂；学生能积极参与各民族交往交流交融；学生会思考在铸牢中华民族共同体意识的社会大势中规划人生蓝图，树立为中华民族伟大复兴贡献力量的高远理想，努力为实现中华民族复兴伟业贡献力量。</w:t>
            </w:r>
          </w:p>
        </w:tc>
        <w:tc>
          <w:tcPr>
            <w:tcW w:w="3021"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课程共设十六讲，系统涵盖多方面内容：从中华民族共同体的基础理论、正确历史观树立入手，按史前至清前中期的历史脉络，梳理了中华民族共同体的起源、演进、初步形成、大交融、繁盛、内聚发展、大统合、稳固壮大及格局底定过程；随后聚焦近现代以来，讲述了1840—1919年国家转型与民族意识觉醒、1919—1949年先锋队引领下的民族新选择、1949—2012年新中国开启的民族新纪元，以及2012年至今新时代的民族共同体建设；最后以“文明新路与人类命运共同体”收束，形成完整的课程内容体系。</w:t>
            </w:r>
          </w:p>
        </w:tc>
        <w:tc>
          <w:tcPr>
            <w:tcW w:w="2682"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要求学生积极参与课堂讨论，深入理解中华民族共同体的核心理念与价值追求。鼓励学生主动查阅资料，拓宽知识面，深化对中华民族共同体构建的认识。通过课程考核，全面评估学生的学习成效与中华民族共同体意识的养成情况。</w:t>
            </w:r>
            <w:r>
              <w:rPr>
                <w:rFonts w:hint="eastAsia" w:ascii="仿宋_GB2312" w:hAnsi="仿宋_GB2312" w:eastAsia="仿宋_GB2312" w:cs="仿宋_GB2312"/>
                <w:color w:val="auto"/>
                <w:sz w:val="24"/>
                <w:szCs w:val="24"/>
                <w:highlight w:val="none"/>
              </w:rPr>
              <w:t>达到增强学生学习知识、理论的兴趣和钻研理论的热情、提高学生运用所学知识分析问题和解决问题的能力，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shd w:val="clear" w:color="auto" w:fill="FFFFFF"/>
              </w:rPr>
            </w:pPr>
            <w:r>
              <w:rPr>
                <w:rFonts w:hint="eastAsia" w:ascii="仿宋_GB2312" w:hAnsi="仿宋_GB2312" w:eastAsia="仿宋_GB2312" w:cs="仿宋_GB2312"/>
                <w:color w:val="auto"/>
                <w:sz w:val="24"/>
                <w:szCs w:val="24"/>
                <w:highlight w:val="none"/>
              </w:rPr>
              <w:t>培养正确开展民族交往交流交融的态度、情感、能力，铸牢中华民族共同体意识。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23</w:t>
            </w:r>
          </w:p>
        </w:tc>
        <w:tc>
          <w:tcPr>
            <w:tcW w:w="813" w:type="dxa"/>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rPr>
                <w:rFonts w:hint="eastAsia" w:ascii="仿宋" w:hAnsi="仿宋" w:eastAsia="仿宋" w:cs="仿宋"/>
                <w:color w:val="auto"/>
                <w:sz w:val="24"/>
                <w:szCs w:val="24"/>
                <w:highlight w:val="none"/>
              </w:rPr>
            </w:pPr>
            <w:r>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高等数学</w:t>
            </w:r>
          </w:p>
        </w:tc>
        <w:tc>
          <w:tcPr>
            <w:tcW w:w="3750" w:type="dxa"/>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掌握函数、极限、导数等基础概念，理解微积分基本理论、数学建模方法，为专业课程奠定必要数学基础。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培养数学运算和逻辑推理能力，提升运用数学工具解决实际问题的水平。增强数据分析和建模能力，适应未来职业发展需求。</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培养严谨求实的科学态度，提高抽象思维和创新能力。树立理论联系实际的观念，增强持续学习和自主探究意识。</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Fonts w:hint="eastAsia" w:ascii="仿宋_GB2312" w:hAnsi="仿宋_GB2312" w:eastAsia="仿宋_GB2312" w:cs="仿宋_GB2312"/>
                <w:color w:val="auto"/>
                <w:sz w:val="24"/>
                <w:szCs w:val="24"/>
                <w:lang w:val="en-US" w:eastAsia="zh-CN"/>
              </w:rPr>
            </w:pPr>
            <w:r>
              <w:rPr>
                <w:rStyle w:val="10"/>
                <w:rFonts w:hint="eastAsia" w:ascii="仿宋_GB2312" w:hAnsi="仿宋_GB2312" w:eastAsia="仿宋_GB2312" w:cs="仿宋_GB2312"/>
                <w:b/>
                <w:bCs/>
                <w:i w:val="0"/>
                <w:iCs w:val="0"/>
                <w:caps w:val="0"/>
                <w:color w:val="auto"/>
                <w:spacing w:val="0"/>
                <w:kern w:val="0"/>
                <w:sz w:val="24"/>
                <w:szCs w:val="24"/>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实现知识传授与价值引领的有机融合，培养学生养成求真务实、精益求精的态度，严谨对待学习与工作，通过融入数学史展现古今数学家的爱国情怀与奉献精神，厚植爱国主义情怀，在思维品质培养中以辩证思维解析数学概念，引导学生透过现象看本质，理解量变与质变、对立统一等规律，鼓励学生在数学问题求解中勇于创新，培养批判性思维和探索精神，同时通过团队合作解决数学建模等问题，增强学生的团队协作意识与社会责任感，使学生在掌握数学知识的同时，实现个人全面发展与社会价值统一。</w:t>
            </w:r>
          </w:p>
        </w:tc>
        <w:tc>
          <w:tcPr>
            <w:tcW w:w="3021" w:type="dxa"/>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rPr>
            </w:pPr>
            <w:r>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课程包含函数与极限、导数与微分、积分及应用等基础模块。重点讲解工程实际问题中的数学应用，如最优化问题求解、变化率分析等。融入专业案例，开展数学建模实践，强化数学工具在专业领域的应用能力培养。</w:t>
            </w:r>
          </w:p>
        </w:tc>
        <w:tc>
          <w:tcPr>
            <w:tcW w:w="2682" w:type="dxa"/>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shd w:val="clear" w:color="auto" w:fill="FFFFFF"/>
              </w:rPr>
            </w:pPr>
            <w:r>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教师需结合专业需求设计教学内容，采用问题导向和案例教学方法。合理运用信息化手段，强化直观教学效果。学生需按时完成作业，积极参与课堂讨论。教学中要注重理论联系实际，突出数学应用价值，培养学生解决实际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24</w:t>
            </w:r>
          </w:p>
        </w:tc>
        <w:tc>
          <w:tcPr>
            <w:tcW w:w="813"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 w:hAnsi="仿宋" w:eastAsia="仿宋" w:cs="仿宋"/>
                <w:color w:val="auto"/>
                <w:sz w:val="24"/>
                <w:szCs w:val="24"/>
                <w:highlight w:val="none"/>
                <w:lang w:val="en-US" w:eastAsia="zh-CN"/>
              </w:rPr>
            </w:pPr>
            <w:r>
              <w:rPr>
                <w:rFonts w:hint="eastAsia" w:ascii="仿宋_GB2312" w:hAnsi="仿宋_GB2312" w:eastAsia="仿宋_GB2312" w:cs="仿宋_GB2312"/>
                <w:color w:val="auto"/>
                <w:sz w:val="24"/>
                <w:szCs w:val="24"/>
                <w:highlight w:val="none"/>
              </w:rPr>
              <w:t>语文</w:t>
            </w:r>
          </w:p>
        </w:tc>
        <w:tc>
          <w:tcPr>
            <w:tcW w:w="3750"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掌握现代汉语基础知识和常用文体特征，了解文学鉴赏基本方法。学习实用写作规范，提升语言表达准确性，培养基础文学素养。</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：培养阅读理解与书面表达能力，提升职场应用写作水平。增强口语交际能力，掌握专业文献阅读方法，适应职业发展需求。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培育人文精神与审美情趣，提高文化修养。增强逻辑思维与创新意识，树立终身学习理念。</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通过经典作品传承中华优秀传统文化，培育文化自信。在语言训练中融入社会主义核心价值观教育。</w:t>
            </w:r>
          </w:p>
        </w:tc>
        <w:tc>
          <w:tcPr>
            <w:tcW w:w="3021"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val="en-US" w:eastAsia="zh-CN"/>
              </w:rPr>
              <w:t>课程包含现代汉语应用、文学鉴赏、实用写作三大模块。重点培养应用文写作、口语交际等实用技能，精选反映时代精神的文学作品。结合专业特色，设计职场情境语言训练，融入专业文献阅读指导，强化职业语文能力培养。</w:t>
            </w:r>
          </w:p>
        </w:tc>
        <w:tc>
          <w:tcPr>
            <w:tcW w:w="2682"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shd w:val="clear" w:color="auto" w:fill="FFFFFF"/>
              </w:rPr>
            </w:pPr>
            <w:r>
              <w:rPr>
                <w:rFonts w:hint="eastAsia" w:ascii="仿宋_GB2312" w:hAnsi="仿宋_GB2312" w:eastAsia="仿宋_GB2312" w:cs="仿宋_GB2312"/>
                <w:color w:val="auto"/>
                <w:sz w:val="24"/>
                <w:szCs w:val="24"/>
                <w:highlight w:val="none"/>
                <w:lang w:val="en-US" w:eastAsia="zh-CN"/>
              </w:rPr>
              <w:t>教师需采用任务驱动教学法，设计真实语言应用场景。学生需积极参与课堂活动，完成实践训练任务。教学中要注重学用结合，突出职业导向，强化语言应用能力培养，提升学生人文素养和职业竞争力。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25</w:t>
            </w:r>
          </w:p>
        </w:tc>
        <w:tc>
          <w:tcPr>
            <w:tcW w:w="813"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 w:hAnsi="仿宋" w:eastAsia="仿宋" w:cs="仿宋"/>
                <w:color w:val="auto"/>
                <w:sz w:val="24"/>
                <w:szCs w:val="24"/>
                <w:highlight w:val="none"/>
                <w:lang w:eastAsia="zh-CN"/>
              </w:rPr>
            </w:pPr>
            <w:r>
              <w:rPr>
                <w:rFonts w:hint="eastAsia" w:ascii="仿宋_GB2312" w:hAnsi="仿宋_GB2312" w:eastAsia="仿宋_GB2312" w:cs="仿宋_GB2312"/>
                <w:sz w:val="24"/>
                <w:szCs w:val="24"/>
                <w:lang w:val="en-US" w:eastAsia="zh-CN"/>
              </w:rPr>
              <w:t>物理</w:t>
            </w:r>
          </w:p>
        </w:tc>
        <w:tc>
          <w:tcPr>
            <w:tcW w:w="3750"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知识目标：</w:t>
            </w:r>
            <w:r>
              <w:rPr>
                <w:rFonts w:hint="eastAsia" w:ascii="仿宋_GB2312" w:hAnsi="仿宋_GB2312" w:eastAsia="仿宋_GB2312" w:cs="仿宋_GB2312"/>
                <w:sz w:val="24"/>
                <w:szCs w:val="24"/>
                <w:lang w:val="en-US" w:eastAsia="zh-CN"/>
              </w:rPr>
              <w:t>掌握力学、热学、电磁学等经典物理核心概念与规律，了解其在高新技术和工程实践中的具体应用，构建必要的物理知识体系。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能力目标：</w:t>
            </w:r>
            <w:r>
              <w:rPr>
                <w:rFonts w:hint="eastAsia" w:ascii="仿宋_GB2312" w:hAnsi="仿宋_GB2312" w:eastAsia="仿宋_GB2312" w:cs="仿宋_GB2312"/>
                <w:sz w:val="24"/>
                <w:szCs w:val="24"/>
                <w:lang w:val="en-US" w:eastAsia="zh-CN"/>
              </w:rPr>
              <w:t>能够运用物理原理分析和解决生产生活中的实际问题，具备基本的实验操作、数据处理和科学思维能力，提升技术应用与创新意识。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素质目标：</w:t>
            </w:r>
            <w:r>
              <w:rPr>
                <w:rFonts w:hint="eastAsia" w:ascii="仿宋_GB2312" w:hAnsi="仿宋_GB2312" w:eastAsia="仿宋_GB2312" w:cs="仿宋_GB2312"/>
                <w:sz w:val="24"/>
                <w:szCs w:val="24"/>
                <w:lang w:val="en-US" w:eastAsia="zh-CN"/>
              </w:rPr>
              <w:t>培养严谨求实的科学态度、精益求精的工匠精神和探索未知的好奇心，为未来职业发展和终身学习奠定坚实基础。</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sz w:val="24"/>
                <w:szCs w:val="24"/>
                <w:lang w:val="en-US" w:eastAsia="zh-CN"/>
              </w:rPr>
              <w:t>课程思政育人目标：</w:t>
            </w:r>
            <w:r>
              <w:rPr>
                <w:rFonts w:hint="eastAsia" w:ascii="仿宋_GB2312" w:hAnsi="仿宋_GB2312" w:eastAsia="仿宋_GB2312" w:cs="仿宋_GB2312"/>
                <w:sz w:val="24"/>
                <w:szCs w:val="24"/>
                <w:lang w:val="en-US" w:eastAsia="zh-CN"/>
              </w:rPr>
              <w:t>通过物理学史和科学家故事，弘扬科学精神和爱国情怀，培养职业道德、团队协作意识与社会责任感。</w:t>
            </w:r>
          </w:p>
        </w:tc>
        <w:tc>
          <w:tcPr>
            <w:tcW w:w="302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课程涵盖经典物理核心内容，包括质点力学、刚体转动、机械振动与波；热力学基础与理想气体状态方程；静电场、恒定磁场与电磁感应现象。教学内容注重与专业结合，通过案例分析介绍物理原理在工程技术（如机械、电气、汽车）中的典型应用，并安排基础物理实验以强化实践认知。</w:t>
            </w:r>
          </w:p>
        </w:tc>
        <w:tc>
          <w:tcPr>
            <w:tcW w:w="2682"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shd w:val="clear" w:color="auto" w:fill="FFFFFF"/>
              </w:rPr>
            </w:pPr>
            <w:r>
              <w:rPr>
                <w:rFonts w:hint="eastAsia" w:ascii="仿宋_GB2312" w:hAnsi="仿宋_GB2312" w:eastAsia="仿宋_GB2312" w:cs="仿宋_GB2312"/>
                <w:sz w:val="24"/>
                <w:szCs w:val="24"/>
                <w:lang w:val="en-US" w:eastAsia="zh-CN"/>
              </w:rPr>
              <w:t>理论与实践并重，采用案例教学、项目驱动等方法，紧密联系专业实际和生活中的物理现象，激发学生兴趣。充分利用多媒体等信息化手段辅助教学，强化直观理解。注重培养学生动手操作、观察分析和解决实际问题的能力，鼓励团队协作与创新思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26</w:t>
            </w:r>
          </w:p>
        </w:tc>
        <w:tc>
          <w:tcPr>
            <w:tcW w:w="813"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 w:hAnsi="仿宋" w:eastAsia="仿宋" w:cs="仿宋"/>
                <w:color w:val="auto"/>
                <w:sz w:val="24"/>
                <w:szCs w:val="24"/>
                <w:highlight w:val="none"/>
                <w:shd w:val="clear" w:color="auto" w:fill="FFFFFF"/>
                <w:lang w:val="en-US" w:eastAsia="zh-CN"/>
              </w:rPr>
            </w:pPr>
            <w:r>
              <w:rPr>
                <w:rFonts w:hint="eastAsia" w:ascii="仿宋_GB2312" w:hAnsi="仿宋_GB2312" w:eastAsia="仿宋_GB2312" w:cs="仿宋_GB2312"/>
                <w:sz w:val="24"/>
                <w:szCs w:val="24"/>
                <w:lang w:val="en-US" w:eastAsia="zh-CN"/>
              </w:rPr>
              <w:t>化学</w:t>
            </w:r>
          </w:p>
        </w:tc>
        <w:tc>
          <w:tcPr>
            <w:tcW w:w="3750"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知识目标：</w:t>
            </w:r>
            <w:r>
              <w:rPr>
                <w:rFonts w:hint="eastAsia" w:ascii="仿宋_GB2312" w:hAnsi="仿宋_GB2312" w:eastAsia="仿宋_GB2312" w:cs="仿宋_GB2312"/>
                <w:sz w:val="24"/>
                <w:szCs w:val="24"/>
                <w:lang w:val="en-US" w:eastAsia="zh-CN"/>
              </w:rPr>
              <w:t>掌握物质结构、溶液化学、反应速率、电解质溶液等基本化学原理，熟悉常见元素及其化合物的性质与重要反应律。</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能力目标：</w:t>
            </w:r>
            <w:r>
              <w:rPr>
                <w:rFonts w:hint="eastAsia" w:ascii="仿宋_GB2312" w:hAnsi="仿宋_GB2312" w:eastAsia="仿宋_GB2312" w:cs="仿宋_GB2312"/>
                <w:sz w:val="24"/>
                <w:szCs w:val="24"/>
                <w:lang w:val="en-US" w:eastAsia="zh-CN"/>
              </w:rPr>
              <w:t>能够规范进行基础化学实验操作，具备分析处理实验数据、鉴别常见物质及解决化工生产中一般性化学问题的实践能力。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素质目标：</w:t>
            </w:r>
            <w:r>
              <w:rPr>
                <w:rFonts w:hint="eastAsia" w:ascii="仿宋_GB2312" w:hAnsi="仿宋_GB2312" w:eastAsia="仿宋_GB2312" w:cs="仿宋_GB2312"/>
                <w:sz w:val="24"/>
                <w:szCs w:val="24"/>
                <w:lang w:val="en-US" w:eastAsia="zh-CN"/>
              </w:rPr>
              <w:t>培养严谨细致、实事求是的科学作风，树立环保、安全、节约的意识，为未来从事相关技术工作奠定良好的职业素养基础。</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sz w:val="24"/>
                <w:szCs w:val="24"/>
                <w:lang w:val="en-US" w:eastAsia="zh-CN"/>
              </w:rPr>
              <w:t>课程思政育人目标：</w:t>
            </w:r>
            <w:r>
              <w:rPr>
                <w:rFonts w:hint="eastAsia" w:ascii="仿宋_GB2312" w:hAnsi="仿宋_GB2312" w:eastAsia="仿宋_GB2312" w:cs="仿宋_GB2312"/>
                <w:sz w:val="24"/>
                <w:szCs w:val="24"/>
                <w:lang w:val="en-US" w:eastAsia="zh-CN"/>
              </w:rPr>
              <w:t>通过我国古代化工成就与现代科技发展案例，增强民族自豪感，培养绿色化学理念、社会责任感和职业道德。</w:t>
            </w:r>
          </w:p>
        </w:tc>
        <w:tc>
          <w:tcPr>
            <w:tcW w:w="302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教学内容涵盖物质结构基础；化学反应基本原理（能量、速率与平衡）；重要元素及其化合物（如金属、非金属）的性质与应用；溶液（电离、pH、胶体）与分析化学基础；有机化学入门（常见烃与烃的衍生物）。课程将紧密结合环境监测、材料加工、生物医药、日用化工等专业领域实例展开教学，并配套基础化学实验。</w:t>
            </w:r>
          </w:p>
        </w:tc>
        <w:tc>
          <w:tcPr>
            <w:tcW w:w="2682"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shd w:val="clear" w:color="auto" w:fill="FFFFFF"/>
              </w:rPr>
            </w:pPr>
            <w:r>
              <w:rPr>
                <w:rFonts w:hint="eastAsia" w:ascii="仿宋_GB2312" w:hAnsi="仿宋_GB2312" w:eastAsia="仿宋_GB2312" w:cs="仿宋_GB2312"/>
                <w:sz w:val="24"/>
                <w:szCs w:val="24"/>
                <w:lang w:val="en-US" w:eastAsia="zh-CN"/>
              </w:rPr>
              <w:t>坚持“理论够用、重在应用”原则，采用项目化、案例式教学，将知识点融入专业实例和生活情境。充分利用演示实验等手段辅助教学，突出重点，化解难点。高度重视实验安全教育，严格规范学生操作流程，着重培养其观察、动手、分析和解决实际问题的综合能力。</w:t>
            </w:r>
          </w:p>
        </w:tc>
      </w:tr>
    </w:tbl>
    <w:p>
      <w:pPr>
        <w:pStyle w:val="2"/>
        <w:pageBreakBefore w:val="0"/>
        <w:widowControl/>
        <w:kinsoku/>
        <w:wordWrap/>
        <w:topLinePunct w:val="0"/>
        <w:autoSpaceDE/>
        <w:autoSpaceDN/>
        <w:bidi w:val="0"/>
        <w:snapToGrid/>
        <w:spacing w:before="0" w:after="0" w:line="520" w:lineRule="exact"/>
        <w:ind w:firstLine="640" w:firstLineChars="200"/>
        <w:jc w:val="left"/>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（二）专业课程</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rPr>
        <w:t>一般包括专业基础课程、专业核心课程和专业拓展课程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 w:val="0"/>
          <w:bCs w:val="0"/>
          <w:color w:val="auto"/>
          <w:sz w:val="32"/>
          <w:szCs w:val="32"/>
          <w:highlight w:val="none"/>
          <w:lang w:val="en-US" w:eastAsia="zh-CN"/>
        </w:rPr>
        <w:t>并涵盖有关实践性教学环节。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rPr>
      </w:pPr>
      <w:bookmarkStart w:id="10" w:name="_Toc90734975"/>
      <w:r>
        <w:rPr>
          <w:rFonts w:hint="eastAsia" w:ascii="仿宋_GB2312" w:hAnsi="仿宋_GB2312" w:eastAsia="仿宋_GB2312" w:cs="仿宋_GB2312"/>
          <w:b w:val="0"/>
          <w:bCs w:val="0"/>
          <w:color w:val="auto"/>
          <w:sz w:val="32"/>
          <w:szCs w:val="32"/>
        </w:rPr>
        <w:t>1.专业基础课程</w:t>
      </w:r>
      <w:bookmarkEnd w:id="10"/>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专业基础课程</w:t>
      </w:r>
      <w:r>
        <w:rPr>
          <w:rFonts w:hint="eastAsia" w:ascii="仿宋_GB2312" w:hAnsi="仿宋_GB2312" w:eastAsia="仿宋_GB2312" w:cs="仿宋_GB2312"/>
          <w:color w:val="auto"/>
          <w:sz w:val="32"/>
          <w:szCs w:val="32"/>
          <w:lang w:val="en-US" w:eastAsia="zh-CN"/>
        </w:rPr>
        <w:t>是为学生后续的专业核心课程和实践教学奠定理论基础和技术支撑，涵盖专业领域的通用理论和共性技能。</w:t>
      </w:r>
      <w:r>
        <w:rPr>
          <w:rFonts w:hint="eastAsia" w:ascii="仿宋_GB2312" w:hAnsi="仿宋_GB2312" w:eastAsia="仿宋_GB2312" w:cs="仿宋_GB2312"/>
          <w:color w:val="auto"/>
          <w:sz w:val="32"/>
          <w:szCs w:val="32"/>
        </w:rPr>
        <w:t>包括：</w:t>
      </w:r>
      <w:r>
        <w:rPr>
          <w:rFonts w:hint="eastAsia" w:ascii="仿宋_GB2312" w:hAnsi="仿宋_GB2312" w:eastAsia="仿宋_GB2312" w:cs="仿宋_GB2312"/>
          <w:color w:val="auto"/>
          <w:kern w:val="2"/>
          <w:sz w:val="32"/>
          <w:szCs w:val="32"/>
          <w:highlight w:val="none"/>
          <w:lang w:val="en-US" w:eastAsia="zh-CN" w:bidi="ar-SA"/>
        </w:rPr>
        <w:t>婴幼儿生理基础、婴幼儿心理发展、婴幼儿玩教具制作、婴幼儿教育活动设计与指导、婴幼儿教育学、婴幼儿卫生与保健、婴幼儿营养与喂养、婴幼儿照护机构环境创设、感觉统合训练、婴幼儿学习与发展、0-3岁婴幼儿奥尔夫音乐教育、托育服务政策法规与职业理论、托育机构组织管理导论、婴幼儿动作发展与训练</w:t>
      </w:r>
      <w:r>
        <w:rPr>
          <w:rFonts w:hint="eastAsia" w:ascii="仿宋_GB2312" w:hAnsi="仿宋_GB2312" w:eastAsia="仿宋_GB2312" w:cs="仿宋_GB2312"/>
          <w:color w:val="auto"/>
          <w:spacing w:val="-4"/>
          <w:sz w:val="32"/>
          <w:szCs w:val="32"/>
        </w:rPr>
        <w:t>等课程。</w:t>
      </w:r>
    </w:p>
    <w:p>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default" w:ascii="仿宋_GB2312" w:hAnsi="仿宋_GB2312" w:eastAsia="仿宋_GB2312" w:cs="仿宋_GB2312"/>
          <w:color w:val="auto"/>
          <w:sz w:val="32"/>
          <w:szCs w:val="32"/>
          <w:highlight w:val="green"/>
          <w:lang w:val="en-US" w:eastAsia="zh-CN"/>
        </w:rPr>
      </w:pPr>
      <w:r>
        <w:rPr>
          <w:rFonts w:hint="eastAsia" w:ascii="仿宋_GB2312" w:hAnsi="仿宋_GB2312" w:eastAsia="仿宋_GB2312" w:cs="仿宋_GB2312"/>
          <w:color w:val="auto"/>
          <w:sz w:val="32"/>
          <w:szCs w:val="32"/>
        </w:rPr>
        <w:t>表3专业</w:t>
      </w:r>
      <w:r>
        <w:rPr>
          <w:rFonts w:hint="eastAsia" w:ascii="仿宋_GB2312" w:hAnsi="仿宋_GB2312" w:eastAsia="仿宋_GB2312" w:cs="仿宋_GB2312"/>
          <w:color w:val="auto"/>
          <w:sz w:val="32"/>
          <w:szCs w:val="32"/>
          <w:highlight w:val="none"/>
        </w:rPr>
        <w:t>基础课</w:t>
      </w:r>
      <w:r>
        <w:rPr>
          <w:rFonts w:hint="eastAsia" w:ascii="仿宋_GB2312" w:hAnsi="仿宋_GB2312" w:eastAsia="仿宋_GB2312" w:cs="仿宋_GB2312"/>
          <w:color w:val="auto"/>
          <w:sz w:val="32"/>
          <w:szCs w:val="32"/>
          <w:highlight w:val="none"/>
          <w:lang w:val="en-US" w:eastAsia="zh-CN"/>
        </w:rPr>
        <w:t>课</w:t>
      </w:r>
      <w:r>
        <w:rPr>
          <w:rFonts w:hint="eastAsia" w:ascii="仿宋_GB2312" w:hAnsi="仿宋_GB2312" w:eastAsia="仿宋_GB2312" w:cs="仿宋_GB2312"/>
          <w:color w:val="auto"/>
          <w:sz w:val="32"/>
          <w:szCs w:val="32"/>
          <w:highlight w:val="none"/>
        </w:rPr>
        <w:t>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103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5"/>
        <w:gridCol w:w="896"/>
        <w:gridCol w:w="3891"/>
        <w:gridCol w:w="2509"/>
        <w:gridCol w:w="2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vAlign w:val="center"/>
          </w:tcPr>
          <w:p>
            <w:pPr>
              <w:spacing w:line="320" w:lineRule="exact"/>
              <w:jc w:val="center"/>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rPr>
              <w:t>序号</w:t>
            </w:r>
          </w:p>
        </w:tc>
        <w:tc>
          <w:tcPr>
            <w:tcW w:w="896" w:type="dxa"/>
            <w:vAlign w:val="center"/>
          </w:tcPr>
          <w:p>
            <w:pPr>
              <w:spacing w:line="360" w:lineRule="exact"/>
              <w:jc w:val="center"/>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rPr>
              <w:t>课程名称</w:t>
            </w:r>
          </w:p>
        </w:tc>
        <w:tc>
          <w:tcPr>
            <w:tcW w:w="3891" w:type="dxa"/>
            <w:vAlign w:val="center"/>
          </w:tcPr>
          <w:p>
            <w:pPr>
              <w:spacing w:line="360" w:lineRule="exact"/>
              <w:jc w:val="center"/>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lang w:val="en-US" w:eastAsia="zh-CN"/>
              </w:rPr>
              <w:t>课程</w:t>
            </w:r>
            <w:r>
              <w:rPr>
                <w:rFonts w:hint="eastAsia" w:ascii="仿宋_GB2312" w:hAnsi="仿宋_GB2312" w:eastAsia="仿宋_GB2312" w:cs="仿宋_GB2312"/>
                <w:b w:val="0"/>
                <w:bCs w:val="0"/>
                <w:color w:val="auto"/>
                <w:sz w:val="24"/>
                <w:szCs w:val="24"/>
              </w:rPr>
              <w:t>目标</w:t>
            </w:r>
          </w:p>
        </w:tc>
        <w:tc>
          <w:tcPr>
            <w:tcW w:w="2509" w:type="dxa"/>
            <w:vAlign w:val="center"/>
          </w:tcPr>
          <w:p>
            <w:pPr>
              <w:spacing w:line="360" w:lineRule="exact"/>
              <w:jc w:val="center"/>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lang w:val="en-US" w:eastAsia="zh-CN"/>
              </w:rPr>
              <w:t>主要</w:t>
            </w:r>
            <w:r>
              <w:rPr>
                <w:rFonts w:hint="eastAsia" w:ascii="仿宋_GB2312" w:hAnsi="仿宋_GB2312" w:eastAsia="仿宋_GB2312" w:cs="仿宋_GB2312"/>
                <w:b w:val="0"/>
                <w:bCs w:val="0"/>
                <w:color w:val="auto"/>
                <w:sz w:val="24"/>
                <w:szCs w:val="24"/>
              </w:rPr>
              <w:t>教学内容</w:t>
            </w:r>
          </w:p>
        </w:tc>
        <w:tc>
          <w:tcPr>
            <w:tcW w:w="2512" w:type="dxa"/>
            <w:vAlign w:val="center"/>
          </w:tcPr>
          <w:p>
            <w:pPr>
              <w:spacing w:line="360" w:lineRule="exact"/>
              <w:jc w:val="center"/>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highlight w:val="none"/>
                <w:lang w:val="en-US" w:eastAsia="zh-CN"/>
              </w:rPr>
              <w:t>1</w:t>
            </w:r>
          </w:p>
        </w:tc>
        <w:tc>
          <w:tcPr>
            <w:tcW w:w="896"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highlight w:val="none"/>
                <w:shd w:val="clear" w:color="auto" w:fill="FFFFFF"/>
                <w:lang w:val="en-US" w:eastAsia="zh-CN"/>
              </w:rPr>
              <w:t>婴幼儿生理基础</w:t>
            </w:r>
          </w:p>
        </w:tc>
        <w:tc>
          <w:tcPr>
            <w:tcW w:w="3891"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掌握婴幼儿身体结构、生长发育规律及生理机能特点，熟知运用生理知识分析健康问题、提出科学养护建议的知识要点 。</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能运用生理知识分析婴幼儿健康问题，识别健康隐患并提出科学养护建议 。</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树立关注婴幼儿生理健康、科学养护的责任意识，养成严谨运用生理知识保障婴幼儿健康的专业素养 。</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引导学生树立科学育儿观，以关爱婴幼儿生理健康为出发点，培养守护生命成长、负责任的职业情怀 。</w:t>
            </w:r>
          </w:p>
        </w:tc>
        <w:tc>
          <w:tcPr>
            <w:tcW w:w="2509"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课程包含婴幼儿身体各系统结构与功能（如神经系统、消化系统等）婴幼儿生长发育指标与规律理论知识，影响婴幼儿生理发展的因素，婴幼儿常见生理现象及应对措施等相关专业知识。</w:t>
            </w: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p>
        </w:tc>
        <w:tc>
          <w:tcPr>
            <w:tcW w:w="2512"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val="0"/>
                <w:bCs w:val="0"/>
                <w:color w:val="auto"/>
                <w:sz w:val="24"/>
                <w:szCs w:val="24"/>
              </w:rPr>
              <w:t>要求</w:t>
            </w:r>
            <w:r>
              <w:rPr>
                <w:rFonts w:hint="eastAsia" w:ascii="仿宋_GB2312" w:hAnsi="仿宋_GB2312" w:eastAsia="仿宋_GB2312" w:cs="仿宋_GB2312"/>
                <w:color w:val="auto"/>
                <w:sz w:val="24"/>
                <w:szCs w:val="24"/>
                <w:highlight w:val="none"/>
                <w:lang w:val="en-US" w:eastAsia="zh-CN"/>
              </w:rPr>
              <w:t>学生了解婴幼儿生长发育规律与指标，掌握婴幼儿生长发育规律与指标，能够对婴幼儿常见生理现象做出正确的处理及应对措施。</w:t>
            </w: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lang w:val="en-US" w:eastAsia="zh-CN"/>
              </w:rPr>
            </w:pPr>
            <w:bookmarkStart w:id="11" w:name="_Hlk194587108"/>
            <w:r>
              <w:rPr>
                <w:rFonts w:hint="eastAsia" w:ascii="仿宋_GB2312" w:hAnsi="仿宋_GB2312" w:eastAsia="仿宋_GB2312" w:cs="仿宋_GB2312"/>
                <w:color w:val="auto"/>
                <w:sz w:val="24"/>
                <w:szCs w:val="24"/>
                <w:highlight w:val="none"/>
                <w:lang w:val="en-US" w:eastAsia="zh-CN"/>
              </w:rPr>
              <w:t>2</w:t>
            </w:r>
          </w:p>
        </w:tc>
        <w:tc>
          <w:tcPr>
            <w:tcW w:w="896"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shd w:val="clear" w:color="auto" w:fill="FFFFFF"/>
                <w:lang w:val="en-US" w:eastAsia="zh-CN"/>
              </w:rPr>
              <w:t>婴幼儿心理发展</w:t>
            </w:r>
          </w:p>
        </w:tc>
        <w:tc>
          <w:tcPr>
            <w:tcW w:w="3891"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系统掌握婴幼儿心理发展核心规律，理解0-3岁儿童认知、情绪、社会性等领域理论基础，明晰不同阶段身心发展特点及对玩教具功能需求 。</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具备科学观察、评估与干预婴幼儿心理发展的能力，识别发展需求与潜在风险并提供支持策略；具备跨学科整合及结合前沿研究实践的能力 。</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提升尊重婴幼儿个体差异、支持其发展的专业价值观，增强协同家庭与社会资源促进婴幼儿发展的协作素养 。</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厚植尊重个体差异、倡导公平发展的价值观，强化协同家校社共育、促进婴幼儿全面发展的社会责任感，传递科学育儿、守护童年的正能量 。</w:t>
            </w:r>
          </w:p>
        </w:tc>
        <w:tc>
          <w:tcPr>
            <w:tcW w:w="2509"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课程包含0-3岁婴幼儿心理发展的概述；0-3岁婴幼儿动作发展与指导；0-3岁婴幼儿认知发展与启蒙；0-3岁婴幼儿言语发展；0-3岁婴幼儿情绪情感发展；0-3岁婴幼儿个性发展；0-3岁婴幼儿社会性发展。</w:t>
            </w:r>
          </w:p>
        </w:tc>
        <w:tc>
          <w:tcPr>
            <w:tcW w:w="2512"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val="0"/>
                <w:bCs w:val="0"/>
                <w:color w:val="auto"/>
                <w:sz w:val="24"/>
                <w:szCs w:val="24"/>
              </w:rPr>
              <w:t>要求</w:t>
            </w:r>
            <w:r>
              <w:rPr>
                <w:rFonts w:hint="eastAsia" w:ascii="仿宋_GB2312" w:hAnsi="仿宋_GB2312" w:eastAsia="仿宋_GB2312" w:cs="仿宋_GB2312"/>
                <w:color w:val="auto"/>
                <w:sz w:val="24"/>
                <w:szCs w:val="24"/>
                <w:highlight w:val="none"/>
                <w:lang w:val="en-US" w:eastAsia="zh-CN"/>
              </w:rPr>
              <w:t>学生掌握婴幼儿心理发展过程中关于社会理解与合作、依恋、自我调节与控制、认知发展的相关知识和托育与管理的实际操作能力，培养学生的独立思考能力和解决问题的综合分析能力，使其在今后工作中能够更好地胜任婴幼儿托育等早教相关工作岗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6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lang w:val="en-US" w:eastAsia="zh-CN"/>
              </w:rPr>
            </w:pPr>
            <w:bookmarkStart w:id="12" w:name="_Toc90734977"/>
            <w:r>
              <w:rPr>
                <w:rFonts w:hint="eastAsia" w:ascii="仿宋_GB2312" w:hAnsi="仿宋_GB2312" w:eastAsia="仿宋_GB2312" w:cs="仿宋_GB2312"/>
                <w:color w:val="auto"/>
                <w:sz w:val="24"/>
                <w:szCs w:val="24"/>
                <w:highlight w:val="none"/>
                <w:lang w:val="en-US" w:eastAsia="zh-CN"/>
              </w:rPr>
              <w:t>3</w:t>
            </w:r>
          </w:p>
        </w:tc>
        <w:tc>
          <w:tcPr>
            <w:tcW w:w="896"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shd w:val="clear" w:color="auto" w:fill="FFFFFF"/>
                <w:lang w:val="en-US" w:eastAsia="zh-CN"/>
              </w:rPr>
              <w:t>婴幼儿玩教具制作</w:t>
            </w:r>
          </w:p>
        </w:tc>
        <w:tc>
          <w:tcPr>
            <w:tcW w:w="389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熟悉各类制作玩教具的材料特性，掌握材料选择原则与应用范围，知晓玩教具制作创意、教育功能设计及与婴幼儿发展适配的知识 。</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能依据婴幼儿年龄和兴趣独立设计制作玩教具，熟练运用多种工具制作，将设计转化为高质量玩教具成品；能对自制玩教具评估优化 。</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培养创新思维与实践动手素质，强化以优质玩教具服务婴幼儿教育活动的职业担当 。</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激发学生创新创造精神，树立以优质玩教具助力婴幼儿教育、服务幼儿成长的职业信念，培养精益求精、服务教育的工匠精神。</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p>
        </w:tc>
        <w:tc>
          <w:tcPr>
            <w:tcW w:w="2509"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r>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课程主要</w:t>
            </w:r>
            <w:r>
              <w:rPr>
                <w:rFonts w:hint="eastAsia" w:ascii="仿宋_GB2312" w:hAnsi="仿宋_GB2312" w:eastAsia="仿宋_GB2312" w:cs="仿宋_GB2312"/>
                <w:color w:val="auto"/>
                <w:sz w:val="24"/>
                <w:szCs w:val="24"/>
                <w:highlight w:val="none"/>
                <w:lang w:val="en-US" w:eastAsia="zh-CN"/>
              </w:rPr>
              <w:t xml:space="preserve">深入剖析0-3岁婴幼儿在身体动作、认知、语言、情感及社会性等方面的发展特点，对应讲解各阶段适合的玩教具类型与功能，如针对低龄婴幼儿的感官刺激类玩教具，以及适合大龄幼儿的益智探索类玩教具。介绍常见的玩教具制作材料，包括纸质、木质、塑料、布艺、废旧物品等，分析它们的优缺点、适用场景及加工方式；讲解各类手工工具的使用方法与安全注意事项，如剪刀、热熔胶枪、刻刀等，让学生熟练掌握工具操作技巧。 </w:t>
            </w:r>
          </w:p>
        </w:tc>
        <w:tc>
          <w:tcPr>
            <w:tcW w:w="2512"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教师通过采用理论讲授与实践操作相结合的方法。理论部分通过课堂讲解、多媒体展示、案例分析等方式，让学生系统掌握知识；实践环节安排充足时间，让学生在实际制作中锻炼能力，教师现场指导，及时解决问题；鼓励学生小组合作，共同完成复杂项目，培养团队协作精神。确保实践教学场地设施齐全，提供丰富的制作材料与工具；安排学生到幼儿园进行观察，了解婴幼儿对玩教具的实际反应，将实践与教学紧密结合；要求学生在课程中完成一定数量的玩教具作品，并进行展示与交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jc w:val="center"/>
        </w:trPr>
        <w:tc>
          <w:tcPr>
            <w:tcW w:w="56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4</w:t>
            </w:r>
          </w:p>
        </w:tc>
        <w:tc>
          <w:tcPr>
            <w:tcW w:w="896"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shd w:val="clear" w:color="auto" w:fill="FFFFFF"/>
                <w:lang w:val="en-US" w:eastAsia="zh-CN"/>
              </w:rPr>
              <w:t>婴幼儿教育活动设计与指导</w:t>
            </w:r>
          </w:p>
        </w:tc>
        <w:tc>
          <w:tcPr>
            <w:tcW w:w="389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帮助学生掌握婴幼儿教育活动设计的基本原理、流程及指导方法；熟悉各年龄段婴幼儿教育活动的目标与内容要点；理解婴幼儿身心发展特点。</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学生能够依据婴幼儿身心发展特点，独立设计科学、有趣的教育活动方案；能够有效组织实施与指导婴幼儿教育活动。</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培养对婴幼儿教育事业的热爱与责任感。</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树立以婴幼儿为本的教育活动设计理念。</w:t>
            </w:r>
          </w:p>
        </w:tc>
        <w:tc>
          <w:tcPr>
            <w:tcW w:w="2509"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r>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课程包含</w:t>
            </w:r>
            <w:r>
              <w:rPr>
                <w:rFonts w:hint="eastAsia" w:ascii="仿宋_GB2312" w:hAnsi="仿宋_GB2312" w:eastAsia="仿宋_GB2312" w:cs="仿宋_GB2312"/>
                <w:sz w:val="24"/>
                <w:szCs w:val="24"/>
              </w:rPr>
              <w:t>婴幼儿教育活动概述</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婴幼儿教育活动设计与指导基础知识</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0</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rPr>
              <w:t>6月龄婴儿教育活动的设计与指导</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7</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rPr>
              <w:t>18月龄婴幼儿教育活动的设计与指导</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19</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rPr>
              <w:t>36月龄幼儿教育活动的设计与指导</w:t>
            </w:r>
            <w:r>
              <w:rPr>
                <w:rFonts w:hint="eastAsia" w:ascii="仿宋_GB2312" w:hAnsi="仿宋_GB2312" w:eastAsia="仿宋_GB2312" w:cs="仿宋_GB2312"/>
                <w:sz w:val="24"/>
                <w:szCs w:val="24"/>
                <w:lang w:eastAsia="zh-CN"/>
              </w:rPr>
              <w:t>。</w:t>
            </w: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p>
        </w:tc>
        <w:tc>
          <w:tcPr>
            <w:tcW w:w="2512"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教师通过采用理论讲授与实践操作相结合的方法。深入剖析婴幼儿在认知、语言、动作、情感及社会性等方面的发展规律与阶段性特征。例如，讲解婴儿从简单的反射动作到逐渐掌握自主抓握、爬行、行走等精细与大动作的发展进程；分析幼儿语言从牙牙学语到能够用完整句子表达想法的过渡阶段特点，为后续教育活动设计提供理论依据，根据婴幼儿身心发展特点构建完整的活动方案框架，包括活动名称、活动目标、活动准备（材料、场地、人员等）、活动过程（导入、展开、结束环节）、活动延伸等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5</w:t>
            </w:r>
          </w:p>
        </w:tc>
        <w:tc>
          <w:tcPr>
            <w:tcW w:w="896"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shd w:val="clear" w:color="auto" w:fill="FFFFFF"/>
                <w:lang w:val="en-US" w:eastAsia="zh-CN"/>
              </w:rPr>
              <w:t>婴幼儿教育学</w:t>
            </w:r>
          </w:p>
        </w:tc>
        <w:tc>
          <w:tcPr>
            <w:tcW w:w="389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形成完备的婴幼儿托育教育理论素养。掌握婴幼儿教育理论相关知识。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能够运用所学婴幼儿教育理论，正确认识和分析实际工作中和社会中出现的各种教育现象和教育问题。能够运用科学的评价指标对婴幼儿教学方案、婴幼儿的发展、育婴师的各项工作做出恰当的评价。​</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具有良好的心理品质。</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培养学生热爱婴幼儿，热爱托育教育事业。树立献身婴幼儿托育服务与管理事业的理想和精神。​</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shd w:val="clear" w:color="auto" w:fill="FFFFFF"/>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shd w:val="clear" w:color="auto" w:fill="FFFFFF"/>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shd w:val="clear" w:color="auto" w:fill="FFFFFF"/>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shd w:val="clear" w:color="auto" w:fill="FFFFFF"/>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shd w:val="clear" w:color="auto" w:fill="FFFFFF"/>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shd w:val="clear" w:color="auto" w:fill="FFFFFF"/>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highlight w:val="yellow"/>
              </w:rPr>
            </w:pPr>
          </w:p>
        </w:tc>
        <w:tc>
          <w:tcPr>
            <w:tcW w:w="2509"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课程包含婴幼儿教育、婴幼儿身心发展、婴幼儿保教活动、婴幼儿游戏活动、婴幼儿照护者、婴幼儿合作共育与衔接。</w:t>
            </w:r>
          </w:p>
        </w:tc>
        <w:tc>
          <w:tcPr>
            <w:tcW w:w="2512"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lang w:val="en-US" w:eastAsia="zh-CN"/>
              </w:rPr>
              <w:t>要求</w:t>
            </w:r>
            <w:r>
              <w:rPr>
                <w:rFonts w:hint="eastAsia" w:ascii="仿宋_GB2312" w:hAnsi="仿宋_GB2312" w:eastAsia="仿宋_GB2312" w:cs="仿宋_GB2312"/>
                <w:color w:val="auto"/>
                <w:sz w:val="24"/>
                <w:szCs w:val="24"/>
                <w:highlight w:val="none"/>
                <w:lang w:val="en-US" w:eastAsia="zh-CN"/>
              </w:rPr>
              <w:t>学生需深度剖析婴幼儿教育学理论体系，清晰认知不同阶段婴幼儿的身心发展规律，理解教育与保育融合对婴幼儿成长的重要意义。实践能力培养方面，要让学生能够依据理论设计并开展适宜的教育活动，在实践中敏锐观察婴幼儿行为表现，准确解读其发展状态，为后续个性化教育干预提供支撑。内容框架构建上，从婴幼儿教育学基础理论切入，介绍学科发展脉络、核心教育理念。接着详细阐述婴幼儿身体、认知、语言、情感及社会性等方面的发展特征，分月龄或年龄阶段进行细致讲解。在教育实施板块，涵盖课程设计、教学方法选择、活动组织与指导等内容，同时融入婴幼儿心理健康教育、特殊需求婴幼儿教育等拓展知识，确保内容全面且具有针对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6</w:t>
            </w:r>
          </w:p>
        </w:tc>
        <w:tc>
          <w:tcPr>
            <w:tcW w:w="896"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shd w:val="clear" w:color="auto" w:fill="FFFFFF"/>
                <w:lang w:val="en-US" w:eastAsia="zh-CN"/>
              </w:rPr>
              <w:t>婴幼儿卫生与保健</w:t>
            </w:r>
          </w:p>
        </w:tc>
        <w:tc>
          <w:tcPr>
            <w:tcW w:w="389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精准理解各器官系统（包括神经系统、消化系统、呼吸系统等）的生长发育规律。明确婴幼儿与成人在生理结构和功能上的差异。全面了解婴幼儿常见疾病与传染病的病因、症状、诊断方法及预防措施。​熟悉手足口病、流感等疾病的传播途径和防控要点。​</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能够准确识别婴幼儿疾病早期征兆。熟练掌握婴幼儿常见疾病和意外事故的现场急救技能，如心肺复苏、海姆立克急救法、伤口包扎等。能够在紧急情况下迅速做出正确反应，保障婴幼儿的生命安全。​</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培养对婴幼儿健康状况的高度敏感性和观察力，形成细致、严谨的工作态度。</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强化以婴幼儿生命健康为首位的职业信念，培养尊重生命、守护生命的人文关怀精神。</w:t>
            </w:r>
          </w:p>
        </w:tc>
        <w:tc>
          <w:tcPr>
            <w:tcW w:w="2509"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r>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课程包含学生</w:t>
            </w:r>
            <w:r>
              <w:rPr>
                <w:rFonts w:hint="eastAsia" w:ascii="仿宋_GB2312" w:hAnsi="仿宋_GB2312" w:eastAsia="仿宋_GB2312" w:cs="仿宋_GB2312"/>
                <w:color w:val="auto"/>
                <w:sz w:val="24"/>
                <w:szCs w:val="24"/>
                <w:highlight w:val="none"/>
                <w:lang w:val="en-US" w:eastAsia="zh-CN"/>
              </w:rPr>
              <w:t>掌握婴幼儿生理特点、常见疾病预防、营养需求及卫生保健基础理论；具备观察评估婴幼儿生长发育能力，熟练掌握常见疾病与意外急救技能，能制定科学保健计划、开展健康教育活动；培养关爱婴幼儿的职业情怀，树立严谨科学的工作态度与健康生活观念。</w:t>
            </w: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p>
        </w:tc>
        <w:tc>
          <w:tcPr>
            <w:tcW w:w="2512"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lang w:val="en-US" w:eastAsia="zh-CN"/>
              </w:rPr>
              <w:t>要求学生</w:t>
            </w:r>
            <w:r>
              <w:rPr>
                <w:rFonts w:hint="eastAsia" w:ascii="仿宋_GB2312" w:hAnsi="仿宋_GB2312" w:eastAsia="仿宋_GB2312" w:cs="仿宋_GB2312"/>
                <w:color w:val="auto"/>
                <w:sz w:val="24"/>
                <w:szCs w:val="24"/>
                <w:highlight w:val="none"/>
                <w:lang w:val="en-US" w:eastAsia="zh-CN"/>
              </w:rPr>
              <w:t>能够了解婴幼儿卫生与保健的含义、基本内容以及人体各系统的基础知识，理解婴幼儿各系统的生理特点，掌握各系统的卫生保健要点。掌握婴幼儿常见疾病的预防与护理措施，能较熟练地进行常见疾病的判断和处理。正确认识婴幼儿卫生与保健，激发对幼儿保育事业的热爱，培养良好的职业道德。</w:t>
            </w: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7</w:t>
            </w:r>
          </w:p>
        </w:tc>
        <w:tc>
          <w:tcPr>
            <w:tcW w:w="896"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shd w:val="clear" w:color="auto" w:fill="FFFFFF"/>
                <w:lang w:val="en-US" w:eastAsia="zh-CN"/>
              </w:rPr>
              <w:t>婴幼儿营养与喂养</w:t>
            </w:r>
          </w:p>
        </w:tc>
        <w:tc>
          <w:tcPr>
            <w:tcW w:w="389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具备扎实的婴幼儿营养与喂养相关专业知识。深刻理解婴幼儿营养与喂养的科学内涵。掌握婴幼儿生长发育规律。</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能够基于婴幼儿生长发育规律，综合运用所学知识与技能，为婴幼儿提供安全、营养、个性化的喂养方案。在实际工作中能够积极应对各类喂养问题。具备熟练的实践技能、良好的沟通协作能力以及创新思维。​</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激发持续学习和创新的动力。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树立对婴幼儿营养与健康事业的责任感与使命感。​培养推动婴幼儿营养与喂养领域发展的意识。​</w:t>
            </w:r>
          </w:p>
        </w:tc>
        <w:tc>
          <w:tcPr>
            <w:tcW w:w="2509"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r>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课程包含</w:t>
            </w:r>
            <w:r>
              <w:rPr>
                <w:rFonts w:hint="eastAsia" w:ascii="仿宋_GB2312" w:hAnsi="仿宋_GB2312" w:eastAsia="仿宋_GB2312" w:cs="仿宋_GB2312"/>
                <w:color w:val="auto"/>
                <w:sz w:val="24"/>
                <w:szCs w:val="24"/>
                <w:highlight w:val="none"/>
                <w:lang w:val="en-US" w:eastAsia="zh-CN"/>
              </w:rPr>
              <w:t>学生认识能量及七大营养素；熟悉各类食物的营养价值；了解婴幼儿喂养方式及影响因素；熟悉科学喂养的意义及实施原则；掌握喂养不当易导致的问题及解决方法；了解婴儿的营养需求；掌握纯母乳喂养与混合喂养的方法；掌握人工喂养与添加辅食的方法；了解1～2岁幼儿的营养需求1～2岁幼儿饮食习惯的培养；掌握2～3岁幼儿的喂养方法；2～3岁幼儿饮食习惯的培养；定期监测婴幼儿体格生长指标；评价婴幼儿生长发育状况。</w:t>
            </w:r>
          </w:p>
        </w:tc>
        <w:tc>
          <w:tcPr>
            <w:tcW w:w="2512"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教师采用多样化的教学方法，如讲授法系统传授婴幼儿营养与喂养的基础理论知识，包括营养素的作用、喂养方式的科学依据等；运用案例分析法，引入实际生活中婴幼儿喂养成功与失败的案例，组织学生讨论分析，加深对知识的理解和应用能力。同时，借助多媒体教学工具，播放母乳喂养技巧、辅食制作过程等视频，增强教学的直观性和趣味性。设置充足的实践课程，让学生在模拟喂养场景中进行操作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8</w:t>
            </w:r>
          </w:p>
        </w:tc>
        <w:tc>
          <w:tcPr>
            <w:tcW w:w="896"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shd w:val="clear" w:color="auto" w:fill="FFFFFF"/>
                <w:lang w:val="en-US" w:eastAsia="zh-CN"/>
              </w:rPr>
              <w:t>婴幼儿照护机构环境创设</w:t>
            </w:r>
          </w:p>
        </w:tc>
        <w:tc>
          <w:tcPr>
            <w:tcW w:w="389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深入把握婴幼儿身心发展特性，了解国内外先进的环境创设理念，掌握婴幼儿照护机构环境创设中空间规划、装饰布置等专业知识和技巧。​</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能够将国内外先进环境创设理念与本地实际相结合。具备专业且全面的婴幼儿照护机构环境创设能力。能独立创作出安全、教育性与美感兼具的环境创设方案。</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激发对婴幼儿照护事业的热忱。​</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shd w:val="clear" w:color="auto" w:fill="FFFFFF"/>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塑造以婴幼儿为中心的服务意识，树立助力婴幼儿健康成长的职业追求。</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highlight w:val="yellow"/>
              </w:rPr>
            </w:pPr>
          </w:p>
        </w:tc>
        <w:tc>
          <w:tcPr>
            <w:tcW w:w="2509"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r>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课程包含</w:t>
            </w:r>
            <w:r>
              <w:rPr>
                <w:rFonts w:hint="eastAsia" w:ascii="仿宋_GB2312" w:hAnsi="仿宋_GB2312" w:eastAsia="仿宋_GB2312" w:cs="仿宋_GB2312"/>
                <w:color w:val="auto"/>
                <w:sz w:val="24"/>
                <w:szCs w:val="24"/>
                <w:highlight w:val="none"/>
                <w:lang w:val="en-US" w:eastAsia="zh-CN"/>
              </w:rPr>
              <w:t>了解托育机构环境的含义，掌握托育机构环境的分类；理解和掌握托育机构选址的基本要求，知道不同类型的托育机构在选址上的异同点；了解托育机构室外室内公共区域的构成和功能，理解和掌握托育机构室外室内公共区域环境创设的基本要求；了解生活区的分类，掌握不同生活区的环境创设原则及注意事项；掌握不同区域规划的要点和材料的准备，能够为不同月龄的婴幼儿创设适宜的动作发展区；了解户外活动区创设的要点，熟悉政策法规中对户外活动区环境的相关规定；掌握托育机构行政办公区的分类及环境创设要点。</w:t>
            </w:r>
          </w:p>
        </w:tc>
        <w:tc>
          <w:tcPr>
            <w:tcW w:w="2512"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lang w:val="en-US" w:eastAsia="zh-CN"/>
              </w:rPr>
              <w:t>要求学生</w:t>
            </w:r>
            <w:r>
              <w:rPr>
                <w:rFonts w:hint="eastAsia" w:ascii="仿宋_GB2312" w:hAnsi="仿宋_GB2312" w:eastAsia="仿宋_GB2312" w:cs="仿宋_GB2312"/>
                <w:color w:val="auto"/>
                <w:sz w:val="24"/>
                <w:szCs w:val="24"/>
                <w:highlight w:val="none"/>
                <w:lang w:val="en-US" w:eastAsia="zh-CN"/>
              </w:rPr>
              <w:t>深入理解婴幼儿身心发展特点与环境创设之间的紧密联系，构建起全面且系统的环境创设理论知识架构。实践层面，学生须具备依据不同月龄婴幼儿需求，从空间布局、设施配备、装饰布置到安全防护等方面，独立设计并执行科学合理、富有创意且安全舒适的照护机构环境创设方案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9" w:hRule="atLeast"/>
          <w:jc w:val="center"/>
        </w:trPr>
        <w:tc>
          <w:tcPr>
            <w:tcW w:w="56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9</w:t>
            </w:r>
          </w:p>
        </w:tc>
        <w:tc>
          <w:tcPr>
            <w:tcW w:w="896"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shd w:val="clear" w:color="auto" w:fill="FFFFFF"/>
                <w:lang w:val="en-US" w:eastAsia="zh-CN"/>
              </w:rPr>
              <w:t>感觉统合训练</w:t>
            </w:r>
          </w:p>
        </w:tc>
        <w:tc>
          <w:tcPr>
            <w:tcW w:w="389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理解婴幼儿存在个体差异这一特性。掌握根据婴幼儿具体情况制定个性化训练安排的相关知识。了解如何在训练中融入趣味性和互动性以提升婴幼儿学习兴趣的原理。​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够准确把握每个婴幼儿的具体情况，制定并实施个性化的训练安排，以最大程度发挥其潜能。能够设计并开展具有趣味性和互动性的训练活动，使婴幼儿在轻松愉快的氛围中完成训练任务，提升其学习兴趣和积极性。​</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培养对婴幼儿个体差异的敏感度和关注度，形成细致、耐心的工作态度。</w:t>
            </w:r>
            <w:r>
              <w:rPr>
                <w:rFonts w:hint="eastAsia" w:ascii="仿宋_GB2312" w:hAnsi="仿宋_GB2312" w:eastAsia="仿宋_GB2312" w:cs="仿宋_GB2312"/>
                <w:color w:val="auto"/>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树立尊重婴幼儿个体差异、促进每个婴幼儿全面发展的教育理念。</w:t>
            </w:r>
          </w:p>
        </w:tc>
        <w:tc>
          <w:tcPr>
            <w:tcW w:w="2509"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FF0000"/>
                <w:sz w:val="24"/>
                <w:szCs w:val="24"/>
                <w:highlight w:val="none"/>
                <w:lang w:val="en-US" w:eastAsia="zh-CN"/>
              </w:rPr>
            </w:pPr>
            <w:r>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课程包含</w:t>
            </w:r>
            <w:r>
              <w:rPr>
                <w:rFonts w:hint="eastAsia" w:ascii="仿宋_GB2312" w:hAnsi="仿宋_GB2312" w:eastAsia="仿宋_GB2312" w:cs="仿宋_GB2312"/>
                <w:color w:val="auto"/>
                <w:sz w:val="24"/>
                <w:szCs w:val="24"/>
                <w:highlight w:val="none"/>
                <w:lang w:val="en-US" w:eastAsia="zh-CN"/>
              </w:rPr>
              <w:t>感觉统合理论概述、感觉统合失调对婴幼儿发展的影响、感觉统合失调的基本原因和预防措施、感觉统合教育的主要目标和训练原则、感觉统合训练室建设和基本器械、前庭觉训练、本体觉训练、触觉训练、视知觉训练、特殊幼儿感统训练。</w:t>
            </w:r>
          </w:p>
        </w:tc>
        <w:tc>
          <w:tcPr>
            <w:tcW w:w="2512"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FF0000"/>
                <w:sz w:val="24"/>
                <w:szCs w:val="24"/>
                <w:highlight w:val="none"/>
                <w:lang w:val="en-US" w:eastAsia="zh-CN"/>
              </w:rPr>
            </w:pPr>
            <w:r>
              <w:rPr>
                <w:rFonts w:hint="eastAsia" w:ascii="仿宋_GB2312" w:hAnsi="仿宋_GB2312" w:eastAsia="仿宋_GB2312" w:cs="仿宋_GB2312"/>
                <w:color w:val="auto"/>
                <w:sz w:val="24"/>
                <w:szCs w:val="24"/>
                <w:lang w:val="en-US" w:eastAsia="zh-CN"/>
              </w:rPr>
              <w:t>要</w:t>
            </w:r>
            <w:r>
              <w:rPr>
                <w:rFonts w:hint="eastAsia" w:ascii="仿宋_GB2312" w:hAnsi="仿宋_GB2312" w:eastAsia="仿宋_GB2312" w:cs="仿宋_GB2312"/>
                <w:color w:val="auto"/>
                <w:sz w:val="24"/>
                <w:szCs w:val="24"/>
                <w:highlight w:val="none"/>
                <w:lang w:val="en-US" w:eastAsia="zh-CN"/>
              </w:rPr>
              <w:t>求学生有效地运用感觉统合的基本方法，对感觉统合失调的儿童进行初步识别诊断，并能针对性地对儿童进行感觉统合训练与指导；全面掌握感统的基本理论，并能运用理论知识分析和解决实际问题，并给家长和教师提供建议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10</w:t>
            </w:r>
          </w:p>
        </w:tc>
        <w:tc>
          <w:tcPr>
            <w:tcW w:w="896"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shd w:val="clear" w:color="auto" w:fill="FFFFFF"/>
                <w:lang w:val="en-US" w:eastAsia="zh-CN"/>
              </w:rPr>
              <w:t>婴幼儿学习与发展</w:t>
            </w:r>
          </w:p>
        </w:tc>
        <w:tc>
          <w:tcPr>
            <w:tcW w:w="389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掌握婴幼儿在认知、语言、社会情感、动作等领域的学习与发展规律及特点。熟知婴幼儿认知、语言、动作、社会性等领域发展规律及特点。</w:t>
            </w:r>
            <w:r>
              <w:rPr>
                <w:rFonts w:hint="eastAsia" w:ascii="仿宋_GB2312" w:hAnsi="仿宋_GB2312" w:eastAsia="仿宋_GB2312" w:cs="仿宋_GB2312"/>
                <w:color w:val="auto"/>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具备观察婴幼儿行为的能力。能够分析婴幼儿的发展需求。能够制定适宜的引导策略。​</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培养对婴幼儿各领域发展状况的敏锐洞察力，形成严谨细致的工作作风。提升根据婴幼儿发展需求灵活调整引导方式的应变能力，增强职业素养。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树立以婴幼儿发展规律为依据的科学教育理念，尊重婴幼儿的成长节奏与个体差异。​</w:t>
            </w:r>
          </w:p>
        </w:tc>
        <w:tc>
          <w:tcPr>
            <w:tcW w:w="2509"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包含婴幼儿发展核心领域知识，包括认知发展、语言发展、动作发展、社会性情感发展；以及发展支持与引导策略，从环境创设、互动方法、常见问题应对等方式使学生掌握基本的应对策略，发展评估与个性化教育。</w:t>
            </w: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p>
        </w:tc>
        <w:tc>
          <w:tcPr>
            <w:tcW w:w="2512"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lang w:val="en-US" w:eastAsia="zh-CN"/>
              </w:rPr>
              <w:t>要求学生</w:t>
            </w:r>
            <w:r>
              <w:rPr>
                <w:rFonts w:hint="eastAsia" w:ascii="仿宋_GB2312" w:hAnsi="仿宋_GB2312" w:eastAsia="仿宋_GB2312" w:cs="仿宋_GB2312"/>
                <w:color w:val="auto"/>
                <w:sz w:val="24"/>
                <w:szCs w:val="24"/>
                <w:highlight w:val="none"/>
                <w:lang w:val="en-US" w:eastAsia="zh-CN"/>
              </w:rPr>
              <w:t>参与设计并组织针对婴幼儿的教育活动，包括游戏活动、生活照料环节等。在实践过程中，严格遵循指南要求，为婴幼儿提供适宜的发展支持，并及时反思与调整活动方案。</w:t>
            </w: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11</w:t>
            </w:r>
          </w:p>
        </w:tc>
        <w:tc>
          <w:tcPr>
            <w:tcW w:w="896"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shd w:val="clear" w:color="auto" w:fill="FFFFFF"/>
                <w:lang w:val="en-US" w:eastAsia="zh-CN"/>
              </w:rPr>
              <w:t>0-3岁婴幼儿奥尔夫音乐教育</w:t>
            </w:r>
          </w:p>
        </w:tc>
        <w:tc>
          <w:tcPr>
            <w:tcW w:w="389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了解0-3岁婴幼儿对音乐的感知特点，包括他们对节奏、音高、音色等基本音乐元素的感知规律。知晓奥尔夫音乐教育中声势律动、乐器演奏等活动形式的相关知识及应用原理。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能够设计并组织丰富多样的音乐活动，全方位激发 0-3 岁婴幼儿对音乐的好奇心与兴趣。能够借助奥尔夫音乐教育的独特形式，引导婴幼儿将身体动作与音乐节奏紧密结合，锻炼其大肌肉与小肌肉的协调性。</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培养在音乐活动中营造轻松愉悦氛围的能力，提升与婴幼儿互动的亲和力。增强对婴幼儿在音乐活动中表现的观察与回应能力，形成耐心、细致的工作态度。</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树立以婴幼儿兴趣和发展需求为导向的音乐教育理念，尊重婴幼儿在音乐活动中的自主体验与表达。</w:t>
            </w:r>
            <w:r>
              <w:rPr>
                <w:rFonts w:hint="eastAsia" w:ascii="仿宋_GB2312" w:hAnsi="仿宋_GB2312" w:eastAsia="仿宋_GB2312" w:cs="仿宋_GB2312"/>
                <w:color w:val="auto"/>
                <w:sz w:val="24"/>
                <w:szCs w:val="24"/>
                <w:lang w:val="en-US" w:eastAsia="zh-CN"/>
              </w:rPr>
              <w:t>​</w:t>
            </w:r>
          </w:p>
        </w:tc>
        <w:tc>
          <w:tcPr>
            <w:tcW w:w="2509"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课程包含音乐感知启蒙、节奏体验与表现、律动与肢体表达、语言与音乐融合、乐器探索与互动、音乐游戏与情感培养。</w:t>
            </w:r>
          </w:p>
        </w:tc>
        <w:tc>
          <w:tcPr>
            <w:tcW w:w="2512"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0-3岁婴幼儿奥尔夫音乐教育课程教学需围绕婴幼儿发展特点与奥尔夫教育理念，遵循发展规律，强调感官体验，注重趣味性与游戏化，倡导即兴创作，重视亲子互动，采用综合性教学，保证安全与卫生，建立积极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12</w:t>
            </w:r>
          </w:p>
        </w:tc>
        <w:tc>
          <w:tcPr>
            <w:tcW w:w="896"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shd w:val="clear" w:color="auto" w:fill="FFFFFF"/>
                <w:lang w:val="en-US" w:eastAsia="zh-CN"/>
              </w:rPr>
              <w:t>托育服务政策法规与职业理论</w:t>
            </w:r>
          </w:p>
        </w:tc>
        <w:tc>
          <w:tcPr>
            <w:tcW w:w="389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全面、深入掌握国家及地方关于托育服务的各类政策法规。掌握托育机构在开办许可、运营规范、安全保障、卫生保健等多方面的规定。​</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能够精准解读国家及地方关于托育服务政策法规的要点。能够运用所学政策法规为托育服务实践提供坚实的依据。</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增强对托育职业的认同感与责任感。提升在托育服务中尊重婴幼儿及其家庭的意识和素养。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培育学生树立科学、正确的托育职业理念。引导学生深刻理解托育服务对婴幼儿成长的重要意义。</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shd w:val="clear" w:color="auto" w:fill="FFFFFF"/>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highlight w:val="yellow"/>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highlight w:val="yellow"/>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highlight w:val="yellow"/>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highlight w:val="yellow"/>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highlight w:val="yellow"/>
              </w:rPr>
            </w:pPr>
          </w:p>
        </w:tc>
        <w:tc>
          <w:tcPr>
            <w:tcW w:w="2509"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系统讲解《中华人民共和国未成年人保护法》《中华人民共和国母婴保健法》《中华人民共和国食品安全法》等与托育服务紧密相关的国家法律，分析法律条款对托育机构设立、运营及婴幼儿权益保护的具体要求，使学生明晰法律底线。深入剖析《国务院办公厅关于促进3岁以下婴幼儿照护服务发展的指导意见》《托育机构设置标准（试行）》《托育机构管理规范（试行）》《托育机构登记和备案办法（试行）》等政策文件，详细解读托育机构的场地设施标准、人员配备要求、登记备案流程、日常管理规范等核心内容，确保学生熟知政策要点。</w:t>
            </w:r>
          </w:p>
        </w:tc>
        <w:tc>
          <w:tcPr>
            <w:tcW w:w="2512"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托育服务政策法规与职业理论课程确保学生深刻理解政策导向与法律规范。在教学过程中，教师多运用案例分析、小组讨论等方法，引导学生结合实际案例剖析政策法规在托育服务中的具体应用，培养学生分析问题与解决问题的能力。同时，注重理论联系实际，通过组织学生参观托育机构、邀请行业专家讲座等方式，让学生深入了解托育服务职业场景，增强职业认知与实践能力。课程考核需采用多元化方式，涵盖理论知识考核、案例分析报告撰写、小组项目展示等，综合评估学生对政策法规的掌握程度以及运用职业理论解决实际问题的水平，促使学生成为既懂政策法规又具备扎实职业理论基础的专业托育服务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13</w:t>
            </w:r>
          </w:p>
        </w:tc>
        <w:tc>
          <w:tcPr>
            <w:tcW w:w="896"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shd w:val="clear" w:color="auto" w:fill="FFFFFF"/>
                <w:lang w:val="en-US" w:eastAsia="zh-CN"/>
              </w:rPr>
            </w:pPr>
            <w:r>
              <w:rPr>
                <w:rFonts w:hint="eastAsia" w:ascii="仿宋_GB2312" w:hAnsi="仿宋_GB2312" w:eastAsia="仿宋_GB2312" w:cs="仿宋_GB2312"/>
                <w:color w:val="auto"/>
                <w:sz w:val="24"/>
                <w:szCs w:val="24"/>
                <w:highlight w:val="none"/>
                <w:shd w:val="clear" w:color="auto" w:fill="FFFFFF"/>
                <w:lang w:val="en-US" w:eastAsia="zh-CN"/>
              </w:rPr>
              <w:t>托育机构组织管理导论</w:t>
            </w:r>
          </w:p>
        </w:tc>
        <w:tc>
          <w:tcPr>
            <w:tcW w:w="389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全面理解托育机构组织管理的基本概念、内涵与重要性。清晰掌握托育机构的组织架构设计原理，包括部门设置、岗位分工等。</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具备在托育机构人员管理、服务质量管理、运营流程管理等核心领域的能力。能够制定科学合理的人员招聘、培训与激励方案。</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培养在托育机构管理工作中严谨、系统的思维方式。提升在管理过程中统筹协调、解决实际问题的综合素养。​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程思政育人目标：</w:t>
            </w:r>
            <w:r>
              <w:rPr>
                <w:rFonts w:hint="eastAsia" w:ascii="仿宋_GB2312" w:hAnsi="仿宋_GB2312" w:eastAsia="仿宋_GB2312" w:cs="仿宋_GB2312"/>
                <w:color w:val="auto"/>
                <w:sz w:val="24"/>
                <w:szCs w:val="24"/>
                <w:highlight w:val="none"/>
                <w:lang w:val="en-US" w:eastAsia="zh-CN"/>
              </w:rPr>
              <w:t>增强通过科学管理促进婴幼儿健康成长、服务婴幼儿家庭的责任感与使命感。</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highlight w:val="yellow"/>
              </w:rPr>
            </w:pPr>
          </w:p>
        </w:tc>
        <w:tc>
          <w:tcPr>
            <w:tcW w:w="2509"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阐述组织管理的定义、职能（计划、组织、领导、控制）在托育机构中的具体体现，讲解托育机构组织管理的特点与重要意义，明确课程学习目标与方向。分析常见的托育机构组织架构模式，如直线职能制、事业部制等，讲解如何根据机构规模、服务定位、业务范围等因素设计合理的组织架构，包括设置行政部门、保育部门、教育教学部门、后勤保障部门等，明确各部门职责与相互关系。详细介绍托育机构内各类岗位，如园长、教师、保育师、营养师、保健医生、后勤人员等的岗位设置依据、主要职责与任职要求，使学生理解每个岗位在机构运行中的关键作用。</w:t>
            </w:r>
          </w:p>
        </w:tc>
        <w:tc>
          <w:tcPr>
            <w:tcW w:w="2512"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托育机构组织管理导论》的教学中，秉持理论与实践紧密结合的原则。课程伊始，教师要帮助学生清晰定位本课程在托育专业体系里的基石地位，筑牢后续深入学习的根基。从课程目标出发，不仅要设立全面培养学生管理素养与实践能力的总体目标，还需细分知识、能力、素质等分类目标，让学生在每节课后都能收获具体可感的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14</w:t>
            </w:r>
          </w:p>
        </w:tc>
        <w:tc>
          <w:tcPr>
            <w:tcW w:w="896" w:type="dxa"/>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shd w:val="clear" w:color="auto" w:fill="FFFFFF"/>
                <w:lang w:val="en-US" w:eastAsia="zh-CN"/>
              </w:rPr>
              <w:t>婴幼儿动作发展与训练</w:t>
            </w:r>
          </w:p>
        </w:tc>
        <w:tc>
          <w:tcPr>
            <w:tcW w:w="389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全面了解婴幼儿动作发展的基本理论。熟悉不同阶段动作发展的规律与特点，涵盖大动作（如抬头、翻身、坐、爬、走、跑、跳等）和精细动作（如抓握、摆弄、手眼协调等）。​</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能够根据婴幼儿不同年龄段的动作发展水平，精准选择并运用适宜的训练方法与活动设计。能够激发婴幼儿动作发展的潜能，有效提升他们的大动作和精细动作能力</w:t>
            </w:r>
            <w:r>
              <w:rPr>
                <w:rFonts w:hint="eastAsia" w:ascii="仿宋_GB2312" w:hAnsi="仿宋_GB2312" w:eastAsia="仿宋_GB2312" w:cs="仿宋_GB2312"/>
                <w:color w:val="auto"/>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培养在婴幼儿动作训练工作中科学、专业、耐心的态度。提升根据婴幼儿动作发展特点灵活调整训练方法与活动设计的应变能力。​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引导学生树立以婴幼儿为中心、遵循其动作发展自然规律的科学教育理念。促使学生在未来工作中始终秉持科学、专业、耐心的态度开展婴幼儿动作训练工作，增强对幼儿成长负责的职业责任感。</w:t>
            </w:r>
            <w:r>
              <w:rPr>
                <w:rFonts w:hint="eastAsia" w:ascii="仿宋_GB2312" w:hAnsi="仿宋_GB2312" w:eastAsia="仿宋_GB2312" w:cs="仿宋_GB2312"/>
                <w:color w:val="auto"/>
                <w:sz w:val="24"/>
                <w:szCs w:val="24"/>
                <w:lang w:val="en-US" w:eastAsia="zh-CN"/>
              </w:rPr>
              <w:t>​</w:t>
            </w:r>
          </w:p>
        </w:tc>
        <w:tc>
          <w:tcPr>
            <w:tcW w:w="2509"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详细讲解婴幼儿从出生到3岁各阶段大动作和精细动作的典型发展表现，如新生儿的反射动作，2-3个月开始的抬头动作，6-7个月的独坐尝试，8-9个月的爬行发展，以及对应阶段精细动作从无意识抓握到有意识摆弄物体的变化等，帮助学生建立清晰的动作发展时间线认知。分析遗传、环境、营养、个体差异等因素对婴幼儿动作发展的影响机制，如遗传奠定动作发展的基础框架，良好的家庭环境与充足的活动空间有利于动作发展，合理的营养摄入为动作发展提供物质保障，不同婴幼儿因气质类型等个体差异在动作发展速度和方式上存在不同，使学生理解动作发展是多种因素相互作用的结果。阐述动作发展与婴幼儿认知发展（如通过动作探索世界促进认知形成）、语言发展（动作辅助语言表达与理解）、情感社交发展（动作互动促进情感交流与社交能力提升）之间的紧密联系，强调动作发展在婴幼儿整体发展中的重要地位，拓宽学生对婴幼儿发展的全面认识。</w:t>
            </w:r>
          </w:p>
        </w:tc>
        <w:tc>
          <w:tcPr>
            <w:tcW w:w="2512"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培养学生系统掌握婴幼儿粗大动作与精细动作从萌芽到逐步发展的阶段性特点，形成完备的理论认知体系；在实践操作层面，学生须具备为不同月龄婴幼儿设计并实施个性化动作训练方案的能力，方案要兼顾安全性、趣味性与科学性。内容框架搭建时，先从婴幼儿动作发展的基础理论开篇，包括遗传、环境等因素对动作发展的影响；再按粗大动作、精细动作两大板块，详细拆解抬头、翻身、抓握等具体动作在不同月龄的发展特征及训练要点，每个板块下依月龄阶段细分教学任务，使知识循序渐进、逻辑连贯。</w:t>
            </w:r>
          </w:p>
        </w:tc>
      </w:tr>
      <w:bookmarkEnd w:id="11"/>
    </w:tbl>
    <w:p>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2.专业核心课程</w:t>
      </w:r>
      <w:bookmarkEnd w:id="12"/>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bookmarkStart w:id="13" w:name="OLE_LINK7"/>
      <w:bookmarkStart w:id="14" w:name="OLE_LINK2"/>
      <w:r>
        <w:rPr>
          <w:rFonts w:hint="eastAsia" w:ascii="仿宋_GB2312" w:hAnsi="仿宋_GB2312" w:eastAsia="仿宋_GB2312" w:cs="仿宋_GB2312"/>
          <w:color w:val="auto"/>
          <w:sz w:val="32"/>
          <w:szCs w:val="32"/>
        </w:rPr>
        <w:t>专业核</w:t>
      </w:r>
      <w:r>
        <w:rPr>
          <w:rFonts w:hint="eastAsia" w:ascii="仿宋_GB2312" w:hAnsi="仿宋_GB2312" w:eastAsia="仿宋_GB2312" w:cs="仿宋_GB2312"/>
          <w:color w:val="auto"/>
          <w:sz w:val="32"/>
          <w:szCs w:val="32"/>
          <w:highlight w:val="none"/>
        </w:rPr>
        <w:t>心课是</w:t>
      </w:r>
      <w:bookmarkEnd w:id="13"/>
      <w:r>
        <w:rPr>
          <w:rFonts w:hint="eastAsia" w:ascii="仿宋_GB2312" w:hAnsi="仿宋_GB2312" w:eastAsia="仿宋_GB2312" w:cs="仿宋_GB2312"/>
          <w:color w:val="auto"/>
          <w:sz w:val="32"/>
          <w:szCs w:val="32"/>
          <w:highlight w:val="none"/>
        </w:rPr>
        <w:t>婴幼儿专业围绕0-3岁婴幼儿的成长与发展、照护与教育、安全与管理等核心需求设置</w:t>
      </w:r>
      <w:r>
        <w:rPr>
          <w:rFonts w:hint="eastAsia" w:ascii="仿宋_GB2312" w:hAnsi="仿宋_GB2312" w:eastAsia="仿宋_GB2312" w:cs="仿宋_GB2312"/>
          <w:color w:val="auto"/>
          <w:sz w:val="32"/>
          <w:szCs w:val="32"/>
          <w:highlight w:val="none"/>
          <w:lang w:val="en-US" w:eastAsia="zh-CN"/>
        </w:rPr>
        <w:t>的课程。</w:t>
      </w:r>
      <w:r>
        <w:rPr>
          <w:rFonts w:hint="eastAsia" w:ascii="仿宋_GB2312" w:hAnsi="仿宋_GB2312" w:eastAsia="仿宋_GB2312" w:cs="仿宋_GB2312"/>
          <w:color w:val="auto"/>
          <w:sz w:val="32"/>
          <w:szCs w:val="32"/>
        </w:rPr>
        <w:t>包括</w:t>
      </w:r>
      <w:r>
        <w:rPr>
          <w:rFonts w:hint="eastAsia" w:ascii="仿宋_GB2312" w:hAnsi="仿宋_GB2312" w:eastAsia="仿宋_GB2312" w:cs="仿宋_GB2312"/>
          <w:color w:val="auto"/>
          <w:sz w:val="32"/>
          <w:szCs w:val="32"/>
          <w:highlight w:val="none"/>
        </w:rPr>
        <w:t>婴幼儿常见病识别与预防</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婴幼儿回应性</w:t>
      </w:r>
      <w:r>
        <w:rPr>
          <w:rFonts w:hint="eastAsia" w:ascii="仿宋_GB2312" w:hAnsi="仿宋_GB2312" w:eastAsia="仿宋_GB2312" w:cs="仿宋_GB2312"/>
          <w:color w:val="auto"/>
          <w:sz w:val="32"/>
          <w:szCs w:val="32"/>
          <w:highlight w:val="none"/>
          <w:lang w:val="en-US" w:eastAsia="zh-CN"/>
        </w:rPr>
        <w:t>照料</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婴幼儿游戏活动实施</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婴幼儿行为观察与</w:t>
      </w:r>
      <w:r>
        <w:rPr>
          <w:rFonts w:hint="eastAsia" w:ascii="仿宋_GB2312" w:hAnsi="仿宋_GB2312" w:eastAsia="仿宋_GB2312" w:cs="仿宋_GB2312"/>
          <w:color w:val="auto"/>
          <w:sz w:val="32"/>
          <w:szCs w:val="32"/>
          <w:highlight w:val="none"/>
          <w:lang w:val="en-US" w:eastAsia="zh-CN"/>
        </w:rPr>
        <w:t>记录</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婴幼儿家园共育</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婴幼儿伤害预防与处理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托育机构管理实务</w:t>
      </w:r>
      <w:r>
        <w:rPr>
          <w:rFonts w:hint="eastAsia" w:ascii="仿宋_GB2312" w:hAnsi="仿宋_GB2312" w:eastAsia="仿宋_GB2312" w:cs="仿宋_GB2312"/>
          <w:color w:val="auto"/>
          <w:spacing w:val="-4"/>
          <w:sz w:val="32"/>
          <w:szCs w:val="32"/>
        </w:rPr>
        <w:t>等课程。</w:t>
      </w:r>
    </w:p>
    <w:bookmarkEnd w:id="14"/>
    <w:p>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表4专业核心课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8"/>
        <w:tblW w:w="104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
        <w:gridCol w:w="775"/>
        <w:gridCol w:w="3045"/>
        <w:gridCol w:w="2625"/>
        <w:gridCol w:w="3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775" w:type="dxa"/>
            <w:vAlign w:val="center"/>
          </w:tcPr>
          <w:p>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课程名称</w:t>
            </w:r>
          </w:p>
        </w:tc>
        <w:tc>
          <w:tcPr>
            <w:tcW w:w="3045" w:type="dxa"/>
            <w:vAlign w:val="center"/>
          </w:tcPr>
          <w:p>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2625" w:type="dxa"/>
            <w:vAlign w:val="center"/>
          </w:tcPr>
          <w:p>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3529" w:type="dxa"/>
            <w:vAlign w:val="center"/>
          </w:tcPr>
          <w:p>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shd w:val="clear" w:color="auto" w:fill="FFFFFF"/>
                <w:lang w:val="en-US" w:eastAsia="zh-CN"/>
              </w:rPr>
            </w:pP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shd w:val="clear" w:color="auto" w:fill="FFFFFF"/>
                <w:lang w:val="en-US" w:eastAsia="zh-CN"/>
              </w:rPr>
            </w:pPr>
          </w:p>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color w:val="auto"/>
                <w:sz w:val="24"/>
                <w:szCs w:val="24"/>
                <w:highlight w:val="none"/>
                <w:shd w:val="clear" w:color="auto" w:fill="FFFFFF"/>
                <w:lang w:val="en-US" w:eastAsia="zh-CN"/>
              </w:rPr>
            </w:pPr>
            <w:r>
              <w:rPr>
                <w:rFonts w:hint="eastAsia" w:ascii="仿宋_GB2312" w:hAnsi="仿宋_GB2312" w:eastAsia="仿宋_GB2312" w:cs="仿宋_GB2312"/>
                <w:color w:val="auto"/>
                <w:sz w:val="24"/>
                <w:szCs w:val="24"/>
                <w:highlight w:val="none"/>
                <w:shd w:val="clear" w:color="auto" w:fill="FFFFFF"/>
                <w:lang w:val="en-US" w:eastAsia="zh-CN"/>
              </w:rPr>
              <w:t>1</w:t>
            </w:r>
          </w:p>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color w:val="auto"/>
                <w:sz w:val="24"/>
                <w:szCs w:val="24"/>
                <w:highlight w:val="none"/>
                <w:shd w:val="clear" w:color="auto" w:fill="FFFFFF"/>
                <w:lang w:val="en-US" w:eastAsia="zh-CN"/>
              </w:rPr>
            </w:pPr>
          </w:p>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color w:val="auto"/>
                <w:sz w:val="24"/>
                <w:szCs w:val="24"/>
                <w:highlight w:val="none"/>
                <w:shd w:val="clear" w:color="auto" w:fill="FFFFFF"/>
                <w:lang w:val="en-US" w:eastAsia="zh-CN"/>
              </w:rPr>
            </w:pPr>
          </w:p>
        </w:tc>
        <w:tc>
          <w:tcPr>
            <w:tcW w:w="775" w:type="dxa"/>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婴幼儿常见病识别与预防</w:t>
            </w:r>
          </w:p>
        </w:tc>
        <w:tc>
          <w:tcPr>
            <w:tcW w:w="304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了解婴幼儿各时期的生理特点和生长发育的规律及影响因素；知晓婴幼儿常见传染病的症状和隔离处理相关知识。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学会心肺复苏、海氏手法等急救措施；学会高热、惊厥、烫伤、外伤、骨折、鼻出血、中暑等急诊的简单处理；能及时识别幼儿常见传染病的症状和进行隔离处理。​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提升对婴幼儿照护工作的专业素养和实践能力。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培育学生树立科学、正确的托育职业理念。</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p>
        </w:tc>
        <w:tc>
          <w:tcPr>
            <w:tcW w:w="2625"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课程包含婴幼儿</w:t>
            </w:r>
            <w:r>
              <w:rPr>
                <w:rFonts w:hint="eastAsia" w:ascii="仿宋_GB2312" w:hAnsi="仿宋_GB2312" w:eastAsia="仿宋_GB2312" w:cs="仿宋_GB2312"/>
                <w:color w:val="auto"/>
                <w:sz w:val="24"/>
                <w:szCs w:val="24"/>
                <w:highlight w:val="none"/>
              </w:rPr>
              <w:t>保健的意义和重要性，婴幼儿生病之</w:t>
            </w:r>
            <w:r>
              <w:rPr>
                <w:rFonts w:hint="eastAsia" w:ascii="仿宋_GB2312" w:hAnsi="仿宋_GB2312" w:eastAsia="仿宋_GB2312" w:cs="仿宋_GB2312"/>
                <w:color w:val="auto"/>
                <w:sz w:val="24"/>
                <w:szCs w:val="24"/>
                <w:highlight w:val="none"/>
                <w:lang w:val="en-US" w:eastAsia="zh-CN"/>
              </w:rPr>
              <w:t>反应</w:t>
            </w:r>
            <w:r>
              <w:rPr>
                <w:rFonts w:hint="eastAsia" w:ascii="仿宋_GB2312" w:hAnsi="仿宋_GB2312" w:eastAsia="仿宋_GB2312" w:cs="仿宋_GB2312"/>
                <w:color w:val="auto"/>
                <w:sz w:val="24"/>
                <w:szCs w:val="24"/>
                <w:highlight w:val="none"/>
              </w:rPr>
              <w:t>照顾，及</w:t>
            </w:r>
            <w:r>
              <w:rPr>
                <w:rFonts w:hint="eastAsia" w:ascii="仿宋_GB2312" w:hAnsi="仿宋_GB2312" w:eastAsia="仿宋_GB2312" w:cs="仿宋_GB2312"/>
                <w:color w:val="auto"/>
                <w:sz w:val="24"/>
                <w:szCs w:val="24"/>
                <w:highlight w:val="none"/>
                <w:lang w:val="en-US" w:eastAsia="zh-CN"/>
              </w:rPr>
              <w:t>婴幼儿</w:t>
            </w:r>
            <w:r>
              <w:rPr>
                <w:rFonts w:hint="eastAsia" w:ascii="仿宋_GB2312" w:hAnsi="仿宋_GB2312" w:eastAsia="仿宋_GB2312" w:cs="仿宋_GB2312"/>
                <w:color w:val="auto"/>
                <w:sz w:val="24"/>
                <w:szCs w:val="24"/>
                <w:highlight w:val="none"/>
              </w:rPr>
              <w:t>用药，婴幼儿常见疾病的原因和处理方法，以及有关疾病的基本概念，培养学生具备婴幼儿常见疾病与照顾、婴幼儿可能发生的健康问题及预防知识，以维护婴儿在常见疾病时的生命安全，借此培养学生婴幼儿常见疾病的专业知识，进而提升学生对婴幼儿保育的专业知识。</w:t>
            </w:r>
          </w:p>
        </w:tc>
        <w:tc>
          <w:tcPr>
            <w:tcW w:w="3529"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掌握婴幼儿免疫力提升的基本理论和操作方法，能够对婴幼儿开展“三浴”锻炼、抚触和被动操等保健工作。掌握婴幼儿各系统生理基础、疾病传染途径、常见病症状表现和预防等知识，能够对婴幼儿开展全日健康观察和晨午晚检，早期识别婴幼儿常见病，并开展预防工作。掌握婴幼儿生长发育、保健信息统计、健康档案管理、儿童健康检查和计划免疫等知识，能够管理和记录婴幼儿生长发育情况，并提醒家长按时进行儿童健康检查和预防接种。掌握婴幼儿常见传染病的预防、识别和处理知识，能够识别常见传染病的症状表现，学会采取适当的隔离和保护措施</w:t>
            </w:r>
            <w:r>
              <w:rPr>
                <w:rFonts w:hint="eastAsia" w:ascii="仿宋_GB2312" w:hAnsi="仿宋_GB2312" w:eastAsia="仿宋_GB2312" w:cs="仿宋_GB2312"/>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2</w:t>
            </w:r>
          </w:p>
        </w:tc>
        <w:tc>
          <w:tcPr>
            <w:tcW w:w="775"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highlight w:val="none"/>
                <w:shd w:val="clear" w:color="auto" w:fill="FFFFFF"/>
                <w:lang w:val="en-US" w:eastAsia="zh-CN"/>
              </w:rPr>
              <w:t>婴幼儿回应性照护</w:t>
            </w:r>
          </w:p>
        </w:tc>
        <w:tc>
          <w:tcPr>
            <w:tcW w:w="304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掌握回应性照护的原则、方法与技巧相关知识。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能够敏锐察觉婴幼儿的生理、心理需求，并及时给予恰当、有效的回应；在日常照护中建立起与婴幼儿积极、健康的互动关系。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提升对婴幼儿照护工作的专业素养和实践能力。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培养为推动婴幼儿照护行业的高质量发展贡献力量的使命感。</w:t>
            </w:r>
          </w:p>
        </w:tc>
        <w:tc>
          <w:tcPr>
            <w:tcW w:w="2625"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highlight w:val="none"/>
                <w:lang w:val="en-US" w:eastAsia="zh-CN"/>
              </w:rPr>
              <w:t>课程包含</w:t>
            </w:r>
            <w:r>
              <w:rPr>
                <w:rFonts w:hint="eastAsia" w:ascii="仿宋_GB2312" w:hAnsi="仿宋_GB2312" w:eastAsia="仿宋_GB2312" w:cs="仿宋_GB2312"/>
                <w:color w:val="auto"/>
                <w:sz w:val="24"/>
                <w:szCs w:val="24"/>
                <w:highlight w:val="none"/>
              </w:rPr>
              <w:t>婴幼儿回应性照料基础</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婴幼儿营养与喂养的回应性照料</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婴幼儿生活与卫生习惯的回应性照料</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婴幼儿睡眠的回应性照料</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婴幼儿心理发展的回应性照料</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婴幼儿动作及语言发展的回应性照料</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婴幼儿游戏中的回应性照料</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婴幼儿回应性照料评估</w:t>
            </w:r>
            <w:r>
              <w:rPr>
                <w:rFonts w:hint="eastAsia" w:ascii="仿宋_GB2312" w:hAnsi="仿宋_GB2312" w:eastAsia="仿宋_GB2312" w:cs="仿宋_GB2312"/>
                <w:color w:val="auto"/>
                <w:sz w:val="24"/>
                <w:szCs w:val="24"/>
                <w:highlight w:val="none"/>
                <w:lang w:eastAsia="zh-CN"/>
              </w:rPr>
              <w:t>。</w:t>
            </w:r>
          </w:p>
        </w:tc>
        <w:tc>
          <w:tcPr>
            <w:tcW w:w="3529"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szCs w:val="24"/>
                <w:highlight w:val="none"/>
              </w:rPr>
              <w:t>掌握托育机构生活环境布置、卫生标准、清洁消毒等知识，能够为婴幼儿提供整洁、舒适的一日生活</w:t>
            </w:r>
            <w:r>
              <w:rPr>
                <w:rFonts w:hint="eastAsia" w:ascii="仿宋_GB2312" w:hAnsi="仿宋_GB2312" w:eastAsia="仿宋_GB2312" w:cs="仿宋_GB2312"/>
                <w:color w:val="auto"/>
                <w:sz w:val="24"/>
                <w:szCs w:val="24"/>
                <w:highlight w:val="none"/>
                <w:lang w:val="en-US" w:eastAsia="zh-CN"/>
              </w:rPr>
              <w:t>环境，</w:t>
            </w:r>
            <w:r>
              <w:rPr>
                <w:rFonts w:hint="eastAsia" w:ascii="仿宋_GB2312" w:hAnsi="仿宋_GB2312" w:eastAsia="仿宋_GB2312" w:cs="仿宋_GB2312"/>
                <w:color w:val="auto"/>
                <w:sz w:val="24"/>
                <w:szCs w:val="24"/>
                <w:highlight w:val="none"/>
              </w:rPr>
              <w:t>掌握回应性照料相关知识，能够照料婴幼儿的饮食、睡眠、盥洗、如厕、出行等生活 活动，并在日常照料中与婴幼儿进行适宜的</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有意义的互动</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熟悉婴幼儿习惯培养相关知识，能够引 导婴幼儿逐步形成良好的生活卫生习惯</w:t>
            </w:r>
            <w:r>
              <w:rPr>
                <w:rFonts w:hint="eastAsia" w:ascii="仿宋_GB2312" w:hAnsi="仿宋_GB2312" w:eastAsia="仿宋_GB2312" w:cs="仿宋_GB2312"/>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bookmarkStart w:id="15" w:name="_Toc90734991"/>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3</w:t>
            </w:r>
          </w:p>
        </w:tc>
        <w:tc>
          <w:tcPr>
            <w:tcW w:w="775"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color w:val="auto"/>
                <w:sz w:val="24"/>
                <w:szCs w:val="24"/>
                <w:highlight w:val="none"/>
                <w:shd w:val="clear" w:color="auto" w:fill="FFFFFF"/>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color w:val="auto"/>
                <w:sz w:val="24"/>
                <w:szCs w:val="24"/>
                <w:highlight w:val="none"/>
                <w:shd w:val="clear" w:color="auto" w:fill="FFFFFF"/>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shd w:val="clear" w:color="auto" w:fill="FFFFFF"/>
                <w:lang w:val="en-US" w:eastAsia="zh-CN"/>
              </w:rPr>
              <w:t>婴幼儿游戏活动实施</w:t>
            </w:r>
          </w:p>
        </w:tc>
        <w:tc>
          <w:tcPr>
            <w:tcW w:w="304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了解婴幼儿的年龄特点和实际发展水平相关知识。​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能够根据婴幼儿的年龄特点和实际发展水平，设计并实施适合的游戏活动；具备观察、记录、分析和评价婴幼儿游戏行为的能力；能够有效地指导婴幼儿进行游戏；初步具备创编各类婴幼儿教学游戏的能力。​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培养在婴幼儿游戏活动实施中的观察、分析和创新能力。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培育学生树立科学、正确的游戏观。</w:t>
            </w:r>
            <w:r>
              <w:rPr>
                <w:rFonts w:hint="eastAsia" w:ascii="仿宋_GB2312" w:hAnsi="仿宋_GB2312" w:eastAsia="仿宋_GB2312" w:cs="仿宋_GB2312"/>
                <w:color w:val="auto"/>
                <w:sz w:val="24"/>
                <w:szCs w:val="24"/>
                <w:lang w:val="en-US" w:eastAsia="zh-CN"/>
              </w:rPr>
              <w:t>​</w:t>
            </w:r>
          </w:p>
        </w:tc>
        <w:tc>
          <w:tcPr>
            <w:tcW w:w="2625"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highlight w:val="none"/>
                <w:lang w:val="en-US" w:eastAsia="zh-CN"/>
              </w:rPr>
              <w:t>课程包含</w:t>
            </w:r>
            <w:r>
              <w:rPr>
                <w:rFonts w:hint="eastAsia" w:ascii="仿宋_GB2312" w:hAnsi="仿宋_GB2312" w:eastAsia="仿宋_GB2312" w:cs="仿宋_GB2312"/>
                <w:color w:val="auto"/>
                <w:sz w:val="24"/>
                <w:szCs w:val="24"/>
                <w:highlight w:val="none"/>
              </w:rPr>
              <w:t>婴幼儿游戏的概念、分类、发展特点与价值。游戏与婴幼儿身心发展的关系。婴幼儿游戏的理论基础及流派。游戏环境创设的意义、原则及要求。室内与室外游戏环境的规划内容、规划要点及原则。游戏材料的选择、投放与更新要求。游戏观察的方法、技巧与记录要求。游戏评价的标准、内容及方法。</w:t>
            </w:r>
          </w:p>
        </w:tc>
        <w:tc>
          <w:tcPr>
            <w:tcW w:w="3529"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highlight w:val="none"/>
              </w:rPr>
              <w:t>掌握婴幼儿支持性环境创设相关知识，能够为婴幼儿创设适宜其早期学习的物理环境和社会环境</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掌握婴幼儿学习与发展、游戏活动类型与实施等知识，能够引导婴幼儿参与韵律操、唱儿歌、听故事、对话、涂鸦、手工等游戏活动，以促进婴幼儿在身体、动作、语言、认知、情感与社会性等方面的全面发展</w:t>
            </w:r>
            <w:r>
              <w:rPr>
                <w:rFonts w:hint="eastAsia" w:ascii="仿宋_GB2312" w:hAnsi="仿宋_GB2312" w:eastAsia="仿宋_GB2312" w:cs="仿宋_GB2312"/>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4</w:t>
            </w:r>
          </w:p>
        </w:tc>
        <w:tc>
          <w:tcPr>
            <w:tcW w:w="775"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shd w:val="clear" w:color="auto" w:fill="FFFFFF"/>
                <w:lang w:val="en-US" w:eastAsia="zh-CN"/>
              </w:rPr>
              <w:t>婴幼儿行为观察与分析</w:t>
            </w:r>
          </w:p>
        </w:tc>
        <w:tc>
          <w:tcPr>
            <w:tcW w:w="304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了解婴幼儿行为观察与记录的重要意义；掌握各种类型的婴幼儿行为观察与记录基本方法。</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结合婴幼儿发展阶段选定观察目标的能力；具备设计和实施婴幼儿行为观察的能力、设计和实施婴幼儿行为记录的能力、设计和实施婴幼儿行为评价的初级阶段能力。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形成对婴幼儿行为进行细致观察和客观分析的职业素养。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树立正确的儿童观，建立婴幼儿行为观察与记录的正确观念。</w:t>
            </w:r>
          </w:p>
        </w:tc>
        <w:tc>
          <w:tcPr>
            <w:tcW w:w="2625"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highlight w:val="none"/>
              </w:rPr>
              <w:t>系统介绍幼儿行为观察方法的指导课程。本课程系统介绍了</w:t>
            </w:r>
            <w:r>
              <w:rPr>
                <w:rFonts w:hint="eastAsia" w:ascii="仿宋_GB2312" w:hAnsi="仿宋_GB2312" w:eastAsia="仿宋_GB2312" w:cs="仿宋_GB2312"/>
                <w:color w:val="auto"/>
                <w:sz w:val="24"/>
                <w:szCs w:val="24"/>
                <w:highlight w:val="none"/>
                <w:lang w:val="en-US" w:eastAsia="zh-CN"/>
              </w:rPr>
              <w:t>婴幼儿</w:t>
            </w:r>
            <w:r>
              <w:rPr>
                <w:rFonts w:hint="eastAsia" w:ascii="仿宋_GB2312" w:hAnsi="仿宋_GB2312" w:eastAsia="仿宋_GB2312" w:cs="仿宋_GB2312"/>
                <w:color w:val="auto"/>
                <w:sz w:val="24"/>
                <w:szCs w:val="24"/>
                <w:highlight w:val="none"/>
              </w:rPr>
              <w:t>行为观察的理论以及常用的行之有效的</w:t>
            </w:r>
            <w:r>
              <w:rPr>
                <w:rFonts w:hint="eastAsia" w:ascii="仿宋_GB2312" w:hAnsi="仿宋_GB2312" w:eastAsia="仿宋_GB2312" w:cs="仿宋_GB2312"/>
                <w:color w:val="auto"/>
                <w:sz w:val="24"/>
                <w:szCs w:val="24"/>
                <w:highlight w:val="none"/>
                <w:lang w:val="en-US" w:eastAsia="zh-CN"/>
              </w:rPr>
              <w:t>婴幼儿</w:t>
            </w:r>
            <w:r>
              <w:rPr>
                <w:rFonts w:hint="eastAsia" w:ascii="仿宋_GB2312" w:hAnsi="仿宋_GB2312" w:eastAsia="仿宋_GB2312" w:cs="仿宋_GB2312"/>
                <w:color w:val="auto"/>
                <w:sz w:val="24"/>
                <w:szCs w:val="24"/>
                <w:highlight w:val="none"/>
              </w:rPr>
              <w:t>行为观察方法，在此基础上不仅系统介绍了观察记录与观察资料的分析与运用，还详细介绍了</w:t>
            </w:r>
            <w:r>
              <w:rPr>
                <w:rFonts w:hint="eastAsia" w:ascii="仿宋_GB2312" w:hAnsi="仿宋_GB2312" w:eastAsia="仿宋_GB2312" w:cs="仿宋_GB2312"/>
                <w:color w:val="auto"/>
                <w:sz w:val="24"/>
                <w:szCs w:val="24"/>
                <w:highlight w:val="none"/>
                <w:lang w:val="en-US" w:eastAsia="zh-CN"/>
              </w:rPr>
              <w:t>托育机构游戏</w:t>
            </w:r>
            <w:r>
              <w:rPr>
                <w:rFonts w:hint="eastAsia" w:ascii="仿宋_GB2312" w:hAnsi="仿宋_GB2312" w:eastAsia="仿宋_GB2312" w:cs="仿宋_GB2312"/>
                <w:color w:val="auto"/>
                <w:sz w:val="24"/>
                <w:szCs w:val="24"/>
                <w:highlight w:val="none"/>
              </w:rPr>
              <w:t>活动、户外活动、认知活动、社会活动、情绪情感活动个别观察的具体操作要领。</w:t>
            </w:r>
          </w:p>
        </w:tc>
        <w:tc>
          <w:tcPr>
            <w:tcW w:w="3529"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highlight w:val="none"/>
              </w:rPr>
              <w:t>掌握婴幼儿观察记录相关知识，能够合理使用描述法、判断法和取样法等对婴幼儿行为进行观察和记录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掌握婴幼儿观察记录的分析和运用等知识，能够正确使用观察记录的结果，理解婴幼儿需求，不断改善和提升保育工作</w:t>
            </w:r>
            <w:r>
              <w:rPr>
                <w:rFonts w:hint="eastAsia" w:ascii="仿宋_GB2312" w:hAnsi="仿宋_GB2312" w:eastAsia="仿宋_GB2312" w:cs="仿宋_GB2312"/>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475" w:type="dxa"/>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shd w:val="clear" w:color="auto" w:fill="FFFFFF"/>
                <w:lang w:val="en-US" w:eastAsia="zh-CN"/>
              </w:rPr>
              <w:t>5</w:t>
            </w:r>
          </w:p>
        </w:tc>
        <w:tc>
          <w:tcPr>
            <w:tcW w:w="775" w:type="dxa"/>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shd w:val="clear" w:color="auto" w:fill="FFFFFF"/>
                <w:lang w:val="en-US" w:eastAsia="zh-CN"/>
              </w:rPr>
              <w:t>婴幼儿家园共育</w:t>
            </w:r>
          </w:p>
        </w:tc>
        <w:tc>
          <w:tcPr>
            <w:tcW w:w="304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理解婴幼儿家园共育的重要意义；知晓家庭与托育机构在婴幼儿成长过程中各自的作用；掌握与家长进行有效沟通的方法和策略相关知识，包括语言表达技巧、倾听技巧、非语言沟通技巧等。</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熟练掌握与家长进行有效沟通的方法和策略；能够根据不同家长的性格特点、教育背景，灵活运用沟通方式，建立良好的家园信任关系，确保信息在家庭与托育机构间准确、顺畅传递。​</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培养与家长沟通协作的能力和职业素养。​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引导学生树立以婴幼儿发展为核心、家庭与托育机构协同合作的科学理念；摒弃传统单一教育观念，形成合力教育思维。​</w:t>
            </w:r>
          </w:p>
        </w:tc>
        <w:tc>
          <w:tcPr>
            <w:tcW w:w="2625"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深入阐述家园共育的概念，分析家庭和托育机构在婴幼儿成长中的不同角色与作用，讲解两者协同合作对婴幼儿身体发育、认知发展、情感培养、社会交往能力提升等方面的积极影响，通过实例展示成功共育案例带来的显著效果，强化学生对共育价值的认知。强调家园沟通中尊重、理解、平等、真诚的基本原则，培养学生积极倾听、换位思考的沟通态度。通过角色扮演、案例分析等方式，让学生体会不同沟通态度对家园关系的影响，掌握建立良好沟通氛围的技巧。</w:t>
            </w:r>
          </w:p>
        </w:tc>
        <w:tc>
          <w:tcPr>
            <w:tcW w:w="3529"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掌握与照护者沟通的相关知识，能够依据观察记录，与同事、家长交流婴幼儿每日基本情况和重要事件；掌握家园共育相关知识，能够组织开放日、家长会、家长课堂等共育活动，并开展亲子活动指导；熟悉科学育儿相关知识，能够通过多种方式进行分享和宣传。</w:t>
            </w: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p>
          <w:p>
            <w:pPr>
              <w:keepNext w:val="0"/>
              <w:keepLines w:val="0"/>
              <w:pageBreakBefore w:val="0"/>
              <w:tabs>
                <w:tab w:val="left" w:pos="670"/>
              </w:tabs>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475" w:type="dxa"/>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color w:val="auto"/>
                <w:sz w:val="24"/>
                <w:szCs w:val="24"/>
                <w:highlight w:val="none"/>
                <w:shd w:val="clear" w:color="auto" w:fill="FFFFFF"/>
                <w:lang w:val="en-US" w:eastAsia="zh-CN"/>
              </w:rPr>
            </w:pPr>
            <w:r>
              <w:rPr>
                <w:rFonts w:hint="eastAsia" w:ascii="仿宋_GB2312" w:hAnsi="仿宋_GB2312" w:eastAsia="仿宋_GB2312" w:cs="仿宋_GB2312"/>
                <w:color w:val="auto"/>
                <w:sz w:val="24"/>
                <w:szCs w:val="24"/>
                <w:highlight w:val="none"/>
                <w:shd w:val="clear" w:color="auto" w:fill="FFFFFF"/>
                <w:lang w:val="en-US" w:eastAsia="zh-CN"/>
              </w:rPr>
              <w:t>6</w:t>
            </w:r>
          </w:p>
        </w:tc>
        <w:tc>
          <w:tcPr>
            <w:tcW w:w="775"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color w:val="auto"/>
                <w:sz w:val="24"/>
                <w:szCs w:val="24"/>
                <w:highlight w:val="none"/>
                <w:shd w:val="clear" w:color="auto" w:fill="FFFFFF"/>
                <w:lang w:val="en-US" w:eastAsia="zh-CN"/>
              </w:rPr>
            </w:pPr>
            <w:r>
              <w:rPr>
                <w:rFonts w:hint="eastAsia" w:ascii="仿宋_GB2312" w:hAnsi="仿宋_GB2312" w:eastAsia="仿宋_GB2312" w:cs="仿宋_GB2312"/>
                <w:color w:val="auto"/>
                <w:sz w:val="24"/>
                <w:szCs w:val="24"/>
                <w:highlight w:val="none"/>
                <w:shd w:val="clear" w:color="auto" w:fill="FFFFFF"/>
                <w:lang w:val="en-US" w:eastAsia="zh-CN"/>
              </w:rPr>
              <w:t>婴幼儿伤害预防与处理</w:t>
            </w:r>
          </w:p>
        </w:tc>
        <w:tc>
          <w:tcPr>
            <w:tcW w:w="304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系统了解婴幼儿常见伤害的类型、原因、症状及危害，包括跌落、烫伤、溺水、中毒、异物吸入等；熟知不同年龄段婴幼儿易发生的伤害特点。​</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能够根据婴幼儿生活环境与行为特点，精准识别潜在伤害风险因素，制定并实施科学有效的伤害预防方案；进行家庭、托育机构等场所的环境安全评估与隐患排查，以及对婴幼儿日常活动的安全监管。​</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增强对婴幼儿伤害预防与处理工作的责任心和细致程度。</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培育学生树立科学、正确的托育职业理念。</w:t>
            </w:r>
          </w:p>
        </w:tc>
        <w:tc>
          <w:tcPr>
            <w:tcW w:w="2625"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包含分析婴幼儿因学步不稳、攀爬家具等导致跌落的常见场景，讲解不同高度跌落可能造成的伤害程度差异，如头部摔伤、骨折等，剖析家庭与托育机构中易引发跌落的环境因素，如楼梯无防护栏、窗户开启过大等。详细介绍婴幼儿常见意外伤害（如跌落伤害、烫伤烧伤、溺水事故、中毒事件、异物吸入与卡喉等），以及如何科学处理该意外伤害事件，如何做好预防措施。</w:t>
            </w:r>
          </w:p>
        </w:tc>
        <w:tc>
          <w:tcPr>
            <w:tcW w:w="3529"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掌握婴幼儿伤害预防相关知识，能够规避一日生活各环节中的风险因素，并做好过程看护；掌握应急防护、避险、逃生、自救等知识，能够在必要的情况下，妥善进行应急救援；掌握婴幼儿伤害处理相关知识，能够合理处置各类婴幼儿伤害；掌握婴幼儿安全教育相关知识，能够开展适当的安全教育。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7</w:t>
            </w:r>
          </w:p>
        </w:tc>
        <w:tc>
          <w:tcPr>
            <w:tcW w:w="775"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shd w:val="clear" w:color="auto" w:fill="FFFFFF"/>
                <w:lang w:val="en-US" w:eastAsia="zh-CN"/>
              </w:rPr>
              <w:t>托育机构管理实务</w:t>
            </w:r>
          </w:p>
        </w:tc>
        <w:tc>
          <w:tcPr>
            <w:tcW w:w="304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系统掌握托育机构从筹备开办到日常运营各环节的管理知识；了解托育机构内外部资源整合、人力物力财力资源配置相关知识。​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够独立制定并执行科学合理的运营策略，确保托育机构高效、稳定运行；学会整合托育机构内外部资源，合理配置人力、物力、财力资源，优化机构运营成本；善于利用社区、社会资源拓展托育服务内容与影响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提升托育机构管理中的资源整合和运营优化能力。​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树立为婴幼儿提供优质服务的职业信念和责任感。​</w:t>
            </w:r>
          </w:p>
        </w:tc>
        <w:tc>
          <w:tcPr>
            <w:tcW w:w="2625"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讲解如何开展托育市场调研，包括目标客户群体分析、周边托育机构竞争态势研究、市场需求预测等，指导学生根据调研结果确定托育机构的服务定位、规模与特色。介绍托育机构场地选址的要点，如地理位置、周边环境、交通便利性等因素的考量，讲解场地规划设计原则，包括功能区域划分（如活动室、睡眠室、餐饮区、户外活动场地等）、空间布局合理性、安全防护设施设置等。</w:t>
            </w:r>
          </w:p>
        </w:tc>
        <w:tc>
          <w:tcPr>
            <w:tcW w:w="3529"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掌握文化建设、班级管理、保育人员专业发展等知识，能够完成品牌与文化建设、教研组织、员工培训等专业管理工作；掌握托育服务行业相关政策法规、托育机构岗位职责和要求、财务基础等知识，能够运用数字化管理工具，完成制度建设、市场营销、薪酬与绩效管理、财务管理、后勤管理等行政管理工作。</w:t>
            </w: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专业拓展课程</w:t>
      </w:r>
      <w:bookmarkEnd w:id="15"/>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z w:val="32"/>
          <w:szCs w:val="32"/>
        </w:rPr>
      </w:pPr>
      <w:bookmarkStart w:id="16" w:name="OLE_LINK4"/>
      <w:r>
        <w:rPr>
          <w:rFonts w:hint="eastAsia" w:ascii="仿宋_GB2312" w:hAnsi="仿宋_GB2312" w:eastAsia="仿宋_GB2312" w:cs="仿宋_GB2312"/>
          <w:color w:val="auto"/>
          <w:sz w:val="32"/>
          <w:szCs w:val="32"/>
        </w:rPr>
        <w:t>专业拓展课程</w:t>
      </w:r>
      <w:r>
        <w:rPr>
          <w:rFonts w:hint="eastAsia" w:ascii="仿宋_GB2312" w:hAnsi="仿宋_GB2312" w:eastAsia="仿宋_GB2312" w:cs="仿宋_GB2312"/>
          <w:color w:val="auto"/>
          <w:sz w:val="32"/>
          <w:szCs w:val="32"/>
          <w:highlight w:val="none"/>
          <w:lang w:val="en-US" w:eastAsia="zh-CN"/>
        </w:rPr>
        <w:t>是为了进一步拓宽学习者知识广度、深化本专业技能的课程体系，</w:t>
      </w:r>
      <w:r>
        <w:rPr>
          <w:rFonts w:hint="eastAsia" w:ascii="仿宋_GB2312" w:hAnsi="仿宋_GB2312" w:eastAsia="仿宋_GB2312" w:cs="仿宋_GB2312"/>
          <w:color w:val="auto"/>
          <w:sz w:val="32"/>
          <w:szCs w:val="32"/>
          <w:lang w:val="en-US" w:eastAsia="zh-CN"/>
        </w:rPr>
        <w:t>由</w:t>
      </w:r>
      <w:r>
        <w:rPr>
          <w:rFonts w:hint="eastAsia" w:ascii="仿宋_GB2312" w:hAnsi="仿宋_GB2312" w:eastAsia="仿宋_GB2312" w:cs="仿宋_GB2312"/>
          <w:color w:val="auto"/>
          <w:sz w:val="32"/>
          <w:szCs w:val="32"/>
          <w:highlight w:val="none"/>
          <w:lang w:val="en-US" w:eastAsia="zh-CN"/>
        </w:rPr>
        <w:t>婴幼儿早期阅读、婴幼儿艺术启蒙、婴幼儿亲子活动、信息技术应用实务、托育机构品牌与文化建设、人际沟通艺术、婴幼儿护理与急救、托育服务与管理行为规范、人体解剖学、生理学基础、病理学基础</w:t>
      </w:r>
      <w:r>
        <w:rPr>
          <w:rFonts w:hint="eastAsia" w:ascii="仿宋_GB2312" w:hAnsi="仿宋_GB2312" w:eastAsia="仿宋_GB2312" w:cs="仿宋_GB2312"/>
          <w:b w:val="0"/>
          <w:bCs w:val="0"/>
          <w:color w:val="auto"/>
          <w:sz w:val="32"/>
          <w:szCs w:val="32"/>
          <w:highlight w:val="none"/>
        </w:rPr>
        <w:t>课程构成专业拓展课。</w:t>
      </w:r>
      <w:bookmarkEnd w:id="16"/>
    </w:p>
    <w:p>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sz w:val="32"/>
          <w:szCs w:val="32"/>
          <w:highlight w:val="gree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专业拓展</w:t>
      </w:r>
      <w:r>
        <w:rPr>
          <w:rFonts w:hint="eastAsia" w:ascii="仿宋_GB2312" w:hAnsi="仿宋_GB2312" w:eastAsia="仿宋_GB2312" w:cs="仿宋_GB2312"/>
          <w:color w:val="000000" w:themeColor="text1"/>
          <w:sz w:val="32"/>
          <w:szCs w:val="32"/>
          <w:highlight w:val="none"/>
          <w14:textFill>
            <w14:solidFill>
              <w14:schemeClr w14:val="tx1"/>
            </w14:solidFill>
          </w14:textFill>
        </w:rPr>
        <w:t>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课程目标、主要教学内容与要求</w:t>
      </w:r>
    </w:p>
    <w:tbl>
      <w:tblPr>
        <w:tblStyle w:val="8"/>
        <w:tblpPr w:leftFromText="180" w:rightFromText="180" w:vertAnchor="text" w:tblpXSpec="center" w:tblpY="1"/>
        <w:tblOverlap w:val="never"/>
        <w:tblW w:w="10624" w:type="dxa"/>
        <w:tblInd w:w="-2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9"/>
        <w:gridCol w:w="853"/>
        <w:gridCol w:w="3763"/>
        <w:gridCol w:w="2496"/>
        <w:gridCol w:w="28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29" w:type="dxa"/>
            <w:vAlign w:val="center"/>
          </w:tcPr>
          <w:p>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853" w:type="dxa"/>
            <w:vAlign w:val="center"/>
          </w:tcPr>
          <w:p>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课程</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名称</w:t>
            </w:r>
          </w:p>
        </w:tc>
        <w:tc>
          <w:tcPr>
            <w:tcW w:w="3763" w:type="dxa"/>
            <w:vAlign w:val="center"/>
          </w:tcPr>
          <w:p>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2496" w:type="dxa"/>
            <w:vAlign w:val="center"/>
          </w:tcPr>
          <w:p>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2883" w:type="dxa"/>
            <w:vAlign w:val="center"/>
          </w:tcPr>
          <w:p>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9"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1</w:t>
            </w:r>
          </w:p>
        </w:tc>
        <w:tc>
          <w:tcPr>
            <w:tcW w:w="853"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highlight w:val="none"/>
                <w:shd w:val="clear" w:color="auto" w:fill="FFFFFF"/>
                <w:lang w:val="en-US" w:eastAsia="zh-CN"/>
              </w:rPr>
              <w:t>婴幼儿早期阅读</w:t>
            </w:r>
          </w:p>
        </w:tc>
        <w:tc>
          <w:tcPr>
            <w:tcW w:w="3763"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了解不同月龄婴幼儿的年龄特点与需要；知晓早期阅读活动相关知识。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具备婴幼儿早期教育的实际操作能力；能够根据不同月龄的婴幼儿年龄特点与需要，选择不同的读物，规划并开展多样化早期阅读活动。</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提升开展早期阅读活动的专业素养与耐心。</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培养根据婴幼儿特点灵活调整阅读服务的应变能力。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树立以婴幼儿发展需求为导向的科学阅读教育理念。</w:t>
            </w:r>
          </w:p>
        </w:tc>
        <w:tc>
          <w:tcPr>
            <w:tcW w:w="2496"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包含婴幼儿早期教育的案例分析、实践操作以及家园共育等方面的内容，以帮助学生将理论知识与实际工作相结合，提升他们的早期教育实践能力。通过学习课程，学生将能够全面了解婴幼儿早期教育的理念和方法，掌握早期教育的核心技能，为将来的婴幼儿托育服务工作打下坚实的基础。</w:t>
            </w:r>
          </w:p>
        </w:tc>
        <w:tc>
          <w:tcPr>
            <w:tcW w:w="2883"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在教学目标设定上，学生要透彻理解婴幼儿早期阅读发展的理论基础，包括语言发展、认知构建、情感培育等与早期阅读的关联。能够精准把握不同月龄婴幼儿在阅读兴趣、理解能力、阅读行为等方面的阶段性特征。实践层面，学生应具备依据婴幼儿特点，挑选适配阅读材料，规划并开展多样化早期阅读活动的能力，同时还需掌握通过阅读活动观察、评估婴幼儿发展水平的技巧，以便适时调整教学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9"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2</w:t>
            </w:r>
          </w:p>
        </w:tc>
        <w:tc>
          <w:tcPr>
            <w:tcW w:w="853"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highlight w:val="none"/>
                <w:shd w:val="clear" w:color="auto" w:fill="FFFFFF"/>
                <w:lang w:val="en-US" w:eastAsia="zh-CN"/>
              </w:rPr>
              <w:t>婴幼儿艺术启蒙</w:t>
            </w:r>
          </w:p>
        </w:tc>
        <w:tc>
          <w:tcPr>
            <w:tcW w:w="3763"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了解音乐、美术、舞蹈等各类艺术形式相关知识；知晓艺术活动对婴幼儿艺术素养培养的作用。​</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能够组织丰富多样、趣味盎然的艺术活动，激发婴幼儿对各类艺术形式的兴趣与好奇心；为婴幼儿提供自由创作与表达的空间，引导他们在艺术活动中发挥想象力。​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培养婴幼儿在艺术活动中的创新思维与创造力。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树立尊重婴幼儿艺术天性与自主表达的教育理念。​增强以艺术活动促进婴幼儿全面发展的责任感。​</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2496"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课程包含</w:t>
            </w:r>
            <w:r>
              <w:rPr>
                <w:rFonts w:hint="eastAsia" w:ascii="仿宋_GB2312" w:hAnsi="仿宋_GB2312" w:eastAsia="仿宋_GB2312" w:cs="仿宋_GB2312"/>
                <w:color w:val="auto"/>
                <w:sz w:val="24"/>
                <w:szCs w:val="24"/>
                <w:highlight w:val="none"/>
              </w:rPr>
              <w:t>音乐</w:t>
            </w:r>
            <w:r>
              <w:rPr>
                <w:rFonts w:hint="eastAsia" w:ascii="仿宋_GB2312" w:hAnsi="仿宋_GB2312" w:eastAsia="仿宋_GB2312" w:cs="仿宋_GB2312"/>
                <w:color w:val="auto"/>
                <w:sz w:val="24"/>
                <w:szCs w:val="24"/>
                <w:highlight w:val="none"/>
                <w:lang w:val="en-US" w:eastAsia="zh-CN"/>
              </w:rPr>
              <w:t>启蒙方面</w:t>
            </w:r>
            <w:r>
              <w:rPr>
                <w:rFonts w:hint="eastAsia" w:ascii="仿宋_GB2312" w:hAnsi="仿宋_GB2312" w:eastAsia="仿宋_GB2312" w:cs="仿宋_GB2312"/>
                <w:color w:val="auto"/>
                <w:sz w:val="24"/>
                <w:szCs w:val="24"/>
                <w:highlight w:val="none"/>
              </w:rPr>
              <w:t>播放风格各异的音乐，如古典音乐、儿歌、民族音乐等，引导婴幼儿</w:t>
            </w:r>
            <w:r>
              <w:rPr>
                <w:rFonts w:hint="eastAsia" w:ascii="仿宋_GB2312" w:hAnsi="仿宋_GB2312" w:eastAsia="仿宋_GB2312" w:cs="仿宋_GB2312"/>
                <w:color w:val="auto"/>
                <w:sz w:val="24"/>
                <w:szCs w:val="24"/>
                <w:highlight w:val="none"/>
                <w:lang w:val="en-US" w:eastAsia="zh-CN"/>
              </w:rPr>
              <w:t>倾</w:t>
            </w:r>
            <w:r>
              <w:rPr>
                <w:rFonts w:hint="eastAsia" w:ascii="仿宋_GB2312" w:hAnsi="仿宋_GB2312" w:eastAsia="仿宋_GB2312" w:cs="仿宋_GB2312"/>
                <w:color w:val="auto"/>
                <w:sz w:val="24"/>
                <w:szCs w:val="24"/>
                <w:highlight w:val="none"/>
                <w:lang w:eastAsia="zh-CN"/>
              </w:rPr>
              <w:t>听</w:t>
            </w:r>
            <w:r>
              <w:rPr>
                <w:rFonts w:hint="eastAsia" w:ascii="仿宋_GB2312" w:hAnsi="仿宋_GB2312" w:eastAsia="仿宋_GB2312" w:cs="仿宋_GB2312"/>
                <w:color w:val="auto"/>
                <w:sz w:val="24"/>
                <w:szCs w:val="24"/>
                <w:highlight w:val="none"/>
              </w:rPr>
              <w:t>不同的旋律、节奏、和声，感受音乐带来的情绪变化，通过拍手、跺脚、摇摆身体等简单动作跟随音乐节奏律动，增强节奏感与音乐感知力。美术启蒙</w:t>
            </w:r>
            <w:r>
              <w:rPr>
                <w:rFonts w:hint="eastAsia" w:ascii="仿宋_GB2312" w:hAnsi="仿宋_GB2312" w:eastAsia="仿宋_GB2312" w:cs="仿宋_GB2312"/>
                <w:color w:val="auto"/>
                <w:sz w:val="24"/>
                <w:szCs w:val="24"/>
                <w:highlight w:val="none"/>
                <w:lang w:val="en-US" w:eastAsia="zh-CN"/>
              </w:rPr>
              <w:t>方面</w:t>
            </w:r>
            <w:r>
              <w:rPr>
                <w:rFonts w:hint="eastAsia" w:ascii="仿宋_GB2312" w:hAnsi="仿宋_GB2312" w:eastAsia="仿宋_GB2312" w:cs="仿宋_GB2312"/>
                <w:color w:val="auto"/>
                <w:sz w:val="24"/>
                <w:szCs w:val="24"/>
                <w:highlight w:val="none"/>
              </w:rPr>
              <w:t>提供各种色彩鲜艳的画笔、颜料、彩纸等材料，让婴幼儿自由涂鸦，感受不同颜色在纸上的呈现效果，通过色彩配对、色彩排序等游戏，帮助他们认识常见颜色，激发对色彩的兴趣与感知。</w:t>
            </w:r>
          </w:p>
        </w:tc>
        <w:tc>
          <w:tcPr>
            <w:tcW w:w="2883"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学生要深入洞悉婴幼儿艺术感知与创作能力的发展规律，熟知艺术教育对婴幼儿情感、认知、创造力等多方面发展的积极作用。在实践中，学生应能根据不同月龄婴幼儿的特点，挑选适宜的艺术活动形式与材料，设计并组织趣味盎然、富有启发性的艺术启蒙活动，同时掌握通过观察婴幼儿艺术表现，评估其发展状况并调整教学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0" w:hRule="atLeast"/>
        </w:trPr>
        <w:tc>
          <w:tcPr>
            <w:tcW w:w="629"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3</w:t>
            </w:r>
          </w:p>
        </w:tc>
        <w:tc>
          <w:tcPr>
            <w:tcW w:w="853"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shd w:val="clear" w:color="auto" w:fill="FFFFFF"/>
                <w:lang w:val="en-US" w:eastAsia="zh-CN"/>
              </w:rPr>
              <w:t>婴幼儿亲子活动</w:t>
            </w:r>
          </w:p>
        </w:tc>
        <w:tc>
          <w:tcPr>
            <w:tcW w:w="3763"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理解婴幼儿身心发展规律；明确亲子活动在婴幼儿成长中（包括情感联结、认知提升、社交能力培养等方面）的关键意义。</w:t>
            </w:r>
            <w:r>
              <w:rPr>
                <w:rFonts w:hint="eastAsia" w:ascii="仿宋_GB2312" w:hAnsi="仿宋_GB2312" w:eastAsia="仿宋_GB2312" w:cs="仿宋_GB2312"/>
                <w:color w:val="auto"/>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掌握设计并组织多元亲子活动的能力；能依据婴幼儿年龄、兴趣与发展水平，挑选合适活动形式与材料，保障活动的趣味性、教育性与安全性。​</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培养设计与组织亲子活动的耐心、细心与创新意识。提升与婴幼儿及家长有效互动、协同合作的能力。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树立以婴幼儿成长为核心的亲子共育理念。增强促进家庭与机构协同助力婴幼儿发展的责任感。</w:t>
            </w:r>
          </w:p>
        </w:tc>
        <w:tc>
          <w:tcPr>
            <w:tcW w:w="2496"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课程包含</w:t>
            </w:r>
            <w:r>
              <w:rPr>
                <w:rFonts w:hint="eastAsia" w:ascii="仿宋_GB2312" w:hAnsi="仿宋_GB2312" w:eastAsia="仿宋_GB2312" w:cs="仿宋_GB2312"/>
                <w:color w:val="auto"/>
                <w:sz w:val="24"/>
                <w:szCs w:val="24"/>
                <w:highlight w:val="none"/>
              </w:rPr>
              <w:t>介绍婴幼儿各阶段身心发展特点，剖析亲子活动对婴幼儿情感、认知、社会性发展的促进机制。涵盖运动类（如亲子瑜伽、爬行比赛）、艺术创作类（亲子绘画、手工制作）、音乐感知类（亲子合唱、乐器体验）等活动的设计方法，包括流程规划、材料准备与引导话术。讲解如何在活动中观察婴幼儿行为表现，解读其背后的发展信号，以及针对不同亲子互动模式给予有效指导，同时强调活动中的安全与卫生注意事项。</w:t>
            </w:r>
          </w:p>
        </w:tc>
        <w:tc>
          <w:tcPr>
            <w:tcW w:w="2883"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运用讲授法阐述理论知识，通过播放优秀亲子活动案例视频让学生直观学习，组织小组讨论分享设计思路与实践经验，安排模拟活动实践，让学生在实操中积累经验，教师现场指导纠错</w:t>
            </w:r>
            <w:r>
              <w:rPr>
                <w:rFonts w:hint="eastAsia" w:ascii="仿宋_GB2312" w:hAnsi="仿宋_GB2312" w:eastAsia="仿宋_GB2312" w:cs="仿宋_GB2312"/>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9"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4</w:t>
            </w:r>
          </w:p>
        </w:tc>
        <w:tc>
          <w:tcPr>
            <w:tcW w:w="853" w:type="dxa"/>
            <w:vAlign w:val="center"/>
          </w:tcPr>
          <w:p>
            <w:pPr>
              <w:keepNext w:val="0"/>
              <w:keepLines w:val="0"/>
              <w:pageBreakBefore w:val="0"/>
              <w:kinsoku/>
              <w:wordWrap/>
              <w:overflowPunct/>
              <w:topLinePunct w:val="0"/>
              <w:autoSpaceDE/>
              <w:autoSpaceDN/>
              <w:bidi w:val="0"/>
              <w:adjustRightInd/>
              <w:snapToGrid/>
              <w:spacing w:line="320" w:lineRule="exact"/>
              <w:jc w:val="left"/>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shd w:val="clear" w:color="auto" w:fill="FFFFFF"/>
                <w:lang w:val="en-US" w:eastAsia="zh-CN"/>
              </w:rPr>
              <w:t>信息技术应用实务</w:t>
            </w:r>
          </w:p>
        </w:tc>
        <w:tc>
          <w:tcPr>
            <w:tcW w:w="3763"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熟悉常见信息技术工具，包括办公软件、图形图像编辑软件、多媒体制作软件等的基础操作及核心功能相关知识。​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掌握常见信息技术工具的基础操作及核心功能；具备运用信息技术进行信息收集、整理、分析与展示的能力，能够通过合适工具完成信息处理任务。</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培养运用信息技术处理问题的高效性与严谨性。提升借助工具优化工作的主动性与适应性。</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树立规范使用信息技术的意识。增强用技术赋能托育服务的责任感。</w:t>
            </w:r>
          </w:p>
        </w:tc>
        <w:tc>
          <w:tcPr>
            <w:tcW w:w="2496"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highlight w:val="none"/>
              </w:rPr>
              <w:t>涵盖Wor</w:t>
            </w:r>
            <w:r>
              <w:rPr>
                <w:rFonts w:hint="eastAsia" w:ascii="仿宋_GB2312" w:hAnsi="仿宋_GB2312" w:eastAsia="仿宋_GB2312" w:cs="仿宋_GB2312"/>
                <w:color w:val="auto"/>
                <w:sz w:val="24"/>
                <w:szCs w:val="24"/>
                <w:highlight w:val="none"/>
                <w:lang w:val="en-US" w:eastAsia="zh-CN"/>
              </w:rPr>
              <w:t>ld</w:t>
            </w:r>
            <w:r>
              <w:rPr>
                <w:rFonts w:hint="eastAsia" w:ascii="仿宋_GB2312" w:hAnsi="仿宋_GB2312" w:eastAsia="仿宋_GB2312" w:cs="仿宋_GB2312"/>
                <w:color w:val="auto"/>
                <w:sz w:val="24"/>
                <w:szCs w:val="24"/>
                <w:highlight w:val="none"/>
              </w:rPr>
              <w:t>、Excel、PowerPoint的基础功能讲解，如文档编辑排版、数据处理与图表制作、演示文稿创建。教授信息搜索技巧，图形图像处理（如裁剪、调色），音频视频编辑（剪辑、添加特效）等内容。结合不同专业场景，讲解如何运用信息技术完成项目策划、成果展示等任务，如制作专业报告、设计宣传海报等。</w:t>
            </w:r>
          </w:p>
        </w:tc>
        <w:tc>
          <w:tcPr>
            <w:tcW w:w="2883"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通过实际案例演示让学生直观感受操作流程，安排大量上机实践环节，让学生在练习中巩固技能，教师实时指导答疑。过程性评价关注学生课堂表现、实践作业完成情况；终结性评价通过理论考试考查知识掌握，以实际操作考核评估软件运用和问题解决能力，从操作熟练度、任务完成质量等方面综合打分。鼓励学生参加信息技术相关竞赛，作为增值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5</w:t>
            </w:r>
          </w:p>
        </w:tc>
        <w:tc>
          <w:tcPr>
            <w:tcW w:w="853" w:type="dxa"/>
            <w:vAlign w:val="center"/>
          </w:tcPr>
          <w:p>
            <w:pPr>
              <w:keepNext w:val="0"/>
              <w:keepLines w:val="0"/>
              <w:pageBreakBefore w:val="0"/>
              <w:kinsoku/>
              <w:wordWrap/>
              <w:overflowPunct/>
              <w:topLinePunct w:val="0"/>
              <w:autoSpaceDE/>
              <w:autoSpaceDN/>
              <w:bidi w:val="0"/>
              <w:adjustRightInd/>
              <w:snapToGrid/>
              <w:spacing w:line="320" w:lineRule="exact"/>
              <w:jc w:val="left"/>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shd w:val="clear" w:color="auto" w:fill="FFFFFF"/>
                <w:lang w:val="en-US" w:eastAsia="zh-CN"/>
              </w:rPr>
              <w:t>托育机构品牌与文化建设</w:t>
            </w:r>
          </w:p>
        </w:tc>
        <w:tc>
          <w:tcPr>
            <w:tcW w:w="3763"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理解托育机构品牌与文化的内涵及重要性；掌握品牌定位、形象塑造与文化传播的基础方法。</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能够初步构建托育机构的品牌框架与文化体系；提升打造特色托育机构的能力。​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培养将品牌与文化建设融入日常运营的意识。​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树立以婴幼儿为本的品牌建设理念，增强打造有温度的托育文化的责任感。</w:t>
            </w:r>
          </w:p>
        </w:tc>
        <w:tc>
          <w:tcPr>
            <w:tcW w:w="2496"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课程包含</w:t>
            </w:r>
            <w:r>
              <w:rPr>
                <w:rFonts w:hint="eastAsia" w:ascii="仿宋_GB2312" w:hAnsi="仿宋_GB2312" w:eastAsia="仿宋_GB2312" w:cs="仿宋_GB2312"/>
                <w:color w:val="auto"/>
                <w:sz w:val="24"/>
                <w:szCs w:val="24"/>
                <w:highlight w:val="none"/>
              </w:rPr>
              <w:t>讲解托育机构品牌定位、品牌名称与标识设计。介绍品牌故事挖掘与塑造方法。涵盖托育机构的教育理念、服务文化构建。讲述团队文化培育与家长文化沟通策略。包括线上线下品牌推广渠道运用，如社交媒体、亲子活动等。讲解如何利用口碑传播打造品牌影响力。</w:t>
            </w:r>
          </w:p>
        </w:tc>
        <w:tc>
          <w:tcPr>
            <w:tcW w:w="2883"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以讲授法阐述理论知识，通过案例分析展示成功经验，安排小组讨论与模拟实践，让学员在互动中深化理解，教师现场指导。过程性评价依据学员课堂参与、小组作业完成情况。终结性评价通过理论测试考查知识掌握，以实践项目评估应用能力，从方案完整性、可行性等方面打分。鼓励学员将学习成果应用于实际工作，作为额外加分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9"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6</w:t>
            </w:r>
          </w:p>
        </w:tc>
        <w:tc>
          <w:tcPr>
            <w:tcW w:w="853"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shd w:val="clear" w:color="auto" w:fill="FFFFFF"/>
                <w:lang w:val="en-US" w:eastAsia="zh-CN"/>
              </w:rPr>
              <w:t>人际沟通艺术</w:t>
            </w:r>
          </w:p>
        </w:tc>
        <w:tc>
          <w:tcPr>
            <w:tcW w:w="3763"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理解人际沟通的基本原理与重要性；知晓多种人际沟通技巧，包括语言表达、非语言沟通、倾听技巧等相关知识。​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掌握多种人际沟通技巧，能够根据不同场景和对象灵活运用；具备良好的沟通心态和解决沟通冲突的能力；提升人际交往的自信与情商，建立和谐人际关系​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培养真诚倾听、灵活表达的沟通素养。</w:t>
            </w:r>
            <w:r>
              <w:rPr>
                <w:rFonts w:hint="eastAsia" w:ascii="仿宋_GB2312" w:hAnsi="仿宋_GB2312" w:eastAsia="仿宋_GB2312" w:cs="仿宋_GB2312"/>
                <w:color w:val="auto"/>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提升应对沟通冲突的包容心与解决问题的能力。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树立尊重理解、平等友善的沟通理念。增强以有效沟通促进和谐关系的责任感。</w:t>
            </w:r>
          </w:p>
        </w:tc>
        <w:tc>
          <w:tcPr>
            <w:tcW w:w="2496"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课程包含</w:t>
            </w:r>
            <w:r>
              <w:rPr>
                <w:rFonts w:hint="eastAsia" w:ascii="仿宋_GB2312" w:hAnsi="仿宋_GB2312" w:eastAsia="仿宋_GB2312" w:cs="仿宋_GB2312"/>
                <w:color w:val="auto"/>
                <w:sz w:val="24"/>
                <w:szCs w:val="24"/>
                <w:highlight w:val="none"/>
              </w:rPr>
              <w:t>人际沟通的定义、要素、过程与模式，分析影响沟通效果的各类因素</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涵盖清晰准确的语言表达训练，如措辞、语速、语调把控；非语言沟通技巧，包括肢体语言、面部表情解读与运用；高效倾听技巧，如专注倾听、反馈技巧等内容。</w:t>
            </w:r>
          </w:p>
        </w:tc>
        <w:tc>
          <w:tcPr>
            <w:tcW w:w="2883"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运用讲授法传授系统理论知识，借助大量真实案例分析引导学员理解沟通要点；组织小组讨论，围绕沟通难题展开交流探讨；开展角色扮演、情景模拟等实践活动，让学员在实操中锻炼沟通技能，教师实时点评指导。</w:t>
            </w: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rPr>
            </w:pP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rPr>
            </w:pP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rPr>
            </w:pP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9"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7</w:t>
            </w:r>
          </w:p>
        </w:tc>
        <w:tc>
          <w:tcPr>
            <w:tcW w:w="853"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shd w:val="clear" w:color="auto" w:fill="FFFFFF"/>
                <w:lang w:val="en-US" w:eastAsia="zh-CN"/>
              </w:rPr>
              <w:t>婴幼儿护理与急救</w:t>
            </w:r>
          </w:p>
        </w:tc>
        <w:tc>
          <w:tcPr>
            <w:tcW w:w="3763"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了解婴幼儿常见急症（如高热、惊厥）和意外伤害（如烫伤、异物吸入）的识别要点及急救原则。</w:t>
            </w:r>
            <w:r>
              <w:rPr>
                <w:rFonts w:hint="eastAsia" w:ascii="仿宋_GB2312" w:hAnsi="仿宋_GB2312" w:eastAsia="仿宋_GB2312" w:cs="仿宋_GB2312"/>
                <w:color w:val="auto"/>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能独立完成婴幼儿日常护理操作，如洗澡、更换尿布等。熟练运用心肺复苏、海氏急救法等技能处理婴幼儿突发急症和意外伤害。​</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培养对婴幼儿护理工作的细心、耐心和高度责任心。提升面对突发状况时的冷静判断力和快速反应能力。​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树立 “生命至上、安全第一” 的急救理念。增强守护婴幼儿生命健康的职业使命感。</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2496"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课程包含</w:t>
            </w:r>
            <w:r>
              <w:rPr>
                <w:rFonts w:hint="eastAsia" w:ascii="仿宋_GB2312" w:hAnsi="仿宋_GB2312" w:eastAsia="仿宋_GB2312" w:cs="仿宋_GB2312"/>
                <w:color w:val="auto"/>
                <w:sz w:val="24"/>
                <w:szCs w:val="24"/>
                <w:highlight w:val="none"/>
              </w:rPr>
              <w:t>婴幼儿生长发育知识：介绍不同阶段婴幼儿的身体发育指标、动作发展、语言与认知发展特点。日常护理：涵盖喂养（母乳喂养、奶瓶喂养技巧）、睡眠照料（睡眠环境营造、睡眠规律培养）、皮肤护理（洗澡、臀部护理、脐部护理）、衣物选择与更换等。常见疾病与意外识别及处理：常见疾病如感冒、发烧、腹泻的症状判断与护理方法；意外情况如烫伤、触电、气管异物、跌伤的紧急处理。急救技能：心肺复苏术（CPR）、海姆立克急救法在婴幼儿急救中的正确操作。</w:t>
            </w:r>
          </w:p>
        </w:tc>
        <w:tc>
          <w:tcPr>
            <w:tcW w:w="2883"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通过</w:t>
            </w:r>
            <w:r>
              <w:rPr>
                <w:rFonts w:hint="eastAsia" w:ascii="仿宋_GB2312" w:hAnsi="仿宋_GB2312" w:eastAsia="仿宋_GB2312" w:cs="仿宋_GB2312"/>
                <w:color w:val="auto"/>
                <w:sz w:val="24"/>
                <w:szCs w:val="24"/>
                <w:highlight w:val="none"/>
              </w:rPr>
              <w:t>理论讲解：运用多媒体资料、案例分析，深入浅出地讲解知识，确保</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理解</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实践操作：配备仿真婴儿模型，让学员充分练习护理与急救操作，教师现场指导纠错，保证操作规范。​</w:t>
            </w: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rPr>
            </w:pP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rPr>
            </w:pP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rPr>
            </w:pP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rPr>
            </w:pP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9"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8</w:t>
            </w:r>
          </w:p>
        </w:tc>
        <w:tc>
          <w:tcPr>
            <w:tcW w:w="853"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shd w:val="clear" w:color="auto" w:fill="FFFFFF"/>
                <w:lang w:val="en-US" w:eastAsia="zh-CN"/>
              </w:rPr>
              <w:t>托育服务与管理行为规范</w:t>
            </w:r>
          </w:p>
        </w:tc>
        <w:tc>
          <w:tcPr>
            <w:tcW w:w="3763"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掌握婴幼儿日常护理的基本知识和要点。了解婴幼儿常见急症、意外伤害的急救原理及处理流程。</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能够进行婴幼儿日常护理操作。熟练掌握婴幼儿常见急症和意外伤害的急救技能，如心肺复苏、外伤处理等。</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培养对婴幼儿护理工作的细心、耐心和责任心。提升应对婴幼儿突发状况的冷静性和应变能力。</w:t>
            </w:r>
            <w:r>
              <w:rPr>
                <w:rFonts w:hint="eastAsia" w:ascii="仿宋_GB2312" w:hAnsi="仿宋_GB2312" w:eastAsia="仿宋_GB2312" w:cs="仿宋_GB2312"/>
                <w:color w:val="auto"/>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树立生命至上的急救理念增强守护婴幼儿健康与安全的使命感。​</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2496"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课程包含</w:t>
            </w:r>
            <w:r>
              <w:rPr>
                <w:rFonts w:hint="eastAsia" w:ascii="仿宋_GB2312" w:hAnsi="仿宋_GB2312" w:eastAsia="仿宋_GB2312" w:cs="仿宋_GB2312"/>
                <w:color w:val="auto"/>
                <w:sz w:val="24"/>
                <w:szCs w:val="24"/>
                <w:highlight w:val="none"/>
              </w:rPr>
              <w:t>解读托育服务相关的国家政策、</w:t>
            </w:r>
            <w:r>
              <w:rPr>
                <w:rFonts w:hint="eastAsia" w:ascii="仿宋_GB2312" w:hAnsi="仿宋_GB2312" w:eastAsia="仿宋_GB2312" w:cs="仿宋_GB2312"/>
                <w:color w:val="auto"/>
                <w:sz w:val="24"/>
                <w:szCs w:val="24"/>
                <w:highlight w:val="none"/>
                <w:lang w:eastAsia="zh-CN"/>
              </w:rPr>
              <w:t>地方性法规</w:t>
            </w:r>
            <w:r>
              <w:rPr>
                <w:rFonts w:hint="eastAsia" w:ascii="仿宋_GB2312" w:hAnsi="仿宋_GB2312" w:eastAsia="仿宋_GB2312" w:cs="仿宋_GB2312"/>
                <w:color w:val="auto"/>
                <w:sz w:val="24"/>
                <w:szCs w:val="24"/>
                <w:highlight w:val="none"/>
              </w:rPr>
              <w:t>，详细介绍行业质量评估标准。托育服务流程管理：涵盖入托流程、日常照料流程（饮食、睡眠、卫生等）、健康与安全管理流程。婴幼儿活动组织：游戏活动设计与开展、早期教育活动实施、户外活动组织要点。家长沟通与家园合作：沟通技巧、家长会组织、家长意见反馈处理以及家园共育活动策划。</w:t>
            </w:r>
          </w:p>
        </w:tc>
        <w:tc>
          <w:tcPr>
            <w:tcW w:w="2883"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rPr>
            </w:pP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rPr>
            </w:pP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rPr>
            </w:pP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通过课堂讲授、法规文件研读、案例研讨，帮助</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理解知识要点。实践教学：安排模拟场景，让学</w:t>
            </w:r>
            <w:r>
              <w:rPr>
                <w:rFonts w:hint="eastAsia" w:ascii="仿宋_GB2312" w:hAnsi="仿宋_GB2312" w:eastAsia="仿宋_GB2312" w:cs="仿宋_GB2312"/>
                <w:color w:val="auto"/>
                <w:sz w:val="24"/>
                <w:szCs w:val="24"/>
                <w:highlight w:val="none"/>
                <w:lang w:val="en-US" w:eastAsia="zh-CN"/>
              </w:rPr>
              <w:t>生</w:t>
            </w:r>
            <w:r>
              <w:rPr>
                <w:rFonts w:hint="eastAsia" w:ascii="仿宋_GB2312" w:hAnsi="仿宋_GB2312" w:eastAsia="仿宋_GB2312" w:cs="仿宋_GB2312"/>
                <w:color w:val="auto"/>
                <w:sz w:val="24"/>
                <w:szCs w:val="24"/>
                <w:highlight w:val="none"/>
              </w:rPr>
              <w:t>进行服务流程操作、活动组织演练、家长沟通模拟，教师现场点评指导。</w:t>
            </w: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rPr>
            </w:pP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rPr>
            </w:pP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2" w:hRule="atLeast"/>
        </w:trPr>
        <w:tc>
          <w:tcPr>
            <w:tcW w:w="629"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9</w:t>
            </w:r>
          </w:p>
        </w:tc>
        <w:tc>
          <w:tcPr>
            <w:tcW w:w="853" w:type="dxa"/>
            <w:vAlign w:val="center"/>
          </w:tcPr>
          <w:p>
            <w:pPr>
              <w:keepNext w:val="0"/>
              <w:keepLines w:val="0"/>
              <w:pageBreakBefore w:val="0"/>
              <w:kinsoku/>
              <w:wordWrap/>
              <w:overflowPunct/>
              <w:topLinePunct w:val="0"/>
              <w:autoSpaceDE/>
              <w:autoSpaceDN/>
              <w:bidi w:val="0"/>
              <w:adjustRightInd/>
              <w:snapToGrid/>
              <w:spacing w:line="320" w:lineRule="exact"/>
              <w:jc w:val="left"/>
              <w:rPr>
                <w:rFonts w:hint="eastAsia" w:ascii="仿宋_GB2312" w:hAnsi="仿宋_GB2312" w:eastAsia="仿宋_GB2312" w:cs="仿宋_GB2312"/>
                <w:color w:val="auto"/>
                <w:sz w:val="24"/>
                <w:szCs w:val="24"/>
                <w:highlight w:val="none"/>
                <w:shd w:val="clear" w:color="auto" w:fill="FFFFFF"/>
                <w:lang w:val="en-US" w:eastAsia="zh-CN"/>
              </w:rPr>
            </w:pPr>
            <w:r>
              <w:rPr>
                <w:rFonts w:hint="eastAsia" w:ascii="仿宋_GB2312" w:hAnsi="仿宋_GB2312" w:eastAsia="仿宋_GB2312" w:cs="仿宋_GB2312"/>
                <w:color w:val="auto"/>
                <w:sz w:val="24"/>
                <w:szCs w:val="24"/>
                <w:highlight w:val="none"/>
                <w:shd w:val="clear" w:color="auto" w:fill="FFFFFF"/>
                <w:lang w:val="en-US" w:eastAsia="zh-CN"/>
              </w:rPr>
              <w:t>人体解剖学</w:t>
            </w:r>
          </w:p>
        </w:tc>
        <w:tc>
          <w:tcPr>
            <w:tcW w:w="3763"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掌握人体各系统的基本结构和功能；理解人体在运动、生长和发育过程中的生理变化，以及这些变化对婴幼儿托育服务的影响相关知识。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能够辨识人体各系统的基本结构。​能分析人体生理变化对婴幼儿托育服务的影响。​</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培养对人体结构与功能学习的严谨态度。提升运用解剖学知识解决托育实际问题的能力。​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树立以科学知识为基础的托育服务理念。增强依据人体规律开展婴幼儿照护的责任感。</w:t>
            </w:r>
          </w:p>
        </w:tc>
        <w:tc>
          <w:tcPr>
            <w:tcW w:w="2496"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课程包含</w:t>
            </w:r>
            <w:r>
              <w:rPr>
                <w:rFonts w:hint="eastAsia" w:ascii="仿宋_GB2312" w:hAnsi="仿宋_GB2312" w:eastAsia="仿宋_GB2312" w:cs="仿宋_GB2312"/>
                <w:color w:val="auto"/>
                <w:sz w:val="24"/>
                <w:szCs w:val="24"/>
                <w:highlight w:val="none"/>
              </w:rPr>
              <w:t>人体解剖学基础概述</w:t>
            </w:r>
            <w:r>
              <w:rPr>
                <w:rFonts w:hint="eastAsia" w:ascii="仿宋_GB2312" w:hAnsi="仿宋_GB2312" w:eastAsia="仿宋_GB2312" w:cs="仿宋_GB2312"/>
                <w:color w:val="auto"/>
                <w:sz w:val="24"/>
                <w:szCs w:val="24"/>
                <w:highlight w:val="none"/>
                <w:lang w:eastAsia="zh-CN"/>
              </w:rPr>
              <w:t>、人体各系统的基本结构与功能、人体在运动、生长和发育中的生理变化、人体结构与功能变化对婴幼儿托育服务的影响。</w:t>
            </w:r>
          </w:p>
        </w:tc>
        <w:tc>
          <w:tcPr>
            <w:tcW w:w="2883"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学生需掌握人体各系统的基本组成、关键结构名称及主要功能；理解婴幼儿生长发育过程中人体结构与功能的变化规律</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能够准确辨识人体各系统的基本结构</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培养严谨细致的学习态度，对待人体结构与功能的知识要精准无误；提升将解剖学知识与托育实践结合的意识，学会用专业知识解决实际问题</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引导学生树立以科学解剖学知识为基础的托育服务理念，认识到尊重人体结构规律对婴幼儿健康成长的重要性；增强依据人体发育特点开展托育工作的责任感，杜绝盲目照护行为。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9"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10</w:t>
            </w:r>
          </w:p>
        </w:tc>
        <w:tc>
          <w:tcPr>
            <w:tcW w:w="853" w:type="dxa"/>
            <w:vAlign w:val="center"/>
          </w:tcPr>
          <w:p>
            <w:pPr>
              <w:keepNext w:val="0"/>
              <w:keepLines w:val="0"/>
              <w:pageBreakBefore w:val="0"/>
              <w:kinsoku/>
              <w:wordWrap/>
              <w:overflowPunct/>
              <w:topLinePunct w:val="0"/>
              <w:autoSpaceDE/>
              <w:autoSpaceDN/>
              <w:bidi w:val="0"/>
              <w:adjustRightInd/>
              <w:snapToGrid/>
              <w:spacing w:line="320" w:lineRule="exact"/>
              <w:jc w:val="left"/>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shd w:val="clear" w:color="auto" w:fill="FFFFFF"/>
                <w:lang w:val="en-US" w:eastAsia="zh-CN"/>
              </w:rPr>
              <w:t>生理学基础</w:t>
            </w:r>
          </w:p>
        </w:tc>
        <w:tc>
          <w:tcPr>
            <w:tcW w:w="3763"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理解婴幼儿的生理机能和生长发育规律相关知识。病理学基础：掌握基本的病理学知识和技能；了解婴幼儿常见疾病的病理变化及其机制。</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能解读婴幼儿生理机能的特点及变化规律。能运用生理学知识指导婴幼儿科学照护与教育。</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培养探究婴幼儿生理发展规律的科学精神。提升将生理学知识转化为实际照护能力的素养。</w:t>
            </w: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rPr>
              <w:t>引导学生树立遵循婴幼儿生理规律的科学照护理念，反对违背生理特点的 “拔苗助长”式照护；增强以专业生理学知识保障婴幼儿健康成长的责任感，将婴幼儿的生理需求放在托育工作的首位。</w:t>
            </w:r>
          </w:p>
        </w:tc>
        <w:tc>
          <w:tcPr>
            <w:tcW w:w="2496"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课程包含</w:t>
            </w:r>
            <w:r>
              <w:rPr>
                <w:rFonts w:hint="eastAsia" w:ascii="仿宋_GB2312" w:hAnsi="仿宋_GB2312" w:eastAsia="仿宋_GB2312" w:cs="仿宋_GB2312"/>
                <w:color w:val="auto"/>
                <w:sz w:val="24"/>
                <w:szCs w:val="24"/>
                <w:highlight w:val="none"/>
              </w:rPr>
              <w:t>生理学基础概念与研究方法</w:t>
            </w:r>
            <w:r>
              <w:rPr>
                <w:rFonts w:hint="eastAsia" w:ascii="仿宋_GB2312" w:hAnsi="仿宋_GB2312" w:eastAsia="仿宋_GB2312" w:cs="仿宋_GB2312"/>
                <w:color w:val="auto"/>
                <w:sz w:val="24"/>
                <w:szCs w:val="24"/>
                <w:highlight w:val="none"/>
                <w:lang w:eastAsia="zh-CN"/>
              </w:rPr>
              <w:t>、婴幼儿生理机能特点、婴幼儿生长发育规律、生理学知识在婴幼儿照护与教育中的应用。</w:t>
            </w:r>
          </w:p>
        </w:tc>
        <w:tc>
          <w:tcPr>
            <w:tcW w:w="2883"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要求学生</w:t>
            </w:r>
            <w:r>
              <w:rPr>
                <w:rFonts w:hint="eastAsia" w:ascii="仿宋_GB2312" w:hAnsi="仿宋_GB2312" w:eastAsia="仿宋_GB2312" w:cs="仿宋_GB2312"/>
                <w:color w:val="auto"/>
                <w:sz w:val="24"/>
                <w:szCs w:val="24"/>
                <w:highlight w:val="none"/>
              </w:rPr>
              <w:t>理解婴幼儿各系统生理机能的特点及生长发育的基本规律；掌握与婴幼儿照护密切相关的生理学核心知识</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能准确解读婴幼儿生理机能的变化；能运用生理学知识指导婴幼儿的科学喂养、日常护理、活动安排等托育实践</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培养探究婴幼儿生理发展规律的科学精神，学会通过观察、分析等方式了解婴幼儿的生理需求；提升将抽象的生理学知识转化为具体照护技能的素养，做到理论与实践相结合</w:t>
            </w:r>
            <w:r>
              <w:rPr>
                <w:rFonts w:hint="eastAsia" w:ascii="仿宋_GB2312" w:hAnsi="仿宋_GB2312" w:eastAsia="仿宋_GB2312" w:cs="仿宋_GB2312"/>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9"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11</w:t>
            </w:r>
          </w:p>
        </w:tc>
        <w:tc>
          <w:tcPr>
            <w:tcW w:w="853"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shd w:val="clear" w:color="auto" w:fill="FFFFFF"/>
                <w:lang w:val="en-US" w:eastAsia="zh-CN"/>
              </w:rPr>
              <w:t>病理学基础</w:t>
            </w:r>
          </w:p>
        </w:tc>
        <w:tc>
          <w:tcPr>
            <w:tcW w:w="3763"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掌握基本的病理学概念、原理和研究方法。了解婴幼儿常见疾病的病理变化特点及其发生机制。</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能够识别和分析婴幼儿疾病的病理过程。</w:t>
            </w:r>
            <w:r>
              <w:rPr>
                <w:rFonts w:hint="eastAsia" w:ascii="仿宋_GB2312" w:hAnsi="仿宋_GB2312" w:eastAsia="仿宋_GB2312" w:cs="仿宋_GB2312"/>
                <w:color w:val="auto"/>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培养严谨细致的病理分析思维和科学探究精神。提升运用病理学知识解决婴幼儿疾病相关问题的实践素养。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树立以病理知识为依据的疾病防控理念。增强守护婴幼儿健康、预防疾病的职业责任感。​</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2496"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课程包含</w:t>
            </w:r>
            <w:r>
              <w:rPr>
                <w:rFonts w:hint="eastAsia" w:ascii="仿宋_GB2312" w:hAnsi="仿宋_GB2312" w:eastAsia="仿宋_GB2312" w:cs="仿宋_GB2312"/>
                <w:color w:val="auto"/>
                <w:sz w:val="24"/>
                <w:szCs w:val="24"/>
                <w:highlight w:val="none"/>
              </w:rPr>
              <w:t>病理学基本概念与原理</w:t>
            </w:r>
            <w:r>
              <w:rPr>
                <w:rFonts w:hint="eastAsia" w:ascii="仿宋_GB2312" w:hAnsi="仿宋_GB2312" w:eastAsia="仿宋_GB2312" w:cs="仿宋_GB2312"/>
                <w:color w:val="auto"/>
                <w:sz w:val="24"/>
                <w:szCs w:val="24"/>
                <w:highlight w:val="none"/>
                <w:lang w:eastAsia="zh-CN"/>
              </w:rPr>
              <w:t>、病理学研究方法、婴幼儿常见疾病的病理变化及机制、病理学知识在婴幼儿疾病防控中的应用。</w:t>
            </w: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lang w:eastAsia="zh-CN"/>
              </w:rPr>
            </w:pP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rPr>
            </w:pP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rPr>
            </w:pP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rPr>
            </w:pP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rPr>
            </w:pPr>
          </w:p>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rPr>
            </w:pPr>
          </w:p>
        </w:tc>
        <w:tc>
          <w:tcPr>
            <w:tcW w:w="2883" w:type="dxa"/>
            <w:vAlign w:val="top"/>
          </w:tcPr>
          <w:p>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要求学生</w:t>
            </w:r>
            <w:r>
              <w:rPr>
                <w:rFonts w:hint="eastAsia" w:ascii="仿宋_GB2312" w:hAnsi="仿宋_GB2312" w:eastAsia="仿宋_GB2312" w:cs="仿宋_GB2312"/>
                <w:color w:val="auto"/>
                <w:sz w:val="24"/>
                <w:szCs w:val="24"/>
                <w:highlight w:val="none"/>
              </w:rPr>
              <w:t>掌握病理学的基本概念、核心原理和研究方法；了解婴幼儿常见疾病的病理变化特点及发生机制。能够结合婴幼儿的症状表现，初步识别和分析常见疾病的病理过程；能运用病理学知识解释疾病的发生发展，为疾病预防和照护提供思路</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培养严谨细致的病理分析思维，对待疾病相关问题要科学求证；提升运用病理学知识解决婴幼儿疾病相关实际问题的实践素养，如在照护中及时发现异常并协助就医。</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after="0"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.实践</w:t>
      </w:r>
      <w:r>
        <w:rPr>
          <w:rFonts w:hint="eastAsia" w:ascii="仿宋_GB2312" w:hAnsi="仿宋_GB2312" w:eastAsia="仿宋_GB2312" w:cs="仿宋_GB2312"/>
          <w:color w:val="auto"/>
          <w:sz w:val="32"/>
          <w:szCs w:val="32"/>
          <w:lang w:val="en-US" w:eastAsia="zh-CN"/>
        </w:rPr>
        <w:t>性</w:t>
      </w:r>
      <w:r>
        <w:rPr>
          <w:rFonts w:hint="eastAsia" w:ascii="仿宋_GB2312" w:hAnsi="仿宋_GB2312" w:eastAsia="仿宋_GB2312" w:cs="仿宋_GB2312"/>
          <w:color w:val="auto"/>
          <w:sz w:val="32"/>
          <w:szCs w:val="32"/>
        </w:rPr>
        <w:t>教学环节</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该环节主要通过</w:t>
      </w:r>
      <w:r>
        <w:rPr>
          <w:rFonts w:hint="eastAsia" w:ascii="仿宋_GB2312" w:hAnsi="仿宋_GB2312" w:eastAsia="仿宋_GB2312" w:cs="仿宋_GB2312"/>
          <w:color w:val="auto"/>
          <w:sz w:val="32"/>
          <w:szCs w:val="32"/>
          <w:highlight w:val="none"/>
        </w:rPr>
        <w:t>毕业设计、</w:t>
      </w:r>
      <w:r>
        <w:rPr>
          <w:rFonts w:hint="eastAsia" w:ascii="仿宋_GB2312" w:hAnsi="仿宋_GB2312" w:eastAsia="仿宋_GB2312" w:cs="仿宋_GB2312"/>
          <w:color w:val="auto"/>
          <w:sz w:val="32"/>
          <w:szCs w:val="32"/>
          <w:highlight w:val="none"/>
          <w:lang w:eastAsia="zh-CN"/>
        </w:rPr>
        <w:t>岗位实习</w:t>
      </w:r>
      <w:r>
        <w:rPr>
          <w:rFonts w:hint="eastAsia" w:ascii="仿宋_GB2312" w:hAnsi="仿宋_GB2312" w:eastAsia="仿宋_GB2312" w:cs="仿宋_GB2312"/>
          <w:color w:val="auto"/>
          <w:sz w:val="32"/>
          <w:szCs w:val="32"/>
          <w:highlight w:val="none"/>
          <w:lang w:val="en-US" w:eastAsia="zh-CN"/>
        </w:rPr>
        <w:t>来实现学生对专业知识掌握的实际应用情况</w:t>
      </w:r>
      <w:r>
        <w:rPr>
          <w:rFonts w:hint="eastAsia" w:ascii="仿宋_GB2312" w:hAnsi="仿宋_GB2312" w:eastAsia="仿宋_GB2312" w:cs="仿宋_GB2312"/>
          <w:color w:val="auto"/>
          <w:sz w:val="32"/>
          <w:szCs w:val="32"/>
          <w:lang w:val="en-US" w:eastAsia="zh-CN"/>
        </w:rPr>
        <w:t>。</w:t>
      </w:r>
    </w:p>
    <w:p>
      <w:pPr>
        <w:keepNext w:val="0"/>
        <w:keepLines w:val="0"/>
        <w:pageBreakBefore w:val="0"/>
        <w:widowControl w:val="0"/>
        <w:kinsoku/>
        <w:wordWrap/>
        <w:overflowPunct w:val="0"/>
        <w:topLinePunct w:val="0"/>
        <w:autoSpaceDE/>
        <w:autoSpaceDN/>
        <w:bidi w:val="0"/>
        <w:adjustRightInd w:val="0"/>
        <w:spacing w:after="0" w:line="520" w:lineRule="exact"/>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highlight w:val="none"/>
        </w:rPr>
        <w:t>实践</w:t>
      </w:r>
      <w:r>
        <w:rPr>
          <w:rFonts w:hint="eastAsia" w:ascii="仿宋_GB2312" w:hAnsi="仿宋_GB2312" w:eastAsia="仿宋_GB2312" w:cs="仿宋_GB2312"/>
          <w:color w:val="auto"/>
          <w:sz w:val="32"/>
          <w:szCs w:val="32"/>
          <w:highlight w:val="none"/>
          <w:lang w:val="en-US" w:eastAsia="zh-CN"/>
        </w:rPr>
        <w:t>性</w:t>
      </w:r>
      <w:r>
        <w:rPr>
          <w:rFonts w:hint="eastAsia" w:ascii="仿宋_GB2312" w:hAnsi="仿宋_GB2312" w:eastAsia="仿宋_GB2312" w:cs="仿宋_GB2312"/>
          <w:color w:val="auto"/>
          <w:sz w:val="32"/>
          <w:szCs w:val="32"/>
          <w:highlight w:val="none"/>
        </w:rPr>
        <w:t>教学环节课程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104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4"/>
        <w:gridCol w:w="850"/>
        <w:gridCol w:w="3622"/>
        <w:gridCol w:w="2458"/>
        <w:gridCol w:w="3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4" w:type="dxa"/>
            <w:vAlign w:val="center"/>
          </w:tcPr>
          <w:p>
            <w:pPr>
              <w:overflowPunct w:val="0"/>
              <w:adjustRightInd w:val="0"/>
              <w:spacing w:line="360" w:lineRule="exact"/>
              <w:jc w:val="center"/>
              <w:rPr>
                <w:rFonts w:hint="eastAsia" w:ascii="仿宋_GB2312" w:hAnsi="仿宋_GB2312" w:eastAsia="仿宋_GB2312" w:cs="仿宋_GB2312"/>
                <w:color w:val="auto"/>
                <w:sz w:val="24"/>
              </w:rPr>
            </w:pPr>
            <w:bookmarkStart w:id="17" w:name="OLE_LINK21"/>
            <w:r>
              <w:rPr>
                <w:rFonts w:hint="eastAsia" w:ascii="仿宋_GB2312" w:hAnsi="仿宋_GB2312" w:eastAsia="仿宋_GB2312" w:cs="仿宋_GB2312"/>
                <w:color w:val="auto"/>
                <w:sz w:val="24"/>
              </w:rPr>
              <w:t>序号</w:t>
            </w:r>
          </w:p>
        </w:tc>
        <w:tc>
          <w:tcPr>
            <w:tcW w:w="850" w:type="dxa"/>
            <w:vAlign w:val="center"/>
          </w:tcPr>
          <w:p>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课程</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名称</w:t>
            </w:r>
          </w:p>
        </w:tc>
        <w:tc>
          <w:tcPr>
            <w:tcW w:w="3622" w:type="dxa"/>
            <w:vAlign w:val="center"/>
          </w:tcPr>
          <w:p>
            <w:pPr>
              <w:spacing w:line="360" w:lineRule="exact"/>
              <w:jc w:val="center"/>
              <w:rPr>
                <w:rFonts w:hint="eastAsia" w:ascii="仿宋_GB2312" w:hAnsi="仿宋_GB2312" w:eastAsia="仿宋_GB2312" w:cs="仿宋_GB2312"/>
                <w:color w:val="auto"/>
                <w:sz w:val="24"/>
              </w:rPr>
            </w:pPr>
            <w:bookmarkStart w:id="18" w:name="OLE_LINK8"/>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bookmarkEnd w:id="18"/>
          </w:p>
        </w:tc>
        <w:tc>
          <w:tcPr>
            <w:tcW w:w="2458" w:type="dxa"/>
            <w:vAlign w:val="center"/>
          </w:tcPr>
          <w:p>
            <w:pPr>
              <w:spacing w:line="360" w:lineRule="exact"/>
              <w:jc w:val="center"/>
              <w:rPr>
                <w:rFonts w:hint="eastAsia" w:ascii="仿宋_GB2312" w:hAnsi="仿宋_GB2312" w:eastAsia="仿宋_GB2312" w:cs="仿宋_GB2312"/>
                <w:color w:val="auto"/>
                <w:sz w:val="24"/>
              </w:rPr>
            </w:pPr>
            <w:bookmarkStart w:id="19" w:name="OLE_LINK6"/>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bookmarkEnd w:id="19"/>
          </w:p>
        </w:tc>
        <w:tc>
          <w:tcPr>
            <w:tcW w:w="3058" w:type="dxa"/>
            <w:vAlign w:val="center"/>
          </w:tcPr>
          <w:p>
            <w:pPr>
              <w:spacing w:line="360" w:lineRule="exact"/>
              <w:jc w:val="center"/>
              <w:rPr>
                <w:rFonts w:hint="eastAsia" w:ascii="仿宋_GB2312" w:hAnsi="仿宋_GB2312" w:eastAsia="仿宋_GB2312" w:cs="仿宋_GB2312"/>
                <w:color w:val="auto"/>
                <w:sz w:val="24"/>
              </w:rPr>
            </w:pPr>
            <w:bookmarkStart w:id="20" w:name="OLE_LINK5"/>
            <w:r>
              <w:rPr>
                <w:rFonts w:hint="eastAsia" w:ascii="仿宋_GB2312" w:hAnsi="仿宋_GB2312" w:eastAsia="仿宋_GB2312" w:cs="仿宋_GB2312"/>
                <w:color w:val="auto"/>
                <w:sz w:val="24"/>
                <w:szCs w:val="24"/>
              </w:rPr>
              <w:t>教学要求</w:t>
            </w:r>
            <w:bookmarkEnd w:id="2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64"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highlight w:val="none"/>
                <w:lang w:val="en-US" w:eastAsia="zh-CN"/>
              </w:rPr>
              <w:t>1</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highlight w:val="none"/>
              </w:rPr>
              <w:t>毕业设计</w:t>
            </w:r>
          </w:p>
        </w:tc>
        <w:tc>
          <w:tcPr>
            <w:tcW w:w="3622"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掌握论文学术规范、结构框架，理解婴幼儿专业核心理论，如成长规律等，熟悉观察法等研究方法的适用场景与操作要点，明确数据收集分析逻辑，能用于论文选题与分析。​</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具备结合专业特色选研究方向的能力，能通过调研等获取数据，用相关工具分析形成结论，还能规范撰写论文，清晰阐述思路并在答辩中准确回应问题。</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培养严谨学术态度与诚信意识，杜绝学术不端，强化从实际出发的研究习惯，提升解决实际问题素养，增强自主学习和团队协作能力。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bookmarkStart w:id="21" w:name="OLE_LINK9"/>
            <w:r>
              <w:rPr>
                <w:rFonts w:hint="eastAsia" w:ascii="仿宋_GB2312" w:hAnsi="仿宋_GB2312" w:eastAsia="仿宋_GB2312" w:cs="仿宋_GB2312"/>
                <w:b/>
                <w:bCs/>
                <w:color w:val="auto"/>
                <w:sz w:val="24"/>
                <w:szCs w:val="24"/>
                <w:lang w:val="en-US" w:eastAsia="zh-CN"/>
              </w:rPr>
              <w:t>课程思政育人目标</w:t>
            </w:r>
            <w:bookmarkEnd w:id="21"/>
            <w:r>
              <w:rPr>
                <w:rFonts w:hint="eastAsia" w:ascii="仿宋_GB2312" w:hAnsi="仿宋_GB2312" w:eastAsia="仿宋_GB2312" w:cs="仿宋_GB2312"/>
                <w:b/>
                <w:bCs/>
                <w:color w:val="auto"/>
                <w:sz w:val="24"/>
                <w:szCs w:val="24"/>
                <w:lang w:val="en-US" w:eastAsia="zh-CN"/>
              </w:rPr>
              <w:t>：</w:t>
            </w:r>
            <w:r>
              <w:rPr>
                <w:rFonts w:hint="eastAsia" w:ascii="仿宋_GB2312" w:hAnsi="仿宋_GB2312" w:eastAsia="仿宋_GB2312" w:cs="仿宋_GB2312"/>
                <w:color w:val="auto"/>
                <w:sz w:val="24"/>
                <w:szCs w:val="24"/>
                <w:highlight w:val="none"/>
                <w:lang w:val="en-US" w:eastAsia="zh-CN"/>
              </w:rPr>
              <w:t>深化对婴幼儿照护事业的责任感，认识研究的社会价值，践行 “以婴幼儿为中心” 理念，关注行业现状，培养服务基层、解决民生问题的担当。</w:t>
            </w:r>
          </w:p>
        </w:tc>
        <w:tc>
          <w:tcPr>
            <w:tcW w:w="2458" w:type="dxa"/>
            <w:vAlign w:val="top"/>
          </w:tcPr>
          <w:p>
            <w:pPr>
              <w:keepNext w:val="0"/>
              <w:keepLines w:val="0"/>
              <w:pageBreakBefore w:val="0"/>
              <w:widowControl w:val="0"/>
              <w:kinsoku/>
              <w:wordWrap/>
              <w:overflowPunct/>
              <w:topLinePunct w:val="0"/>
              <w:autoSpaceDE/>
              <w:autoSpaceDN/>
              <w:bidi w:val="0"/>
              <w:spacing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主要讲解毕业论文学术规范、结构框架及完整流程，结合专业特色引导聚焦核心领域选题；教学适合的研究方法及数据收集分析方式；指导论文各部分写作，强化学术规范；引导将选题与行业需求结合，要求用案例和数据支撑；指导论文修改与答辩准备，助力学生完成符合要求的论文。</w:t>
            </w:r>
          </w:p>
        </w:tc>
        <w:tc>
          <w:tcPr>
            <w:tcW w:w="3058"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综合运用所学知识和技能，完成一项与幼儿教育相关的设计或研究项目，论文要紧扣专业核心或拓展课程内容，体现专业理论和行业规范的掌握，结合实际案例、调研数据等体现解决实际问题能力，遵守学术规范且有独特视角。对教学过程，需分阶段针对性指导，鼓励导师结合行业经验关联真实工作场景，强化学术诚信教育，还需针对不同选题方向提供差异化指导。这些要求旨在推动学生整合知识，提升研究与实践能力。展示个人的专业素养和创新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4"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2</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highlight w:val="none"/>
                <w:lang w:eastAsia="zh-CN"/>
              </w:rPr>
              <w:t>岗位实习</w:t>
            </w:r>
          </w:p>
        </w:tc>
        <w:tc>
          <w:tcPr>
            <w:tcW w:w="3622"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深化对岗位所需专业知识的理解与应用，熟悉行业实操规范。</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熟练掌握岗位技能，提升团队协作与应急处理能力。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培养职业素养和适应能力，增强岗位责任心与执行力。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highlight w:val="none"/>
                <w:lang w:val="en-US" w:eastAsia="zh-CN"/>
              </w:rPr>
              <w:t>树立爱岗敬业精神，强化服务婴幼儿与社会的使命感。</w:t>
            </w:r>
          </w:p>
        </w:tc>
        <w:tc>
          <w:tcPr>
            <w:tcW w:w="2458"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highlight w:val="none"/>
              </w:rPr>
              <w:t>在实践过程中，初步学会运用批判性思维方法来分析和解决实际问题。通过在企业或</w:t>
            </w:r>
            <w:r>
              <w:rPr>
                <w:rFonts w:hint="eastAsia" w:ascii="仿宋_GB2312" w:hAnsi="仿宋_GB2312" w:eastAsia="仿宋_GB2312" w:cs="仿宋_GB2312"/>
                <w:color w:val="auto"/>
                <w:sz w:val="24"/>
                <w:szCs w:val="24"/>
                <w:highlight w:val="none"/>
                <w:lang w:val="en-US" w:eastAsia="zh-CN"/>
              </w:rPr>
              <w:t>托育机构</w:t>
            </w:r>
            <w:r>
              <w:rPr>
                <w:rFonts w:hint="eastAsia" w:ascii="仿宋_GB2312" w:hAnsi="仿宋_GB2312" w:eastAsia="仿宋_GB2312" w:cs="仿宋_GB2312"/>
                <w:color w:val="auto"/>
                <w:sz w:val="24"/>
                <w:szCs w:val="24"/>
                <w:highlight w:val="none"/>
              </w:rPr>
              <w:t>的实际工作岗位上实习，将理论知识与实践相结合，提升专业技能和职业素养，为未来的就业做好准备。</w:t>
            </w:r>
          </w:p>
        </w:tc>
        <w:tc>
          <w:tcPr>
            <w:tcW w:w="3058"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通过在企业或</w:t>
            </w:r>
            <w:r>
              <w:rPr>
                <w:rFonts w:hint="eastAsia" w:ascii="仿宋_GB2312" w:hAnsi="仿宋_GB2312" w:eastAsia="仿宋_GB2312" w:cs="仿宋_GB2312"/>
                <w:color w:val="auto"/>
                <w:sz w:val="24"/>
                <w:szCs w:val="24"/>
                <w:highlight w:val="none"/>
                <w:lang w:val="en-US" w:eastAsia="zh-CN"/>
              </w:rPr>
              <w:t>托育机构</w:t>
            </w:r>
            <w:r>
              <w:rPr>
                <w:rFonts w:hint="eastAsia" w:ascii="仿宋_GB2312" w:hAnsi="仿宋_GB2312" w:eastAsia="仿宋_GB2312" w:cs="仿宋_GB2312"/>
                <w:color w:val="auto"/>
                <w:sz w:val="24"/>
                <w:szCs w:val="24"/>
                <w:highlight w:val="none"/>
              </w:rPr>
              <w:t>的实际工作岗位上实习，将理论知识与实践相结合，提升专业技能和职业素养，为未来的就业做好准备。</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rPr>
            </w:pPr>
          </w:p>
        </w:tc>
      </w:tr>
      <w:bookmarkEnd w:id="17"/>
    </w:tbl>
    <w:p>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（三）第二课堂</w:t>
      </w:r>
      <w:r>
        <w:rPr>
          <w:rFonts w:hint="eastAsia" w:ascii="楷体" w:hAnsi="楷体" w:eastAsia="楷体" w:cs="楷体"/>
          <w:color w:val="auto"/>
          <w:sz w:val="32"/>
          <w:szCs w:val="32"/>
          <w:lang w:val="en-US" w:eastAsia="zh-CN"/>
        </w:rPr>
        <w:t>素质教育课</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第二课堂</w:t>
      </w:r>
      <w:r>
        <w:rPr>
          <w:rFonts w:hint="eastAsia" w:ascii="仿宋_GB2312" w:hAnsi="仿宋_GB2312" w:eastAsia="仿宋_GB2312" w:cs="仿宋_GB2312"/>
          <w:color w:val="auto"/>
          <w:sz w:val="32"/>
          <w:szCs w:val="32"/>
          <w:lang w:val="en-US" w:eastAsia="zh-CN"/>
        </w:rPr>
        <w:t>素质教育课</w:t>
      </w:r>
      <w:r>
        <w:rPr>
          <w:rFonts w:hint="eastAsia" w:ascii="仿宋_GB2312" w:hAnsi="仿宋_GB2312" w:eastAsia="仿宋_GB2312" w:cs="仿宋_GB2312"/>
          <w:color w:val="auto"/>
          <w:sz w:val="32"/>
          <w:szCs w:val="32"/>
        </w:rPr>
        <w:t>包括思想成长、</w:t>
      </w:r>
      <w:r>
        <w:rPr>
          <w:rFonts w:hint="eastAsia" w:ascii="仿宋_GB2312" w:hAnsi="仿宋_GB2312" w:eastAsia="仿宋_GB2312" w:cs="仿宋_GB2312"/>
          <w:color w:val="auto"/>
          <w:sz w:val="32"/>
          <w:szCs w:val="32"/>
          <w:lang w:val="en-US" w:eastAsia="zh-CN"/>
        </w:rPr>
        <w:t>实践实习</w:t>
      </w:r>
      <w:r>
        <w:rPr>
          <w:rFonts w:hint="eastAsia" w:ascii="仿宋_GB2312" w:hAnsi="仿宋_GB2312" w:eastAsia="仿宋_GB2312" w:cs="仿宋_GB2312"/>
          <w:color w:val="auto"/>
          <w:sz w:val="32"/>
          <w:szCs w:val="32"/>
        </w:rPr>
        <w:t>、创新创业、</w:t>
      </w:r>
      <w:r>
        <w:rPr>
          <w:rFonts w:hint="eastAsia" w:ascii="仿宋_GB2312" w:hAnsi="仿宋_GB2312" w:eastAsia="仿宋_GB2312" w:cs="仿宋_GB2312"/>
          <w:color w:val="auto"/>
          <w:sz w:val="32"/>
          <w:szCs w:val="32"/>
          <w:lang w:val="en-US" w:eastAsia="zh-CN"/>
        </w:rPr>
        <w:t>志愿公益、</w:t>
      </w:r>
      <w:r>
        <w:rPr>
          <w:rFonts w:hint="eastAsia" w:ascii="仿宋_GB2312" w:hAnsi="仿宋_GB2312" w:eastAsia="仿宋_GB2312" w:cs="仿宋_GB2312"/>
          <w:color w:val="auto"/>
          <w:sz w:val="32"/>
          <w:szCs w:val="32"/>
        </w:rPr>
        <w:t>文体</w:t>
      </w:r>
      <w:r>
        <w:rPr>
          <w:rFonts w:hint="eastAsia" w:ascii="仿宋_GB2312" w:hAnsi="仿宋_GB2312" w:eastAsia="仿宋_GB2312" w:cs="仿宋_GB2312"/>
          <w:color w:val="auto"/>
          <w:sz w:val="32"/>
          <w:szCs w:val="32"/>
          <w:lang w:val="en-US" w:eastAsia="zh-CN"/>
        </w:rPr>
        <w:t>活动</w:t>
      </w:r>
      <w:r>
        <w:rPr>
          <w:rFonts w:hint="eastAsia" w:ascii="仿宋_GB2312" w:hAnsi="仿宋_GB2312" w:eastAsia="仿宋_GB2312" w:cs="仿宋_GB2312"/>
          <w:color w:val="auto"/>
          <w:sz w:val="32"/>
          <w:szCs w:val="32"/>
        </w:rPr>
        <w:t>、工作履历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专业技能特长等其他各类课程及活动。</w:t>
      </w:r>
    </w:p>
    <w:p>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7第二课堂素质教育课安排表</w:t>
      </w:r>
    </w:p>
    <w:tbl>
      <w:tblPr>
        <w:tblStyle w:val="8"/>
        <w:tblW w:w="10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3573"/>
        <w:gridCol w:w="739"/>
        <w:gridCol w:w="990"/>
        <w:gridCol w:w="1065"/>
        <w:gridCol w:w="1590"/>
        <w:gridCol w:w="10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pPr>
              <w:overflowPunct w:val="0"/>
              <w:adjustRightInd w:val="0"/>
              <w:spacing w:line="360" w:lineRule="exact"/>
              <w:jc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lang w:val="en-US" w:eastAsia="zh-CN"/>
              </w:rPr>
              <w:t>模块</w:t>
            </w:r>
          </w:p>
        </w:tc>
        <w:tc>
          <w:tcPr>
            <w:tcW w:w="3573" w:type="dxa"/>
            <w:vAlign w:val="center"/>
          </w:tcPr>
          <w:p>
            <w:pPr>
              <w:spacing w:line="360" w:lineRule="exact"/>
              <w:jc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szCs w:val="24"/>
                <w:lang w:val="en-US" w:eastAsia="zh-CN"/>
              </w:rPr>
              <w:t>内容</w:t>
            </w:r>
          </w:p>
        </w:tc>
        <w:tc>
          <w:tcPr>
            <w:tcW w:w="739" w:type="dxa"/>
            <w:vAlign w:val="center"/>
          </w:tcPr>
          <w:p>
            <w:pPr>
              <w:spacing w:line="360" w:lineRule="exact"/>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性质</w:t>
            </w:r>
          </w:p>
        </w:tc>
        <w:tc>
          <w:tcPr>
            <w:tcW w:w="990" w:type="dxa"/>
            <w:vAlign w:val="center"/>
          </w:tcPr>
          <w:p>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组织者</w:t>
            </w:r>
          </w:p>
        </w:tc>
        <w:tc>
          <w:tcPr>
            <w:tcW w:w="1065" w:type="dxa"/>
            <w:vAlign w:val="center"/>
          </w:tcPr>
          <w:p>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认定者</w:t>
            </w:r>
          </w:p>
        </w:tc>
        <w:tc>
          <w:tcPr>
            <w:tcW w:w="1590" w:type="dxa"/>
            <w:vAlign w:val="center"/>
          </w:tcPr>
          <w:p>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计分标准</w:t>
            </w:r>
          </w:p>
        </w:tc>
        <w:tc>
          <w:tcPr>
            <w:tcW w:w="1021" w:type="dxa"/>
            <w:vAlign w:val="center"/>
          </w:tcPr>
          <w:p>
            <w:pPr>
              <w:spacing w:line="360" w:lineRule="exact"/>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思想成长</w:t>
            </w:r>
          </w:p>
        </w:tc>
        <w:tc>
          <w:tcPr>
            <w:tcW w:w="3573" w:type="dxa"/>
            <w:vAlign w:val="center"/>
          </w:tcPr>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1.思想政治教育</w:t>
            </w:r>
            <w:r>
              <w:rPr>
                <w:rFonts w:hint="eastAsia" w:ascii="仿宋_GB2312" w:hAnsi="仿宋_GB2312" w:eastAsia="仿宋_GB2312" w:cs="仿宋_GB2312"/>
                <w:b w:val="0"/>
                <w:bCs w:val="0"/>
                <w:color w:val="000000"/>
                <w:sz w:val="24"/>
                <w:szCs w:val="24"/>
              </w:rPr>
              <w:t>主题</w:t>
            </w:r>
            <w:r>
              <w:rPr>
                <w:rFonts w:hint="eastAsia" w:ascii="仿宋_GB2312" w:hAnsi="仿宋_GB2312" w:eastAsia="仿宋_GB2312" w:cs="仿宋_GB2312"/>
                <w:b w:val="0"/>
                <w:bCs w:val="0"/>
                <w:color w:val="000000"/>
                <w:sz w:val="24"/>
                <w:szCs w:val="24"/>
                <w:lang w:val="en-US" w:eastAsia="zh-CN"/>
              </w:rPr>
              <w:t>讲</w:t>
            </w:r>
            <w:r>
              <w:rPr>
                <w:rFonts w:hint="eastAsia" w:ascii="仿宋_GB2312" w:hAnsi="仿宋_GB2312" w:eastAsia="仿宋_GB2312" w:cs="仿宋_GB2312"/>
                <w:b w:val="0"/>
                <w:bCs w:val="0"/>
                <w:color w:val="000000"/>
                <w:sz w:val="24"/>
                <w:szCs w:val="24"/>
              </w:rPr>
              <w:t>座、形势与政策报告会</w:t>
            </w:r>
          </w:p>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2.</w:t>
            </w:r>
            <w:r>
              <w:rPr>
                <w:rFonts w:hint="eastAsia" w:ascii="仿宋_GB2312" w:hAnsi="仿宋_GB2312" w:eastAsia="仿宋_GB2312" w:cs="仿宋_GB2312"/>
                <w:b w:val="0"/>
                <w:bCs w:val="0"/>
                <w:color w:val="000000"/>
                <w:sz w:val="24"/>
                <w:szCs w:val="24"/>
              </w:rPr>
              <w:t>爱国主义教育活动</w:t>
            </w:r>
          </w:p>
          <w:p>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b w:val="0"/>
                <w:bCs w:val="0"/>
                <w:color w:val="000000"/>
                <w:sz w:val="24"/>
                <w:szCs w:val="24"/>
              </w:rPr>
              <w:t>党团组织生活</w:t>
            </w:r>
          </w:p>
          <w:p>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4.</w:t>
            </w:r>
            <w:r>
              <w:rPr>
                <w:rFonts w:hint="eastAsia" w:ascii="仿宋_GB2312" w:hAnsi="仿宋_GB2312" w:eastAsia="仿宋_GB2312" w:cs="仿宋_GB2312"/>
                <w:b w:val="0"/>
                <w:bCs w:val="0"/>
                <w:color w:val="000000"/>
                <w:sz w:val="24"/>
                <w:szCs w:val="24"/>
              </w:rPr>
              <w:t xml:space="preserve">党团培训 </w:t>
            </w:r>
          </w:p>
          <w:p>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青年大学习</w:t>
            </w:r>
          </w:p>
        </w:tc>
        <w:tc>
          <w:tcPr>
            <w:tcW w:w="739"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99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校团委</w:t>
            </w:r>
          </w:p>
        </w:tc>
        <w:tc>
          <w:tcPr>
            <w:tcW w:w="159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021" w:type="dxa"/>
            <w:vMerge w:val="restart"/>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b w:val="0"/>
                <w:bCs w:val="0"/>
                <w:color w:val="000000"/>
                <w:sz w:val="24"/>
                <w:szCs w:val="24"/>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b w:val="0"/>
                <w:bCs w:val="0"/>
                <w:color w:val="000000"/>
                <w:sz w:val="24"/>
                <w:szCs w:val="24"/>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b w:val="0"/>
                <w:bCs w:val="0"/>
                <w:color w:val="000000"/>
                <w:sz w:val="24"/>
                <w:szCs w:val="24"/>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b w:val="0"/>
                <w:bCs w:val="0"/>
                <w:color w:val="000000"/>
                <w:sz w:val="24"/>
                <w:szCs w:val="24"/>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b w:val="0"/>
                <w:bCs w:val="0"/>
                <w:color w:val="000000"/>
                <w:sz w:val="24"/>
                <w:szCs w:val="24"/>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b w:val="0"/>
                <w:bCs w:val="0"/>
                <w:color w:val="000000"/>
                <w:sz w:val="24"/>
                <w:szCs w:val="24"/>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b w:val="0"/>
                <w:bCs w:val="0"/>
                <w:color w:val="000000"/>
                <w:sz w:val="24"/>
                <w:szCs w:val="24"/>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b w:val="0"/>
                <w:bCs w:val="0"/>
                <w:color w:val="000000"/>
                <w:sz w:val="24"/>
                <w:szCs w:val="24"/>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b w:val="0"/>
                <w:bCs w:val="0"/>
                <w:color w:val="000000"/>
                <w:sz w:val="24"/>
                <w:szCs w:val="24"/>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b w:val="0"/>
                <w:bCs w:val="0"/>
                <w:color w:val="000000"/>
                <w:sz w:val="24"/>
                <w:szCs w:val="24"/>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rPr>
              <w:t>第二课堂成绩</w:t>
            </w:r>
            <w:r>
              <w:rPr>
                <w:rFonts w:hint="eastAsia" w:ascii="仿宋_GB2312" w:hAnsi="仿宋_GB2312" w:eastAsia="仿宋_GB2312" w:cs="仿宋_GB2312"/>
                <w:b w:val="0"/>
                <w:bCs w:val="0"/>
                <w:color w:val="000000"/>
                <w:sz w:val="24"/>
                <w:szCs w:val="24"/>
                <w:lang w:val="en-US" w:eastAsia="zh-CN"/>
              </w:rPr>
              <w:t>由</w:t>
            </w:r>
            <w:r>
              <w:rPr>
                <w:rFonts w:hint="eastAsia" w:ascii="仿宋_GB2312" w:hAnsi="仿宋_GB2312" w:eastAsia="仿宋_GB2312" w:cs="仿宋_GB2312"/>
                <w:b w:val="0"/>
                <w:bCs w:val="0"/>
                <w:color w:val="000000"/>
                <w:sz w:val="24"/>
                <w:szCs w:val="24"/>
              </w:rPr>
              <w:t xml:space="preserve">网络管理系 统（到梦 空间）实 时记录，学生在大一、 </w:t>
            </w:r>
            <w:r>
              <w:rPr>
                <w:rFonts w:hint="eastAsia" w:ascii="仿宋_GB2312" w:hAnsi="仿宋_GB2312" w:eastAsia="仿宋_GB2312" w:cs="仿宋_GB2312"/>
                <w:b w:val="0"/>
                <w:bCs w:val="0"/>
                <w:color w:val="000000"/>
                <w:sz w:val="24"/>
                <w:szCs w:val="24"/>
                <w:lang w:val="en-US" w:eastAsia="zh-CN"/>
              </w:rPr>
              <w:t>大</w:t>
            </w:r>
            <w:r>
              <w:rPr>
                <w:rFonts w:hint="eastAsia" w:ascii="仿宋_GB2312" w:hAnsi="仿宋_GB2312" w:eastAsia="仿宋_GB2312" w:cs="仿宋_GB2312"/>
                <w:b w:val="0"/>
                <w:bCs w:val="0"/>
                <w:color w:val="000000"/>
                <w:sz w:val="24"/>
                <w:szCs w:val="24"/>
              </w:rPr>
              <w:t>二期间</w:t>
            </w:r>
            <w:r>
              <w:rPr>
                <w:rFonts w:hint="eastAsia" w:ascii="仿宋_GB2312" w:hAnsi="仿宋_GB2312" w:eastAsia="仿宋_GB2312" w:cs="仿宋_GB2312"/>
                <w:b w:val="0"/>
                <w:bCs w:val="0"/>
                <w:color w:val="000000"/>
                <w:sz w:val="24"/>
                <w:szCs w:val="24"/>
                <w:lang w:val="en-US" w:eastAsia="zh-CN"/>
              </w:rPr>
              <w:t>积分达60分及以上，可获4</w:t>
            </w:r>
            <w:r>
              <w:rPr>
                <w:rFonts w:hint="eastAsia" w:ascii="仿宋_GB2312" w:hAnsi="仿宋_GB2312" w:eastAsia="仿宋_GB2312" w:cs="仿宋_GB2312"/>
                <w:b w:val="0"/>
                <w:bCs w:val="0"/>
                <w:color w:val="000000"/>
                <w:sz w:val="24"/>
                <w:szCs w:val="24"/>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rPr>
              <w:t>实践</w:t>
            </w:r>
            <w:r>
              <w:rPr>
                <w:rFonts w:hint="eastAsia" w:ascii="仿宋_GB2312" w:hAnsi="仿宋_GB2312" w:eastAsia="仿宋_GB2312" w:cs="仿宋_GB2312"/>
                <w:color w:val="auto"/>
                <w:sz w:val="24"/>
                <w:szCs w:val="24"/>
                <w:lang w:val="en-US" w:eastAsia="zh-CN"/>
              </w:rPr>
              <w:t>实习</w:t>
            </w:r>
          </w:p>
        </w:tc>
        <w:tc>
          <w:tcPr>
            <w:tcW w:w="3573" w:type="dxa"/>
            <w:vAlign w:val="center"/>
          </w:tcPr>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1.</w:t>
            </w:r>
            <w:r>
              <w:rPr>
                <w:rFonts w:hint="eastAsia" w:ascii="仿宋_GB2312" w:hAnsi="仿宋_GB2312" w:eastAsia="仿宋_GB2312" w:cs="仿宋_GB2312"/>
                <w:b w:val="0"/>
                <w:bCs w:val="0"/>
                <w:color w:val="000000"/>
                <w:sz w:val="24"/>
                <w:szCs w:val="24"/>
              </w:rPr>
              <w:t xml:space="preserve">暑期“三下乡”社会实践活动 </w:t>
            </w:r>
            <w:r>
              <w:rPr>
                <w:rFonts w:hint="eastAsia" w:ascii="仿宋_GB2312" w:hAnsi="仿宋_GB2312" w:eastAsia="仿宋_GB2312" w:cs="仿宋_GB2312"/>
                <w:b w:val="0"/>
                <w:bCs w:val="0"/>
                <w:color w:val="000000"/>
                <w:sz w:val="24"/>
                <w:szCs w:val="24"/>
                <w:lang w:val="en-US" w:eastAsia="zh-CN"/>
              </w:rPr>
              <w:t>2.</w:t>
            </w:r>
            <w:r>
              <w:rPr>
                <w:rFonts w:hint="eastAsia" w:ascii="仿宋_GB2312" w:hAnsi="仿宋_GB2312" w:eastAsia="仿宋_GB2312" w:cs="仿宋_GB2312"/>
                <w:b w:val="0"/>
                <w:bCs w:val="0"/>
                <w:color w:val="000000"/>
                <w:sz w:val="24"/>
                <w:szCs w:val="24"/>
              </w:rPr>
              <w:t xml:space="preserve">寒暑假“返家乡”实践活动 </w:t>
            </w:r>
          </w:p>
          <w:p>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b w:val="0"/>
                <w:bCs w:val="0"/>
                <w:color w:val="000000"/>
                <w:sz w:val="24"/>
                <w:szCs w:val="24"/>
              </w:rPr>
              <w:t xml:space="preserve">企业见习实践 </w:t>
            </w:r>
          </w:p>
          <w:p>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4.</w:t>
            </w:r>
            <w:r>
              <w:rPr>
                <w:rFonts w:hint="eastAsia" w:ascii="仿宋_GB2312" w:hAnsi="仿宋_GB2312" w:eastAsia="仿宋_GB2312" w:cs="仿宋_GB2312"/>
                <w:b w:val="0"/>
                <w:bCs w:val="0"/>
                <w:color w:val="000000"/>
                <w:sz w:val="24"/>
                <w:szCs w:val="24"/>
              </w:rPr>
              <w:t xml:space="preserve">上级、校院交予专项工作项目实践活动含兼挂职锻炼 </w:t>
            </w:r>
          </w:p>
          <w:p>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新闻宣传报道被学校、</w:t>
            </w:r>
            <w:bookmarkStart w:id="23" w:name="_GoBack"/>
            <w:bookmarkEnd w:id="23"/>
            <w:r>
              <w:rPr>
                <w:rFonts w:hint="eastAsia" w:ascii="仿宋_GB2312" w:hAnsi="仿宋_GB2312" w:eastAsia="仿宋_GB2312" w:cs="仿宋_GB2312"/>
                <w:b w:val="0"/>
                <w:bCs w:val="0"/>
                <w:color w:val="000000"/>
                <w:sz w:val="24"/>
                <w:szCs w:val="24"/>
              </w:rPr>
              <w:t xml:space="preserve">学院采用或转发 </w:t>
            </w:r>
          </w:p>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default"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6.晨读</w:t>
            </w:r>
          </w:p>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7</w:t>
            </w:r>
            <w:r>
              <w:rPr>
                <w:rFonts w:hint="eastAsia" w:ascii="仿宋_GB2312" w:hAnsi="仿宋_GB2312" w:eastAsia="仿宋_GB2312" w:cs="仿宋_GB2312"/>
                <w:b w:val="0"/>
                <w:bCs w:val="0"/>
                <w:color w:val="000000"/>
                <w:sz w:val="24"/>
                <w:szCs w:val="24"/>
              </w:rPr>
              <w:t xml:space="preserve">.劳动精神、劳模精神、工匠精神专题教育 </w:t>
            </w:r>
          </w:p>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8.</w:t>
            </w:r>
            <w:r>
              <w:rPr>
                <w:rFonts w:hint="eastAsia" w:ascii="仿宋_GB2312" w:hAnsi="仿宋_GB2312" w:eastAsia="仿宋_GB2312" w:cs="仿宋_GB2312"/>
                <w:b w:val="0"/>
                <w:bCs w:val="0"/>
                <w:color w:val="000000"/>
                <w:sz w:val="24"/>
                <w:szCs w:val="24"/>
              </w:rPr>
              <w:t>实践活动的相关荣誉</w:t>
            </w:r>
          </w:p>
        </w:tc>
        <w:tc>
          <w:tcPr>
            <w:tcW w:w="739"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99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59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021"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9"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创新创业</w:t>
            </w:r>
          </w:p>
        </w:tc>
        <w:tc>
          <w:tcPr>
            <w:tcW w:w="3573" w:type="dxa"/>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w:t>
            </w:r>
            <w:r>
              <w:rPr>
                <w:rFonts w:hint="eastAsia" w:ascii="仿宋_GB2312" w:hAnsi="仿宋_GB2312" w:eastAsia="仿宋_GB2312" w:cs="仿宋_GB2312"/>
                <w:color w:val="auto"/>
                <w:sz w:val="24"/>
                <w:szCs w:val="24"/>
              </w:rPr>
              <w:t xml:space="preserve">发表文章、出版专著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 xml:space="preserve">发明专利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3.</w:t>
            </w:r>
            <w:r>
              <w:rPr>
                <w:rFonts w:hint="eastAsia" w:ascii="仿宋_GB2312" w:hAnsi="仿宋_GB2312" w:eastAsia="仿宋_GB2312" w:cs="仿宋_GB2312"/>
                <w:color w:val="auto"/>
                <w:sz w:val="24"/>
                <w:szCs w:val="24"/>
              </w:rPr>
              <w:t xml:space="preserve">创新创业项目竞赛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4.</w:t>
            </w:r>
            <w:r>
              <w:rPr>
                <w:rFonts w:hint="eastAsia" w:ascii="仿宋_GB2312" w:hAnsi="仿宋_GB2312" w:eastAsia="仿宋_GB2312" w:cs="仿宋_GB2312"/>
                <w:color w:val="auto"/>
                <w:sz w:val="24"/>
                <w:szCs w:val="24"/>
              </w:rPr>
              <w:t xml:space="preserve">创新创业项目培训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5.</w:t>
            </w:r>
            <w:r>
              <w:rPr>
                <w:rFonts w:hint="eastAsia" w:ascii="仿宋_GB2312" w:hAnsi="仿宋_GB2312" w:eastAsia="仿宋_GB2312" w:cs="仿宋_GB2312"/>
                <w:color w:val="auto"/>
                <w:sz w:val="24"/>
                <w:szCs w:val="24"/>
              </w:rPr>
              <w:t xml:space="preserve">创新创业课程、讲座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6.</w:t>
            </w:r>
            <w:r>
              <w:rPr>
                <w:rFonts w:hint="eastAsia" w:ascii="仿宋_GB2312" w:hAnsi="仿宋_GB2312" w:eastAsia="仿宋_GB2312" w:cs="仿宋_GB2312"/>
                <w:color w:val="auto"/>
                <w:sz w:val="24"/>
                <w:szCs w:val="24"/>
              </w:rPr>
              <w:t>自主创业</w:t>
            </w:r>
          </w:p>
        </w:tc>
        <w:tc>
          <w:tcPr>
            <w:tcW w:w="739"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99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59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021"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志愿公益</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1.校级、学院、社团、班级等学生组织开展的志愿服务活动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2.无偿献血活动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3.捐献造血干细胞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4.相关公益类宣传讲座、报告会等志愿服务表彰</w:t>
            </w:r>
          </w:p>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 xml:space="preserve">公益劳动 </w:t>
            </w:r>
          </w:p>
        </w:tc>
        <w:tc>
          <w:tcPr>
            <w:tcW w:w="739"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99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59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021"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rPr>
              <w:t xml:space="preserve">文体活动 </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1.文艺竞赛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2.体育竞赛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3.文艺演出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4.体育活动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5.文体讲座</w:t>
            </w:r>
          </w:p>
        </w:tc>
        <w:tc>
          <w:tcPr>
            <w:tcW w:w="739"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99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59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021"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 xml:space="preserve">工作履历 </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1.团学干部任职</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2.团学先进个人</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3.勤工俭学</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4.社会任职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5.退伍军人</w:t>
            </w:r>
          </w:p>
        </w:tc>
        <w:tc>
          <w:tcPr>
            <w:tcW w:w="739"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99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59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021"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技能特长 </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1.职业资格证书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2.职业技能证书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3.机动车驾驶证</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4.从业人员上岗资格证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5.技能比赛获奖</w:t>
            </w:r>
          </w:p>
        </w:tc>
        <w:tc>
          <w:tcPr>
            <w:tcW w:w="739"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99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59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021"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其他</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1.其他证书（社会职业类证书）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2.校内各单位其他类型活动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3.升旗仪式工作人员</w:t>
            </w:r>
          </w:p>
        </w:tc>
        <w:tc>
          <w:tcPr>
            <w:tcW w:w="739"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99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59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021"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bl>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olor w:val="auto"/>
          <w:sz w:val="32"/>
          <w:szCs w:val="32"/>
        </w:rPr>
      </w:pPr>
      <w:r>
        <w:rPr>
          <w:rFonts w:hint="eastAsia" w:ascii="黑体" w:hAnsi="黑体" w:eastAsia="黑体"/>
          <w:color w:val="auto"/>
          <w:sz w:val="32"/>
          <w:szCs w:val="32"/>
          <w:lang w:val="en-US" w:eastAsia="zh-CN"/>
        </w:rPr>
        <w:t>八</w:t>
      </w:r>
      <w:r>
        <w:rPr>
          <w:rFonts w:ascii="黑体" w:hAnsi="黑体" w:eastAsia="黑体"/>
          <w:color w:val="auto"/>
          <w:sz w:val="32"/>
          <w:szCs w:val="32"/>
        </w:rPr>
        <w:t>、教学进程总体安排</w:t>
      </w:r>
    </w:p>
    <w:p>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 xml:space="preserve">（一）教学环节分配表 </w:t>
      </w:r>
    </w:p>
    <w:p>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教学周数分配表每学期总周数合计应为</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周，各学期教学周数应与教学计划进程表一致，军训、入学教育、考试环节、实习开展、毕业设计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社会实践及毕业教育</w:t>
      </w:r>
      <w:r>
        <w:rPr>
          <w:rFonts w:hint="eastAsia" w:ascii="仿宋_GB2312" w:hAnsi="仿宋_GB2312" w:eastAsia="仿宋_GB2312" w:cs="仿宋_GB2312"/>
          <w:color w:val="auto"/>
          <w:sz w:val="32"/>
          <w:szCs w:val="32"/>
        </w:rPr>
        <w:t>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学期合计周数</w:t>
      </w:r>
      <w:r>
        <w:rPr>
          <w:rFonts w:hint="eastAsia" w:ascii="仿宋_GB2312" w:hAnsi="仿宋_GB2312" w:eastAsia="仿宋_GB2312" w:cs="仿宋_GB2312"/>
          <w:color w:val="auto"/>
          <w:sz w:val="32"/>
          <w:szCs w:val="32"/>
          <w:lang w:val="en-US" w:eastAsia="zh-CN"/>
        </w:rPr>
        <w:t>为</w:t>
      </w:r>
      <w:r>
        <w:rPr>
          <w:rFonts w:hint="eastAsia" w:ascii="仿宋_GB2312" w:hAnsi="仿宋_GB2312" w:eastAsia="仿宋_GB2312" w:cs="仿宋_GB2312"/>
          <w:color w:val="auto"/>
          <w:sz w:val="32"/>
          <w:szCs w:val="32"/>
        </w:rPr>
        <w:t>20周。</w:t>
      </w:r>
    </w:p>
    <w:p>
      <w:pPr>
        <w:keepNext w:val="0"/>
        <w:keepLines w:val="0"/>
        <w:pageBreakBefore w:val="0"/>
        <w:widowControl w:val="0"/>
        <w:kinsoku/>
        <w:wordWrap/>
        <w:topLinePunct w:val="0"/>
        <w:autoSpaceDE/>
        <w:autoSpaceDN/>
        <w:bidi w:val="0"/>
        <w:snapToGrid/>
        <w:spacing w:after="0" w:line="520" w:lineRule="exact"/>
        <w:ind w:firstLine="640" w:firstLineChars="20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教育活动时间分配表（单位：周）</w:t>
      </w:r>
    </w:p>
    <w:tbl>
      <w:tblPr>
        <w:tblStyle w:val="8"/>
        <w:tblW w:w="5117" w:type="pct"/>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33"/>
        <w:gridCol w:w="1230"/>
        <w:gridCol w:w="1108"/>
        <w:gridCol w:w="1108"/>
        <w:gridCol w:w="1108"/>
        <w:gridCol w:w="1108"/>
        <w:gridCol w:w="1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37" w:type="pct"/>
            <w:vMerge w:val="restart"/>
            <mc:AlternateContent>
              <mc:Choice Requires="wpsCustomData">
                <wpsCustomData:diagonals>
                  <wpsCustomData:diagonal from="30000" to="13800">
                    <wpsCustomData:border w:val="single" w:color="auto" w:sz="4" w:space="0"/>
                  </wpsCustomData:diagonal>
                  <wpsCustomData:diagonal from="30000" to="6000">
                    <wpsCustomData:border w:val="single" w:color="auto" w:sz="4" w:space="0"/>
                  </wpsCustomData:diagonal>
                </wpsCustomData:diagonals>
              </mc:Choice>
            </mc:AlternateContent>
          </w:tcPr>
          <w:p>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rPr>
            </w:pPr>
          </w:p>
          <w:p>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项目</w:t>
            </w:r>
          </w:p>
          <w:p>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周数</w:t>
            </w:r>
          </w:p>
          <w:p>
            <w:pPr>
              <w:keepNext w:val="0"/>
              <w:keepLines w:val="0"/>
              <w:pageBreakBefore w:val="0"/>
              <w:widowControl w:val="0"/>
              <w:kinsoku/>
              <w:wordWrap/>
              <w:overflowPunct/>
              <w:topLinePunct w:val="0"/>
              <w:autoSpaceDE/>
              <w:autoSpaceDN/>
              <w:bidi w:val="0"/>
              <w:adjustRightInd/>
              <w:snapToGrid/>
              <w:spacing w:after="0" w:line="300" w:lineRule="exact"/>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内容</w:t>
            </w:r>
          </w:p>
          <w:p>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周数</w:t>
            </w:r>
          </w:p>
          <w:p>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学年</w:t>
            </w:r>
          </w:p>
        </w:tc>
        <w:tc>
          <w:tcPr>
            <w:tcW w:w="1229" w:type="pct"/>
            <w:gridSpan w:val="2"/>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一</w:t>
            </w:r>
          </w:p>
        </w:tc>
        <w:tc>
          <w:tcPr>
            <w:tcW w:w="1165" w:type="pct"/>
            <w:gridSpan w:val="2"/>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二</w:t>
            </w:r>
          </w:p>
        </w:tc>
        <w:tc>
          <w:tcPr>
            <w:tcW w:w="1167" w:type="pct"/>
            <w:gridSpan w:val="2"/>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37" w:type="pct"/>
            <w:vMerge w:val="continue"/>
          </w:tcPr>
          <w:p>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sz w:val="24"/>
                <w:szCs w:val="24"/>
              </w:rPr>
            </w:pP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课堂教学</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1-18</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考试</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19-20</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军训</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1-2</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入学教育</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3-8</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毕业设计</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lang w:val="en-US" w:eastAsia="zh-CN"/>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1-18</w:t>
            </w: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岗位实习</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1-20</w:t>
            </w: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000000"/>
                <w:sz w:val="24"/>
                <w:szCs w:val="24"/>
                <w:highlight w:val="green"/>
                <w:lang w:val="en-US" w:eastAsia="zh-CN"/>
              </w:rPr>
            </w:pPr>
            <w:r>
              <w:rPr>
                <w:rFonts w:hint="eastAsia" w:ascii="仿宋_GB2312" w:hAnsi="仿宋_GB2312" w:eastAsia="仿宋_GB2312" w:cs="仿宋_GB2312"/>
                <w:b w:val="0"/>
                <w:bCs w:val="0"/>
                <w:color w:val="000000"/>
                <w:sz w:val="24"/>
                <w:szCs w:val="24"/>
                <w:highlight w:val="none"/>
                <w:lang w:val="en-US" w:eastAsia="zh-CN"/>
              </w:rPr>
              <w:t>社会实践</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green"/>
                <w:lang w:val="en-US" w:eastAsia="zh-CN"/>
              </w:rPr>
            </w:pPr>
            <w:r>
              <w:rPr>
                <w:rFonts w:hint="eastAsia" w:ascii="仿宋_GB2312" w:hAnsi="仿宋_GB2312" w:eastAsia="仿宋_GB2312" w:cs="仿宋_GB2312"/>
                <w:color w:val="auto"/>
                <w:sz w:val="24"/>
                <w:szCs w:val="24"/>
                <w:lang w:val="en-US" w:eastAsia="zh-CN"/>
              </w:rPr>
              <w:t>1-20</w:t>
            </w: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green"/>
                <w:lang w:val="en-US" w:eastAsia="zh-CN"/>
              </w:rPr>
            </w:pPr>
            <w:r>
              <w:rPr>
                <w:rFonts w:hint="eastAsia" w:ascii="仿宋_GB2312" w:hAnsi="仿宋_GB2312" w:eastAsia="仿宋_GB2312" w:cs="仿宋_GB2312"/>
                <w:color w:val="auto"/>
                <w:sz w:val="24"/>
                <w:szCs w:val="24"/>
                <w:lang w:val="en-US" w:eastAsia="zh-CN"/>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毕业教育</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18-19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学期教学总周数</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r>
    </w:tbl>
    <w:p>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bCs/>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bCs/>
          <w:color w:val="auto"/>
          <w:sz w:val="32"/>
          <w:szCs w:val="32"/>
        </w:rPr>
        <w:t>课程结构与学时、学分分配</w:t>
      </w:r>
    </w:p>
    <w:p>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Cs/>
          <w:color w:val="auto"/>
          <w:sz w:val="32"/>
          <w:szCs w:val="32"/>
        </w:rPr>
        <w:t>本专业教学总学时为</w:t>
      </w:r>
      <w:r>
        <w:rPr>
          <w:rFonts w:hint="eastAsia" w:ascii="仿宋_GB2312" w:hAnsi="仿宋_GB2312" w:eastAsia="仿宋_GB2312" w:cs="仿宋_GB2312"/>
          <w:color w:val="auto"/>
          <w:spacing w:val="-2"/>
          <w:sz w:val="32"/>
          <w:szCs w:val="32"/>
          <w:lang w:val="en-US" w:eastAsia="zh-CN"/>
        </w:rPr>
        <w:t>2666</w:t>
      </w:r>
      <w:r>
        <w:rPr>
          <w:rFonts w:hint="eastAsia" w:ascii="仿宋_GB2312" w:hAnsi="仿宋_GB2312" w:eastAsia="仿宋_GB2312" w:cs="仿宋_GB2312"/>
          <w:bCs/>
          <w:color w:val="auto"/>
          <w:sz w:val="32"/>
          <w:szCs w:val="32"/>
        </w:rPr>
        <w:t>学时。其中理论教学</w:t>
      </w:r>
      <w:r>
        <w:rPr>
          <w:rFonts w:hint="eastAsia" w:ascii="仿宋_GB2312" w:hAnsi="仿宋_GB2312" w:eastAsia="仿宋_GB2312" w:cs="仿宋_GB2312"/>
          <w:color w:val="auto"/>
          <w:spacing w:val="-2"/>
          <w:sz w:val="32"/>
          <w:szCs w:val="32"/>
          <w:lang w:val="en-US" w:eastAsia="zh-CN"/>
        </w:rPr>
        <w:t>1066</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39.98</w:t>
      </w:r>
      <w:r>
        <w:rPr>
          <w:rFonts w:hint="eastAsia" w:ascii="仿宋_GB2312" w:hAnsi="仿宋_GB2312" w:eastAsia="仿宋_GB2312" w:cs="仿宋_GB2312"/>
          <w:bCs/>
          <w:color w:val="auto"/>
          <w:sz w:val="32"/>
          <w:szCs w:val="32"/>
        </w:rPr>
        <w:t>%；实践教学</w:t>
      </w:r>
      <w:r>
        <w:rPr>
          <w:rFonts w:hint="eastAsia" w:ascii="仿宋_GB2312" w:hAnsi="仿宋_GB2312" w:eastAsia="仿宋_GB2312" w:cs="仿宋_GB2312"/>
          <w:color w:val="auto"/>
          <w:spacing w:val="-2"/>
          <w:sz w:val="32"/>
          <w:szCs w:val="32"/>
          <w:lang w:val="en-US" w:eastAsia="zh-CN"/>
        </w:rPr>
        <w:t>1600</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60.02</w:t>
      </w:r>
      <w:r>
        <w:rPr>
          <w:rFonts w:hint="eastAsia" w:ascii="仿宋_GB2312" w:hAnsi="仿宋_GB2312" w:eastAsia="仿宋_GB2312" w:cs="仿宋_GB2312"/>
          <w:bCs/>
          <w:color w:val="auto"/>
          <w:sz w:val="32"/>
          <w:szCs w:val="32"/>
        </w:rPr>
        <w:t>%，其中岗位</w:t>
      </w:r>
      <w:r>
        <w:rPr>
          <w:rFonts w:hint="eastAsia" w:ascii="仿宋_GB2312" w:hAnsi="仿宋_GB2312" w:eastAsia="仿宋_GB2312" w:cs="仿宋_GB2312"/>
          <w:color w:val="auto"/>
          <w:spacing w:val="-2"/>
          <w:sz w:val="32"/>
          <w:szCs w:val="32"/>
          <w:lang w:val="en-US" w:eastAsia="zh-CN"/>
        </w:rPr>
        <w:t>实习时间累计一般为6个月。</w:t>
      </w:r>
      <w:r>
        <w:rPr>
          <w:rFonts w:hint="eastAsia" w:ascii="仿宋_GB2312" w:hAnsi="仿宋_GB2312" w:eastAsia="仿宋_GB2312" w:cs="仿宋_GB2312"/>
          <w:bCs/>
          <w:color w:val="auto"/>
          <w:sz w:val="32"/>
          <w:szCs w:val="32"/>
        </w:rPr>
        <w:t>公共基础课</w:t>
      </w:r>
      <w:r>
        <w:rPr>
          <w:rFonts w:hint="eastAsia" w:ascii="仿宋_GB2312" w:hAnsi="仿宋_GB2312" w:eastAsia="仿宋_GB2312" w:cs="仿宋_GB2312"/>
          <w:color w:val="auto"/>
          <w:spacing w:val="-2"/>
          <w:sz w:val="32"/>
          <w:szCs w:val="32"/>
          <w:lang w:val="en-US" w:eastAsia="zh-CN"/>
        </w:rPr>
        <w:t>858</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32.18</w:t>
      </w:r>
      <w:r>
        <w:rPr>
          <w:rFonts w:hint="eastAsia" w:ascii="仿宋_GB2312" w:hAnsi="仿宋_GB2312" w:eastAsia="仿宋_GB2312" w:cs="仿宋_GB2312"/>
          <w:bCs/>
          <w:color w:val="auto"/>
          <w:sz w:val="32"/>
          <w:szCs w:val="32"/>
        </w:rPr>
        <w:t>%；选修课</w:t>
      </w:r>
      <w:r>
        <w:rPr>
          <w:rFonts w:hint="eastAsia" w:ascii="仿宋_GB2312" w:hAnsi="仿宋_GB2312" w:eastAsia="仿宋_GB2312" w:cs="仿宋_GB2312"/>
          <w:color w:val="auto"/>
          <w:spacing w:val="-2"/>
          <w:sz w:val="32"/>
          <w:szCs w:val="32"/>
          <w:lang w:val="en-US" w:eastAsia="zh-CN"/>
        </w:rPr>
        <w:t>272</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10.20</w:t>
      </w:r>
      <w:r>
        <w:rPr>
          <w:rFonts w:hint="eastAsia" w:ascii="仿宋_GB2312" w:hAnsi="仿宋_GB2312" w:eastAsia="仿宋_GB2312" w:cs="仿宋_GB2312"/>
          <w:bCs/>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after="0" w:line="520" w:lineRule="exact"/>
        <w:jc w:val="center"/>
        <w:textAlignment w:val="auto"/>
        <w:rPr>
          <w:rFonts w:hint="eastAsia" w:ascii="仿宋_GB2312" w:hAnsi="仿宋_GB2312" w:eastAsia="仿宋_GB2312" w:cs="仿宋_GB2312"/>
          <w:color w:val="auto"/>
          <w:spacing w:val="-2"/>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pacing w:val="-2"/>
          <w:sz w:val="32"/>
          <w:szCs w:val="32"/>
        </w:rPr>
        <w:t>课程学时、学分分配表</w:t>
      </w:r>
    </w:p>
    <w:tbl>
      <w:tblPr>
        <w:tblStyle w:val="7"/>
        <w:tblW w:w="106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021"/>
        <w:gridCol w:w="1968"/>
        <w:gridCol w:w="872"/>
        <w:gridCol w:w="718"/>
        <w:gridCol w:w="1118"/>
        <w:gridCol w:w="896"/>
        <w:gridCol w:w="759"/>
        <w:gridCol w:w="1261"/>
        <w:gridCol w:w="750"/>
        <w:gridCol w:w="12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0" w:hRule="atLeast"/>
          <w:jc w:val="center"/>
        </w:trPr>
        <w:tc>
          <w:tcPr>
            <w:tcW w:w="2989" w:type="dxa"/>
            <w:gridSpan w:val="2"/>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课程类别</w:t>
            </w:r>
          </w:p>
        </w:tc>
        <w:tc>
          <w:tcPr>
            <w:tcW w:w="872"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课程性质</w:t>
            </w:r>
          </w:p>
        </w:tc>
        <w:tc>
          <w:tcPr>
            <w:tcW w:w="718" w:type="dxa"/>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学分</w:t>
            </w:r>
          </w:p>
        </w:tc>
        <w:tc>
          <w:tcPr>
            <w:tcW w:w="1118"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占专业总学分比例</w:t>
            </w:r>
          </w:p>
        </w:tc>
        <w:tc>
          <w:tcPr>
            <w:tcW w:w="4930" w:type="dxa"/>
            <w:gridSpan w:val="5"/>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                         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0" w:hRule="atLeast"/>
          <w:jc w:val="center"/>
        </w:trPr>
        <w:tc>
          <w:tcPr>
            <w:tcW w:w="2989" w:type="dxa"/>
            <w:gridSpan w:val="2"/>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87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718"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rPr>
                <w:rFonts w:hint="eastAsia" w:ascii="仿宋_GB2312" w:hAnsi="仿宋_GB2312" w:eastAsia="仿宋_GB2312" w:cs="仿宋_GB2312"/>
                <w:i w:val="0"/>
                <w:iCs w:val="0"/>
                <w:color w:val="000000"/>
                <w:sz w:val="24"/>
                <w:szCs w:val="24"/>
                <w:u w:val="none"/>
              </w:rPr>
            </w:pPr>
          </w:p>
        </w:tc>
        <w:tc>
          <w:tcPr>
            <w:tcW w:w="111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000000"/>
                <w:sz w:val="24"/>
                <w:szCs w:val="24"/>
                <w:u w:val="none"/>
              </w:rPr>
            </w:pPr>
          </w:p>
        </w:tc>
        <w:tc>
          <w:tcPr>
            <w:tcW w:w="896" w:type="dxa"/>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合计</w:t>
            </w:r>
          </w:p>
        </w:tc>
        <w:tc>
          <w:tcPr>
            <w:tcW w:w="2020" w:type="dxa"/>
            <w:gridSpan w:val="2"/>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理论教学</w:t>
            </w:r>
          </w:p>
        </w:tc>
        <w:tc>
          <w:tcPr>
            <w:tcW w:w="2014" w:type="dxa"/>
            <w:gridSpan w:val="2"/>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实践教学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70" w:hRule="atLeast"/>
          <w:jc w:val="center"/>
        </w:trPr>
        <w:tc>
          <w:tcPr>
            <w:tcW w:w="2989" w:type="dxa"/>
            <w:gridSpan w:val="2"/>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87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718"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rPr>
                <w:rFonts w:hint="eastAsia" w:ascii="仿宋_GB2312" w:hAnsi="仿宋_GB2312" w:eastAsia="仿宋_GB2312" w:cs="仿宋_GB2312"/>
                <w:i w:val="0"/>
                <w:iCs w:val="0"/>
                <w:color w:val="000000"/>
                <w:sz w:val="24"/>
                <w:szCs w:val="24"/>
                <w:u w:val="none"/>
              </w:rPr>
            </w:pPr>
          </w:p>
        </w:tc>
        <w:tc>
          <w:tcPr>
            <w:tcW w:w="111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000000"/>
                <w:sz w:val="24"/>
                <w:szCs w:val="24"/>
                <w:u w:val="none"/>
              </w:rPr>
            </w:pPr>
          </w:p>
        </w:tc>
        <w:tc>
          <w:tcPr>
            <w:tcW w:w="896"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rPr>
                <w:rFonts w:hint="eastAsia" w:ascii="仿宋_GB2312" w:hAnsi="仿宋_GB2312" w:eastAsia="仿宋_GB2312" w:cs="仿宋_GB2312"/>
                <w:i w:val="0"/>
                <w:iCs w:val="0"/>
                <w:color w:val="000000"/>
                <w:sz w:val="24"/>
                <w:szCs w:val="24"/>
                <w:u w:val="none"/>
              </w:rPr>
            </w:pPr>
          </w:p>
        </w:tc>
        <w:tc>
          <w:tcPr>
            <w:tcW w:w="759"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c>
          <w:tcPr>
            <w:tcW w:w="12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占专业总学时比例（%）</w:t>
            </w:r>
          </w:p>
        </w:tc>
        <w:tc>
          <w:tcPr>
            <w:tcW w:w="75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c>
          <w:tcPr>
            <w:tcW w:w="126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占专业总学时比例（%）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0" w:hRule="atLeast"/>
          <w:jc w:val="center"/>
        </w:trPr>
        <w:tc>
          <w:tcPr>
            <w:tcW w:w="2989" w:type="dxa"/>
            <w:gridSpan w:val="2"/>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公共基础课</w:t>
            </w:r>
          </w:p>
        </w:tc>
        <w:tc>
          <w:tcPr>
            <w:tcW w:w="87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38</w:t>
            </w:r>
          </w:p>
        </w:tc>
        <w:tc>
          <w:tcPr>
            <w:tcW w:w="11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26.95%</w:t>
            </w:r>
          </w:p>
        </w:tc>
        <w:tc>
          <w:tcPr>
            <w:tcW w:w="89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730</w:t>
            </w:r>
          </w:p>
        </w:tc>
        <w:tc>
          <w:tcPr>
            <w:tcW w:w="759"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390</w:t>
            </w:r>
          </w:p>
        </w:tc>
        <w:tc>
          <w:tcPr>
            <w:tcW w:w="12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14.63%</w:t>
            </w:r>
          </w:p>
        </w:tc>
        <w:tc>
          <w:tcPr>
            <w:tcW w:w="75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340</w:t>
            </w:r>
          </w:p>
        </w:tc>
        <w:tc>
          <w:tcPr>
            <w:tcW w:w="126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12.75%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0" w:hRule="atLeast"/>
          <w:jc w:val="center"/>
        </w:trPr>
        <w:tc>
          <w:tcPr>
            <w:tcW w:w="2989" w:type="dxa"/>
            <w:gridSpan w:val="2"/>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000000"/>
                <w:sz w:val="24"/>
                <w:szCs w:val="24"/>
                <w:u w:val="none"/>
              </w:rPr>
            </w:pPr>
          </w:p>
        </w:tc>
        <w:tc>
          <w:tcPr>
            <w:tcW w:w="87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选修</w:t>
            </w:r>
          </w:p>
        </w:tc>
        <w:tc>
          <w:tcPr>
            <w:tcW w:w="7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8</w:t>
            </w:r>
          </w:p>
        </w:tc>
        <w:tc>
          <w:tcPr>
            <w:tcW w:w="11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5.67%</w:t>
            </w:r>
          </w:p>
        </w:tc>
        <w:tc>
          <w:tcPr>
            <w:tcW w:w="89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128</w:t>
            </w:r>
          </w:p>
        </w:tc>
        <w:tc>
          <w:tcPr>
            <w:tcW w:w="759"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80</w:t>
            </w:r>
          </w:p>
        </w:tc>
        <w:tc>
          <w:tcPr>
            <w:tcW w:w="12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3.00%</w:t>
            </w:r>
          </w:p>
        </w:tc>
        <w:tc>
          <w:tcPr>
            <w:tcW w:w="75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48</w:t>
            </w:r>
          </w:p>
        </w:tc>
        <w:tc>
          <w:tcPr>
            <w:tcW w:w="126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0" w:hRule="atLeast"/>
          <w:jc w:val="center"/>
        </w:trPr>
        <w:tc>
          <w:tcPr>
            <w:tcW w:w="2989" w:type="dxa"/>
            <w:gridSpan w:val="2"/>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000000"/>
                <w:sz w:val="24"/>
                <w:szCs w:val="24"/>
                <w:u w:val="none"/>
              </w:rPr>
            </w:pPr>
          </w:p>
        </w:tc>
        <w:tc>
          <w:tcPr>
            <w:tcW w:w="87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小计</w:t>
            </w:r>
          </w:p>
        </w:tc>
        <w:tc>
          <w:tcPr>
            <w:tcW w:w="7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46</w:t>
            </w:r>
          </w:p>
        </w:tc>
        <w:tc>
          <w:tcPr>
            <w:tcW w:w="11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32.62%</w:t>
            </w:r>
          </w:p>
        </w:tc>
        <w:tc>
          <w:tcPr>
            <w:tcW w:w="89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858</w:t>
            </w:r>
          </w:p>
        </w:tc>
        <w:tc>
          <w:tcPr>
            <w:tcW w:w="759"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470</w:t>
            </w:r>
          </w:p>
        </w:tc>
        <w:tc>
          <w:tcPr>
            <w:tcW w:w="12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17.63%</w:t>
            </w:r>
          </w:p>
        </w:tc>
        <w:tc>
          <w:tcPr>
            <w:tcW w:w="75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388</w:t>
            </w:r>
          </w:p>
        </w:tc>
        <w:tc>
          <w:tcPr>
            <w:tcW w:w="126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14.55%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0" w:hRule="atLeast"/>
          <w:jc w:val="center"/>
        </w:trPr>
        <w:tc>
          <w:tcPr>
            <w:tcW w:w="1021"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专业课</w:t>
            </w:r>
          </w:p>
        </w:tc>
        <w:tc>
          <w:tcPr>
            <w:tcW w:w="19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专业基础课</w:t>
            </w:r>
          </w:p>
        </w:tc>
        <w:tc>
          <w:tcPr>
            <w:tcW w:w="87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38</w:t>
            </w:r>
          </w:p>
        </w:tc>
        <w:tc>
          <w:tcPr>
            <w:tcW w:w="11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26.95%</w:t>
            </w:r>
          </w:p>
        </w:tc>
        <w:tc>
          <w:tcPr>
            <w:tcW w:w="89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684</w:t>
            </w:r>
          </w:p>
        </w:tc>
        <w:tc>
          <w:tcPr>
            <w:tcW w:w="759"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348</w:t>
            </w:r>
          </w:p>
        </w:tc>
        <w:tc>
          <w:tcPr>
            <w:tcW w:w="12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13.05%</w:t>
            </w:r>
          </w:p>
        </w:tc>
        <w:tc>
          <w:tcPr>
            <w:tcW w:w="75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336</w:t>
            </w:r>
          </w:p>
        </w:tc>
        <w:tc>
          <w:tcPr>
            <w:tcW w:w="126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0" w:hRule="atLeast"/>
          <w:jc w:val="center"/>
        </w:trPr>
        <w:tc>
          <w:tcPr>
            <w:tcW w:w="102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4"/>
                <w:szCs w:val="24"/>
                <w:u w:val="none"/>
              </w:rPr>
            </w:pPr>
          </w:p>
        </w:tc>
        <w:tc>
          <w:tcPr>
            <w:tcW w:w="19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专业核心课</w:t>
            </w:r>
          </w:p>
        </w:tc>
        <w:tc>
          <w:tcPr>
            <w:tcW w:w="87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26</w:t>
            </w:r>
          </w:p>
        </w:tc>
        <w:tc>
          <w:tcPr>
            <w:tcW w:w="11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18.44%</w:t>
            </w:r>
          </w:p>
        </w:tc>
        <w:tc>
          <w:tcPr>
            <w:tcW w:w="89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468</w:t>
            </w:r>
          </w:p>
        </w:tc>
        <w:tc>
          <w:tcPr>
            <w:tcW w:w="759"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148</w:t>
            </w:r>
          </w:p>
        </w:tc>
        <w:tc>
          <w:tcPr>
            <w:tcW w:w="12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5.55%</w:t>
            </w:r>
          </w:p>
        </w:tc>
        <w:tc>
          <w:tcPr>
            <w:tcW w:w="75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320</w:t>
            </w:r>
          </w:p>
        </w:tc>
        <w:tc>
          <w:tcPr>
            <w:tcW w:w="126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02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4"/>
                <w:szCs w:val="24"/>
                <w:u w:val="none"/>
              </w:rPr>
            </w:pPr>
          </w:p>
        </w:tc>
        <w:tc>
          <w:tcPr>
            <w:tcW w:w="19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专业拓展课</w:t>
            </w:r>
          </w:p>
        </w:tc>
        <w:tc>
          <w:tcPr>
            <w:tcW w:w="87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选修</w:t>
            </w:r>
          </w:p>
        </w:tc>
        <w:tc>
          <w:tcPr>
            <w:tcW w:w="7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8</w:t>
            </w:r>
          </w:p>
        </w:tc>
        <w:tc>
          <w:tcPr>
            <w:tcW w:w="11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5.67%</w:t>
            </w:r>
          </w:p>
        </w:tc>
        <w:tc>
          <w:tcPr>
            <w:tcW w:w="89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144</w:t>
            </w:r>
          </w:p>
        </w:tc>
        <w:tc>
          <w:tcPr>
            <w:tcW w:w="759"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80</w:t>
            </w:r>
          </w:p>
        </w:tc>
        <w:tc>
          <w:tcPr>
            <w:tcW w:w="12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3.00%</w:t>
            </w:r>
          </w:p>
        </w:tc>
        <w:tc>
          <w:tcPr>
            <w:tcW w:w="75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64</w:t>
            </w:r>
          </w:p>
        </w:tc>
        <w:tc>
          <w:tcPr>
            <w:tcW w:w="126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0" w:hRule="atLeast"/>
          <w:jc w:val="center"/>
        </w:trPr>
        <w:tc>
          <w:tcPr>
            <w:tcW w:w="1021"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4"/>
                <w:szCs w:val="24"/>
                <w:u w:val="none"/>
                <w:lang w:val="en-US" w:eastAsia="zh-CN" w:bidi="ar"/>
              </w:rPr>
            </w:pPr>
          </w:p>
        </w:tc>
        <w:tc>
          <w:tcPr>
            <w:tcW w:w="19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sz w:val="24"/>
                <w:szCs w:val="24"/>
                <w:u w:val="none"/>
              </w:rPr>
              <w:t>实践</w:t>
            </w:r>
            <w:r>
              <w:rPr>
                <w:rFonts w:hint="eastAsia" w:ascii="仿宋_GB2312" w:hAnsi="仿宋_GB2312" w:eastAsia="仿宋_GB2312" w:cs="仿宋_GB2312"/>
                <w:i w:val="0"/>
                <w:iCs w:val="0"/>
                <w:color w:val="auto"/>
                <w:sz w:val="24"/>
                <w:szCs w:val="24"/>
                <w:u w:val="none"/>
                <w:lang w:val="en-US" w:eastAsia="zh-CN"/>
              </w:rPr>
              <w:t>性</w:t>
            </w:r>
            <w:r>
              <w:rPr>
                <w:rFonts w:hint="eastAsia" w:ascii="仿宋_GB2312" w:hAnsi="仿宋_GB2312" w:eastAsia="仿宋_GB2312" w:cs="仿宋_GB2312"/>
                <w:i w:val="0"/>
                <w:iCs w:val="0"/>
                <w:color w:val="auto"/>
                <w:sz w:val="24"/>
                <w:szCs w:val="24"/>
                <w:u w:val="none"/>
              </w:rPr>
              <w:t>教学环节</w:t>
            </w:r>
          </w:p>
        </w:tc>
        <w:tc>
          <w:tcPr>
            <w:tcW w:w="87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23</w:t>
            </w:r>
          </w:p>
        </w:tc>
        <w:tc>
          <w:tcPr>
            <w:tcW w:w="11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16.31%</w:t>
            </w:r>
          </w:p>
        </w:tc>
        <w:tc>
          <w:tcPr>
            <w:tcW w:w="89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512</w:t>
            </w:r>
          </w:p>
        </w:tc>
        <w:tc>
          <w:tcPr>
            <w:tcW w:w="759"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20</w:t>
            </w:r>
          </w:p>
        </w:tc>
        <w:tc>
          <w:tcPr>
            <w:tcW w:w="12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0.75%</w:t>
            </w:r>
          </w:p>
        </w:tc>
        <w:tc>
          <w:tcPr>
            <w:tcW w:w="75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492</w:t>
            </w:r>
          </w:p>
        </w:tc>
        <w:tc>
          <w:tcPr>
            <w:tcW w:w="126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18.45%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021"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2840" w:type="dxa"/>
            <w:gridSpan w:val="2"/>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小计</w:t>
            </w:r>
          </w:p>
        </w:tc>
        <w:tc>
          <w:tcPr>
            <w:tcW w:w="7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95</w:t>
            </w:r>
          </w:p>
        </w:tc>
        <w:tc>
          <w:tcPr>
            <w:tcW w:w="11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67.38%</w:t>
            </w:r>
          </w:p>
        </w:tc>
        <w:tc>
          <w:tcPr>
            <w:tcW w:w="89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1808</w:t>
            </w:r>
          </w:p>
        </w:tc>
        <w:tc>
          <w:tcPr>
            <w:tcW w:w="759"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596</w:t>
            </w:r>
          </w:p>
        </w:tc>
        <w:tc>
          <w:tcPr>
            <w:tcW w:w="12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22.36%</w:t>
            </w:r>
          </w:p>
        </w:tc>
        <w:tc>
          <w:tcPr>
            <w:tcW w:w="75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1212</w:t>
            </w:r>
          </w:p>
        </w:tc>
        <w:tc>
          <w:tcPr>
            <w:tcW w:w="126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45.46%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861" w:type="dxa"/>
            <w:gridSpan w:val="3"/>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合计</w:t>
            </w:r>
          </w:p>
        </w:tc>
        <w:tc>
          <w:tcPr>
            <w:tcW w:w="7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141</w:t>
            </w:r>
          </w:p>
        </w:tc>
        <w:tc>
          <w:tcPr>
            <w:tcW w:w="11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100.00%</w:t>
            </w:r>
          </w:p>
        </w:tc>
        <w:tc>
          <w:tcPr>
            <w:tcW w:w="89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2666</w:t>
            </w:r>
          </w:p>
        </w:tc>
        <w:tc>
          <w:tcPr>
            <w:tcW w:w="759"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1066</w:t>
            </w:r>
          </w:p>
        </w:tc>
        <w:tc>
          <w:tcPr>
            <w:tcW w:w="12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39.98%</w:t>
            </w:r>
          </w:p>
        </w:tc>
        <w:tc>
          <w:tcPr>
            <w:tcW w:w="75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1600</w:t>
            </w:r>
          </w:p>
        </w:tc>
        <w:tc>
          <w:tcPr>
            <w:tcW w:w="126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60.02%</w:t>
            </w:r>
          </w:p>
        </w:tc>
      </w:tr>
    </w:tbl>
    <w:p>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教学计划进程</w:t>
      </w:r>
    </w:p>
    <w:p>
      <w:pPr>
        <w:pStyle w:val="6"/>
        <w:keepNext w:val="0"/>
        <w:keepLines w:val="0"/>
        <w:pageBreakBefore w:val="0"/>
        <w:shd w:val="clear" w:color="auto" w:fill="FFFFFF"/>
        <w:kinsoku/>
        <w:wordWrap/>
        <w:topLinePunct w:val="0"/>
        <w:autoSpaceDE/>
        <w:autoSpaceDN/>
        <w:bidi w:val="0"/>
        <w:snapToGrid/>
        <w:spacing w:before="0" w:beforeAutospacing="0" w:afterAutospacing="0" w:line="520" w:lineRule="exact"/>
        <w:jc w:val="center"/>
        <w:textAlignment w:val="auto"/>
        <w:rPr>
          <w:rFonts w:hint="eastAsia" w:ascii="楷体" w:hAnsi="楷体" w:eastAsia="楷体" w:cs="楷体"/>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shd w:val="clear" w:color="auto" w:fill="FFFFFF"/>
          <w:lang w:bidi="ar"/>
        </w:rPr>
        <w:t>教学计划进程安排表</w:t>
      </w:r>
    </w:p>
    <w:tbl>
      <w:tblPr>
        <w:tblStyle w:val="7"/>
        <w:tblW w:w="57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323"/>
        <w:gridCol w:w="382"/>
        <w:gridCol w:w="480"/>
        <w:gridCol w:w="438"/>
        <w:gridCol w:w="1322"/>
        <w:gridCol w:w="1969"/>
        <w:gridCol w:w="829"/>
        <w:gridCol w:w="802"/>
        <w:gridCol w:w="688"/>
        <w:gridCol w:w="688"/>
        <w:gridCol w:w="354"/>
        <w:gridCol w:w="335"/>
        <w:gridCol w:w="300"/>
        <w:gridCol w:w="285"/>
        <w:gridCol w:w="360"/>
        <w:gridCol w:w="585"/>
        <w:gridCol w:w="6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185" w:type="dxa"/>
            <w:gridSpan w:val="3"/>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auto"/>
                <w:sz w:val="20"/>
                <w:szCs w:val="20"/>
                <w:u w:val="none"/>
              </w:rPr>
            </w:pPr>
            <w:bookmarkStart w:id="22" w:name="OLE_LINK3"/>
            <w:r>
              <w:rPr>
                <w:rFonts w:hint="eastAsia" w:ascii="仿宋_GB2312" w:hAnsi="仿宋_GB2312" w:eastAsia="仿宋_GB2312" w:cs="仿宋_GB2312"/>
                <w:i w:val="0"/>
                <w:color w:val="000000"/>
                <w:kern w:val="0"/>
                <w:sz w:val="20"/>
                <w:szCs w:val="20"/>
                <w:u w:val="none"/>
                <w:lang w:val="en-US" w:eastAsia="zh-CN" w:bidi="ar"/>
              </w:rPr>
              <w:t>课程类型</w:t>
            </w:r>
          </w:p>
        </w:tc>
        <w:tc>
          <w:tcPr>
            <w:tcW w:w="438"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序号</w:t>
            </w:r>
          </w:p>
        </w:tc>
        <w:tc>
          <w:tcPr>
            <w:tcW w:w="1322"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课程代码</w:t>
            </w:r>
          </w:p>
        </w:tc>
        <w:tc>
          <w:tcPr>
            <w:tcW w:w="1969"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课程名称</w:t>
            </w:r>
          </w:p>
        </w:tc>
        <w:tc>
          <w:tcPr>
            <w:tcW w:w="829"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学分</w:t>
            </w:r>
          </w:p>
        </w:tc>
        <w:tc>
          <w:tcPr>
            <w:tcW w:w="2178" w:type="dxa"/>
            <w:gridSpan w:val="3"/>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教学学时数</w:t>
            </w:r>
          </w:p>
        </w:tc>
        <w:tc>
          <w:tcPr>
            <w:tcW w:w="2219" w:type="dxa"/>
            <w:gridSpan w:val="6"/>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开课学期和周学时</w:t>
            </w:r>
          </w:p>
        </w:tc>
        <w:tc>
          <w:tcPr>
            <w:tcW w:w="630"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考核类型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1" w:hRule="atLeast"/>
          <w:jc w:val="center"/>
        </w:trPr>
        <w:tc>
          <w:tcPr>
            <w:tcW w:w="1185" w:type="dxa"/>
            <w:gridSpan w:val="3"/>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left"/>
              <w:rPr>
                <w:rFonts w:hint="eastAsia" w:ascii="仿宋_GB2312" w:hAnsi="仿宋_GB2312" w:eastAsia="仿宋_GB2312" w:cs="仿宋_GB2312"/>
                <w:i w:val="0"/>
                <w:iCs w:val="0"/>
                <w:color w:val="auto"/>
                <w:sz w:val="20"/>
                <w:szCs w:val="20"/>
                <w:u w:val="none"/>
              </w:rPr>
            </w:pPr>
          </w:p>
        </w:tc>
        <w:tc>
          <w:tcPr>
            <w:tcW w:w="4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132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19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82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2178" w:type="dxa"/>
            <w:gridSpan w:val="3"/>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2219" w:type="dxa"/>
            <w:gridSpan w:val="6"/>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63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96" w:hRule="atLeast"/>
          <w:jc w:val="center"/>
        </w:trPr>
        <w:tc>
          <w:tcPr>
            <w:tcW w:w="1185" w:type="dxa"/>
            <w:gridSpan w:val="3"/>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left"/>
              <w:rPr>
                <w:rFonts w:hint="eastAsia" w:ascii="仿宋_GB2312" w:hAnsi="仿宋_GB2312" w:eastAsia="仿宋_GB2312" w:cs="仿宋_GB2312"/>
                <w:i w:val="0"/>
                <w:iCs w:val="0"/>
                <w:color w:val="auto"/>
                <w:sz w:val="20"/>
                <w:szCs w:val="20"/>
                <w:u w:val="none"/>
              </w:rPr>
            </w:pPr>
          </w:p>
        </w:tc>
        <w:tc>
          <w:tcPr>
            <w:tcW w:w="4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132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19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82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80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合计</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理论学时</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实践学时</w:t>
            </w:r>
          </w:p>
        </w:tc>
        <w:tc>
          <w:tcPr>
            <w:tcW w:w="35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一</w:t>
            </w:r>
          </w:p>
        </w:tc>
        <w:tc>
          <w:tcPr>
            <w:tcW w:w="33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二</w:t>
            </w:r>
          </w:p>
        </w:tc>
        <w:tc>
          <w:tcPr>
            <w:tcW w:w="30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三</w:t>
            </w:r>
          </w:p>
        </w:tc>
        <w:tc>
          <w:tcPr>
            <w:tcW w:w="28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四</w:t>
            </w:r>
          </w:p>
        </w:tc>
        <w:tc>
          <w:tcPr>
            <w:tcW w:w="36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五</w:t>
            </w:r>
          </w:p>
        </w:tc>
        <w:tc>
          <w:tcPr>
            <w:tcW w:w="58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六</w:t>
            </w:r>
          </w:p>
        </w:tc>
        <w:tc>
          <w:tcPr>
            <w:tcW w:w="63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公共基础课</w:t>
            </w:r>
          </w:p>
        </w:tc>
        <w:tc>
          <w:tcPr>
            <w:tcW w:w="480"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必修</w:t>
            </w:r>
          </w:p>
        </w:tc>
        <w:tc>
          <w:tcPr>
            <w:tcW w:w="43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132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1B410101101</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思想道德与法治</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80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48</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35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3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0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8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6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8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132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1A410101102</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形势与政策</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80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219" w:type="dxa"/>
            <w:gridSpan w:val="6"/>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1到4学期开课，每学期8学时。</w:t>
            </w: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132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1A410101103</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国家安全教育</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80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35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0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28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6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8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132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1A410101104</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军事理论</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0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35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3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0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8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6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8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p>
        </w:tc>
        <w:tc>
          <w:tcPr>
            <w:tcW w:w="43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w:t>
            </w:r>
          </w:p>
        </w:tc>
        <w:tc>
          <w:tcPr>
            <w:tcW w:w="132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1C410101105</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军训</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0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112</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112</w:t>
            </w:r>
          </w:p>
        </w:tc>
        <w:tc>
          <w:tcPr>
            <w:tcW w:w="2219" w:type="dxa"/>
            <w:gridSpan w:val="6"/>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第1学期，实际训练时间不少于14天</w:t>
            </w: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w:t>
            </w:r>
          </w:p>
        </w:tc>
        <w:tc>
          <w:tcPr>
            <w:tcW w:w="132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1B410101106</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计算机基础</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80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64</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35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3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0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8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6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8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w:t>
            </w:r>
          </w:p>
        </w:tc>
        <w:tc>
          <w:tcPr>
            <w:tcW w:w="132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1B410101108</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大学英语</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80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128</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104</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24</w:t>
            </w:r>
          </w:p>
        </w:tc>
        <w:tc>
          <w:tcPr>
            <w:tcW w:w="35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3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0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6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132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1C410101109</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大学体育</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w:t>
            </w:r>
          </w:p>
        </w:tc>
        <w:tc>
          <w:tcPr>
            <w:tcW w:w="80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108</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108</w:t>
            </w:r>
          </w:p>
        </w:tc>
        <w:tc>
          <w:tcPr>
            <w:tcW w:w="35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3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0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28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6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8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9</w:t>
            </w:r>
          </w:p>
        </w:tc>
        <w:tc>
          <w:tcPr>
            <w:tcW w:w="132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1B410101110</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大学生职业发展与就业指导</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0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38</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26</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35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3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0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2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6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8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w:t>
            </w:r>
          </w:p>
        </w:tc>
        <w:tc>
          <w:tcPr>
            <w:tcW w:w="132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1B410101111</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大学生心理健康教育</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0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35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0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8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6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8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11</w:t>
            </w:r>
          </w:p>
        </w:tc>
        <w:tc>
          <w:tcPr>
            <w:tcW w:w="132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1C410101112</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劳动教育</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80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35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0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8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6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8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132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1B410101113</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毛泽东思想和中国特色社会主义理论体系概论</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0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28</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0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28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6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8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7"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13</w:t>
            </w:r>
          </w:p>
        </w:tc>
        <w:tc>
          <w:tcPr>
            <w:tcW w:w="132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1B410101114</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创新创业教育</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80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3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0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8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6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8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14</w:t>
            </w:r>
          </w:p>
        </w:tc>
        <w:tc>
          <w:tcPr>
            <w:tcW w:w="132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1B410101115</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习近平新时代中国特色社会主义思想概论</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80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52</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48</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0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8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6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8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选修</w:t>
            </w:r>
          </w:p>
        </w:tc>
        <w:tc>
          <w:tcPr>
            <w:tcW w:w="43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132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1B410101201</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中国民俗剪纸技法</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0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24</w:t>
            </w:r>
          </w:p>
        </w:tc>
        <w:tc>
          <w:tcPr>
            <w:tcW w:w="2219" w:type="dxa"/>
            <w:gridSpan w:val="6"/>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公共选修课最低学分要求为8学分，其中要求2个学分为思政选修课学分。</w:t>
            </w: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132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1B410101202</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影视与鉴赏</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0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24</w:t>
            </w:r>
          </w:p>
        </w:tc>
        <w:tc>
          <w:tcPr>
            <w:tcW w:w="2219" w:type="dxa"/>
            <w:gridSpan w:val="6"/>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132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1B410101203</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中华优秀传统文化</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0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219" w:type="dxa"/>
            <w:gridSpan w:val="6"/>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132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1B410101204</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中国共产党简史</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0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219" w:type="dxa"/>
            <w:gridSpan w:val="6"/>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w:t>
            </w:r>
          </w:p>
        </w:tc>
        <w:tc>
          <w:tcPr>
            <w:tcW w:w="132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1B410101205</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改革开放简史</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0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219" w:type="dxa"/>
            <w:gridSpan w:val="6"/>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w:t>
            </w:r>
          </w:p>
        </w:tc>
        <w:tc>
          <w:tcPr>
            <w:tcW w:w="132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1B410101206</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中华人民共和国简史</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0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219" w:type="dxa"/>
            <w:gridSpan w:val="6"/>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w:t>
            </w:r>
          </w:p>
        </w:tc>
        <w:tc>
          <w:tcPr>
            <w:tcW w:w="132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1B410101207</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社会主义发展简史</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0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219" w:type="dxa"/>
            <w:gridSpan w:val="6"/>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132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1B410101208</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中华民族共同体概论</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0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219" w:type="dxa"/>
            <w:gridSpan w:val="6"/>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9</w:t>
            </w:r>
          </w:p>
        </w:tc>
        <w:tc>
          <w:tcPr>
            <w:tcW w:w="132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1B410101209</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高等数学</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0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219" w:type="dxa"/>
            <w:gridSpan w:val="6"/>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w:t>
            </w:r>
          </w:p>
        </w:tc>
        <w:tc>
          <w:tcPr>
            <w:tcW w:w="132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1B410101210</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语文</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0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219" w:type="dxa"/>
            <w:gridSpan w:val="6"/>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11</w:t>
            </w:r>
          </w:p>
        </w:tc>
        <w:tc>
          <w:tcPr>
            <w:tcW w:w="132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1B410101211</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物理</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0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219" w:type="dxa"/>
            <w:gridSpan w:val="6"/>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132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1B410101212</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化学</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0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219" w:type="dxa"/>
            <w:gridSpan w:val="6"/>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32"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209" w:type="dxa"/>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公共必修课程学分、学时小计</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38</w:t>
            </w:r>
          </w:p>
        </w:tc>
        <w:tc>
          <w:tcPr>
            <w:tcW w:w="80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730</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390</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340</w:t>
            </w:r>
          </w:p>
        </w:tc>
        <w:tc>
          <w:tcPr>
            <w:tcW w:w="35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3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28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6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58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u w:val="none"/>
              </w:rPr>
            </w:pPr>
          </w:p>
        </w:tc>
        <w:tc>
          <w:tcPr>
            <w:tcW w:w="630"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18"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209" w:type="dxa"/>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公共必修课程学分、学时占比</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26.95%</w:t>
            </w:r>
          </w:p>
        </w:tc>
        <w:tc>
          <w:tcPr>
            <w:tcW w:w="80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pacing w:val="-6"/>
                <w:kern w:val="0"/>
                <w:sz w:val="20"/>
                <w:szCs w:val="20"/>
                <w:u w:val="none"/>
                <w:lang w:val="en-US" w:eastAsia="zh-CN" w:bidi="ar"/>
              </w:rPr>
            </w:pPr>
            <w:r>
              <w:rPr>
                <w:rFonts w:hint="eastAsia" w:ascii="仿宋_GB2312" w:hAnsi="仿宋_GB2312" w:eastAsia="仿宋_GB2312" w:cs="仿宋_GB2312"/>
                <w:i w:val="0"/>
                <w:color w:val="000000"/>
                <w:spacing w:val="-6"/>
                <w:kern w:val="0"/>
                <w:sz w:val="20"/>
                <w:szCs w:val="20"/>
                <w:u w:val="none"/>
                <w:lang w:val="en-US" w:eastAsia="zh-CN" w:bidi="ar"/>
              </w:rPr>
              <w:t>27.38%</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pacing w:val="-23"/>
                <w:kern w:val="0"/>
                <w:sz w:val="20"/>
                <w:szCs w:val="20"/>
                <w:u w:val="none"/>
                <w:lang w:val="en-US" w:eastAsia="zh-CN" w:bidi="ar"/>
              </w:rPr>
            </w:pPr>
            <w:r>
              <w:rPr>
                <w:rFonts w:hint="eastAsia" w:ascii="仿宋_GB2312" w:hAnsi="仿宋_GB2312" w:eastAsia="仿宋_GB2312" w:cs="仿宋_GB2312"/>
                <w:i w:val="0"/>
                <w:color w:val="000000"/>
                <w:spacing w:val="-23"/>
                <w:kern w:val="0"/>
                <w:sz w:val="20"/>
                <w:szCs w:val="20"/>
                <w:u w:val="none"/>
                <w:lang w:val="en-US" w:eastAsia="zh-CN" w:bidi="ar"/>
              </w:rPr>
              <w:t>14.63%</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pacing w:val="-23"/>
                <w:kern w:val="0"/>
                <w:sz w:val="20"/>
                <w:szCs w:val="20"/>
                <w:u w:val="none"/>
                <w:lang w:val="en-US" w:eastAsia="zh-CN" w:bidi="ar"/>
              </w:rPr>
            </w:pPr>
            <w:r>
              <w:rPr>
                <w:rFonts w:hint="eastAsia" w:ascii="仿宋_GB2312" w:hAnsi="仿宋_GB2312" w:eastAsia="仿宋_GB2312" w:cs="仿宋_GB2312"/>
                <w:i w:val="0"/>
                <w:color w:val="000000"/>
                <w:spacing w:val="-23"/>
                <w:kern w:val="0"/>
                <w:sz w:val="20"/>
                <w:szCs w:val="20"/>
                <w:u w:val="none"/>
                <w:lang w:val="en-US" w:eastAsia="zh-CN" w:bidi="ar"/>
              </w:rPr>
              <w:t>12.75%</w:t>
            </w:r>
          </w:p>
        </w:tc>
        <w:tc>
          <w:tcPr>
            <w:tcW w:w="35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3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28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60"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58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u w:val="none"/>
              </w:rPr>
            </w:pPr>
          </w:p>
        </w:tc>
        <w:tc>
          <w:tcPr>
            <w:tcW w:w="630"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209" w:type="dxa"/>
            <w:gridSpan w:val="4"/>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公共选修课程学分、学时小计</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80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128</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80</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48</w:t>
            </w:r>
          </w:p>
        </w:tc>
        <w:tc>
          <w:tcPr>
            <w:tcW w:w="354"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3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00"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28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60"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58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u w:val="none"/>
              </w:rPr>
            </w:pPr>
          </w:p>
        </w:tc>
        <w:tc>
          <w:tcPr>
            <w:tcW w:w="63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2" w:hRule="atLeast"/>
          <w:jc w:val="center"/>
        </w:trPr>
        <w:tc>
          <w:tcPr>
            <w:tcW w:w="7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209" w:type="dxa"/>
            <w:gridSpan w:val="4"/>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公共选修课程学分、学时占比</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5.67%</w:t>
            </w:r>
          </w:p>
        </w:tc>
        <w:tc>
          <w:tcPr>
            <w:tcW w:w="80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4.80%</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仿宋_GB2312" w:eastAsia="仿宋_GB2312" w:cs="仿宋_GB2312"/>
                <w:i w:val="0"/>
                <w:color w:val="000000"/>
                <w:spacing w:val="-11"/>
                <w:kern w:val="0"/>
                <w:sz w:val="20"/>
                <w:szCs w:val="20"/>
                <w:u w:val="none"/>
                <w:lang w:val="en-US" w:eastAsia="zh-CN" w:bidi="ar"/>
              </w:rPr>
              <w:t>3.00%</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仿宋_GB2312" w:eastAsia="仿宋_GB2312" w:cs="仿宋_GB2312"/>
                <w:i w:val="0"/>
                <w:color w:val="000000"/>
                <w:spacing w:val="-11"/>
                <w:kern w:val="0"/>
                <w:sz w:val="20"/>
                <w:szCs w:val="20"/>
                <w:u w:val="none"/>
                <w:lang w:val="en-US" w:eastAsia="zh-CN" w:bidi="ar"/>
              </w:rPr>
              <w:t>1.80%</w:t>
            </w:r>
          </w:p>
        </w:tc>
        <w:tc>
          <w:tcPr>
            <w:tcW w:w="354"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3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00"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28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60"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58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63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jc w:val="center"/>
        </w:trPr>
        <w:tc>
          <w:tcPr>
            <w:tcW w:w="323"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专业课</w:t>
            </w:r>
          </w:p>
        </w:tc>
        <w:tc>
          <w:tcPr>
            <w:tcW w:w="382"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专业基础课</w:t>
            </w:r>
          </w:p>
        </w:tc>
        <w:tc>
          <w:tcPr>
            <w:tcW w:w="480" w:type="dxa"/>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必修</w:t>
            </w:r>
          </w:p>
        </w:tc>
        <w:tc>
          <w:tcPr>
            <w:tcW w:w="43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132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7B520802301</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婴幼儿生理基础</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0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35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3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0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6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132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7B520802302</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婴幼儿心理发展</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0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35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3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0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6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132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7B520802303</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婴幼儿玩教具制作</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0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35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3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0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6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132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7B520802304</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婴幼儿教育活动设计与指导</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0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35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3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0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6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w:t>
            </w:r>
          </w:p>
        </w:tc>
        <w:tc>
          <w:tcPr>
            <w:tcW w:w="132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7B520802305</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婴幼儿教育学</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80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35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0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6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4"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w:t>
            </w:r>
          </w:p>
        </w:tc>
        <w:tc>
          <w:tcPr>
            <w:tcW w:w="132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7B520802306</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婴幼儿卫生与保健</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0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35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0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6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w:t>
            </w:r>
          </w:p>
        </w:tc>
        <w:tc>
          <w:tcPr>
            <w:tcW w:w="132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7B520802307</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婴幼儿营养与喂养</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0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35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0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6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8"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132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7B520802308</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婴幼儿照护机构环境创设</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80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40</w:t>
            </w:r>
          </w:p>
        </w:tc>
        <w:tc>
          <w:tcPr>
            <w:tcW w:w="35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0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6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8"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9</w:t>
            </w:r>
          </w:p>
        </w:tc>
        <w:tc>
          <w:tcPr>
            <w:tcW w:w="132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7B520802309</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感觉统合训练</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80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40</w:t>
            </w:r>
          </w:p>
        </w:tc>
        <w:tc>
          <w:tcPr>
            <w:tcW w:w="35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0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2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6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w:t>
            </w:r>
          </w:p>
        </w:tc>
        <w:tc>
          <w:tcPr>
            <w:tcW w:w="132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7B520802310</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婴幼儿学习与发展</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0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35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0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2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6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8"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11</w:t>
            </w:r>
          </w:p>
        </w:tc>
        <w:tc>
          <w:tcPr>
            <w:tcW w:w="132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7B520802311</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0-3岁婴幼儿奥尔夫音乐教育</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80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40</w:t>
            </w:r>
          </w:p>
        </w:tc>
        <w:tc>
          <w:tcPr>
            <w:tcW w:w="35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0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2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6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5"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132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7B520802312</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托育服务政策法规与职业理论</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0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35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0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6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13</w:t>
            </w:r>
          </w:p>
        </w:tc>
        <w:tc>
          <w:tcPr>
            <w:tcW w:w="132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7B520802313</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托育机构组织管理导论</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0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35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0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6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14</w:t>
            </w:r>
          </w:p>
        </w:tc>
        <w:tc>
          <w:tcPr>
            <w:tcW w:w="132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7B520802314</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婴幼儿动作发展与训练</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80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35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0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6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专业核心课</w:t>
            </w:r>
          </w:p>
        </w:tc>
        <w:tc>
          <w:tcPr>
            <w:tcW w:w="480" w:type="dxa"/>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必修</w:t>
            </w:r>
          </w:p>
        </w:tc>
        <w:tc>
          <w:tcPr>
            <w:tcW w:w="43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132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7B520802415</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婴幼儿常见病识别与预防</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80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22</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50</w:t>
            </w:r>
          </w:p>
        </w:tc>
        <w:tc>
          <w:tcPr>
            <w:tcW w:w="35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3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0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6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61"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132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7B520802416</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婴幼儿回应性照护</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80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22</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50</w:t>
            </w:r>
          </w:p>
        </w:tc>
        <w:tc>
          <w:tcPr>
            <w:tcW w:w="35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0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6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132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7B520802417</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婴幼儿游戏活动实施</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80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22</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50</w:t>
            </w:r>
          </w:p>
        </w:tc>
        <w:tc>
          <w:tcPr>
            <w:tcW w:w="35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0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6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61"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132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7B520802418</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婴幼儿行为观察与记录</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80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22</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50</w:t>
            </w:r>
          </w:p>
        </w:tc>
        <w:tc>
          <w:tcPr>
            <w:tcW w:w="35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0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2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6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w:t>
            </w:r>
          </w:p>
        </w:tc>
        <w:tc>
          <w:tcPr>
            <w:tcW w:w="132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7B520802419</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婴幼儿家园共育</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80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22</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50</w:t>
            </w:r>
          </w:p>
        </w:tc>
        <w:tc>
          <w:tcPr>
            <w:tcW w:w="35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0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2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6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61"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w:t>
            </w:r>
          </w:p>
        </w:tc>
        <w:tc>
          <w:tcPr>
            <w:tcW w:w="132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7B520802420</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婴幼儿伤害预防与处理</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80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22</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50</w:t>
            </w:r>
          </w:p>
        </w:tc>
        <w:tc>
          <w:tcPr>
            <w:tcW w:w="35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0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6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w:t>
            </w:r>
          </w:p>
        </w:tc>
        <w:tc>
          <w:tcPr>
            <w:tcW w:w="132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7B520802421</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托育机构管理实务</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0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35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0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6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rPr>
            </w:pPr>
            <w:r>
              <w:rPr>
                <w:rFonts w:hint="eastAsia" w:ascii="仿宋_GB2312" w:hAnsi="仿宋_GB2312" w:eastAsia="仿宋_GB2312" w:cs="仿宋_GB2312"/>
                <w:i w:val="0"/>
                <w:color w:val="000000"/>
                <w:kern w:val="0"/>
                <w:sz w:val="20"/>
                <w:szCs w:val="20"/>
                <w:u w:val="none"/>
                <w:lang w:val="en-US" w:eastAsia="zh-CN" w:bidi="ar"/>
              </w:rPr>
              <w:t>专业拓展课</w:t>
            </w:r>
          </w:p>
        </w:tc>
        <w:tc>
          <w:tcPr>
            <w:tcW w:w="480"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选修</w:t>
            </w:r>
          </w:p>
        </w:tc>
        <w:tc>
          <w:tcPr>
            <w:tcW w:w="43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132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7B520802522</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婴幼儿早期阅读</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0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default"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35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1530" w:type="dxa"/>
            <w:gridSpan w:val="4"/>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专业拓展课最低学分要求为8学分</w:t>
            </w:r>
          </w:p>
        </w:tc>
        <w:tc>
          <w:tcPr>
            <w:tcW w:w="63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3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132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7B520802523</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婴幼儿艺术启蒙</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0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35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1530" w:type="dxa"/>
            <w:gridSpan w:val="4"/>
            <w:vMerge w:val="continue"/>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3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132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7B520802524</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婴幼儿亲子活动</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0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35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1530" w:type="dxa"/>
            <w:gridSpan w:val="4"/>
            <w:vMerge w:val="continue"/>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3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132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7B520802525</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信息技术应用实务</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0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35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1530" w:type="dxa"/>
            <w:gridSpan w:val="4"/>
            <w:vMerge w:val="continue"/>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3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w:t>
            </w:r>
          </w:p>
        </w:tc>
        <w:tc>
          <w:tcPr>
            <w:tcW w:w="132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7B520802526</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托育机构品牌与文化建设</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0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35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1530" w:type="dxa"/>
            <w:gridSpan w:val="4"/>
            <w:vMerge w:val="continue"/>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3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w:t>
            </w:r>
          </w:p>
        </w:tc>
        <w:tc>
          <w:tcPr>
            <w:tcW w:w="132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7B520802527</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人际沟通艺术</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0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35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1530" w:type="dxa"/>
            <w:gridSpan w:val="4"/>
            <w:vMerge w:val="continue"/>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3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w:t>
            </w:r>
          </w:p>
        </w:tc>
        <w:tc>
          <w:tcPr>
            <w:tcW w:w="132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7B520802528</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婴幼儿护理与急救</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0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35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1530" w:type="dxa"/>
            <w:gridSpan w:val="4"/>
            <w:vMerge w:val="continue"/>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0"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132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7B520802529</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托育服务与管理行为规范</w:t>
            </w:r>
          </w:p>
        </w:tc>
        <w:tc>
          <w:tcPr>
            <w:tcW w:w="829"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0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35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1530" w:type="dxa"/>
            <w:gridSpan w:val="4"/>
            <w:vMerge w:val="continue"/>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9</w:t>
            </w:r>
          </w:p>
        </w:tc>
        <w:tc>
          <w:tcPr>
            <w:tcW w:w="132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7B520802530</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人体解剖学</w:t>
            </w:r>
          </w:p>
        </w:tc>
        <w:tc>
          <w:tcPr>
            <w:tcW w:w="829"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0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35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1530" w:type="dxa"/>
            <w:gridSpan w:val="4"/>
            <w:vMerge w:val="continue"/>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0"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w:t>
            </w:r>
          </w:p>
        </w:tc>
        <w:tc>
          <w:tcPr>
            <w:tcW w:w="132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7B520802531</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生理学基础</w:t>
            </w:r>
          </w:p>
        </w:tc>
        <w:tc>
          <w:tcPr>
            <w:tcW w:w="829"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0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35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1530" w:type="dxa"/>
            <w:gridSpan w:val="4"/>
            <w:vMerge w:val="continue"/>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0"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11</w:t>
            </w:r>
          </w:p>
        </w:tc>
        <w:tc>
          <w:tcPr>
            <w:tcW w:w="132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7B520802532</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病理学基础</w:t>
            </w:r>
          </w:p>
        </w:tc>
        <w:tc>
          <w:tcPr>
            <w:tcW w:w="829"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0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35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1530" w:type="dxa"/>
            <w:gridSpan w:val="4"/>
            <w:vMerge w:val="continue"/>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6" w:hRule="atLeast"/>
          <w:jc w:val="center"/>
        </w:trPr>
        <w:tc>
          <w:tcPr>
            <w:tcW w:w="323"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p>
        </w:tc>
        <w:tc>
          <w:tcPr>
            <w:tcW w:w="382"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实践性教学环节</w:t>
            </w:r>
          </w:p>
        </w:tc>
        <w:tc>
          <w:tcPr>
            <w:tcW w:w="480"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必修</w:t>
            </w:r>
          </w:p>
        </w:tc>
        <w:tc>
          <w:tcPr>
            <w:tcW w:w="43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132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1B410101601</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毕业设计</w:t>
            </w:r>
          </w:p>
        </w:tc>
        <w:tc>
          <w:tcPr>
            <w:tcW w:w="829"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w:t>
            </w:r>
          </w:p>
        </w:tc>
        <w:tc>
          <w:tcPr>
            <w:tcW w:w="80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80</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60</w:t>
            </w:r>
          </w:p>
        </w:tc>
        <w:tc>
          <w:tcPr>
            <w:tcW w:w="35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0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6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5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3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132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1C410101602</w:t>
            </w:r>
          </w:p>
        </w:tc>
        <w:tc>
          <w:tcPr>
            <w:tcW w:w="196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岗位实习</w:t>
            </w:r>
          </w:p>
        </w:tc>
        <w:tc>
          <w:tcPr>
            <w:tcW w:w="829"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80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432</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432</w:t>
            </w:r>
          </w:p>
        </w:tc>
        <w:tc>
          <w:tcPr>
            <w:tcW w:w="35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3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0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6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85"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432</w:t>
            </w:r>
          </w:p>
        </w:tc>
        <w:tc>
          <w:tcPr>
            <w:tcW w:w="630"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1" w:hRule="atLeast"/>
          <w:jc w:val="center"/>
        </w:trPr>
        <w:tc>
          <w:tcPr>
            <w:tcW w:w="4914" w:type="dxa"/>
            <w:gridSpan w:val="6"/>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专业必修课程学分、学时小计</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87</w:t>
            </w:r>
          </w:p>
        </w:tc>
        <w:tc>
          <w:tcPr>
            <w:tcW w:w="80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1664</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516</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1148</w:t>
            </w:r>
          </w:p>
        </w:tc>
        <w:tc>
          <w:tcPr>
            <w:tcW w:w="35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3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28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60"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58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630"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6" w:hRule="atLeast"/>
          <w:jc w:val="center"/>
        </w:trPr>
        <w:tc>
          <w:tcPr>
            <w:tcW w:w="4914" w:type="dxa"/>
            <w:gridSpan w:val="6"/>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专业必修课程学分、学时占比</w:t>
            </w:r>
          </w:p>
        </w:tc>
        <w:tc>
          <w:tcPr>
            <w:tcW w:w="82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61.70%</w:t>
            </w:r>
          </w:p>
        </w:tc>
        <w:tc>
          <w:tcPr>
            <w:tcW w:w="80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仿宋_GB2312" w:eastAsia="仿宋_GB2312" w:cs="仿宋_GB2312"/>
                <w:i w:val="0"/>
                <w:color w:val="000000"/>
                <w:spacing w:val="-11"/>
                <w:kern w:val="0"/>
                <w:sz w:val="20"/>
                <w:szCs w:val="20"/>
                <w:u w:val="none"/>
                <w:lang w:val="en-US" w:eastAsia="zh-CN" w:bidi="ar"/>
              </w:rPr>
              <w:t>62.42%</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pacing w:val="-23"/>
                <w:kern w:val="0"/>
                <w:sz w:val="20"/>
                <w:szCs w:val="20"/>
                <w:u w:val="none"/>
                <w:lang w:val="en-US" w:eastAsia="zh-CN" w:bidi="ar"/>
              </w:rPr>
            </w:pPr>
            <w:r>
              <w:rPr>
                <w:rFonts w:hint="eastAsia" w:ascii="仿宋_GB2312" w:hAnsi="仿宋_GB2312" w:eastAsia="仿宋_GB2312" w:cs="仿宋_GB2312"/>
                <w:i w:val="0"/>
                <w:color w:val="000000"/>
                <w:spacing w:val="-23"/>
                <w:kern w:val="0"/>
                <w:sz w:val="20"/>
                <w:szCs w:val="20"/>
                <w:u w:val="none"/>
                <w:lang w:val="en-US" w:eastAsia="zh-CN" w:bidi="ar"/>
              </w:rPr>
              <w:t>19.35%</w:t>
            </w:r>
          </w:p>
        </w:tc>
        <w:tc>
          <w:tcPr>
            <w:tcW w:w="68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pacing w:val="-23"/>
                <w:kern w:val="0"/>
                <w:sz w:val="20"/>
                <w:szCs w:val="20"/>
                <w:u w:val="none"/>
                <w:lang w:val="en-US" w:eastAsia="zh-CN" w:bidi="ar"/>
              </w:rPr>
            </w:pPr>
            <w:r>
              <w:rPr>
                <w:rFonts w:hint="eastAsia" w:ascii="仿宋_GB2312" w:hAnsi="仿宋_GB2312" w:eastAsia="仿宋_GB2312" w:cs="仿宋_GB2312"/>
                <w:i w:val="0"/>
                <w:color w:val="000000"/>
                <w:spacing w:val="-23"/>
                <w:kern w:val="0"/>
                <w:sz w:val="20"/>
                <w:szCs w:val="20"/>
                <w:u w:val="none"/>
                <w:lang w:val="en-US" w:eastAsia="zh-CN" w:bidi="ar"/>
              </w:rPr>
              <w:t>43.06%</w:t>
            </w:r>
          </w:p>
        </w:tc>
        <w:tc>
          <w:tcPr>
            <w:tcW w:w="354"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3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00"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28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60"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58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630"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4914" w:type="dxa"/>
            <w:gridSpan w:val="6"/>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专业拓展课程学分、学时小计</w:t>
            </w:r>
          </w:p>
        </w:tc>
        <w:tc>
          <w:tcPr>
            <w:tcW w:w="829"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80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144</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80</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64</w:t>
            </w:r>
          </w:p>
        </w:tc>
        <w:tc>
          <w:tcPr>
            <w:tcW w:w="354"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3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00"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28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60"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58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630"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4914" w:type="dxa"/>
            <w:gridSpan w:val="6"/>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专业拓展课程学分、学时占比</w:t>
            </w:r>
          </w:p>
        </w:tc>
        <w:tc>
          <w:tcPr>
            <w:tcW w:w="829"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5.67%</w:t>
            </w:r>
          </w:p>
        </w:tc>
        <w:tc>
          <w:tcPr>
            <w:tcW w:w="80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5.40%</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pacing w:val="-6"/>
                <w:kern w:val="0"/>
                <w:sz w:val="20"/>
                <w:szCs w:val="20"/>
                <w:u w:val="none"/>
                <w:lang w:val="en-US" w:eastAsia="zh-CN" w:bidi="ar"/>
              </w:rPr>
            </w:pPr>
            <w:r>
              <w:rPr>
                <w:rFonts w:hint="eastAsia" w:ascii="仿宋_GB2312" w:hAnsi="仿宋_GB2312" w:eastAsia="仿宋_GB2312" w:cs="仿宋_GB2312"/>
                <w:i w:val="0"/>
                <w:color w:val="000000"/>
                <w:spacing w:val="-6"/>
                <w:kern w:val="0"/>
                <w:sz w:val="20"/>
                <w:szCs w:val="20"/>
                <w:u w:val="none"/>
                <w:lang w:val="en-US" w:eastAsia="zh-CN" w:bidi="ar"/>
              </w:rPr>
              <w:t>3.00%</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pacing w:val="-6"/>
                <w:kern w:val="0"/>
                <w:sz w:val="20"/>
                <w:szCs w:val="20"/>
                <w:u w:val="none"/>
                <w:lang w:val="en-US" w:eastAsia="zh-CN" w:bidi="ar"/>
              </w:rPr>
            </w:pPr>
            <w:r>
              <w:rPr>
                <w:rFonts w:hint="eastAsia" w:ascii="仿宋_GB2312" w:hAnsi="仿宋_GB2312" w:eastAsia="仿宋_GB2312" w:cs="仿宋_GB2312"/>
                <w:i w:val="0"/>
                <w:color w:val="000000"/>
                <w:spacing w:val="-6"/>
                <w:kern w:val="0"/>
                <w:sz w:val="20"/>
                <w:szCs w:val="20"/>
                <w:u w:val="none"/>
                <w:lang w:val="en-US" w:eastAsia="zh-CN" w:bidi="ar"/>
              </w:rPr>
              <w:t>2.40%</w:t>
            </w:r>
          </w:p>
        </w:tc>
        <w:tc>
          <w:tcPr>
            <w:tcW w:w="354"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3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00"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28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60"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58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630"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3" w:hRule="atLeast"/>
          <w:jc w:val="center"/>
        </w:trPr>
        <w:tc>
          <w:tcPr>
            <w:tcW w:w="4914" w:type="dxa"/>
            <w:gridSpan w:val="6"/>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总学分、学时合计</w:t>
            </w:r>
          </w:p>
        </w:tc>
        <w:tc>
          <w:tcPr>
            <w:tcW w:w="829"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141</w:t>
            </w:r>
          </w:p>
        </w:tc>
        <w:tc>
          <w:tcPr>
            <w:tcW w:w="802"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2666</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1066</w:t>
            </w:r>
          </w:p>
        </w:tc>
        <w:tc>
          <w:tcPr>
            <w:tcW w:w="68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1600</w:t>
            </w:r>
          </w:p>
        </w:tc>
        <w:tc>
          <w:tcPr>
            <w:tcW w:w="354"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3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00"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28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60"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58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630"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r>
      <w:bookmarkEnd w:id="22"/>
    </w:tbl>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九</w:t>
      </w:r>
      <w:r>
        <w:rPr>
          <w:rFonts w:hint="eastAsia" w:ascii="黑体" w:hAnsi="黑体" w:eastAsia="黑体" w:cs="黑体"/>
          <w:color w:val="auto"/>
          <w:sz w:val="32"/>
          <w:szCs w:val="32"/>
        </w:rPr>
        <w:t>、</w:t>
      </w:r>
      <w:r>
        <w:rPr>
          <w:rFonts w:hint="eastAsia" w:ascii="黑体" w:hAnsi="黑体" w:eastAsia="黑体" w:cs="黑体"/>
          <w:color w:val="auto"/>
          <w:sz w:val="32"/>
          <w:szCs w:val="32"/>
          <w:lang w:val="en-US" w:eastAsia="zh-CN"/>
        </w:rPr>
        <w:t>师资队伍</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按照“四有好老师”“四个相统一”“四个引路人”的要求建设专业教师队伍，将师德师风作为教师队伍建设的第一标准。</w:t>
      </w:r>
    </w:p>
    <w:p>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firstLine="640" w:firstLineChars="200"/>
        <w:textAlignment w:val="auto"/>
        <w:rPr>
          <w:rFonts w:hint="default"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队伍结构</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default" w:ascii="楷体" w:hAnsi="楷体" w:eastAsia="楷体" w:cs="楷体"/>
          <w:b w:val="0"/>
          <w:bCs w:val="0"/>
          <w:color w:val="auto"/>
          <w:sz w:val="32"/>
          <w:szCs w:val="32"/>
          <w:highlight w:val="none"/>
          <w:lang w:val="en-US" w:eastAsia="zh-CN"/>
        </w:rPr>
      </w:pPr>
      <w:r>
        <w:rPr>
          <w:rFonts w:hint="eastAsia" w:ascii="仿宋_GB2312" w:hAnsi="仿宋_GB2312" w:eastAsia="仿宋_GB2312" w:cs="仿宋_GB2312"/>
          <w:color w:val="auto"/>
          <w:sz w:val="32"/>
          <w:szCs w:val="32"/>
          <w:highlight w:val="none"/>
        </w:rPr>
        <w:t>专业教师团队现有专任教师</w:t>
      </w:r>
      <w:r>
        <w:rPr>
          <w:rFonts w:hint="eastAsia" w:ascii="仿宋_GB2312" w:hAnsi="仿宋_GB2312" w:eastAsia="仿宋_GB2312" w:cs="仿宋_GB2312"/>
          <w:color w:val="auto"/>
          <w:sz w:val="32"/>
          <w:szCs w:val="32"/>
          <w:highlight w:val="none"/>
          <w:lang w:val="en-US" w:eastAsia="zh-CN"/>
        </w:rPr>
        <w:t>23</w:t>
      </w:r>
      <w:r>
        <w:rPr>
          <w:rFonts w:hint="eastAsia" w:ascii="仿宋_GB2312" w:hAnsi="仿宋_GB2312" w:eastAsia="仿宋_GB2312" w:cs="仿宋_GB2312"/>
          <w:color w:val="auto"/>
          <w:sz w:val="32"/>
          <w:szCs w:val="32"/>
          <w:highlight w:val="none"/>
        </w:rPr>
        <w:t>人，获取职称人数为</w:t>
      </w:r>
      <w:r>
        <w:rPr>
          <w:rFonts w:hint="eastAsia" w:ascii="仿宋_GB2312" w:hAnsi="仿宋_GB2312" w:eastAsia="仿宋_GB2312" w:cs="仿宋_GB2312"/>
          <w:color w:val="auto"/>
          <w:sz w:val="32"/>
          <w:szCs w:val="32"/>
          <w:highlight w:val="none"/>
          <w:lang w:val="en-US" w:eastAsia="zh-CN"/>
        </w:rPr>
        <w:t>17</w:t>
      </w:r>
      <w:r>
        <w:rPr>
          <w:rFonts w:hint="eastAsia" w:ascii="仿宋_GB2312" w:hAnsi="仿宋_GB2312" w:eastAsia="仿宋_GB2312" w:cs="仿宋_GB2312"/>
          <w:color w:val="auto"/>
          <w:sz w:val="32"/>
          <w:szCs w:val="32"/>
          <w:highlight w:val="none"/>
        </w:rPr>
        <w:t>人。其中副高及以上职称</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人，中级职称</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人，初级职称</w:t>
      </w:r>
      <w:r>
        <w:rPr>
          <w:rFonts w:hint="eastAsia" w:ascii="仿宋_GB2312" w:hAnsi="仿宋_GB2312" w:eastAsia="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rPr>
        <w:t>人。双师型专任教师</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人，具有研究生学位</w:t>
      </w:r>
      <w:r>
        <w:rPr>
          <w:rFonts w:hint="eastAsia" w:ascii="仿宋_GB2312" w:hAnsi="仿宋_GB2312" w:eastAsia="仿宋_GB2312" w:cs="仿宋_GB2312"/>
          <w:color w:val="auto"/>
          <w:sz w:val="32"/>
          <w:szCs w:val="32"/>
          <w:highlight w:val="none"/>
          <w:lang w:eastAsia="zh-CN"/>
        </w:rPr>
        <w:t>教师</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专业带头人</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lang w:val="en-US" w:eastAsia="zh-CN"/>
        </w:rPr>
      </w:pPr>
      <w:r>
        <w:rPr>
          <w:rFonts w:hint="eastAsia" w:ascii="仿宋_GB2312" w:hAnsi="仿宋_GB2312" w:eastAsia="仿宋_GB2312" w:cs="仿宋_GB2312"/>
          <w:color w:val="auto"/>
          <w:sz w:val="32"/>
          <w:szCs w:val="32"/>
          <w:highlight w:val="none"/>
        </w:rPr>
        <w:t>专业带头人原则上应具有副高及以上职称，能够较好地把握国内外婴幼儿管理、医护管理行业、专业发展，能广泛联系行业企业</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了解行业企业对本专业人才的需求实际，教学设计、专业研究能力强，组织开展教科研工作能力强，在本区域或本领域具有一定的专业影响力。本专业带头人为韦小蕊，副主任护师职称，负责本专业的规划与建设、主持专业人才培养方案、课程标准的制定与修订、教材、专业教学标准、专业认证体系的建设工作、负责本专业教学改革和实践技能培养方案的制定等工作。</w:t>
      </w:r>
      <w:r>
        <w:rPr>
          <w:rFonts w:hint="eastAsia" w:ascii="楷体" w:hAnsi="楷体" w:eastAsia="楷体" w:cs="楷体"/>
          <w:color w:val="auto"/>
          <w:sz w:val="32"/>
          <w:szCs w:val="32"/>
        </w:rPr>
        <w:br w:type="textWrapping"/>
      </w:r>
      <w:r>
        <w:rPr>
          <w:rFonts w:hint="eastAsia" w:ascii="楷体" w:hAnsi="楷体" w:eastAsia="楷体" w:cs="楷体"/>
          <w:color w:val="auto"/>
          <w:sz w:val="32"/>
          <w:szCs w:val="32"/>
        </w:rPr>
        <w:t xml:space="preserve">    </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专任教师</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专任教师应具有高校教师资格</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有理想信念、有道德情操、有扎实学识、有仁爱之心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具有婴幼儿管理等相关专业本科及以上学历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具有扎实的本专业相关理论功底和实践能力</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具有较强</w:t>
      </w:r>
      <w:r>
        <w:rPr>
          <w:rFonts w:hint="eastAsia" w:ascii="仿宋_GB2312" w:hAnsi="仿宋_GB2312" w:eastAsia="仿宋_GB2312" w:cs="仿宋_GB2312"/>
          <w:color w:val="auto"/>
          <w:sz w:val="32"/>
          <w:szCs w:val="32"/>
          <w:highlight w:val="none"/>
          <w:lang w:val="en-US" w:eastAsia="zh-CN"/>
        </w:rPr>
        <w:t>的</w:t>
      </w:r>
      <w:r>
        <w:rPr>
          <w:rFonts w:hint="eastAsia" w:ascii="仿宋_GB2312" w:hAnsi="仿宋_GB2312" w:eastAsia="仿宋_GB2312" w:cs="仿宋_GB2312"/>
          <w:color w:val="auto"/>
          <w:sz w:val="32"/>
          <w:szCs w:val="32"/>
          <w:highlight w:val="none"/>
        </w:rPr>
        <w:t>信息化教学能力，能够开展课程教学改革和科学研究</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有每5年累计不少于6个月的企业实践经历。</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兼职教师</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仿宋_GB2312" w:hAnsi="仿宋_GB2312" w:eastAsia="仿宋_GB2312" w:cs="仿宋_GB2312"/>
          <w:color w:val="auto"/>
          <w:sz w:val="32"/>
          <w:szCs w:val="32"/>
          <w:highlight w:val="none"/>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rPr>
      </w:pPr>
      <w:r>
        <w:rPr>
          <w:rFonts w:hint="eastAsia" w:ascii="黑体" w:hAnsi="黑体" w:eastAsia="黑体" w:cs="黑体"/>
          <w:color w:val="auto"/>
          <w:sz w:val="32"/>
          <w:szCs w:val="32"/>
          <w:lang w:val="en-US" w:eastAsia="zh-CN"/>
        </w:rPr>
        <w:t>十、教学条件</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一</w:t>
      </w:r>
      <w:r>
        <w:rPr>
          <w:rFonts w:hint="eastAsia" w:ascii="楷体" w:hAnsi="楷体" w:eastAsia="楷体" w:cs="楷体"/>
          <w:color w:val="auto"/>
          <w:sz w:val="32"/>
          <w:szCs w:val="32"/>
        </w:rPr>
        <w:t>）教学设施</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教学设施主要包括能够满足正常的课程教学、实习实训所需的专业教室、校内实训室和校外实训基地等。</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1.专业教室要求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学校为该专业配备公共教室（配备有多媒体设施）、多媒体教室等，满足理论教学要求。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配有黑（白）板、多媒体计算机、投影设备、音响设备，安装应急照明装置并保持良好状态，符合紧急疏散要求，标志明显，逃生通道畅通无阻。</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校内实训资源</w:t>
      </w:r>
    </w:p>
    <w:p>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kern w:val="0"/>
          <w:sz w:val="32"/>
          <w:szCs w:val="32"/>
        </w:rPr>
        <w:t>校内实训资源列表</w:t>
      </w:r>
    </w:p>
    <w:tbl>
      <w:tblPr>
        <w:tblStyle w:val="8"/>
        <w:tblW w:w="10187" w:type="dxa"/>
        <w:tblInd w:w="-4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8"/>
        <w:gridCol w:w="1159"/>
        <w:gridCol w:w="1014"/>
        <w:gridCol w:w="4018"/>
        <w:gridCol w:w="2372"/>
        <w:gridCol w:w="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648"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1159"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实验实训室名称</w:t>
            </w:r>
          </w:p>
        </w:tc>
        <w:tc>
          <w:tcPr>
            <w:tcW w:w="1014"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实训适用课程</w:t>
            </w:r>
          </w:p>
        </w:tc>
        <w:tc>
          <w:tcPr>
            <w:tcW w:w="4018"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实训项目</w:t>
            </w:r>
          </w:p>
        </w:tc>
        <w:tc>
          <w:tcPr>
            <w:tcW w:w="2372" w:type="dxa"/>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主要设备名称及配置数量</w:t>
            </w:r>
          </w:p>
        </w:tc>
        <w:tc>
          <w:tcPr>
            <w:tcW w:w="976" w:type="dxa"/>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工位数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w:t>
            </w:r>
          </w:p>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rPr>
            </w:pPr>
          </w:p>
        </w:tc>
        <w:tc>
          <w:tcPr>
            <w:tcW w:w="1159"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line="32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highlight w:val="none"/>
              </w:rPr>
              <w:t>育婴室、卫生保健室</w:t>
            </w:r>
          </w:p>
        </w:tc>
        <w:tc>
          <w:tcPr>
            <w:tcW w:w="1014" w:type="dxa"/>
            <w:vAlign w:val="top"/>
          </w:tcPr>
          <w:p>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highlight w:val="none"/>
              </w:rPr>
              <w:t>婴幼儿</w:t>
            </w:r>
            <w:r>
              <w:rPr>
                <w:rFonts w:hint="eastAsia" w:ascii="仿宋_GB2312" w:hAnsi="仿宋_GB2312" w:eastAsia="仿宋_GB2312" w:cs="仿宋_GB2312"/>
                <w:color w:val="auto"/>
                <w:sz w:val="24"/>
                <w:szCs w:val="24"/>
                <w:highlight w:val="none"/>
                <w:lang w:val="en-US" w:eastAsia="zh-CN"/>
              </w:rPr>
              <w:t>卫生</w:t>
            </w:r>
            <w:r>
              <w:rPr>
                <w:rFonts w:hint="eastAsia" w:ascii="仿宋_GB2312" w:hAnsi="仿宋_GB2312" w:eastAsia="仿宋_GB2312" w:cs="仿宋_GB2312"/>
                <w:color w:val="auto"/>
                <w:sz w:val="24"/>
                <w:szCs w:val="24"/>
                <w:highlight w:val="none"/>
              </w:rPr>
              <w:t>与</w:t>
            </w:r>
            <w:r>
              <w:rPr>
                <w:rFonts w:hint="eastAsia" w:ascii="仿宋_GB2312" w:hAnsi="仿宋_GB2312" w:eastAsia="仿宋_GB2312" w:cs="仿宋_GB2312"/>
                <w:color w:val="auto"/>
                <w:sz w:val="24"/>
                <w:szCs w:val="24"/>
                <w:highlight w:val="none"/>
                <w:lang w:val="en-US" w:eastAsia="zh-CN"/>
              </w:rPr>
              <w:t>保健、婴幼儿伤害预防与处理、婴幼儿常见病识别与预防</w:t>
            </w:r>
          </w:p>
        </w:tc>
        <w:tc>
          <w:tcPr>
            <w:tcW w:w="4018" w:type="dxa"/>
            <w:vAlign w:val="top"/>
          </w:tcPr>
          <w:p>
            <w:pPr>
              <w:keepNext w:val="0"/>
              <w:keepLines w:val="0"/>
              <w:pageBreakBefore w:val="0"/>
              <w:widowControl w:val="0"/>
              <w:kinsoku/>
              <w:wordWrap/>
              <w:overflowPunct w:val="0"/>
              <w:topLinePunct w:val="0"/>
              <w:autoSpaceDE/>
              <w:autoSpaceDN/>
              <w:bidi w:val="0"/>
              <w:adjustRightInd w:val="0"/>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婴幼儿卫生与保健：通过实训室的设备设施，可以锻炼学生在</w:t>
            </w:r>
            <w:r>
              <w:rPr>
                <w:rFonts w:hint="eastAsia" w:ascii="仿宋_GB2312" w:hAnsi="仿宋_GB2312" w:eastAsia="仿宋_GB2312" w:cs="仿宋_GB2312"/>
                <w:color w:val="auto"/>
                <w:sz w:val="24"/>
                <w:szCs w:val="24"/>
                <w:highlight w:val="none"/>
              </w:rPr>
              <w:t>婴幼儿生活照料</w:t>
            </w:r>
            <w:r>
              <w:rPr>
                <w:rFonts w:hint="eastAsia" w:ascii="仿宋_GB2312" w:hAnsi="仿宋_GB2312" w:eastAsia="仿宋_GB2312" w:cs="仿宋_GB2312"/>
                <w:color w:val="auto"/>
                <w:sz w:val="24"/>
                <w:szCs w:val="24"/>
                <w:highlight w:val="none"/>
                <w:lang w:val="en-US" w:eastAsia="zh-CN"/>
              </w:rPr>
              <w:t>方面的</w:t>
            </w:r>
            <w:r>
              <w:rPr>
                <w:rFonts w:hint="eastAsia" w:ascii="仿宋_GB2312" w:hAnsi="仿宋_GB2312" w:eastAsia="仿宋_GB2312" w:cs="仿宋_GB2312"/>
                <w:color w:val="auto"/>
                <w:sz w:val="24"/>
                <w:szCs w:val="24"/>
                <w:highlight w:val="none"/>
              </w:rPr>
              <w:t>技术：包括婴幼儿的喂养、换尿布、穿衣、洗澡等日常照护技能的实训。</w:t>
            </w:r>
          </w:p>
          <w:p>
            <w:pPr>
              <w:keepNext w:val="0"/>
              <w:keepLines w:val="0"/>
              <w:pageBreakBefore w:val="0"/>
              <w:widowControl w:val="0"/>
              <w:kinsoku/>
              <w:wordWrap/>
              <w:overflowPunct w:val="0"/>
              <w:topLinePunct w:val="0"/>
              <w:autoSpaceDE/>
              <w:autoSpaceDN/>
              <w:bidi w:val="0"/>
              <w:adjustRightInd w:val="0"/>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婴幼儿伤害预防与处理：可在实训室中学生利用模拟仿真娃娃掌握婴幼儿海姆立克急救法、婴幼儿心肺复苏、伤口止血、消毒、包扎、处理等基础婴幼儿意外伤害与急救措施。</w:t>
            </w:r>
          </w:p>
          <w:p>
            <w:pPr>
              <w:keepNext w:val="0"/>
              <w:keepLines w:val="0"/>
              <w:pageBreakBefore w:val="0"/>
              <w:widowControl w:val="0"/>
              <w:kinsoku/>
              <w:wordWrap/>
              <w:overflowPunct w:val="0"/>
              <w:topLinePunct w:val="0"/>
              <w:autoSpaceDE/>
              <w:autoSpaceDN/>
              <w:bidi w:val="0"/>
              <w:adjustRightInd w:val="0"/>
              <w:snapToGrid/>
              <w:spacing w:after="0" w:line="32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highlight w:val="none"/>
                <w:lang w:val="en-US" w:eastAsia="zh-CN"/>
              </w:rPr>
              <w:t>婴幼儿常见疾病与预防</w:t>
            </w:r>
            <w:r>
              <w:rPr>
                <w:rFonts w:hint="eastAsia" w:ascii="仿宋_GB2312" w:hAnsi="仿宋_GB2312" w:eastAsia="仿宋_GB2312" w:cs="仿宋_GB2312"/>
                <w:color w:val="auto"/>
                <w:sz w:val="24"/>
                <w:szCs w:val="24"/>
                <w:highlight w:val="none"/>
              </w:rPr>
              <w:t>：掌握婴幼儿免疫力提升的基本理论和操作方法，能够对婴幼儿开展“三浴”锻炼、抚触和被动操等保健工作。</w:t>
            </w:r>
          </w:p>
        </w:tc>
        <w:tc>
          <w:tcPr>
            <w:tcW w:w="2372"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highlight w:val="none"/>
              </w:rPr>
              <w:t>医疗仪器器械消毒车2台、儿童秤2台、视力表灯箱2个、量床2台、身高体重测量称1台、听诊器3个、药箱3个感统教具1套、手腕式电子血压测量仪2个、西药柜3个、婴儿模具60个、婴儿洗澡盆10个、日用杂品·婴儿连体衣27套、抱被20</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康婴榄油30套、贝多芬奶瓶15个、婴儿口水巾2个、爱婴堡洗发沐浴露10瓶</w:t>
            </w:r>
            <w:r>
              <w:rPr>
                <w:rFonts w:hint="eastAsia" w:ascii="仿宋_GB2312" w:hAnsi="仿宋_GB2312" w:eastAsia="仿宋_GB2312" w:cs="仿宋_GB2312"/>
                <w:color w:val="auto"/>
                <w:sz w:val="24"/>
                <w:szCs w:val="24"/>
                <w:highlight w:val="none"/>
                <w:lang w:eastAsia="zh-CN"/>
              </w:rPr>
              <w:t>。</w:t>
            </w:r>
          </w:p>
        </w:tc>
        <w:tc>
          <w:tcPr>
            <w:tcW w:w="976"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highlight w:val="none"/>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p>
        </w:tc>
        <w:tc>
          <w:tcPr>
            <w:tcW w:w="1159"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highlight w:val="none"/>
              </w:rPr>
              <w:t>幼儿园模拟实训室</w:t>
            </w:r>
          </w:p>
        </w:tc>
        <w:tc>
          <w:tcPr>
            <w:tcW w:w="1014" w:type="dxa"/>
            <w:vAlign w:val="top"/>
          </w:tcPr>
          <w:p>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highlight w:val="none"/>
                <w:lang w:val="en-US" w:eastAsia="zh-CN"/>
              </w:rPr>
              <w:t>婴幼儿游戏活动实施、婴幼儿亲子活动</w:t>
            </w:r>
          </w:p>
        </w:tc>
        <w:tc>
          <w:tcPr>
            <w:tcW w:w="4018" w:type="dxa"/>
            <w:vAlign w:val="top"/>
          </w:tcPr>
          <w:p>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highlight w:val="none"/>
                <w:lang w:val="en-US" w:eastAsia="zh-CN"/>
              </w:rPr>
              <w:t>婴幼儿游戏活动实施：能够利用宽敞的实训室场地，分小组进行婴幼儿不同年龄阶段的、不同内容发展的游戏活动设计与实施，在实施过程中学生可模拟开展婴幼儿游戏活动课。婴幼儿亲子活动：能够运用模拟实训室，学生分小组开展婴幼儿模拟亲子活动实操课，感受作为育婴师如何有效组织家长与宝宝开展一节完整的亲子活动课。</w:t>
            </w:r>
            <w:r>
              <w:rPr>
                <w:rFonts w:hint="eastAsia" w:ascii="仿宋_GB2312" w:hAnsi="仿宋_GB2312" w:eastAsia="仿宋_GB2312" w:cs="仿宋_GB2312"/>
                <w:color w:val="auto"/>
                <w:sz w:val="24"/>
                <w:szCs w:val="24"/>
                <w:highlight w:val="none"/>
                <w:shd w:val="clear" w:color="auto" w:fill="FFFFFF"/>
                <w:lang w:val="en-US" w:eastAsia="zh-CN"/>
              </w:rPr>
              <w:t>婴幼儿照护机构环境创设：</w:t>
            </w:r>
            <w:r>
              <w:rPr>
                <w:rFonts w:hint="eastAsia" w:ascii="仿宋_GB2312" w:hAnsi="仿宋_GB2312" w:eastAsia="仿宋_GB2312" w:cs="仿宋_GB2312"/>
                <w:color w:val="auto"/>
                <w:sz w:val="24"/>
                <w:szCs w:val="24"/>
                <w:highlight w:val="none"/>
              </w:rPr>
              <w:t>学生根据课程要求，利用实训室内的材料和工具，设计和布置符合</w:t>
            </w:r>
            <w:r>
              <w:rPr>
                <w:rFonts w:hint="eastAsia" w:ascii="仿宋_GB2312" w:hAnsi="仿宋_GB2312" w:eastAsia="仿宋_GB2312" w:cs="仿宋_GB2312"/>
                <w:color w:val="auto"/>
                <w:sz w:val="24"/>
                <w:szCs w:val="24"/>
                <w:highlight w:val="none"/>
                <w:lang w:val="en-US" w:eastAsia="zh-CN"/>
              </w:rPr>
              <w:t>婴幼儿</w:t>
            </w:r>
            <w:r>
              <w:rPr>
                <w:rFonts w:hint="eastAsia" w:ascii="仿宋_GB2312" w:hAnsi="仿宋_GB2312" w:eastAsia="仿宋_GB2312" w:cs="仿宋_GB2312"/>
                <w:color w:val="auto"/>
                <w:sz w:val="24"/>
                <w:szCs w:val="24"/>
                <w:highlight w:val="none"/>
              </w:rPr>
              <w:t>年龄特点和教育需求的环境。</w:t>
            </w:r>
          </w:p>
        </w:tc>
        <w:tc>
          <w:tcPr>
            <w:tcW w:w="2372"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玩具36箱、凳子99张、桌子16张、电钢琴4台、三角钢琴1台、立式钢琴1台、白板1张、饮水机1个</w:t>
            </w:r>
            <w:r>
              <w:rPr>
                <w:rFonts w:hint="eastAsia" w:ascii="仿宋_GB2312" w:hAnsi="仿宋_GB2312" w:eastAsia="仿宋_GB2312" w:cs="仿宋_GB2312"/>
                <w:color w:val="auto"/>
                <w:sz w:val="24"/>
                <w:szCs w:val="24"/>
                <w:highlight w:val="none"/>
                <w:lang w:eastAsia="zh-CN"/>
              </w:rPr>
              <w:t>。</w:t>
            </w:r>
          </w:p>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szCs w:val="24"/>
                <w:highlight w:val="none"/>
                <w:lang w:eastAsia="zh-CN"/>
              </w:rPr>
            </w:pPr>
          </w:p>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szCs w:val="24"/>
                <w:highlight w:val="none"/>
                <w:lang w:eastAsia="zh-CN"/>
              </w:rPr>
            </w:pPr>
          </w:p>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rPr>
            </w:pPr>
          </w:p>
        </w:tc>
        <w:tc>
          <w:tcPr>
            <w:tcW w:w="976"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ind w:firstLine="240" w:firstLineChars="100"/>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highlight w:val="none"/>
              </w:rPr>
              <w:t>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highlight w:val="none"/>
                <w:lang w:val="en-US" w:eastAsia="zh-CN"/>
              </w:rPr>
              <w:t>3</w:t>
            </w:r>
          </w:p>
        </w:tc>
        <w:tc>
          <w:tcPr>
            <w:tcW w:w="1159"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highlight w:val="none"/>
                <w:lang w:val="en-US" w:eastAsia="zh-CN"/>
              </w:rPr>
              <w:t>微格实训室</w:t>
            </w:r>
          </w:p>
        </w:tc>
        <w:tc>
          <w:tcPr>
            <w:tcW w:w="1014" w:type="dxa"/>
            <w:vAlign w:val="top"/>
          </w:tcPr>
          <w:p>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eastAsia" w:ascii="仿宋_GB2312" w:hAnsi="仿宋_GB2312" w:eastAsia="仿宋_GB2312" w:cs="仿宋_GB2312"/>
                <w:color w:val="auto"/>
                <w:sz w:val="24"/>
                <w:szCs w:val="24"/>
                <w:highlight w:val="none"/>
                <w:shd w:val="clear" w:color="auto" w:fill="FFFFFF"/>
                <w:lang w:val="en-US" w:eastAsia="zh-CN"/>
              </w:rPr>
            </w:pPr>
          </w:p>
          <w:p>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highlight w:val="none"/>
                <w:shd w:val="clear" w:color="auto" w:fill="FFFFFF"/>
                <w:lang w:val="en-US" w:eastAsia="zh-CN"/>
              </w:rPr>
              <w:t>婴幼儿动作发展与训练</w:t>
            </w:r>
          </w:p>
        </w:tc>
        <w:tc>
          <w:tcPr>
            <w:tcW w:w="4018" w:type="dxa"/>
            <w:vAlign w:val="top"/>
          </w:tcPr>
          <w:p>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highlight w:val="none"/>
                <w:shd w:val="clear" w:color="auto" w:fill="FFFFFF"/>
                <w:lang w:val="en-US" w:eastAsia="zh-CN"/>
              </w:rPr>
              <w:t>婴幼儿动作发展与训练：在实训室中，学生可以运用实训室进行模拟活动，能</w:t>
            </w:r>
            <w:r>
              <w:rPr>
                <w:rFonts w:hint="eastAsia" w:ascii="仿宋_GB2312" w:hAnsi="仿宋_GB2312" w:eastAsia="仿宋_GB2312" w:cs="仿宋_GB2312"/>
                <w:color w:val="auto"/>
                <w:sz w:val="24"/>
                <w:szCs w:val="24"/>
                <w:highlight w:val="none"/>
                <w:shd w:val="clear" w:color="auto" w:fill="FFFFFF"/>
              </w:rPr>
              <w:t>够根据婴幼儿不同年龄段的动作发展水平，精准选择并运用适宜的训练方法与活动设计，</w:t>
            </w:r>
            <w:r>
              <w:rPr>
                <w:rFonts w:hint="eastAsia" w:ascii="仿宋_GB2312" w:hAnsi="仿宋_GB2312" w:eastAsia="仿宋_GB2312" w:cs="仿宋_GB2312"/>
                <w:color w:val="auto"/>
                <w:sz w:val="24"/>
                <w:szCs w:val="24"/>
                <w:highlight w:val="none"/>
                <w:shd w:val="clear" w:color="auto" w:fill="FFFFFF"/>
                <w:lang w:val="en-US" w:eastAsia="zh-CN"/>
              </w:rPr>
              <w:t>开展婴幼儿动作发展的相关模拟实训活动。</w:t>
            </w:r>
          </w:p>
        </w:tc>
        <w:tc>
          <w:tcPr>
            <w:tcW w:w="2372"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教学一体机</w:t>
            </w: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rPr>
              <w:t>台、钢琴</w:t>
            </w: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rPr>
              <w:t>台、桌椅</w:t>
            </w:r>
            <w:r>
              <w:rPr>
                <w:rFonts w:hint="eastAsia" w:ascii="仿宋_GB2312" w:hAnsi="仿宋_GB2312" w:eastAsia="仿宋_GB2312" w:cs="仿宋_GB2312"/>
                <w:color w:val="auto"/>
                <w:sz w:val="24"/>
                <w:szCs w:val="24"/>
                <w:highlight w:val="none"/>
                <w:lang w:val="en-US" w:eastAsia="zh-CN"/>
              </w:rPr>
              <w:t>80</w:t>
            </w:r>
            <w:r>
              <w:rPr>
                <w:rFonts w:hint="eastAsia" w:ascii="仿宋_GB2312" w:hAnsi="仿宋_GB2312" w:eastAsia="仿宋_GB2312" w:cs="仿宋_GB2312"/>
                <w:color w:val="auto"/>
                <w:sz w:val="24"/>
                <w:szCs w:val="24"/>
                <w:highlight w:val="none"/>
              </w:rPr>
              <w:t>套、微格系统</w:t>
            </w: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rPr>
              <w:t>套</w:t>
            </w:r>
            <w:r>
              <w:rPr>
                <w:rFonts w:hint="eastAsia" w:ascii="仿宋_GB2312" w:hAnsi="仿宋_GB2312" w:eastAsia="仿宋_GB2312" w:cs="仿宋_GB2312"/>
                <w:color w:val="auto"/>
                <w:sz w:val="24"/>
                <w:szCs w:val="24"/>
                <w:highlight w:val="none"/>
                <w:lang w:eastAsia="zh-CN"/>
              </w:rPr>
              <w:t>。</w:t>
            </w:r>
          </w:p>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rPr>
            </w:pPr>
          </w:p>
        </w:tc>
        <w:tc>
          <w:tcPr>
            <w:tcW w:w="976"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highlight w:val="none"/>
                <w:lang w:val="en-US" w:eastAsia="zh-CN"/>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0" w:hRule="atLeast"/>
        </w:trPr>
        <w:tc>
          <w:tcPr>
            <w:tcW w:w="648"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p>
        </w:tc>
        <w:tc>
          <w:tcPr>
            <w:tcW w:w="1159"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奥尔夫音乐实训室</w:t>
            </w:r>
          </w:p>
          <w:p>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1014" w:type="dxa"/>
            <w:vAlign w:val="top"/>
          </w:tcPr>
          <w:p>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eastAsia" w:ascii="仿宋_GB2312" w:hAnsi="仿宋_GB2312" w:eastAsia="仿宋_GB2312" w:cs="仿宋_GB2312"/>
                <w:color w:val="auto"/>
                <w:sz w:val="24"/>
                <w:szCs w:val="24"/>
                <w:highlight w:val="none"/>
                <w:shd w:val="clear" w:color="auto" w:fill="FFFFFF"/>
                <w:lang w:val="en-US" w:eastAsia="zh-CN"/>
              </w:rPr>
            </w:pPr>
          </w:p>
          <w:p>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eastAsia" w:ascii="仿宋_GB2312" w:hAnsi="仿宋_GB2312" w:eastAsia="仿宋_GB2312" w:cs="仿宋_GB2312"/>
                <w:color w:val="auto"/>
                <w:sz w:val="24"/>
                <w:szCs w:val="24"/>
                <w:highlight w:val="none"/>
                <w:shd w:val="clear" w:color="auto" w:fill="FFFFFF"/>
                <w:lang w:val="en-US" w:eastAsia="zh-CN"/>
              </w:rPr>
            </w:pPr>
          </w:p>
          <w:p>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eastAsia" w:ascii="仿宋_GB2312" w:hAnsi="仿宋_GB2312" w:eastAsia="仿宋_GB2312" w:cs="仿宋_GB2312"/>
                <w:color w:val="auto"/>
                <w:sz w:val="24"/>
                <w:szCs w:val="24"/>
                <w:highlight w:val="none"/>
                <w:shd w:val="clear" w:color="auto" w:fill="FFFFFF"/>
                <w:lang w:val="en-US" w:eastAsia="zh-CN"/>
              </w:rPr>
            </w:pPr>
          </w:p>
          <w:p>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highlight w:val="none"/>
                <w:shd w:val="clear" w:color="auto" w:fill="FFFFFF"/>
                <w:lang w:val="en-US" w:eastAsia="zh-CN"/>
              </w:rPr>
              <w:t>0-3岁婴幼儿奥尔夫音乐教育</w:t>
            </w:r>
          </w:p>
        </w:tc>
        <w:tc>
          <w:tcPr>
            <w:tcW w:w="4018" w:type="dxa"/>
            <w:vAlign w:val="top"/>
          </w:tcPr>
          <w:p>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highlight w:val="none"/>
                <w:shd w:val="clear" w:color="auto" w:fill="FFFFFF"/>
                <w:lang w:val="en-US" w:eastAsia="zh-CN"/>
              </w:rPr>
              <w:t>0-3岁婴幼儿奥尔夫音乐教育：掌握0-3岁婴幼儿奥尔夫音乐教育理论知识及实操技能，如认识各种奥尔夫小乐器、掌握各种小乐器的运用方法，如</w:t>
            </w:r>
            <w:r>
              <w:rPr>
                <w:rFonts w:hint="eastAsia" w:ascii="仿宋_GB2312" w:hAnsi="仿宋_GB2312" w:eastAsia="仿宋_GB2312" w:cs="仿宋_GB2312"/>
                <w:color w:val="auto"/>
                <w:sz w:val="24"/>
                <w:szCs w:val="24"/>
              </w:rPr>
              <w:t>听力训练：通过听音乐、辨音等方式，提高学生的音乐感知能力。节奏训练：使用打击乐器（如非洲鼓、卡宏鼓、邦戈鼓等）进行节奏练习，培养学生的节奏感。律动训练：结合音乐进行身体律动练习，提高学生的身体协调性和音乐表现力。</w:t>
            </w:r>
            <w:r>
              <w:rPr>
                <w:rFonts w:hint="eastAsia" w:ascii="仿宋_GB2312" w:hAnsi="仿宋_GB2312" w:eastAsia="仿宋_GB2312" w:cs="仿宋_GB2312"/>
                <w:color w:val="auto"/>
                <w:sz w:val="24"/>
                <w:szCs w:val="24"/>
                <w:highlight w:val="none"/>
                <w:shd w:val="clear" w:color="auto" w:fill="FFFFFF"/>
                <w:lang w:val="en-US" w:eastAsia="zh-CN"/>
              </w:rPr>
              <w:t>能够运用各种小乐器进行不同月龄婴幼儿的奥尔夫音乐教育模拟实训活动。（如腕铃、响板、沙锤、三角铁等）</w:t>
            </w:r>
            <w:r>
              <w:rPr>
                <w:rFonts w:hint="eastAsia" w:ascii="仿宋_GB2312" w:hAnsi="仿宋_GB2312" w:eastAsia="仿宋_GB2312" w:cs="仿宋_GB2312"/>
                <w:color w:val="auto"/>
                <w:sz w:val="24"/>
                <w:szCs w:val="24"/>
                <w:highlight w:val="none"/>
                <w:shd w:val="clear" w:color="auto" w:fill="FFFFFF"/>
              </w:rPr>
              <w:t>。</w:t>
            </w:r>
          </w:p>
        </w:tc>
        <w:tc>
          <w:tcPr>
            <w:tcW w:w="2372"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szCs w:val="24"/>
              </w:rPr>
            </w:pPr>
          </w:p>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szCs w:val="24"/>
              </w:rPr>
            </w:pPr>
          </w:p>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rPr>
              <w:t>奥尔夫</w:t>
            </w:r>
            <w:r>
              <w:rPr>
                <w:rFonts w:hint="eastAsia" w:ascii="仿宋_GB2312" w:hAnsi="仿宋_GB2312" w:eastAsia="仿宋_GB2312" w:cs="仿宋_GB2312"/>
                <w:color w:val="auto"/>
                <w:sz w:val="24"/>
                <w:szCs w:val="24"/>
                <w:lang w:val="en-US" w:eastAsia="zh-CN"/>
              </w:rPr>
              <w:t>教具</w:t>
            </w:r>
            <w:r>
              <w:rPr>
                <w:rFonts w:hint="eastAsia" w:ascii="仿宋_GB2312" w:hAnsi="仿宋_GB2312" w:eastAsia="仿宋_GB2312" w:cs="仿宋_GB2312"/>
                <w:color w:val="auto"/>
                <w:sz w:val="24"/>
                <w:szCs w:val="24"/>
              </w:rPr>
              <w:t>1套</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lang w:val="en-US" w:eastAsia="zh-CN"/>
              </w:rPr>
              <w:t>如沙锤、三角铁、响板等奥尔夫小乐器</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、钢琴1台、凳子60张、电视1台</w:t>
            </w:r>
            <w:r>
              <w:rPr>
                <w:rFonts w:hint="eastAsia" w:ascii="仿宋_GB2312" w:hAnsi="仿宋_GB2312" w:eastAsia="仿宋_GB2312" w:cs="仿宋_GB2312"/>
                <w:color w:val="auto"/>
                <w:sz w:val="24"/>
                <w:szCs w:val="24"/>
                <w:lang w:eastAsia="zh-CN"/>
              </w:rPr>
              <w:t>。</w:t>
            </w:r>
          </w:p>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szCs w:val="24"/>
                <w:lang w:eastAsia="zh-CN"/>
              </w:rPr>
            </w:pPr>
          </w:p>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szCs w:val="24"/>
                <w:lang w:eastAsia="zh-CN"/>
              </w:rPr>
            </w:pPr>
          </w:p>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color w:val="auto"/>
                <w:sz w:val="24"/>
                <w:szCs w:val="24"/>
                <w:lang w:eastAsia="zh-CN"/>
              </w:rPr>
            </w:pPr>
          </w:p>
        </w:tc>
        <w:tc>
          <w:tcPr>
            <w:tcW w:w="976"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highlight w:val="none"/>
                <w:lang w:val="en-US" w:eastAsia="zh-CN"/>
              </w:rPr>
              <w:t>60</w:t>
            </w:r>
          </w:p>
        </w:tc>
      </w:tr>
    </w:tbl>
    <w:p>
      <w:pPr>
        <w:pStyle w:val="2"/>
        <w:pageBreakBefore w:val="0"/>
        <w:widowControl/>
        <w:kinsoku/>
        <w:wordWrap/>
        <w:topLinePunct w:val="0"/>
        <w:autoSpaceDE/>
        <w:autoSpaceDN/>
        <w:bidi w:val="0"/>
        <w:snapToGrid/>
        <w:spacing w:before="0"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3.校外实训资源</w:t>
      </w:r>
    </w:p>
    <w:p>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（1）校外实训基地基本要求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实验、实训场所面积、设备设施、安全、环境、管理等符合教育部有关标准（规定、办法），实验、实训环境与设备设施对接真实职业场景或工作情境，实训项目注重工学结合、理实一体化，实验、实训指导教师配备合理，实验、实训管理及实施规章制度齐全，确保能够顺利开展婴幼儿生活照料、婴幼儿游戏活动实施、婴幼儿卫生保健、婴幼儿急救、智慧托育服务与管理等实训活动。</w:t>
      </w:r>
    </w:p>
    <w:p>
      <w:pPr>
        <w:keepNext w:val="0"/>
        <w:keepLines w:val="0"/>
        <w:pageBreakBefore w:val="0"/>
        <w:widowControl w:val="0"/>
        <w:numPr>
          <w:ilvl w:val="0"/>
          <w:numId w:val="3"/>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学生实习基地基本要求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符合《职业学校学生实习管理规定》《职业学校校企合作促进办法》等对实习单位的有关 要求，经实地考察后，确定合法经营、管理规范，实习条件完备且符合行业发展实际、符合安全生产法律法规要求，与学校建立稳定合作关系的单位成为实习基地</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能够配备相应数量的指导教师对学生实习进行指导和管理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有保证实习生日常工作、学习、生活的规章制度，有安全、保险保障。</w:t>
      </w:r>
    </w:p>
    <w:p>
      <w:pPr>
        <w:pageBreakBefore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校外实习基地一览表</w:t>
      </w:r>
    </w:p>
    <w:tbl>
      <w:tblPr>
        <w:tblStyle w:val="8"/>
        <w:tblW w:w="10106" w:type="dxa"/>
        <w:tblInd w:w="-4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3433"/>
        <w:gridCol w:w="2138"/>
        <w:gridCol w:w="1312"/>
        <w:gridCol w:w="1323"/>
        <w:gridCol w:w="1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343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校外实习基地名称</w:t>
            </w:r>
          </w:p>
        </w:tc>
        <w:tc>
          <w:tcPr>
            <w:tcW w:w="2138"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合作企业名称</w:t>
            </w:r>
          </w:p>
        </w:tc>
        <w:tc>
          <w:tcPr>
            <w:tcW w:w="1312"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用途</w:t>
            </w:r>
          </w:p>
        </w:tc>
        <w:tc>
          <w:tcPr>
            <w:tcW w:w="132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合作深</w:t>
            </w:r>
          </w:p>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度要求</w:t>
            </w:r>
          </w:p>
        </w:tc>
        <w:tc>
          <w:tcPr>
            <w:tcW w:w="119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接纳学生实习人次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343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w:t>
            </w:r>
            <w:r>
              <w:rPr>
                <w:rFonts w:hint="eastAsia" w:ascii="仿宋_GB2312" w:hAnsi="仿宋_GB2312" w:eastAsia="仿宋_GB2312" w:cs="仿宋_GB2312"/>
                <w:color w:val="auto"/>
                <w:sz w:val="24"/>
                <w:lang w:eastAsia="zh-CN"/>
              </w:rPr>
              <w:t>婴幼儿托育服务与管理</w:t>
            </w:r>
            <w:r>
              <w:rPr>
                <w:rFonts w:hint="eastAsia" w:ascii="仿宋_GB2312" w:hAnsi="仿宋_GB2312" w:eastAsia="仿宋_GB2312" w:cs="仿宋_GB2312"/>
                <w:color w:val="auto"/>
                <w:sz w:val="24"/>
              </w:rPr>
              <w:t>专业校外实习基地</w:t>
            </w:r>
          </w:p>
        </w:tc>
        <w:tc>
          <w:tcPr>
            <w:tcW w:w="2138"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南宁良庆区育龙幼儿园</w:t>
            </w:r>
          </w:p>
        </w:tc>
        <w:tc>
          <w:tcPr>
            <w:tcW w:w="1312"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32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19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w:t>
            </w:r>
          </w:p>
        </w:tc>
        <w:tc>
          <w:tcPr>
            <w:tcW w:w="343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w:t>
            </w:r>
            <w:r>
              <w:rPr>
                <w:rFonts w:hint="eastAsia" w:ascii="仿宋_GB2312" w:hAnsi="仿宋_GB2312" w:eastAsia="仿宋_GB2312" w:cs="仿宋_GB2312"/>
                <w:color w:val="auto"/>
                <w:sz w:val="24"/>
                <w:lang w:eastAsia="zh-CN"/>
              </w:rPr>
              <w:t>婴幼儿托育服务与管理</w:t>
            </w:r>
            <w:r>
              <w:rPr>
                <w:rFonts w:hint="eastAsia" w:ascii="仿宋_GB2312" w:hAnsi="仿宋_GB2312" w:eastAsia="仿宋_GB2312" w:cs="仿宋_GB2312"/>
                <w:color w:val="auto"/>
                <w:sz w:val="24"/>
              </w:rPr>
              <w:t>专业校外实习基地</w:t>
            </w:r>
          </w:p>
        </w:tc>
        <w:tc>
          <w:tcPr>
            <w:tcW w:w="2138"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南宁市幸福泉幼儿园</w:t>
            </w:r>
          </w:p>
        </w:tc>
        <w:tc>
          <w:tcPr>
            <w:tcW w:w="1312"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32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19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w:t>
            </w:r>
          </w:p>
        </w:tc>
        <w:tc>
          <w:tcPr>
            <w:tcW w:w="343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w:t>
            </w:r>
            <w:r>
              <w:rPr>
                <w:rFonts w:hint="eastAsia" w:ascii="仿宋_GB2312" w:hAnsi="仿宋_GB2312" w:eastAsia="仿宋_GB2312" w:cs="仿宋_GB2312"/>
                <w:color w:val="auto"/>
                <w:sz w:val="24"/>
                <w:lang w:eastAsia="zh-CN"/>
              </w:rPr>
              <w:t>婴幼儿托育服务与管理</w:t>
            </w:r>
            <w:r>
              <w:rPr>
                <w:rFonts w:hint="eastAsia" w:ascii="仿宋_GB2312" w:hAnsi="仿宋_GB2312" w:eastAsia="仿宋_GB2312" w:cs="仿宋_GB2312"/>
                <w:color w:val="auto"/>
                <w:sz w:val="24"/>
              </w:rPr>
              <w:t>专业校外实习基地</w:t>
            </w:r>
          </w:p>
        </w:tc>
        <w:tc>
          <w:tcPr>
            <w:tcW w:w="2138"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南宁市邕宁区金英子幼儿园</w:t>
            </w:r>
          </w:p>
        </w:tc>
        <w:tc>
          <w:tcPr>
            <w:tcW w:w="1312"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32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19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w:t>
            </w:r>
          </w:p>
        </w:tc>
        <w:tc>
          <w:tcPr>
            <w:tcW w:w="343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w:t>
            </w:r>
            <w:r>
              <w:rPr>
                <w:rFonts w:hint="eastAsia" w:ascii="仿宋_GB2312" w:hAnsi="仿宋_GB2312" w:eastAsia="仿宋_GB2312" w:cs="仿宋_GB2312"/>
                <w:color w:val="auto"/>
                <w:sz w:val="24"/>
                <w:lang w:eastAsia="zh-CN"/>
              </w:rPr>
              <w:t>婴幼儿托育服务与管理</w:t>
            </w:r>
            <w:r>
              <w:rPr>
                <w:rFonts w:hint="eastAsia" w:ascii="仿宋_GB2312" w:hAnsi="仿宋_GB2312" w:eastAsia="仿宋_GB2312" w:cs="仿宋_GB2312"/>
                <w:color w:val="auto"/>
                <w:sz w:val="24"/>
              </w:rPr>
              <w:t>专业校外实习基地</w:t>
            </w:r>
          </w:p>
        </w:tc>
        <w:tc>
          <w:tcPr>
            <w:tcW w:w="2138"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南宁市贝迪格林幼儿园</w:t>
            </w:r>
          </w:p>
        </w:tc>
        <w:tc>
          <w:tcPr>
            <w:tcW w:w="1312"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32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19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5</w:t>
            </w:r>
          </w:p>
        </w:tc>
        <w:tc>
          <w:tcPr>
            <w:tcW w:w="343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w:t>
            </w:r>
            <w:r>
              <w:rPr>
                <w:rFonts w:hint="eastAsia" w:ascii="仿宋_GB2312" w:hAnsi="仿宋_GB2312" w:eastAsia="仿宋_GB2312" w:cs="仿宋_GB2312"/>
                <w:color w:val="auto"/>
                <w:sz w:val="24"/>
                <w:lang w:eastAsia="zh-CN"/>
              </w:rPr>
              <w:t>婴幼儿托育服务与管理</w:t>
            </w:r>
            <w:r>
              <w:rPr>
                <w:rFonts w:hint="eastAsia" w:ascii="仿宋_GB2312" w:hAnsi="仿宋_GB2312" w:eastAsia="仿宋_GB2312" w:cs="仿宋_GB2312"/>
                <w:color w:val="auto"/>
                <w:sz w:val="24"/>
              </w:rPr>
              <w:t>专业校外实习基地</w:t>
            </w:r>
          </w:p>
        </w:tc>
        <w:tc>
          <w:tcPr>
            <w:tcW w:w="2138"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南宁市童心怡幼儿园</w:t>
            </w:r>
          </w:p>
        </w:tc>
        <w:tc>
          <w:tcPr>
            <w:tcW w:w="1312"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32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19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6</w:t>
            </w:r>
          </w:p>
        </w:tc>
        <w:tc>
          <w:tcPr>
            <w:tcW w:w="343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w:t>
            </w:r>
            <w:r>
              <w:rPr>
                <w:rFonts w:hint="eastAsia" w:ascii="仿宋_GB2312" w:hAnsi="仿宋_GB2312" w:eastAsia="仿宋_GB2312" w:cs="仿宋_GB2312"/>
                <w:color w:val="auto"/>
                <w:sz w:val="24"/>
                <w:lang w:eastAsia="zh-CN"/>
              </w:rPr>
              <w:t>婴幼儿托育服务与管理</w:t>
            </w:r>
            <w:r>
              <w:rPr>
                <w:rFonts w:hint="eastAsia" w:ascii="仿宋_GB2312" w:hAnsi="仿宋_GB2312" w:eastAsia="仿宋_GB2312" w:cs="仿宋_GB2312"/>
                <w:color w:val="auto"/>
                <w:sz w:val="24"/>
              </w:rPr>
              <w:t>专业校外实习基地</w:t>
            </w:r>
          </w:p>
        </w:tc>
        <w:tc>
          <w:tcPr>
            <w:tcW w:w="2138"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百色市职业技术学校</w:t>
            </w:r>
          </w:p>
        </w:tc>
        <w:tc>
          <w:tcPr>
            <w:tcW w:w="1312"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32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19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7</w:t>
            </w:r>
          </w:p>
        </w:tc>
        <w:tc>
          <w:tcPr>
            <w:tcW w:w="343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w:t>
            </w:r>
            <w:r>
              <w:rPr>
                <w:rFonts w:hint="eastAsia" w:ascii="仿宋_GB2312" w:hAnsi="仿宋_GB2312" w:eastAsia="仿宋_GB2312" w:cs="仿宋_GB2312"/>
                <w:color w:val="auto"/>
                <w:sz w:val="24"/>
                <w:lang w:eastAsia="zh-CN"/>
              </w:rPr>
              <w:t>婴幼儿托育服务与管理</w:t>
            </w:r>
            <w:r>
              <w:rPr>
                <w:rFonts w:hint="eastAsia" w:ascii="仿宋_GB2312" w:hAnsi="仿宋_GB2312" w:eastAsia="仿宋_GB2312" w:cs="仿宋_GB2312"/>
                <w:color w:val="auto"/>
                <w:sz w:val="24"/>
              </w:rPr>
              <w:t>专业校外实习基地</w:t>
            </w:r>
          </w:p>
        </w:tc>
        <w:tc>
          <w:tcPr>
            <w:tcW w:w="2138"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平果市好儿郎学堂托育有限公司</w:t>
            </w:r>
          </w:p>
        </w:tc>
        <w:tc>
          <w:tcPr>
            <w:tcW w:w="1312"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32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19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8</w:t>
            </w:r>
          </w:p>
        </w:tc>
        <w:tc>
          <w:tcPr>
            <w:tcW w:w="343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w:t>
            </w:r>
            <w:r>
              <w:rPr>
                <w:rFonts w:hint="eastAsia" w:ascii="仿宋_GB2312" w:hAnsi="仿宋_GB2312" w:eastAsia="仿宋_GB2312" w:cs="仿宋_GB2312"/>
                <w:color w:val="auto"/>
                <w:sz w:val="24"/>
                <w:lang w:eastAsia="zh-CN"/>
              </w:rPr>
              <w:t>婴幼儿托育服务与管理</w:t>
            </w:r>
            <w:r>
              <w:rPr>
                <w:rFonts w:hint="eastAsia" w:ascii="仿宋_GB2312" w:hAnsi="仿宋_GB2312" w:eastAsia="仿宋_GB2312" w:cs="仿宋_GB2312"/>
                <w:color w:val="auto"/>
                <w:sz w:val="24"/>
              </w:rPr>
              <w:t>专业校外实习基地</w:t>
            </w:r>
          </w:p>
        </w:tc>
        <w:tc>
          <w:tcPr>
            <w:tcW w:w="2138"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百色工业中等职业技术学校</w:t>
            </w:r>
          </w:p>
        </w:tc>
        <w:tc>
          <w:tcPr>
            <w:tcW w:w="1312"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32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19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9</w:t>
            </w:r>
          </w:p>
        </w:tc>
        <w:tc>
          <w:tcPr>
            <w:tcW w:w="343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w:t>
            </w:r>
            <w:r>
              <w:rPr>
                <w:rFonts w:hint="eastAsia" w:ascii="仿宋_GB2312" w:hAnsi="仿宋_GB2312" w:eastAsia="仿宋_GB2312" w:cs="仿宋_GB2312"/>
                <w:color w:val="auto"/>
                <w:sz w:val="24"/>
                <w:lang w:eastAsia="zh-CN"/>
              </w:rPr>
              <w:t>婴幼儿托育服务与管理</w:t>
            </w:r>
            <w:r>
              <w:rPr>
                <w:rFonts w:hint="eastAsia" w:ascii="仿宋_GB2312" w:hAnsi="仿宋_GB2312" w:eastAsia="仿宋_GB2312" w:cs="仿宋_GB2312"/>
                <w:color w:val="auto"/>
                <w:sz w:val="24"/>
              </w:rPr>
              <w:t>专业校外实习基地</w:t>
            </w:r>
          </w:p>
        </w:tc>
        <w:tc>
          <w:tcPr>
            <w:tcW w:w="2138"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平果市本立致德幼儿园</w:t>
            </w:r>
          </w:p>
        </w:tc>
        <w:tc>
          <w:tcPr>
            <w:tcW w:w="1312"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32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19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10</w:t>
            </w:r>
          </w:p>
        </w:tc>
        <w:tc>
          <w:tcPr>
            <w:tcW w:w="343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w:t>
            </w:r>
            <w:r>
              <w:rPr>
                <w:rFonts w:hint="eastAsia" w:ascii="仿宋_GB2312" w:hAnsi="仿宋_GB2312" w:eastAsia="仿宋_GB2312" w:cs="仿宋_GB2312"/>
                <w:color w:val="auto"/>
                <w:sz w:val="24"/>
                <w:lang w:eastAsia="zh-CN"/>
              </w:rPr>
              <w:t>婴幼儿托育服务与管理</w:t>
            </w:r>
            <w:r>
              <w:rPr>
                <w:rFonts w:hint="eastAsia" w:ascii="仿宋_GB2312" w:hAnsi="仿宋_GB2312" w:eastAsia="仿宋_GB2312" w:cs="仿宋_GB2312"/>
                <w:color w:val="auto"/>
                <w:sz w:val="24"/>
              </w:rPr>
              <w:t>专业校外实习基地</w:t>
            </w:r>
          </w:p>
        </w:tc>
        <w:tc>
          <w:tcPr>
            <w:tcW w:w="2138"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平果市金阳光幼儿园</w:t>
            </w:r>
          </w:p>
        </w:tc>
        <w:tc>
          <w:tcPr>
            <w:tcW w:w="1312"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32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19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11</w:t>
            </w:r>
          </w:p>
        </w:tc>
        <w:tc>
          <w:tcPr>
            <w:tcW w:w="343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w:t>
            </w:r>
            <w:r>
              <w:rPr>
                <w:rFonts w:hint="eastAsia" w:ascii="仿宋_GB2312" w:hAnsi="仿宋_GB2312" w:eastAsia="仿宋_GB2312" w:cs="仿宋_GB2312"/>
                <w:color w:val="auto"/>
                <w:sz w:val="24"/>
                <w:lang w:eastAsia="zh-CN"/>
              </w:rPr>
              <w:t>婴幼儿托育服务与管理</w:t>
            </w:r>
            <w:r>
              <w:rPr>
                <w:rFonts w:hint="eastAsia" w:ascii="仿宋_GB2312" w:hAnsi="仿宋_GB2312" w:eastAsia="仿宋_GB2312" w:cs="仿宋_GB2312"/>
                <w:color w:val="auto"/>
                <w:sz w:val="24"/>
              </w:rPr>
              <w:t>专业校外实习基地</w:t>
            </w:r>
          </w:p>
        </w:tc>
        <w:tc>
          <w:tcPr>
            <w:tcW w:w="2138"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平果市青山园幼儿园</w:t>
            </w:r>
          </w:p>
        </w:tc>
        <w:tc>
          <w:tcPr>
            <w:tcW w:w="1312"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32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19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12</w:t>
            </w:r>
          </w:p>
        </w:tc>
        <w:tc>
          <w:tcPr>
            <w:tcW w:w="343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w:t>
            </w:r>
            <w:r>
              <w:rPr>
                <w:rFonts w:hint="eastAsia" w:ascii="仿宋_GB2312" w:hAnsi="仿宋_GB2312" w:eastAsia="仿宋_GB2312" w:cs="仿宋_GB2312"/>
                <w:color w:val="auto"/>
                <w:sz w:val="24"/>
                <w:lang w:eastAsia="zh-CN"/>
              </w:rPr>
              <w:t>婴幼儿托育服务与管理</w:t>
            </w:r>
            <w:r>
              <w:rPr>
                <w:rFonts w:hint="eastAsia" w:ascii="仿宋_GB2312" w:hAnsi="仿宋_GB2312" w:eastAsia="仿宋_GB2312" w:cs="仿宋_GB2312"/>
                <w:color w:val="auto"/>
                <w:sz w:val="24"/>
              </w:rPr>
              <w:t>专业校外实习基地</w:t>
            </w:r>
          </w:p>
        </w:tc>
        <w:tc>
          <w:tcPr>
            <w:tcW w:w="2138"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平果市芳菲幼儿园</w:t>
            </w:r>
          </w:p>
        </w:tc>
        <w:tc>
          <w:tcPr>
            <w:tcW w:w="1312"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32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19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13</w:t>
            </w:r>
          </w:p>
        </w:tc>
        <w:tc>
          <w:tcPr>
            <w:tcW w:w="343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w:t>
            </w:r>
            <w:r>
              <w:rPr>
                <w:rFonts w:hint="eastAsia" w:ascii="仿宋_GB2312" w:hAnsi="仿宋_GB2312" w:eastAsia="仿宋_GB2312" w:cs="仿宋_GB2312"/>
                <w:color w:val="auto"/>
                <w:sz w:val="24"/>
                <w:lang w:eastAsia="zh-CN"/>
              </w:rPr>
              <w:t>婴幼儿托育服务与管理</w:t>
            </w:r>
            <w:r>
              <w:rPr>
                <w:rFonts w:hint="eastAsia" w:ascii="仿宋_GB2312" w:hAnsi="仿宋_GB2312" w:eastAsia="仿宋_GB2312" w:cs="仿宋_GB2312"/>
                <w:color w:val="auto"/>
                <w:sz w:val="24"/>
              </w:rPr>
              <w:t>专业校外实习基地</w:t>
            </w:r>
          </w:p>
        </w:tc>
        <w:tc>
          <w:tcPr>
            <w:tcW w:w="2138"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平果市金山华城幼儿园</w:t>
            </w:r>
          </w:p>
        </w:tc>
        <w:tc>
          <w:tcPr>
            <w:tcW w:w="1312"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32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19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14</w:t>
            </w:r>
          </w:p>
        </w:tc>
        <w:tc>
          <w:tcPr>
            <w:tcW w:w="343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w:t>
            </w:r>
            <w:r>
              <w:rPr>
                <w:rFonts w:hint="eastAsia" w:ascii="仿宋_GB2312" w:hAnsi="仿宋_GB2312" w:eastAsia="仿宋_GB2312" w:cs="仿宋_GB2312"/>
                <w:color w:val="auto"/>
                <w:sz w:val="24"/>
                <w:lang w:eastAsia="zh-CN"/>
              </w:rPr>
              <w:t>婴幼儿托育服务与管理</w:t>
            </w:r>
            <w:r>
              <w:rPr>
                <w:rFonts w:hint="eastAsia" w:ascii="仿宋_GB2312" w:hAnsi="仿宋_GB2312" w:eastAsia="仿宋_GB2312" w:cs="仿宋_GB2312"/>
                <w:color w:val="auto"/>
                <w:sz w:val="24"/>
              </w:rPr>
              <w:t>专业校外实习基地</w:t>
            </w:r>
          </w:p>
        </w:tc>
        <w:tc>
          <w:tcPr>
            <w:tcW w:w="2138"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平果划时代拓展运动有限公司</w:t>
            </w:r>
          </w:p>
        </w:tc>
        <w:tc>
          <w:tcPr>
            <w:tcW w:w="1312"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32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19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15</w:t>
            </w:r>
          </w:p>
        </w:tc>
        <w:tc>
          <w:tcPr>
            <w:tcW w:w="343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w:t>
            </w:r>
            <w:r>
              <w:rPr>
                <w:rFonts w:hint="eastAsia" w:ascii="仿宋_GB2312" w:hAnsi="仿宋_GB2312" w:eastAsia="仿宋_GB2312" w:cs="仿宋_GB2312"/>
                <w:color w:val="auto"/>
                <w:sz w:val="24"/>
                <w:lang w:eastAsia="zh-CN"/>
              </w:rPr>
              <w:t>婴幼儿托育服务与管理</w:t>
            </w:r>
            <w:r>
              <w:rPr>
                <w:rFonts w:hint="eastAsia" w:ascii="仿宋_GB2312" w:hAnsi="仿宋_GB2312" w:eastAsia="仿宋_GB2312" w:cs="仿宋_GB2312"/>
                <w:color w:val="auto"/>
                <w:sz w:val="24"/>
              </w:rPr>
              <w:t>专业校外实习基地</w:t>
            </w:r>
          </w:p>
        </w:tc>
        <w:tc>
          <w:tcPr>
            <w:tcW w:w="2138"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南宁市至德托育服务有限责任公司</w:t>
            </w:r>
          </w:p>
        </w:tc>
        <w:tc>
          <w:tcPr>
            <w:tcW w:w="1312"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32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19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16</w:t>
            </w:r>
          </w:p>
        </w:tc>
        <w:tc>
          <w:tcPr>
            <w:tcW w:w="343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w:t>
            </w:r>
            <w:r>
              <w:rPr>
                <w:rFonts w:hint="eastAsia" w:ascii="仿宋_GB2312" w:hAnsi="仿宋_GB2312" w:eastAsia="仿宋_GB2312" w:cs="仿宋_GB2312"/>
                <w:color w:val="auto"/>
                <w:sz w:val="24"/>
                <w:lang w:eastAsia="zh-CN"/>
              </w:rPr>
              <w:t>婴幼儿托育服务与管理</w:t>
            </w:r>
            <w:r>
              <w:rPr>
                <w:rFonts w:hint="eastAsia" w:ascii="仿宋_GB2312" w:hAnsi="仿宋_GB2312" w:eastAsia="仿宋_GB2312" w:cs="仿宋_GB2312"/>
                <w:color w:val="auto"/>
                <w:sz w:val="24"/>
              </w:rPr>
              <w:t>专业校外实习基地</w:t>
            </w:r>
          </w:p>
        </w:tc>
        <w:tc>
          <w:tcPr>
            <w:tcW w:w="2138"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柳州市优优树托育有限公司</w:t>
            </w:r>
          </w:p>
        </w:tc>
        <w:tc>
          <w:tcPr>
            <w:tcW w:w="1312"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32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19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17</w:t>
            </w:r>
          </w:p>
        </w:tc>
        <w:tc>
          <w:tcPr>
            <w:tcW w:w="343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w:t>
            </w:r>
            <w:r>
              <w:rPr>
                <w:rFonts w:hint="eastAsia" w:ascii="仿宋_GB2312" w:hAnsi="仿宋_GB2312" w:eastAsia="仿宋_GB2312" w:cs="仿宋_GB2312"/>
                <w:color w:val="auto"/>
                <w:sz w:val="24"/>
                <w:lang w:eastAsia="zh-CN"/>
              </w:rPr>
              <w:t>婴幼儿托育服务与管理</w:t>
            </w:r>
            <w:r>
              <w:rPr>
                <w:rFonts w:hint="eastAsia" w:ascii="仿宋_GB2312" w:hAnsi="仿宋_GB2312" w:eastAsia="仿宋_GB2312" w:cs="仿宋_GB2312"/>
                <w:color w:val="auto"/>
                <w:sz w:val="24"/>
              </w:rPr>
              <w:t>专业校外实习基地</w:t>
            </w:r>
          </w:p>
        </w:tc>
        <w:tc>
          <w:tcPr>
            <w:tcW w:w="2138"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广西南宁崇善教育咨询有限公司</w:t>
            </w:r>
          </w:p>
        </w:tc>
        <w:tc>
          <w:tcPr>
            <w:tcW w:w="1312"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32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19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18</w:t>
            </w:r>
          </w:p>
        </w:tc>
        <w:tc>
          <w:tcPr>
            <w:tcW w:w="343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w:t>
            </w:r>
            <w:r>
              <w:rPr>
                <w:rFonts w:hint="eastAsia" w:ascii="仿宋_GB2312" w:hAnsi="仿宋_GB2312" w:eastAsia="仿宋_GB2312" w:cs="仿宋_GB2312"/>
                <w:color w:val="auto"/>
                <w:sz w:val="24"/>
                <w:lang w:eastAsia="zh-CN"/>
              </w:rPr>
              <w:t>婴幼儿托育服务与管理</w:t>
            </w:r>
            <w:r>
              <w:rPr>
                <w:rFonts w:hint="eastAsia" w:ascii="仿宋_GB2312" w:hAnsi="仿宋_GB2312" w:eastAsia="仿宋_GB2312" w:cs="仿宋_GB2312"/>
                <w:color w:val="auto"/>
                <w:sz w:val="24"/>
              </w:rPr>
              <w:t>专业校外实习基地</w:t>
            </w:r>
          </w:p>
        </w:tc>
        <w:tc>
          <w:tcPr>
            <w:tcW w:w="2138"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百色市诚凯职业培训学校</w:t>
            </w:r>
          </w:p>
        </w:tc>
        <w:tc>
          <w:tcPr>
            <w:tcW w:w="1312"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32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19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19</w:t>
            </w:r>
          </w:p>
        </w:tc>
        <w:tc>
          <w:tcPr>
            <w:tcW w:w="343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w:t>
            </w:r>
            <w:r>
              <w:rPr>
                <w:rFonts w:hint="eastAsia" w:ascii="仿宋_GB2312" w:hAnsi="仿宋_GB2312" w:eastAsia="仿宋_GB2312" w:cs="仿宋_GB2312"/>
                <w:color w:val="auto"/>
                <w:sz w:val="24"/>
                <w:lang w:eastAsia="zh-CN"/>
              </w:rPr>
              <w:t>婴幼儿托育服务与管理</w:t>
            </w:r>
            <w:r>
              <w:rPr>
                <w:rFonts w:hint="eastAsia" w:ascii="仿宋_GB2312" w:hAnsi="仿宋_GB2312" w:eastAsia="仿宋_GB2312" w:cs="仿宋_GB2312"/>
                <w:color w:val="auto"/>
                <w:sz w:val="24"/>
              </w:rPr>
              <w:t>专业校外实习基地</w:t>
            </w:r>
          </w:p>
        </w:tc>
        <w:tc>
          <w:tcPr>
            <w:tcW w:w="2138"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百色市右江区星光大道幼儿园</w:t>
            </w:r>
          </w:p>
        </w:tc>
        <w:tc>
          <w:tcPr>
            <w:tcW w:w="1312"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32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19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20</w:t>
            </w:r>
          </w:p>
        </w:tc>
        <w:tc>
          <w:tcPr>
            <w:tcW w:w="343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w:t>
            </w:r>
            <w:r>
              <w:rPr>
                <w:rFonts w:hint="eastAsia" w:ascii="仿宋_GB2312" w:hAnsi="仿宋_GB2312" w:eastAsia="仿宋_GB2312" w:cs="仿宋_GB2312"/>
                <w:color w:val="auto"/>
                <w:sz w:val="24"/>
                <w:lang w:eastAsia="zh-CN"/>
              </w:rPr>
              <w:t>婴幼儿托育服务与管理</w:t>
            </w:r>
            <w:r>
              <w:rPr>
                <w:rFonts w:hint="eastAsia" w:ascii="仿宋_GB2312" w:hAnsi="仿宋_GB2312" w:eastAsia="仿宋_GB2312" w:cs="仿宋_GB2312"/>
                <w:color w:val="auto"/>
                <w:sz w:val="24"/>
              </w:rPr>
              <w:t>专业校外实习基地</w:t>
            </w:r>
          </w:p>
        </w:tc>
        <w:tc>
          <w:tcPr>
            <w:tcW w:w="2138"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广西南宁华淼教育咨询有限公司</w:t>
            </w:r>
          </w:p>
        </w:tc>
        <w:tc>
          <w:tcPr>
            <w:tcW w:w="1312"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32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19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40</w:t>
            </w:r>
          </w:p>
        </w:tc>
      </w:tr>
    </w:tbl>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rPr>
        <w:t>）教学资源</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教学资源主要包括能满足学生专业学习、教师专业教学研究和教学实施所需的教材、图书文献及数字教学资源等。</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1.教材选用基本要求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按照国家规定，经过规范程序选用教材，选用近五年内出版的高职高专国家级规划教材、自治区级规划教材、高职高专类出版教材</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专业课程教材应体现本行业新技术、新规范、新标准、新形态，并通过数字教材、活页式教材等多种方式进行动态更新。</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图书文献配备基本要求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highlight w:val="none"/>
        </w:rPr>
        <w:t>图书文献配备能满足人才培养、专业建设、教科研等工作的需要，方便师生查询、借阅。专业类文献主要包括：托育服务行业政策法规、托育服务行业标准、婴幼儿发展、婴幼儿回应性照料、婴幼 儿卫生保健、婴幼儿健康管理、婴幼儿急救、智慧托育与从业者信息素养相关专业类图书和实务案例类</w:t>
      </w:r>
      <w:r>
        <w:rPr>
          <w:rFonts w:hint="eastAsia" w:ascii="仿宋_GB2312" w:hAnsi="仿宋" w:eastAsia="仿宋_GB2312" w:cs="仿宋"/>
          <w:sz w:val="32"/>
          <w:szCs w:val="32"/>
          <w:lang w:val="en-US" w:eastAsia="zh-CN"/>
        </w:rPr>
        <w:t>等</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种以上婴幼儿医学管理、婴幼儿健康管理、婴幼儿托育类专业学术期刊，并能保持每年更新。</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数字教学资源配置基本要求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highlight w:val="none"/>
        </w:rPr>
        <w:t>建设、配备与本专业有关的音视频素材、教学课件、数字化教学案例库、虚拟仿真软件等专业教学资源库，种类丰富、形式多样、使用便捷、动态更新、能满足教学要求。</w:t>
      </w:r>
    </w:p>
    <w:p>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教学方法</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ascii="仿宋_GB2312" w:hAnsi="仿宋_GB2312" w:eastAsia="仿宋_GB2312" w:cs="仿宋_GB2312"/>
          <w:color w:val="auto"/>
          <w:sz w:val="32"/>
          <w:szCs w:val="32"/>
          <w:highlight w:val="none"/>
        </w:rPr>
        <w:t>根据不同课程的性质</w:t>
      </w:r>
      <w:r>
        <w:rPr>
          <w:rFonts w:hint="eastAsia" w:ascii="仿宋_GB2312" w:hAnsi="仿宋_GB2312" w:eastAsia="仿宋_GB2312" w:cs="仿宋_GB2312"/>
          <w:color w:val="auto"/>
          <w:sz w:val="32"/>
          <w:szCs w:val="32"/>
          <w:highlight w:val="none"/>
        </w:rPr>
        <w:t>特点</w:t>
      </w:r>
      <w:r>
        <w:rPr>
          <w:rFonts w:ascii="仿宋_GB2312" w:hAnsi="仿宋_GB2312" w:eastAsia="仿宋_GB2312" w:cs="仿宋_GB2312"/>
          <w:color w:val="auto"/>
          <w:sz w:val="32"/>
          <w:szCs w:val="32"/>
          <w:highlight w:val="none"/>
        </w:rPr>
        <w:t>，在保留传统讲授法、演示法、讨论法、问答法、案例分析法等的基础上</w:t>
      </w:r>
      <w:r>
        <w:rPr>
          <w:rFonts w:hint="eastAsia" w:ascii="仿宋_GB2312" w:hAnsi="仿宋_GB2312" w:eastAsia="仿宋_GB2312" w:cs="仿宋_GB2312"/>
          <w:color w:val="auto"/>
          <w:sz w:val="32"/>
          <w:szCs w:val="32"/>
          <w:highlight w:val="none"/>
        </w:rPr>
        <w:t>，</w:t>
      </w:r>
      <w:r>
        <w:rPr>
          <w:rFonts w:ascii="仿宋_GB2312" w:hAnsi="仿宋_GB2312" w:eastAsia="仿宋_GB2312" w:cs="仿宋_GB2312"/>
          <w:color w:val="auto"/>
          <w:sz w:val="32"/>
          <w:szCs w:val="32"/>
          <w:highlight w:val="none"/>
        </w:rPr>
        <w:t>应充分利用信息化教学资源，尽量将项目驱动法、探究式教学、翻转课堂等新型教学模式及方法引入课堂，遵循“学生为主体，教师为主导”的原则，积极探索多种教学方法。</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rPr>
        <w:t>）学习评价</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1.课程考核方法</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的考核一般分为考试评价、考查评价、鉴定评价、评语评价和答辩评价五种形式。考核评价须根据国家有关规定、课程标准及教学特点确定相应形式，可采取笔试、技能测试、机考、口试、面试等中的一种或多种方式进行。</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课程成绩评定根据学生参与度、作业质量、实训效果与期末考核等项目确定不同比例进行综合评定，评定标准如下：</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）A类课程成绩构成（纯理论）</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课程总成绩=期末卷面考试成绩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+平时成绩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）B类课程成绩构成（理论+实践）</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课程总成绩=理论部分期末卷面考试</w:t>
      </w:r>
      <w:r>
        <w:rPr>
          <w:rFonts w:hint="eastAsia" w:ascii="仿宋_GB2312" w:hAnsi="仿宋_GB2312" w:eastAsia="仿宋_GB2312" w:cs="仿宋_GB2312"/>
          <w:color w:val="auto"/>
          <w:sz w:val="32"/>
          <w:szCs w:val="32"/>
          <w:lang w:val="en-US" w:eastAsia="zh-CN"/>
        </w:rPr>
        <w:t>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+技能成绩（30%）+平时成绩（30%）。</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）C类课程成绩构成</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rPr>
        <w:t>纯实践）</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课程总成绩=技能成绩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+平时成绩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教学评价方式</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pPr>
        <w:keepNext w:val="0"/>
        <w:keepLines w:val="0"/>
        <w:pageBreakBefore w:val="0"/>
        <w:widowControl w:val="0"/>
        <w:numPr>
          <w:ilvl w:val="0"/>
          <w:numId w:val="4"/>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rPr>
        <w:t>质量</w:t>
      </w:r>
      <w:r>
        <w:rPr>
          <w:rFonts w:hint="eastAsia" w:ascii="黑体" w:hAnsi="黑体" w:eastAsia="黑体" w:cs="黑体"/>
          <w:b w:val="0"/>
          <w:bCs w:val="0"/>
          <w:color w:val="auto"/>
          <w:sz w:val="32"/>
          <w:szCs w:val="32"/>
          <w:highlight w:val="none"/>
          <w:lang w:val="en-US" w:eastAsia="zh-CN"/>
        </w:rPr>
        <w:t>保障</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200"/>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（一）建立专业建设和教学质量诊断与改进机制​</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200"/>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（二）完善教学管理机制​</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640" w:leftChars="0"/>
        <w:textAlignment w:val="auto"/>
        <w:outlineLvl w:val="0"/>
        <w:rPr>
          <w:rFonts w:hint="eastAsia" w:ascii="楷体" w:hAnsi="楷体" w:eastAsia="楷体" w:cs="楷体"/>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（三）建立毕业生跟踪反馈机制及社会评价机制​</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建立毕业生跟踪反馈机制及社会评价机制，并对生源情况、在校生学业水平、毕业生就业情况等进行分析，定期评价人才培养质量和培养目标达成情况。</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640" w:leftChars="0"/>
        <w:textAlignment w:val="auto"/>
        <w:outlineLvl w:val="0"/>
        <w:rPr>
          <w:rFonts w:hint="eastAsia" w:ascii="楷体" w:hAnsi="楷体" w:eastAsia="楷体" w:cs="楷体"/>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（四）提升教学质量​</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b w:val="0"/>
          <w:bCs w:val="0"/>
          <w:color w:val="auto"/>
          <w:sz w:val="32"/>
          <w:szCs w:val="32"/>
          <w:highlight w:val="none"/>
          <w:lang w:val="en-US" w:eastAsia="zh-CN"/>
        </w:rPr>
      </w:pPr>
      <w:r>
        <w:rPr>
          <w:rFonts w:hint="eastAsia" w:ascii="仿宋_GB2312" w:hAnsi="仿宋_GB2312" w:eastAsia="仿宋_GB2312" w:cs="仿宋_GB2312"/>
          <w:color w:val="auto"/>
          <w:sz w:val="32"/>
          <w:szCs w:val="32"/>
          <w:highlight w:val="none"/>
        </w:rPr>
        <w:t>充分利用评价分析结果有效改进专业教学，持续提高人才培养质量。</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b w:val="0"/>
          <w:bCs w:val="0"/>
          <w:color w:val="1D41D5"/>
          <w:sz w:val="32"/>
          <w:szCs w:val="32"/>
          <w:highlight w:val="none"/>
          <w:lang w:eastAsia="zh-CN"/>
        </w:rPr>
      </w:pPr>
      <w:r>
        <w:rPr>
          <w:rFonts w:hint="eastAsia" w:ascii="黑体" w:hAnsi="黑体" w:eastAsia="黑体" w:cs="黑体"/>
          <w:b w:val="0"/>
          <w:bCs w:val="0"/>
          <w:color w:val="auto"/>
          <w:sz w:val="32"/>
          <w:szCs w:val="32"/>
          <w:highlight w:val="none"/>
          <w:lang w:val="en-US" w:eastAsia="zh-CN"/>
        </w:rPr>
        <w:t>十二、</w:t>
      </w:r>
      <w:r>
        <w:rPr>
          <w:rFonts w:hint="eastAsia" w:ascii="黑体" w:hAnsi="黑体" w:eastAsia="黑体" w:cs="黑体"/>
          <w:b w:val="0"/>
          <w:bCs w:val="0"/>
          <w:color w:val="auto"/>
          <w:sz w:val="32"/>
          <w:szCs w:val="32"/>
          <w:highlight w:val="none"/>
        </w:rPr>
        <w:t>毕业要求</w:t>
      </w:r>
    </w:p>
    <w:p>
      <w:pPr>
        <w:keepNext w:val="0"/>
        <w:keepLines w:val="0"/>
        <w:pageBreakBefore w:val="0"/>
        <w:widowControl w:val="0"/>
        <w:numPr>
          <w:ilvl w:val="0"/>
          <w:numId w:val="5"/>
        </w:numPr>
        <w:kinsoku/>
        <w:wordWrap/>
        <w:overflowPunct w:val="0"/>
        <w:topLinePunct w:val="0"/>
        <w:autoSpaceDE/>
        <w:autoSpaceDN/>
        <w:bidi w:val="0"/>
        <w:adjustRightInd w:val="0"/>
        <w:snapToGrid/>
        <w:spacing w:after="0" w:line="520" w:lineRule="exact"/>
        <w:ind w:left="640" w:leftChars="0" w:firstLine="0" w:firstLineChars="0"/>
        <w:textAlignment w:val="auto"/>
        <w:outlineLvl w:val="0"/>
        <w:rPr>
          <w:rFonts w:hint="eastAsia" w:ascii="楷体" w:hAnsi="楷体" w:eastAsia="楷体" w:cs="楷体"/>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学分要求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0000FF"/>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本专业要求学生根据人才培养方案确定的目标和培养规格，完成规定的实习实训，全部课程考核合格且修满至少141学分。其中，必修课125学分，选修课16学分。公共必修课38学分，公共选修课8学分。专业必修课87学分，专业选修课8学分。</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（二）综合素质要求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在思想品德方面，需恪守婴幼儿照护伦理准则，具有强烈的责任心与爱心，尊重婴幼儿人格尊严及发展权利，无虐待、歧视等违背职业操守的行为，经专业机构鉴定符合托育行业道德规范；体质健康上，需通过国家学生体质健康测试，具备适应托育工作强度的身体素质，能胜任婴幼儿日常照护中的抱护、活动引导等体力需求，且无传染性疾病及影响婴幼儿健康的隐性病症；专业能力层面，要系统掌握婴幼儿生理发育、心理发展规律、早期教育理论等核心知识，熟练运用抚触按摩、辅食制作、急救处理等实操技能，能独立制定个性化照护方案；实践与职业素养上，需积极参与幼儿园见习、社区托育机构实习等社会实践，累计服务时长不低于规定标准；具备敏锐的观察能力、应急处置能力及家园沟通技巧，能妥善应对婴幼儿哭闹、意外伤害等突发情况，同时掌握托育机构运营管理的基础逻辑，形成“保育+教育+管理” 的综合行动力，满足行业对复合型托育人才的需求。​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textAlignment w:val="auto"/>
        <w:outlineLvl w:val="0"/>
        <w:rPr>
          <w:rFonts w:hint="eastAsia" w:ascii="仿宋_GB2312" w:hAnsi="仿宋_GB2312" w:eastAsia="仿宋_GB2312" w:cs="仿宋_GB2312"/>
          <w:color w:val="auto"/>
          <w:kern w:val="2"/>
          <w:sz w:val="32"/>
          <w:szCs w:val="32"/>
          <w:lang w:val="en-US" w:eastAsia="zh-CN" w:bidi="ar-SA"/>
        </w:rPr>
      </w:pPr>
    </w:p>
    <w:sectPr>
      <w:footerReference r:id="rId5" w:type="default"/>
      <w:pgSz w:w="11906" w:h="16838"/>
      <w:pgMar w:top="1417" w:right="1417" w:bottom="1417" w:left="141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BD501CB-31C1-41E8-8B0D-41C039432B6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C58C24CE-5B56-40DD-BB0E-140F9AFDD3CE}"/>
  </w:font>
  <w:font w:name="华文新魏">
    <w:panose1 w:val="02010800040101010101"/>
    <w:charset w:val="86"/>
    <w:family w:val="auto"/>
    <w:pitch w:val="default"/>
    <w:sig w:usb0="00000000" w:usb1="00000000" w:usb2="00000000" w:usb3="00000000" w:csb0="00000000" w:csb1="00000000"/>
    <w:embedRegular r:id="rId3" w:fontKey="{FBE155AA-504A-474B-9BC1-CC902649F2CB}"/>
  </w:font>
  <w:font w:name="方正小标宋简体">
    <w:panose1 w:val="03000509000000000000"/>
    <w:charset w:val="86"/>
    <w:family w:val="script"/>
    <w:pitch w:val="default"/>
    <w:sig w:usb0="00000001" w:usb1="080E0000" w:usb2="00000000" w:usb3="00000000" w:csb0="00040000" w:csb1="00000000"/>
    <w:embedRegular r:id="rId4" w:fontKey="{611F7610-F368-4841-AE86-72CA6E050362}"/>
  </w:font>
  <w:font w:name="仿宋_GB2312">
    <w:panose1 w:val="02010609030101010101"/>
    <w:charset w:val="86"/>
    <w:family w:val="modern"/>
    <w:pitch w:val="default"/>
    <w:sig w:usb0="00000001" w:usb1="080E0000" w:usb2="00000000" w:usb3="00000000" w:csb0="00040000" w:csb1="00000000"/>
    <w:embedRegular r:id="rId5" w:fontKey="{91A6CF20-0B21-4215-BEAD-54D30EF5F903}"/>
  </w:font>
  <w:font w:name="楷体">
    <w:panose1 w:val="02010609060101010101"/>
    <w:charset w:val="86"/>
    <w:family w:val="modern"/>
    <w:pitch w:val="default"/>
    <w:sig w:usb0="800002BF" w:usb1="38CF7CFA" w:usb2="00000016" w:usb3="00000000" w:csb0="00040001" w:csb1="00000000"/>
    <w:embedRegular r:id="rId6" w:fontKey="{E702C0E0-46E8-4A3A-B39F-07DF9026F02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lear" w:pos="4153"/>
      </w:tabs>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08F17AE"/>
    <w:multiLevelType w:val="singleLevel"/>
    <w:tmpl w:val="D08F17AE"/>
    <w:lvl w:ilvl="0" w:tentative="0">
      <w:start w:val="1"/>
      <w:numFmt w:val="chineseCounting"/>
      <w:suff w:val="nothing"/>
      <w:lvlText w:val="（%1）"/>
      <w:lvlJc w:val="left"/>
      <w:rPr>
        <w:rFonts w:hint="eastAsia"/>
      </w:rPr>
    </w:lvl>
  </w:abstractNum>
  <w:abstractNum w:abstractNumId="1">
    <w:nsid w:val="EB2D466B"/>
    <w:multiLevelType w:val="singleLevel"/>
    <w:tmpl w:val="EB2D466B"/>
    <w:lvl w:ilvl="0" w:tentative="0">
      <w:start w:val="1"/>
      <w:numFmt w:val="chineseCounting"/>
      <w:suff w:val="nothing"/>
      <w:lvlText w:val="（%1）"/>
      <w:lvlJc w:val="left"/>
      <w:rPr>
        <w:rFonts w:hint="eastAsia"/>
      </w:rPr>
    </w:lvl>
  </w:abstractNum>
  <w:abstractNum w:abstractNumId="2">
    <w:nsid w:val="06766BB9"/>
    <w:multiLevelType w:val="singleLevel"/>
    <w:tmpl w:val="06766BB9"/>
    <w:lvl w:ilvl="0" w:tentative="0">
      <w:start w:val="2"/>
      <w:numFmt w:val="decimal"/>
      <w:suff w:val="nothing"/>
      <w:lvlText w:val="（%1）"/>
      <w:lvlJc w:val="left"/>
    </w:lvl>
  </w:abstractNum>
  <w:abstractNum w:abstractNumId="3">
    <w:nsid w:val="4005274C"/>
    <w:multiLevelType w:val="singleLevel"/>
    <w:tmpl w:val="4005274C"/>
    <w:lvl w:ilvl="0" w:tentative="0">
      <w:start w:val="1"/>
      <w:numFmt w:val="chineseCounting"/>
      <w:suff w:val="nothing"/>
      <w:lvlText w:val="（%1）"/>
      <w:lvlJc w:val="left"/>
      <w:pPr>
        <w:ind w:left="640" w:firstLine="0"/>
      </w:pPr>
      <w:rPr>
        <w:rFonts w:hint="eastAsia"/>
      </w:rPr>
    </w:lvl>
  </w:abstractNum>
  <w:abstractNum w:abstractNumId="4">
    <w:nsid w:val="6DA007F1"/>
    <w:multiLevelType w:val="singleLevel"/>
    <w:tmpl w:val="6DA007F1"/>
    <w:lvl w:ilvl="0" w:tentative="0">
      <w:start w:val="11"/>
      <w:numFmt w:val="chineseCounting"/>
      <w:suff w:val="nothing"/>
      <w:lvlText w:val="%1、"/>
      <w:lvlJc w:val="left"/>
      <w:rPr>
        <w:rFonts w:hint="eastAsia"/>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FA77F6"/>
    <w:rsid w:val="00090E00"/>
    <w:rsid w:val="000A7541"/>
    <w:rsid w:val="0015300C"/>
    <w:rsid w:val="001673E5"/>
    <w:rsid w:val="001A7FBE"/>
    <w:rsid w:val="00283E45"/>
    <w:rsid w:val="002D15C0"/>
    <w:rsid w:val="003531B3"/>
    <w:rsid w:val="003D3CE4"/>
    <w:rsid w:val="005645D8"/>
    <w:rsid w:val="005A2BBB"/>
    <w:rsid w:val="006A1AE0"/>
    <w:rsid w:val="0071110E"/>
    <w:rsid w:val="00901A19"/>
    <w:rsid w:val="00A12741"/>
    <w:rsid w:val="00A165B0"/>
    <w:rsid w:val="00A23811"/>
    <w:rsid w:val="00AB71CC"/>
    <w:rsid w:val="00B14C0C"/>
    <w:rsid w:val="00B46AB6"/>
    <w:rsid w:val="00B91791"/>
    <w:rsid w:val="00C3446C"/>
    <w:rsid w:val="00C4271B"/>
    <w:rsid w:val="00D03D56"/>
    <w:rsid w:val="00E2700A"/>
    <w:rsid w:val="00ED3BD8"/>
    <w:rsid w:val="00F52A8D"/>
    <w:rsid w:val="00F63617"/>
    <w:rsid w:val="00F82685"/>
    <w:rsid w:val="00FA77F6"/>
    <w:rsid w:val="00FB052B"/>
    <w:rsid w:val="01514167"/>
    <w:rsid w:val="01786F4B"/>
    <w:rsid w:val="01AA3877"/>
    <w:rsid w:val="02661E94"/>
    <w:rsid w:val="02CD5374"/>
    <w:rsid w:val="02FC4B3A"/>
    <w:rsid w:val="0315118A"/>
    <w:rsid w:val="03304250"/>
    <w:rsid w:val="038F541B"/>
    <w:rsid w:val="03A07894"/>
    <w:rsid w:val="045E7B7F"/>
    <w:rsid w:val="048C3708"/>
    <w:rsid w:val="04BC3FEE"/>
    <w:rsid w:val="051223C4"/>
    <w:rsid w:val="05254B92"/>
    <w:rsid w:val="062E0F1B"/>
    <w:rsid w:val="06471FDD"/>
    <w:rsid w:val="06C90C44"/>
    <w:rsid w:val="070954E4"/>
    <w:rsid w:val="07322345"/>
    <w:rsid w:val="08026178"/>
    <w:rsid w:val="081E5900"/>
    <w:rsid w:val="082F2519"/>
    <w:rsid w:val="084C7436"/>
    <w:rsid w:val="08DA7138"/>
    <w:rsid w:val="08F70DAF"/>
    <w:rsid w:val="09075A53"/>
    <w:rsid w:val="094D790A"/>
    <w:rsid w:val="095347F5"/>
    <w:rsid w:val="0992251A"/>
    <w:rsid w:val="09CB082F"/>
    <w:rsid w:val="09D45935"/>
    <w:rsid w:val="0A1E4E03"/>
    <w:rsid w:val="0A37680B"/>
    <w:rsid w:val="0A634F0B"/>
    <w:rsid w:val="0A724F69"/>
    <w:rsid w:val="0AC91212"/>
    <w:rsid w:val="0AFF69E2"/>
    <w:rsid w:val="0B64718D"/>
    <w:rsid w:val="0B9E269F"/>
    <w:rsid w:val="0BB93035"/>
    <w:rsid w:val="0BFE1BA1"/>
    <w:rsid w:val="0C0A3BA0"/>
    <w:rsid w:val="0CE642FD"/>
    <w:rsid w:val="0D12103A"/>
    <w:rsid w:val="0D3000CB"/>
    <w:rsid w:val="0D36374D"/>
    <w:rsid w:val="0DE924A0"/>
    <w:rsid w:val="0E2350DD"/>
    <w:rsid w:val="0E5E6115"/>
    <w:rsid w:val="0ED4462A"/>
    <w:rsid w:val="0EDC6F13"/>
    <w:rsid w:val="0F386966"/>
    <w:rsid w:val="0F6725AF"/>
    <w:rsid w:val="0FA47B58"/>
    <w:rsid w:val="0FA67D74"/>
    <w:rsid w:val="0FBE41F3"/>
    <w:rsid w:val="0FD20B69"/>
    <w:rsid w:val="0FE4089C"/>
    <w:rsid w:val="10093E5F"/>
    <w:rsid w:val="10152804"/>
    <w:rsid w:val="10234F21"/>
    <w:rsid w:val="1057106E"/>
    <w:rsid w:val="10637BB0"/>
    <w:rsid w:val="10850B09"/>
    <w:rsid w:val="10914580"/>
    <w:rsid w:val="10EE36A0"/>
    <w:rsid w:val="116752E1"/>
    <w:rsid w:val="12485112"/>
    <w:rsid w:val="127F665A"/>
    <w:rsid w:val="12DC3AAD"/>
    <w:rsid w:val="12F708E7"/>
    <w:rsid w:val="13186846"/>
    <w:rsid w:val="13203999"/>
    <w:rsid w:val="135C5E82"/>
    <w:rsid w:val="139B5716"/>
    <w:rsid w:val="13AA78C9"/>
    <w:rsid w:val="13F454F6"/>
    <w:rsid w:val="14436AF0"/>
    <w:rsid w:val="14A800EA"/>
    <w:rsid w:val="15001CD4"/>
    <w:rsid w:val="150317C5"/>
    <w:rsid w:val="15202377"/>
    <w:rsid w:val="15542020"/>
    <w:rsid w:val="15DF1C72"/>
    <w:rsid w:val="163F14AE"/>
    <w:rsid w:val="165F0C7D"/>
    <w:rsid w:val="1699418F"/>
    <w:rsid w:val="16995FBA"/>
    <w:rsid w:val="16A42B33"/>
    <w:rsid w:val="16DC051F"/>
    <w:rsid w:val="16F06A52"/>
    <w:rsid w:val="170B4961"/>
    <w:rsid w:val="1740285C"/>
    <w:rsid w:val="1749510D"/>
    <w:rsid w:val="176F0EEA"/>
    <w:rsid w:val="1796247C"/>
    <w:rsid w:val="1821113F"/>
    <w:rsid w:val="185809BE"/>
    <w:rsid w:val="1896550D"/>
    <w:rsid w:val="18BD7F91"/>
    <w:rsid w:val="18CB084B"/>
    <w:rsid w:val="192E0444"/>
    <w:rsid w:val="19481E9C"/>
    <w:rsid w:val="19AF3CC9"/>
    <w:rsid w:val="19E519D5"/>
    <w:rsid w:val="1A2225B8"/>
    <w:rsid w:val="1A23465B"/>
    <w:rsid w:val="1A8D720B"/>
    <w:rsid w:val="1AE45BF4"/>
    <w:rsid w:val="1B31177F"/>
    <w:rsid w:val="1BAE7956"/>
    <w:rsid w:val="1BCC19A4"/>
    <w:rsid w:val="1BF93A5C"/>
    <w:rsid w:val="1BFE23CB"/>
    <w:rsid w:val="1C27223D"/>
    <w:rsid w:val="1C6F14EE"/>
    <w:rsid w:val="1CB25FAA"/>
    <w:rsid w:val="1D0377EB"/>
    <w:rsid w:val="1D24677C"/>
    <w:rsid w:val="1D957C54"/>
    <w:rsid w:val="1DD51824"/>
    <w:rsid w:val="1E4B3DFE"/>
    <w:rsid w:val="1E91399D"/>
    <w:rsid w:val="1EA6208B"/>
    <w:rsid w:val="1EA77665"/>
    <w:rsid w:val="1ECC6B87"/>
    <w:rsid w:val="1F0D246D"/>
    <w:rsid w:val="1F3A7811"/>
    <w:rsid w:val="1F5350F7"/>
    <w:rsid w:val="1FB17C46"/>
    <w:rsid w:val="1FB21E1D"/>
    <w:rsid w:val="1FBC2C9C"/>
    <w:rsid w:val="207417C9"/>
    <w:rsid w:val="20AA343C"/>
    <w:rsid w:val="20BE4D41"/>
    <w:rsid w:val="20E56222"/>
    <w:rsid w:val="210E0F0E"/>
    <w:rsid w:val="2170143C"/>
    <w:rsid w:val="218E5AD0"/>
    <w:rsid w:val="21C1481C"/>
    <w:rsid w:val="21EA757A"/>
    <w:rsid w:val="21EB3D26"/>
    <w:rsid w:val="22104E17"/>
    <w:rsid w:val="22123047"/>
    <w:rsid w:val="222042D1"/>
    <w:rsid w:val="223461B5"/>
    <w:rsid w:val="22732921"/>
    <w:rsid w:val="22967FAA"/>
    <w:rsid w:val="22A00653"/>
    <w:rsid w:val="22E81254"/>
    <w:rsid w:val="22EC1AE2"/>
    <w:rsid w:val="2338088B"/>
    <w:rsid w:val="236773C3"/>
    <w:rsid w:val="237D0994"/>
    <w:rsid w:val="238735C1"/>
    <w:rsid w:val="23950E9C"/>
    <w:rsid w:val="23954DD6"/>
    <w:rsid w:val="239E0160"/>
    <w:rsid w:val="23D42CAA"/>
    <w:rsid w:val="23F02FB5"/>
    <w:rsid w:val="247D5E44"/>
    <w:rsid w:val="249D12EE"/>
    <w:rsid w:val="24E76143"/>
    <w:rsid w:val="24F353B2"/>
    <w:rsid w:val="267A11BB"/>
    <w:rsid w:val="27075144"/>
    <w:rsid w:val="27441EF5"/>
    <w:rsid w:val="27AE3812"/>
    <w:rsid w:val="27C50019"/>
    <w:rsid w:val="27F5401D"/>
    <w:rsid w:val="28557849"/>
    <w:rsid w:val="285A12A4"/>
    <w:rsid w:val="285C501C"/>
    <w:rsid w:val="289A5B44"/>
    <w:rsid w:val="28BD30CD"/>
    <w:rsid w:val="296E1A2F"/>
    <w:rsid w:val="29B449E4"/>
    <w:rsid w:val="29C72B81"/>
    <w:rsid w:val="29F55728"/>
    <w:rsid w:val="2A5A0C72"/>
    <w:rsid w:val="2B0F281A"/>
    <w:rsid w:val="2B8D373E"/>
    <w:rsid w:val="2BF11F1F"/>
    <w:rsid w:val="2C403A67"/>
    <w:rsid w:val="2C802418"/>
    <w:rsid w:val="2CB341C7"/>
    <w:rsid w:val="2CC66F08"/>
    <w:rsid w:val="2CEB2E12"/>
    <w:rsid w:val="2D5704A8"/>
    <w:rsid w:val="2D8165B1"/>
    <w:rsid w:val="2D880E1B"/>
    <w:rsid w:val="2D964B2C"/>
    <w:rsid w:val="2DAC4350"/>
    <w:rsid w:val="2DE47F8D"/>
    <w:rsid w:val="2E2D4E7A"/>
    <w:rsid w:val="2E801FF5"/>
    <w:rsid w:val="2EEF601B"/>
    <w:rsid w:val="2F083808"/>
    <w:rsid w:val="2F34284F"/>
    <w:rsid w:val="2F436F36"/>
    <w:rsid w:val="2F7A2E0A"/>
    <w:rsid w:val="2F7B1A76"/>
    <w:rsid w:val="2F8D1F5F"/>
    <w:rsid w:val="2FA96B3D"/>
    <w:rsid w:val="2FD933F6"/>
    <w:rsid w:val="30683C8B"/>
    <w:rsid w:val="30A6152A"/>
    <w:rsid w:val="30A77050"/>
    <w:rsid w:val="30C93AA6"/>
    <w:rsid w:val="30DC27D6"/>
    <w:rsid w:val="3115220C"/>
    <w:rsid w:val="31175C10"/>
    <w:rsid w:val="31342FDA"/>
    <w:rsid w:val="315A2315"/>
    <w:rsid w:val="31643104"/>
    <w:rsid w:val="318A49A8"/>
    <w:rsid w:val="31A83FF1"/>
    <w:rsid w:val="31AA329C"/>
    <w:rsid w:val="31D2634F"/>
    <w:rsid w:val="31E068CE"/>
    <w:rsid w:val="321D581C"/>
    <w:rsid w:val="32F32A21"/>
    <w:rsid w:val="32F92E4C"/>
    <w:rsid w:val="32FA3DAF"/>
    <w:rsid w:val="33260700"/>
    <w:rsid w:val="33266952"/>
    <w:rsid w:val="33611407"/>
    <w:rsid w:val="33AE06F6"/>
    <w:rsid w:val="33B93C14"/>
    <w:rsid w:val="33CA1C5B"/>
    <w:rsid w:val="347E028C"/>
    <w:rsid w:val="348B3F97"/>
    <w:rsid w:val="34917040"/>
    <w:rsid w:val="34A90F99"/>
    <w:rsid w:val="34B46601"/>
    <w:rsid w:val="34B65AB4"/>
    <w:rsid w:val="34C46423"/>
    <w:rsid w:val="34EA50C0"/>
    <w:rsid w:val="357449D1"/>
    <w:rsid w:val="35E93C67"/>
    <w:rsid w:val="364315C9"/>
    <w:rsid w:val="36657792"/>
    <w:rsid w:val="367E7571"/>
    <w:rsid w:val="370E7E29"/>
    <w:rsid w:val="371E2613"/>
    <w:rsid w:val="376B0DD8"/>
    <w:rsid w:val="3770165B"/>
    <w:rsid w:val="37960DB8"/>
    <w:rsid w:val="37AD2573"/>
    <w:rsid w:val="381153F4"/>
    <w:rsid w:val="38481119"/>
    <w:rsid w:val="38877EE4"/>
    <w:rsid w:val="38B41CFE"/>
    <w:rsid w:val="38C22C79"/>
    <w:rsid w:val="38FD59A7"/>
    <w:rsid w:val="39372651"/>
    <w:rsid w:val="39A700C1"/>
    <w:rsid w:val="3A451367"/>
    <w:rsid w:val="3A60099C"/>
    <w:rsid w:val="3A7A7584"/>
    <w:rsid w:val="3AA755AA"/>
    <w:rsid w:val="3AEA4709"/>
    <w:rsid w:val="3AF60A09"/>
    <w:rsid w:val="3B4007CD"/>
    <w:rsid w:val="3C17152E"/>
    <w:rsid w:val="3CA71C51"/>
    <w:rsid w:val="3D0047E4"/>
    <w:rsid w:val="3D766728"/>
    <w:rsid w:val="3D9F7A2D"/>
    <w:rsid w:val="3E4D7489"/>
    <w:rsid w:val="3E725142"/>
    <w:rsid w:val="3EB92D70"/>
    <w:rsid w:val="3F6A4DBB"/>
    <w:rsid w:val="3F785DC7"/>
    <w:rsid w:val="3F7C16D3"/>
    <w:rsid w:val="3FF86C17"/>
    <w:rsid w:val="3FFC1167"/>
    <w:rsid w:val="40077B0C"/>
    <w:rsid w:val="402406BD"/>
    <w:rsid w:val="404B5C4A"/>
    <w:rsid w:val="40664832"/>
    <w:rsid w:val="4084115C"/>
    <w:rsid w:val="4099592E"/>
    <w:rsid w:val="40B53BBC"/>
    <w:rsid w:val="40B557B9"/>
    <w:rsid w:val="40C8470D"/>
    <w:rsid w:val="413D6362"/>
    <w:rsid w:val="41540B2E"/>
    <w:rsid w:val="415648A7"/>
    <w:rsid w:val="4163554B"/>
    <w:rsid w:val="41727207"/>
    <w:rsid w:val="41A42FA1"/>
    <w:rsid w:val="41BB6E00"/>
    <w:rsid w:val="41CF62FB"/>
    <w:rsid w:val="41DE5079"/>
    <w:rsid w:val="421018D0"/>
    <w:rsid w:val="422A57D8"/>
    <w:rsid w:val="42817701"/>
    <w:rsid w:val="428611BC"/>
    <w:rsid w:val="42B86E9B"/>
    <w:rsid w:val="43105F3B"/>
    <w:rsid w:val="436463B1"/>
    <w:rsid w:val="436E5A44"/>
    <w:rsid w:val="43713C1A"/>
    <w:rsid w:val="43792ACE"/>
    <w:rsid w:val="439B4160"/>
    <w:rsid w:val="43A538C3"/>
    <w:rsid w:val="43C755E8"/>
    <w:rsid w:val="44380293"/>
    <w:rsid w:val="447D65EE"/>
    <w:rsid w:val="44A43B7B"/>
    <w:rsid w:val="44B71B00"/>
    <w:rsid w:val="44B862E9"/>
    <w:rsid w:val="44ED6513"/>
    <w:rsid w:val="455530C7"/>
    <w:rsid w:val="45E11A26"/>
    <w:rsid w:val="4602706C"/>
    <w:rsid w:val="465F03AC"/>
    <w:rsid w:val="46733805"/>
    <w:rsid w:val="468276AB"/>
    <w:rsid w:val="46B856BC"/>
    <w:rsid w:val="46E15672"/>
    <w:rsid w:val="46EE10DD"/>
    <w:rsid w:val="46F661E4"/>
    <w:rsid w:val="47103740"/>
    <w:rsid w:val="471C3E9C"/>
    <w:rsid w:val="477E5C5B"/>
    <w:rsid w:val="47BE6D02"/>
    <w:rsid w:val="4803505C"/>
    <w:rsid w:val="480A0199"/>
    <w:rsid w:val="48356418"/>
    <w:rsid w:val="48A57EC2"/>
    <w:rsid w:val="48AE4FC8"/>
    <w:rsid w:val="48BA396D"/>
    <w:rsid w:val="48BD16AF"/>
    <w:rsid w:val="48DF1625"/>
    <w:rsid w:val="48E56510"/>
    <w:rsid w:val="49044C28"/>
    <w:rsid w:val="49395702"/>
    <w:rsid w:val="49843F7B"/>
    <w:rsid w:val="499145B8"/>
    <w:rsid w:val="49A63EF1"/>
    <w:rsid w:val="4A3C6604"/>
    <w:rsid w:val="4AA20B5D"/>
    <w:rsid w:val="4AD8632C"/>
    <w:rsid w:val="4AF15640"/>
    <w:rsid w:val="4AFA62A3"/>
    <w:rsid w:val="4B544945"/>
    <w:rsid w:val="4B726781"/>
    <w:rsid w:val="4C0272E2"/>
    <w:rsid w:val="4C0C0983"/>
    <w:rsid w:val="4C1149B8"/>
    <w:rsid w:val="4C473F0F"/>
    <w:rsid w:val="4C675BBA"/>
    <w:rsid w:val="4D135D42"/>
    <w:rsid w:val="4D1473C4"/>
    <w:rsid w:val="4DA85390"/>
    <w:rsid w:val="4E230494"/>
    <w:rsid w:val="4E514358"/>
    <w:rsid w:val="4E5C7274"/>
    <w:rsid w:val="4EED1CE4"/>
    <w:rsid w:val="4F585C8E"/>
    <w:rsid w:val="4F6B3C13"/>
    <w:rsid w:val="4F7D56F4"/>
    <w:rsid w:val="4FD60E78"/>
    <w:rsid w:val="501B4E50"/>
    <w:rsid w:val="509C4C8B"/>
    <w:rsid w:val="50FC7218"/>
    <w:rsid w:val="5118736A"/>
    <w:rsid w:val="5135219E"/>
    <w:rsid w:val="51C30881"/>
    <w:rsid w:val="51D535C6"/>
    <w:rsid w:val="51FE1E87"/>
    <w:rsid w:val="522105B9"/>
    <w:rsid w:val="5259656B"/>
    <w:rsid w:val="535B634F"/>
    <w:rsid w:val="53807561"/>
    <w:rsid w:val="538C3A8E"/>
    <w:rsid w:val="53A62E4C"/>
    <w:rsid w:val="53C71634"/>
    <w:rsid w:val="53D87451"/>
    <w:rsid w:val="53DF337E"/>
    <w:rsid w:val="542919A7"/>
    <w:rsid w:val="542E7F67"/>
    <w:rsid w:val="546F2C29"/>
    <w:rsid w:val="558B10F7"/>
    <w:rsid w:val="55B241F9"/>
    <w:rsid w:val="55D87B28"/>
    <w:rsid w:val="56397652"/>
    <w:rsid w:val="565C2507"/>
    <w:rsid w:val="566118CC"/>
    <w:rsid w:val="56A23A63"/>
    <w:rsid w:val="56A36D0C"/>
    <w:rsid w:val="56C9061B"/>
    <w:rsid w:val="56F95FA8"/>
    <w:rsid w:val="572D5C52"/>
    <w:rsid w:val="574D187E"/>
    <w:rsid w:val="57B06DB1"/>
    <w:rsid w:val="57C0436E"/>
    <w:rsid w:val="58337298"/>
    <w:rsid w:val="58680DC2"/>
    <w:rsid w:val="588673C8"/>
    <w:rsid w:val="58875970"/>
    <w:rsid w:val="58E02A3F"/>
    <w:rsid w:val="5900361E"/>
    <w:rsid w:val="592F7A5F"/>
    <w:rsid w:val="59345076"/>
    <w:rsid w:val="59575208"/>
    <w:rsid w:val="595C12A3"/>
    <w:rsid w:val="5996188C"/>
    <w:rsid w:val="59C77C98"/>
    <w:rsid w:val="59DE1485"/>
    <w:rsid w:val="5A5D3D0D"/>
    <w:rsid w:val="5A9F0C15"/>
    <w:rsid w:val="5AD36B10"/>
    <w:rsid w:val="5AD551E4"/>
    <w:rsid w:val="5AE64A95"/>
    <w:rsid w:val="5B137EF8"/>
    <w:rsid w:val="5B1F1DFE"/>
    <w:rsid w:val="5B322D65"/>
    <w:rsid w:val="5BBC75A4"/>
    <w:rsid w:val="5BCC4E68"/>
    <w:rsid w:val="5C0E6052"/>
    <w:rsid w:val="5C2F18B8"/>
    <w:rsid w:val="5C38700F"/>
    <w:rsid w:val="5C4E644E"/>
    <w:rsid w:val="5C606182"/>
    <w:rsid w:val="5C8C341B"/>
    <w:rsid w:val="5C9B365E"/>
    <w:rsid w:val="5CD1707F"/>
    <w:rsid w:val="5D01298C"/>
    <w:rsid w:val="5D206DB4"/>
    <w:rsid w:val="5D292A17"/>
    <w:rsid w:val="5E043D85"/>
    <w:rsid w:val="5E2E09BA"/>
    <w:rsid w:val="5E510503"/>
    <w:rsid w:val="5E7540E3"/>
    <w:rsid w:val="5E8A5820"/>
    <w:rsid w:val="5E8B1BDC"/>
    <w:rsid w:val="5E93321A"/>
    <w:rsid w:val="5E9B7945"/>
    <w:rsid w:val="5EBD5B0D"/>
    <w:rsid w:val="5F07293D"/>
    <w:rsid w:val="5F1B4F3C"/>
    <w:rsid w:val="5F2B6F1B"/>
    <w:rsid w:val="5F335DCF"/>
    <w:rsid w:val="5F475456"/>
    <w:rsid w:val="5F4C0C3F"/>
    <w:rsid w:val="5F9E593F"/>
    <w:rsid w:val="5FC058B5"/>
    <w:rsid w:val="5FE1582B"/>
    <w:rsid w:val="5FF23595"/>
    <w:rsid w:val="5FF437B1"/>
    <w:rsid w:val="601C4AB5"/>
    <w:rsid w:val="60846EC8"/>
    <w:rsid w:val="608D150F"/>
    <w:rsid w:val="60B972D7"/>
    <w:rsid w:val="611D2893"/>
    <w:rsid w:val="613D1187"/>
    <w:rsid w:val="614442C4"/>
    <w:rsid w:val="615C7EF7"/>
    <w:rsid w:val="61750921"/>
    <w:rsid w:val="617A5F38"/>
    <w:rsid w:val="61926DDD"/>
    <w:rsid w:val="61945446"/>
    <w:rsid w:val="62386256"/>
    <w:rsid w:val="62D11B87"/>
    <w:rsid w:val="62E80EC0"/>
    <w:rsid w:val="631D301E"/>
    <w:rsid w:val="631F49AF"/>
    <w:rsid w:val="632717A7"/>
    <w:rsid w:val="6384309D"/>
    <w:rsid w:val="638D0589"/>
    <w:rsid w:val="63B423DD"/>
    <w:rsid w:val="63BB2FBB"/>
    <w:rsid w:val="63CE39A4"/>
    <w:rsid w:val="63D27965"/>
    <w:rsid w:val="64025D70"/>
    <w:rsid w:val="643017E4"/>
    <w:rsid w:val="644840CB"/>
    <w:rsid w:val="64754A6B"/>
    <w:rsid w:val="64966BE4"/>
    <w:rsid w:val="65165F77"/>
    <w:rsid w:val="65705D14"/>
    <w:rsid w:val="65C61E05"/>
    <w:rsid w:val="65FE0EE5"/>
    <w:rsid w:val="663F14FE"/>
    <w:rsid w:val="66455A94"/>
    <w:rsid w:val="666B45AD"/>
    <w:rsid w:val="66707909"/>
    <w:rsid w:val="66B141AA"/>
    <w:rsid w:val="67470A9D"/>
    <w:rsid w:val="6773145F"/>
    <w:rsid w:val="67983D63"/>
    <w:rsid w:val="67B90B06"/>
    <w:rsid w:val="67FA56DC"/>
    <w:rsid w:val="681A3FD0"/>
    <w:rsid w:val="6888718C"/>
    <w:rsid w:val="68B25FB7"/>
    <w:rsid w:val="68E5069F"/>
    <w:rsid w:val="69164798"/>
    <w:rsid w:val="69216C99"/>
    <w:rsid w:val="694954CD"/>
    <w:rsid w:val="699B6A4B"/>
    <w:rsid w:val="69CC3379"/>
    <w:rsid w:val="69D837FB"/>
    <w:rsid w:val="6A164CD6"/>
    <w:rsid w:val="6A246A40"/>
    <w:rsid w:val="6A9C6F1F"/>
    <w:rsid w:val="6ABA1153"/>
    <w:rsid w:val="6AF417A8"/>
    <w:rsid w:val="6AF44665"/>
    <w:rsid w:val="6BD15F07"/>
    <w:rsid w:val="6BDB75D3"/>
    <w:rsid w:val="6BF80185"/>
    <w:rsid w:val="6C2B055A"/>
    <w:rsid w:val="6C423AF6"/>
    <w:rsid w:val="6C564DD5"/>
    <w:rsid w:val="6C8A72E3"/>
    <w:rsid w:val="6C923EBF"/>
    <w:rsid w:val="6CA35CB6"/>
    <w:rsid w:val="6D1D49F8"/>
    <w:rsid w:val="6D8F2D6B"/>
    <w:rsid w:val="6E0C43BB"/>
    <w:rsid w:val="6EBC12C4"/>
    <w:rsid w:val="6EF07839"/>
    <w:rsid w:val="6F01326E"/>
    <w:rsid w:val="6F2C2B1C"/>
    <w:rsid w:val="6F2F65B3"/>
    <w:rsid w:val="6F482707"/>
    <w:rsid w:val="6FB960E0"/>
    <w:rsid w:val="6FC4358D"/>
    <w:rsid w:val="6FDB1063"/>
    <w:rsid w:val="6FDE5CF3"/>
    <w:rsid w:val="6FF128C8"/>
    <w:rsid w:val="6FF60E7F"/>
    <w:rsid w:val="6FFD6CEC"/>
    <w:rsid w:val="70CB7633"/>
    <w:rsid w:val="710F6A3E"/>
    <w:rsid w:val="713C6D66"/>
    <w:rsid w:val="71DD2CB4"/>
    <w:rsid w:val="72011973"/>
    <w:rsid w:val="72563E57"/>
    <w:rsid w:val="72C52616"/>
    <w:rsid w:val="72DA6836"/>
    <w:rsid w:val="72E24CAA"/>
    <w:rsid w:val="72F21DD2"/>
    <w:rsid w:val="72FF629D"/>
    <w:rsid w:val="730022F6"/>
    <w:rsid w:val="732301DD"/>
    <w:rsid w:val="732950C8"/>
    <w:rsid w:val="735E76C4"/>
    <w:rsid w:val="736477B1"/>
    <w:rsid w:val="73C60B68"/>
    <w:rsid w:val="73FD2CDB"/>
    <w:rsid w:val="74024296"/>
    <w:rsid w:val="74185868"/>
    <w:rsid w:val="742510D0"/>
    <w:rsid w:val="74257F85"/>
    <w:rsid w:val="744F0B5E"/>
    <w:rsid w:val="74973269"/>
    <w:rsid w:val="749A44CF"/>
    <w:rsid w:val="74A938C1"/>
    <w:rsid w:val="74BF5743"/>
    <w:rsid w:val="74DC6A82"/>
    <w:rsid w:val="74F55BA9"/>
    <w:rsid w:val="74F6722B"/>
    <w:rsid w:val="751A53DD"/>
    <w:rsid w:val="75430C02"/>
    <w:rsid w:val="75504B8E"/>
    <w:rsid w:val="76191423"/>
    <w:rsid w:val="76326989"/>
    <w:rsid w:val="76562678"/>
    <w:rsid w:val="766E79DE"/>
    <w:rsid w:val="7718792D"/>
    <w:rsid w:val="77950B47"/>
    <w:rsid w:val="77A71F2F"/>
    <w:rsid w:val="77D965A0"/>
    <w:rsid w:val="77FC484A"/>
    <w:rsid w:val="782C5979"/>
    <w:rsid w:val="78397E61"/>
    <w:rsid w:val="7847671C"/>
    <w:rsid w:val="7851261E"/>
    <w:rsid w:val="789254BD"/>
    <w:rsid w:val="78FF142B"/>
    <w:rsid w:val="79002D6F"/>
    <w:rsid w:val="791660EE"/>
    <w:rsid w:val="79751DE3"/>
    <w:rsid w:val="7A102F9C"/>
    <w:rsid w:val="7A1E674C"/>
    <w:rsid w:val="7B383CB6"/>
    <w:rsid w:val="7B821819"/>
    <w:rsid w:val="7BAC4AE8"/>
    <w:rsid w:val="7BCF6D7A"/>
    <w:rsid w:val="7C284AE7"/>
    <w:rsid w:val="7C9C690A"/>
    <w:rsid w:val="7D1172F8"/>
    <w:rsid w:val="7D5823A7"/>
    <w:rsid w:val="7D7B6E68"/>
    <w:rsid w:val="7DAC0DCF"/>
    <w:rsid w:val="7E1F21F5"/>
    <w:rsid w:val="7E372159"/>
    <w:rsid w:val="7E66694B"/>
    <w:rsid w:val="7EAF501B"/>
    <w:rsid w:val="7EC8160F"/>
    <w:rsid w:val="7F080287"/>
    <w:rsid w:val="7F1255AA"/>
    <w:rsid w:val="7F491DA9"/>
    <w:rsid w:val="7FB623D9"/>
    <w:rsid w:val="7FDE6B37"/>
    <w:rsid w:val="7FE70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cs="宋体"/>
      <w:szCs w:val="21"/>
      <w:lang w:eastAsia="en-US"/>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bCs/>
    </w:rPr>
  </w:style>
  <w:style w:type="paragraph" w:customStyle="1" w:styleId="11">
    <w:name w:val="Table Text"/>
    <w:basedOn w:val="1"/>
    <w:semiHidden/>
    <w:qFormat/>
    <w:uiPriority w:val="0"/>
    <w:rPr>
      <w:rFonts w:ascii="宋体" w:hAnsi="宋体" w:cs="宋体"/>
      <w:sz w:val="18"/>
      <w:szCs w:val="18"/>
      <w:lang w:eastAsia="en-US"/>
    </w:r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51</Pages>
  <Words>18282</Words>
  <Characters>18388</Characters>
  <Lines>1850</Lines>
  <Paragraphs>1270</Paragraphs>
  <TotalTime>3</TotalTime>
  <ScaleCrop>false</ScaleCrop>
  <LinksUpToDate>false</LinksUpToDate>
  <CharactersWithSpaces>18413</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ll</cp:lastModifiedBy>
  <cp:lastPrinted>2024-09-18T02:55:00Z</cp:lastPrinted>
  <dcterms:modified xsi:type="dcterms:W3CDTF">2025-09-26T09:48:36Z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C372DD3FFC394830A1AF0D37EFD4ABE0_13</vt:lpwstr>
  </property>
  <property fmtid="{D5CDD505-2E9C-101B-9397-08002B2CF9AE}" pid="4" name="KSOTemplateDocerSaveRecord">
    <vt:lpwstr>eyJoZGlkIjoiZDc3MjQ3MzEwMTQ3ZDM0MGU0NzhjODc0MTU1MjY3MWMiLCJ1c2VySWQiOiI5MzQ1MzgzNTMifQ==</vt:lpwstr>
  </property>
</Properties>
</file>