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0F49A1">
      <w:pPr>
        <w:overflowPunct w:val="0"/>
        <w:adjustRightInd w:val="0"/>
        <w:snapToGrid w:val="0"/>
        <w:jc w:val="both"/>
        <w:rPr>
          <w:rFonts w:hint="eastAsia" w:ascii="仿宋" w:hAnsi="仿宋" w:eastAsia="仿宋"/>
          <w:color w:val="auto"/>
          <w:szCs w:val="32"/>
        </w:rPr>
      </w:pPr>
      <w:r>
        <w:rPr>
          <w:rFonts w:ascii="宋体" w:hAnsi="宋体" w:eastAsia="宋体" w:cs="宋体"/>
          <w:sz w:val="24"/>
          <w:szCs w:val="24"/>
        </w:rPr>
        <w:drawing>
          <wp:anchor distT="0" distB="0" distL="114300" distR="114300" simplePos="0" relativeHeight="251659264" behindDoc="1" locked="0" layoutInCell="1" allowOverlap="1">
            <wp:simplePos x="0" y="0"/>
            <wp:positionH relativeFrom="column">
              <wp:posOffset>-116205</wp:posOffset>
            </wp:positionH>
            <wp:positionV relativeFrom="paragraph">
              <wp:posOffset>771525</wp:posOffset>
            </wp:positionV>
            <wp:extent cx="5114925" cy="1130935"/>
            <wp:effectExtent l="0" t="0" r="5715" b="12065"/>
            <wp:wrapNone/>
            <wp:docPr id="2" name="图片 2" descr="774cab3c599d63778141cb733ecde9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74cab3c599d63778141cb733ecde9bc"/>
                    <pic:cNvPicPr>
                      <a:picLocks noChangeAspect="1"/>
                    </pic:cNvPicPr>
                  </pic:nvPicPr>
                  <pic:blipFill>
                    <a:blip r:embed="rId8"/>
                    <a:stretch>
                      <a:fillRect/>
                    </a:stretch>
                  </pic:blipFill>
                  <pic:spPr>
                    <a:xfrm>
                      <a:off x="0" y="0"/>
                      <a:ext cx="5114925" cy="1130935"/>
                    </a:xfrm>
                    <a:prstGeom prst="rect">
                      <a:avLst/>
                    </a:prstGeom>
                    <a:noFill/>
                    <a:ln>
                      <a:noFill/>
                    </a:ln>
                  </pic:spPr>
                </pic:pic>
              </a:graphicData>
            </a:graphic>
          </wp:anchor>
        </w:drawing>
      </w:r>
    </w:p>
    <w:p w14:paraId="728EEFD4">
      <w:pPr>
        <w:overflowPunct w:val="0"/>
        <w:adjustRightInd w:val="0"/>
        <w:snapToGrid w:val="0"/>
        <w:jc w:val="center"/>
        <w:rPr>
          <w:rFonts w:hint="eastAsia" w:ascii="仿宋" w:hAnsi="仿宋" w:eastAsia="仿宋"/>
          <w:color w:val="auto"/>
          <w:szCs w:val="32"/>
        </w:rPr>
      </w:pPr>
    </w:p>
    <w:p w14:paraId="4720EE8C">
      <w:pPr>
        <w:overflowPunct w:val="0"/>
        <w:adjustRightInd w:val="0"/>
        <w:snapToGrid w:val="0"/>
        <w:jc w:val="center"/>
        <w:rPr>
          <w:rFonts w:hint="eastAsia" w:ascii="仿宋" w:hAnsi="仿宋" w:eastAsia="仿宋"/>
          <w:color w:val="auto"/>
          <w:szCs w:val="32"/>
        </w:rPr>
      </w:pPr>
    </w:p>
    <w:p w14:paraId="64499618">
      <w:pPr>
        <w:overflowPunct w:val="0"/>
        <w:adjustRightInd w:val="0"/>
        <w:snapToGrid w:val="0"/>
        <w:jc w:val="center"/>
        <w:rPr>
          <w:rFonts w:hint="eastAsia" w:ascii="仿宋" w:hAnsi="仿宋" w:eastAsia="仿宋"/>
          <w:color w:val="auto"/>
          <w:szCs w:val="32"/>
        </w:rPr>
      </w:pPr>
    </w:p>
    <w:p w14:paraId="31AA5237">
      <w:pPr>
        <w:overflowPunct w:val="0"/>
        <w:adjustRightInd w:val="0"/>
        <w:snapToGrid w:val="0"/>
        <w:jc w:val="center"/>
        <w:rPr>
          <w:rFonts w:hint="eastAsia" w:ascii="仿宋" w:hAnsi="仿宋" w:eastAsia="仿宋"/>
          <w:color w:val="auto"/>
          <w:szCs w:val="32"/>
        </w:rPr>
      </w:pPr>
    </w:p>
    <w:p w14:paraId="2D798AD0">
      <w:pPr>
        <w:overflowPunct w:val="0"/>
        <w:adjustRightInd w:val="0"/>
        <w:snapToGrid w:val="0"/>
        <w:jc w:val="center"/>
        <w:rPr>
          <w:rFonts w:hint="eastAsia" w:ascii="仿宋" w:hAnsi="仿宋" w:eastAsia="仿宋"/>
          <w:color w:val="auto"/>
          <w:szCs w:val="32"/>
        </w:rPr>
      </w:pPr>
    </w:p>
    <w:p w14:paraId="614DB0C5">
      <w:pPr>
        <w:overflowPunct w:val="0"/>
        <w:adjustRightInd w:val="0"/>
        <w:snapToGrid w:val="0"/>
        <w:jc w:val="center"/>
        <w:rPr>
          <w:rFonts w:hint="eastAsia" w:ascii="仿宋" w:hAnsi="仿宋" w:eastAsia="仿宋"/>
          <w:color w:val="auto"/>
          <w:szCs w:val="32"/>
        </w:rPr>
      </w:pPr>
    </w:p>
    <w:p w14:paraId="08F1C624">
      <w:pPr>
        <w:overflowPunct w:val="0"/>
        <w:adjustRightInd w:val="0"/>
        <w:snapToGrid w:val="0"/>
        <w:rPr>
          <w:rFonts w:hint="eastAsia" w:ascii="华文新魏" w:hAnsi="仿宋" w:eastAsia="华文新魏"/>
          <w:b/>
          <w:color w:val="auto"/>
          <w:sz w:val="100"/>
          <w:szCs w:val="100"/>
        </w:rPr>
      </w:pPr>
    </w:p>
    <w:p w14:paraId="366ACE3D">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72"/>
          <w:szCs w:val="72"/>
        </w:rPr>
      </w:pPr>
      <w:r>
        <w:rPr>
          <w:rFonts w:hint="eastAsia" w:ascii="黑体" w:hAnsi="黑体" w:eastAsia="黑体" w:cs="黑体"/>
          <w:b w:val="0"/>
          <w:bCs/>
          <w:color w:val="auto"/>
          <w:sz w:val="72"/>
          <w:szCs w:val="72"/>
        </w:rPr>
        <w:t>202</w:t>
      </w:r>
      <w:r>
        <w:rPr>
          <w:rFonts w:hint="eastAsia" w:ascii="黑体" w:hAnsi="黑体" w:eastAsia="黑体" w:cs="黑体"/>
          <w:b w:val="0"/>
          <w:bCs/>
          <w:color w:val="auto"/>
          <w:sz w:val="72"/>
          <w:szCs w:val="72"/>
          <w:lang w:val="en-US" w:eastAsia="zh-CN"/>
        </w:rPr>
        <w:t>5</w:t>
      </w:r>
      <w:r>
        <w:rPr>
          <w:rFonts w:hint="eastAsia" w:ascii="黑体" w:hAnsi="黑体" w:eastAsia="黑体" w:cs="黑体"/>
          <w:b w:val="0"/>
          <w:bCs/>
          <w:color w:val="auto"/>
          <w:sz w:val="72"/>
          <w:szCs w:val="72"/>
        </w:rPr>
        <w:t>级</w:t>
      </w:r>
      <w:r>
        <w:rPr>
          <w:rFonts w:hint="eastAsia" w:ascii="黑体" w:hAnsi="黑体" w:eastAsia="黑体" w:cs="黑体"/>
          <w:b w:val="0"/>
          <w:bCs/>
          <w:color w:val="auto"/>
          <w:sz w:val="72"/>
          <w:szCs w:val="72"/>
          <w:lang w:val="en-US" w:eastAsia="zh-CN"/>
        </w:rPr>
        <w:t>城市轨道交通运营管理</w:t>
      </w:r>
      <w:r>
        <w:rPr>
          <w:rFonts w:hint="eastAsia" w:ascii="黑体" w:hAnsi="黑体" w:eastAsia="黑体" w:cs="黑体"/>
          <w:b w:val="0"/>
          <w:bCs/>
          <w:color w:val="auto"/>
          <w:sz w:val="72"/>
          <w:szCs w:val="72"/>
        </w:rPr>
        <w:t>专业人才培养方案</w:t>
      </w:r>
    </w:p>
    <w:p w14:paraId="009E86B2">
      <w:pPr>
        <w:widowControl/>
        <w:overflowPunct w:val="0"/>
        <w:adjustRightInd w:val="0"/>
        <w:snapToGrid w:val="0"/>
        <w:jc w:val="center"/>
        <w:rPr>
          <w:rFonts w:hint="eastAsia" w:ascii="黑体" w:hAnsi="黑体" w:eastAsia="黑体" w:cs="黑体"/>
          <w:b/>
          <w:bCs/>
          <w:color w:val="auto"/>
          <w:kern w:val="0"/>
          <w:sz w:val="52"/>
          <w:szCs w:val="52"/>
          <w:lang w:val="en-US" w:eastAsia="zh-CN"/>
        </w:rPr>
      </w:pPr>
    </w:p>
    <w:p w14:paraId="64B4AE75">
      <w:pPr>
        <w:widowControl/>
        <w:overflowPunct w:val="0"/>
        <w:adjustRightInd w:val="0"/>
        <w:snapToGrid w:val="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铁道与航空学院</w:t>
      </w:r>
    </w:p>
    <w:p w14:paraId="1DA38350">
      <w:pPr>
        <w:widowControl/>
        <w:overflowPunct w:val="0"/>
        <w:adjustRightInd w:val="0"/>
        <w:snapToGrid w:val="0"/>
        <w:jc w:val="center"/>
        <w:rPr>
          <w:rFonts w:hint="eastAsia" w:ascii="黑体" w:hAnsi="黑体" w:eastAsia="黑体" w:cs="黑体"/>
          <w:b/>
          <w:bCs/>
          <w:color w:val="auto"/>
          <w:kern w:val="0"/>
          <w:sz w:val="52"/>
          <w:szCs w:val="52"/>
        </w:rPr>
      </w:pPr>
    </w:p>
    <w:p w14:paraId="756175D3">
      <w:pPr>
        <w:widowControl/>
        <w:overflowPunct w:val="0"/>
        <w:adjustRightInd w:val="0"/>
        <w:snapToGrid w:val="0"/>
        <w:jc w:val="both"/>
        <w:rPr>
          <w:rFonts w:hint="eastAsia" w:ascii="黑体" w:hAnsi="黑体" w:eastAsia="黑体" w:cs="黑体"/>
          <w:b/>
          <w:bCs/>
          <w:color w:val="auto"/>
          <w:kern w:val="0"/>
          <w:sz w:val="52"/>
          <w:szCs w:val="52"/>
        </w:rPr>
      </w:pPr>
    </w:p>
    <w:p w14:paraId="2ECC88D4">
      <w:pPr>
        <w:widowControl/>
        <w:overflowPunct w:val="0"/>
        <w:adjustRightInd w:val="0"/>
        <w:snapToGrid w:val="0"/>
        <w:jc w:val="center"/>
        <w:rPr>
          <w:rFonts w:hint="eastAsia" w:ascii="黑体" w:hAnsi="黑体" w:eastAsia="黑体" w:cs="黑体"/>
          <w:b/>
          <w:bCs/>
          <w:color w:val="auto"/>
          <w:kern w:val="0"/>
          <w:sz w:val="52"/>
          <w:szCs w:val="52"/>
          <w:lang w:val="en-US" w:eastAsia="zh-CN"/>
        </w:rPr>
        <w:sectPr>
          <w:headerReference r:id="rId5" w:type="default"/>
          <w:pgSz w:w="11906" w:h="16838"/>
          <w:pgMar w:top="1417" w:right="1417" w:bottom="1417" w:left="1984" w:header="851" w:footer="992" w:gutter="0"/>
          <w:pgNumType w:start="1"/>
          <w:cols w:space="425" w:num="1"/>
          <w:docGrid w:type="lines" w:linePitch="312" w:charSpace="0"/>
        </w:sectPr>
      </w:pPr>
      <w:r>
        <w:rPr>
          <w:rFonts w:hint="eastAsia" w:ascii="黑体" w:hAnsi="黑体" w:eastAsia="黑体" w:cs="黑体"/>
          <w:b/>
          <w:bCs/>
          <w:color w:val="auto"/>
          <w:kern w:val="0"/>
          <w:sz w:val="52"/>
          <w:szCs w:val="52"/>
          <w:lang w:val="en-US" w:eastAsia="zh-CN"/>
        </w:rPr>
        <w:t>2025年4月</w:t>
      </w:r>
    </w:p>
    <w:p w14:paraId="1191005E">
      <w:pPr>
        <w:widowControl/>
        <w:overflowPunct w:val="0"/>
        <w:adjustRightInd w:val="0"/>
        <w:snapToGrid w:val="0"/>
        <w:jc w:val="center"/>
        <w:rPr>
          <w:rFonts w:hint="eastAsia" w:ascii="黑体" w:hAnsi="黑体" w:eastAsia="黑体" w:cs="黑体"/>
          <w:b/>
          <w:bCs/>
          <w:color w:val="auto"/>
          <w:kern w:val="0"/>
          <w:sz w:val="52"/>
          <w:szCs w:val="52"/>
          <w:lang w:val="en-US" w:eastAsia="zh-CN"/>
        </w:rPr>
        <w:sectPr>
          <w:pgSz w:w="11906" w:h="16838"/>
          <w:pgMar w:top="1417" w:right="1417" w:bottom="1417" w:left="1984" w:header="851" w:footer="992" w:gutter="0"/>
          <w:pgNumType w:start="1"/>
          <w:cols w:space="425" w:num="1"/>
          <w:docGrid w:type="lines" w:linePitch="312" w:charSpace="0"/>
        </w:sectPr>
      </w:pPr>
    </w:p>
    <w:p w14:paraId="544B2879">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lang w:val="en-US" w:eastAsia="zh-CN"/>
        </w:rPr>
        <w:t>城市轨道交通运营管理</w:t>
      </w:r>
      <w:r>
        <w:rPr>
          <w:rFonts w:hint="eastAsia" w:ascii="方正小标宋简体" w:hAnsi="方正小标宋简体" w:eastAsia="方正小标宋简体" w:cs="方正小标宋简体"/>
          <w:bCs/>
          <w:color w:val="auto"/>
          <w:sz w:val="44"/>
          <w:szCs w:val="44"/>
        </w:rPr>
        <w:t>专业人才培养方案</w:t>
      </w:r>
    </w:p>
    <w:p w14:paraId="151D4924">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rPr>
      </w:pPr>
    </w:p>
    <w:p w14:paraId="642277BD">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一、专业名称及代码</w:t>
      </w:r>
    </w:p>
    <w:p w14:paraId="4D4A7F46">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专业名称：</w:t>
      </w:r>
      <w:r>
        <w:rPr>
          <w:rFonts w:hint="eastAsia" w:ascii="仿宋_GB2312" w:hAnsi="仿宋_GB2312" w:eastAsia="仿宋_GB2312" w:cs="仿宋_GB2312"/>
          <w:color w:val="auto"/>
          <w:sz w:val="32"/>
          <w:szCs w:val="32"/>
          <w:lang w:val="en-US" w:eastAsia="zh-CN"/>
        </w:rPr>
        <w:t>城市轨道交通运营管理</w:t>
      </w:r>
    </w:p>
    <w:p w14:paraId="76E91854">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专业代码：</w:t>
      </w:r>
      <w:r>
        <w:rPr>
          <w:rFonts w:hint="eastAsia" w:ascii="仿宋_GB2312" w:hAnsi="仿宋_GB2312" w:eastAsia="仿宋_GB2312" w:cs="仿宋_GB2312"/>
          <w:color w:val="auto"/>
          <w:sz w:val="32"/>
          <w:szCs w:val="32"/>
          <w:lang w:val="en-US" w:eastAsia="zh-CN"/>
        </w:rPr>
        <w:t>500606</w:t>
      </w:r>
    </w:p>
    <w:p w14:paraId="2CA579B9">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二、入学要求</w:t>
      </w:r>
    </w:p>
    <w:p w14:paraId="0FB2E264">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中等职业学校毕业、普通高级中学毕业或具备同等学力</w:t>
      </w:r>
      <w:r>
        <w:rPr>
          <w:rFonts w:hint="eastAsia" w:ascii="仿宋_GB2312" w:hAnsi="仿宋_GB2312" w:eastAsia="仿宋_GB2312" w:cs="仿宋_GB2312"/>
          <w:color w:val="auto"/>
          <w:sz w:val="32"/>
          <w:szCs w:val="32"/>
          <w:lang w:eastAsia="zh-CN"/>
        </w:rPr>
        <w:t>。</w:t>
      </w:r>
    </w:p>
    <w:p w14:paraId="7578214F">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w:t>
      </w:r>
      <w:r>
        <w:rPr>
          <w:rFonts w:hint="eastAsia" w:ascii="黑体" w:hAnsi="黑体" w:eastAsia="黑体" w:cs="黑体"/>
          <w:color w:val="auto"/>
          <w:sz w:val="32"/>
          <w:szCs w:val="32"/>
          <w:highlight w:val="none"/>
          <w:lang w:val="en-US" w:eastAsia="zh-CN"/>
        </w:rPr>
        <w:t>基本</w:t>
      </w:r>
      <w:r>
        <w:rPr>
          <w:rFonts w:hint="eastAsia" w:ascii="黑体" w:hAnsi="黑体" w:eastAsia="黑体" w:cs="黑体"/>
          <w:color w:val="auto"/>
          <w:sz w:val="32"/>
          <w:szCs w:val="32"/>
          <w:highlight w:val="none"/>
        </w:rPr>
        <w:t>修业年限</w:t>
      </w:r>
    </w:p>
    <w:p w14:paraId="65BEC050">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标准修业年限为3年，弹性学分有效修业年限为2</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5年。</w:t>
      </w:r>
    </w:p>
    <w:p w14:paraId="35A50EA2">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四、职业面向</w:t>
      </w:r>
    </w:p>
    <w:p w14:paraId="0B80BB42">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jc w:val="center"/>
        <w:textAlignment w:val="auto"/>
        <w:rPr>
          <w:rFonts w:hint="eastAsia" w:ascii="仿宋" w:hAnsi="仿宋" w:eastAsia="仿宋"/>
          <w:color w:val="auto"/>
          <w:sz w:val="32"/>
          <w:szCs w:val="32"/>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职业岗位分析表</w:t>
      </w:r>
    </w:p>
    <w:tbl>
      <w:tblPr>
        <w:tblStyle w:val="8"/>
        <w:tblW w:w="101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3"/>
        <w:gridCol w:w="1512"/>
        <w:gridCol w:w="1434"/>
        <w:gridCol w:w="1972"/>
        <w:gridCol w:w="2069"/>
        <w:gridCol w:w="1777"/>
      </w:tblGrid>
      <w:tr w14:paraId="5510D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jc w:val="center"/>
        </w:trPr>
        <w:tc>
          <w:tcPr>
            <w:tcW w:w="1393" w:type="dxa"/>
            <w:vAlign w:val="center"/>
          </w:tcPr>
          <w:p w14:paraId="6E1310B8">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所属专业大类</w:t>
            </w:r>
          </w:p>
          <w:p w14:paraId="17FB6863">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512" w:type="dxa"/>
            <w:vAlign w:val="center"/>
          </w:tcPr>
          <w:p w14:paraId="11137DC0">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所属专业类</w:t>
            </w:r>
          </w:p>
          <w:p w14:paraId="1783B9D7">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434" w:type="dxa"/>
            <w:vAlign w:val="center"/>
          </w:tcPr>
          <w:p w14:paraId="0645329F">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对应行业（代码）</w:t>
            </w:r>
          </w:p>
        </w:tc>
        <w:tc>
          <w:tcPr>
            <w:tcW w:w="1972" w:type="dxa"/>
            <w:vAlign w:val="center"/>
          </w:tcPr>
          <w:p w14:paraId="63227C8D">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主要职业类别（代码）</w:t>
            </w:r>
          </w:p>
        </w:tc>
        <w:tc>
          <w:tcPr>
            <w:tcW w:w="2069" w:type="dxa"/>
            <w:vAlign w:val="center"/>
          </w:tcPr>
          <w:p w14:paraId="4E7CAF35">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主要岗位（群）或技术领域</w:t>
            </w:r>
          </w:p>
        </w:tc>
        <w:tc>
          <w:tcPr>
            <w:tcW w:w="1777" w:type="dxa"/>
            <w:vAlign w:val="center"/>
          </w:tcPr>
          <w:p w14:paraId="2C8B2080">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职业类证书</w:t>
            </w:r>
          </w:p>
        </w:tc>
      </w:tr>
      <w:tr w14:paraId="7F3B8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393" w:type="dxa"/>
          </w:tcPr>
          <w:p w14:paraId="19D2810A">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bookmarkStart w:id="0" w:name="OLE_LINK1" w:colFirst="0" w:colLast="5"/>
            <w:r>
              <w:rPr>
                <w:rFonts w:hint="eastAsia" w:ascii="仿宋_GB2312" w:hAnsi="仿宋_GB2312" w:eastAsia="仿宋_GB2312" w:cs="仿宋_GB2312"/>
                <w:sz w:val="24"/>
              </w:rPr>
              <w:t>交通运输大类（50）</w:t>
            </w:r>
          </w:p>
        </w:tc>
        <w:tc>
          <w:tcPr>
            <w:tcW w:w="1512" w:type="dxa"/>
          </w:tcPr>
          <w:p w14:paraId="511DD73E">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城市轨道交通类（5006）</w:t>
            </w:r>
          </w:p>
        </w:tc>
        <w:tc>
          <w:tcPr>
            <w:tcW w:w="1434" w:type="dxa"/>
          </w:tcPr>
          <w:p w14:paraId="677828A9">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城市轨道交通（5412）</w:t>
            </w:r>
          </w:p>
        </w:tc>
        <w:tc>
          <w:tcPr>
            <w:tcW w:w="1972" w:type="dxa"/>
          </w:tcPr>
          <w:p w14:paraId="37B31CFD">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城市轨道交通服务员（4-02-01-07）</w:t>
            </w:r>
          </w:p>
        </w:tc>
        <w:tc>
          <w:tcPr>
            <w:tcW w:w="2069" w:type="dxa"/>
          </w:tcPr>
          <w:p w14:paraId="55C04301">
            <w:pPr>
              <w:overflowPunct w:val="0"/>
              <w:adjustRightInd w:val="0"/>
              <w:spacing w:line="240" w:lineRule="auto"/>
              <w:jc w:val="left"/>
              <w:rPr>
                <w:rFonts w:hint="eastAsia" w:ascii="仿宋_GB2312" w:hAnsi="仿宋_GB2312" w:eastAsia="仿宋_GB2312" w:cs="仿宋_GB2312"/>
                <w:sz w:val="24"/>
              </w:rPr>
            </w:pPr>
            <w:r>
              <w:rPr>
                <w:rFonts w:hint="eastAsia" w:ascii="仿宋_GB2312" w:hAnsi="仿宋_GB2312" w:eastAsia="仿宋_GB2312" w:cs="仿宋_GB2312"/>
                <w:sz w:val="24"/>
              </w:rPr>
              <w:t>客运服务；</w:t>
            </w:r>
          </w:p>
          <w:p w14:paraId="374B4F6A">
            <w:pPr>
              <w:overflowPunct w:val="0"/>
              <w:adjustRightInd w:val="0"/>
              <w:spacing w:line="240" w:lineRule="auto"/>
              <w:jc w:val="left"/>
              <w:rPr>
                <w:rFonts w:hint="eastAsia" w:ascii="仿宋_GB2312" w:hAnsi="仿宋_GB2312" w:eastAsia="仿宋_GB2312" w:cs="仿宋_GB2312"/>
                <w:sz w:val="24"/>
              </w:rPr>
            </w:pPr>
            <w:r>
              <w:rPr>
                <w:rFonts w:hint="eastAsia" w:ascii="仿宋_GB2312" w:hAnsi="仿宋_GB2312" w:eastAsia="仿宋_GB2312" w:cs="仿宋_GB2312"/>
                <w:sz w:val="24"/>
              </w:rPr>
              <w:t>票务管理；</w:t>
            </w:r>
          </w:p>
          <w:p w14:paraId="7446306E">
            <w:pPr>
              <w:overflowPunct w:val="0"/>
              <w:adjustRightInd w:val="0"/>
              <w:spacing w:line="240" w:lineRule="auto"/>
              <w:jc w:val="left"/>
              <w:rPr>
                <w:rFonts w:hint="eastAsia" w:ascii="仿宋_GB2312" w:hAnsi="仿宋_GB2312" w:eastAsia="仿宋_GB2312" w:cs="仿宋_GB2312"/>
                <w:sz w:val="24"/>
              </w:rPr>
            </w:pPr>
            <w:r>
              <w:rPr>
                <w:rFonts w:hint="eastAsia" w:ascii="仿宋_GB2312" w:hAnsi="仿宋_GB2312" w:eastAsia="仿宋_GB2312" w:cs="仿宋_GB2312"/>
                <w:sz w:val="24"/>
              </w:rPr>
              <w:t>客运组织；</w:t>
            </w:r>
          </w:p>
          <w:p w14:paraId="13FD8555">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行车组织。</w:t>
            </w:r>
          </w:p>
        </w:tc>
        <w:tc>
          <w:tcPr>
            <w:tcW w:w="1777" w:type="dxa"/>
          </w:tcPr>
          <w:p w14:paraId="4514582B">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城市轨道交通交通站务</w:t>
            </w:r>
          </w:p>
        </w:tc>
      </w:tr>
      <w:bookmarkEnd w:id="0"/>
    </w:tbl>
    <w:p w14:paraId="68237E1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五、培养目标</w:t>
      </w:r>
    </w:p>
    <w:p w14:paraId="2EDCDD4F">
      <w:pPr>
        <w:keepNext w:val="0"/>
        <w:keepLines w:val="0"/>
        <w:pageBreakBefore w:val="0"/>
        <w:widowControl w:val="0"/>
        <w:kinsoku/>
        <w:wordWrap/>
        <w:overflowPunct w:val="0"/>
        <w:topLinePunct w:val="0"/>
        <w:bidi w:val="0"/>
        <w:adjustRightInd w:val="0"/>
        <w:snapToGrid/>
        <w:spacing w:after="0" w:line="500" w:lineRule="exact"/>
        <w:ind w:firstLine="640" w:firstLineChars="200"/>
        <w:textAlignment w:val="auto"/>
        <w:outlineLvl w:val="0"/>
        <w:rPr>
          <w:rFonts w:hint="eastAsia" w:ascii="仿宋GB2312" w:hAnsi="仿宋GB2312" w:eastAsia="仿宋GB2312" w:cs="仿宋GB2312"/>
          <w:sz w:val="32"/>
          <w:szCs w:val="32"/>
        </w:rPr>
      </w:pPr>
      <w:r>
        <w:rPr>
          <w:rFonts w:hint="eastAsia" w:ascii="仿宋_GB2312" w:hAnsi="仿宋_GB2312" w:eastAsia="仿宋_GB2312" w:cs="仿宋_GB2312"/>
          <w:color w:val="auto"/>
          <w:sz w:val="32"/>
          <w:szCs w:val="32"/>
        </w:rPr>
        <w:t>本专业培养能够践行社会主义核心价值观，传承技能文明，德智体美劳全面发展，具有科学文化素养和数字技术应用能力，厚植爱岗敬业的职业精神和精益求精的工匠精神，掌握城市轨道交通运营管理专业知识和智能运维技术技能，突出智能化运营管理特色，系统构建智慧城轨、自动售检票系统、列车自动控制等新技术应用能力。具备职业综合素质和可持续发展能力，面向城市轨道交通行业的客运服务、智能调度、票务管理、行车组织等岗位群，能在全自动运行系统等新技术应用场景下从事设备智能运维、乘客精准服务、票务数据分析、大客流智慧疏导、数字化行车作业及突发事件应急处置工作，形成从基层技术岗到行车调度指挥岗的职业发展通道，成为适应智慧城轨发展的复合型高技能人才。</w:t>
      </w:r>
    </w:p>
    <w:p w14:paraId="7248DAC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val="en-US" w:eastAsia="zh-CN"/>
        </w:rPr>
        <w:t>六</w:t>
      </w:r>
      <w:r>
        <w:rPr>
          <w:rFonts w:hint="eastAsia" w:ascii="黑体" w:hAnsi="黑体" w:eastAsia="黑体" w:cs="黑体"/>
          <w:color w:val="auto"/>
          <w:sz w:val="32"/>
          <w:szCs w:val="32"/>
        </w:rPr>
        <w:t>、培养</w:t>
      </w:r>
      <w:r>
        <w:rPr>
          <w:rFonts w:hint="eastAsia" w:ascii="黑体" w:hAnsi="黑体" w:eastAsia="黑体" w:cs="黑体"/>
          <w:color w:val="auto"/>
          <w:sz w:val="32"/>
          <w:szCs w:val="32"/>
          <w:lang w:val="en-US" w:eastAsia="zh-CN"/>
        </w:rPr>
        <w:t>规格</w:t>
      </w:r>
    </w:p>
    <w:p w14:paraId="59F242B0">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本专业</w:t>
      </w:r>
      <w:r>
        <w:rPr>
          <w:rFonts w:hint="eastAsia" w:ascii="仿宋_GB2312" w:hAnsi="仿宋_GB2312" w:eastAsia="仿宋_GB2312" w:cs="仿宋_GB2312"/>
          <w:color w:val="auto"/>
          <w:sz w:val="32"/>
          <w:szCs w:val="32"/>
          <w:lang w:val="en-US" w:eastAsia="zh-CN"/>
        </w:rPr>
        <w:t>学</w:t>
      </w:r>
      <w:r>
        <w:rPr>
          <w:rFonts w:hint="eastAsia" w:ascii="仿宋_GB2312" w:hAnsi="仿宋_GB2312" w:eastAsia="仿宋_GB2312" w:cs="仿宋_GB2312"/>
          <w:color w:val="auto"/>
          <w:sz w:val="32"/>
          <w:szCs w:val="32"/>
          <w:lang w:eastAsia="zh-CN"/>
        </w:rPr>
        <w:t>生</w:t>
      </w:r>
      <w:r>
        <w:rPr>
          <w:rFonts w:hint="eastAsia" w:ascii="仿宋_GB2312" w:hAnsi="仿宋_GB2312" w:eastAsia="仿宋_GB2312" w:cs="仿宋_GB2312"/>
          <w:color w:val="auto"/>
          <w:sz w:val="32"/>
          <w:szCs w:val="32"/>
        </w:rPr>
        <w:t>应在系统学习本专业知识并完成有关实习实训基础上，全面提升知识、能力、素质，掌握并实际运用岗位（群）需要的专业核心技术技能，实现德智体美劳全面发展</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lang w:eastAsia="zh-CN"/>
        </w:rPr>
        <w:t>总体上须达到以下要求：</w:t>
      </w:r>
    </w:p>
    <w:p w14:paraId="79A0DAC4">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（一）</w:t>
      </w:r>
      <w:r>
        <w:rPr>
          <w:rFonts w:hint="eastAsia" w:ascii="楷体" w:hAnsi="楷体" w:eastAsia="楷体" w:cs="楷体"/>
          <w:color w:val="auto"/>
          <w:sz w:val="32"/>
          <w:szCs w:val="32"/>
        </w:rPr>
        <w:t>知识</w:t>
      </w:r>
      <w:r>
        <w:rPr>
          <w:rFonts w:hint="eastAsia" w:ascii="楷体" w:hAnsi="楷体" w:eastAsia="楷体" w:cs="楷体"/>
          <w:color w:val="auto"/>
          <w:sz w:val="32"/>
          <w:szCs w:val="32"/>
          <w:lang w:val="en-US" w:eastAsia="zh-CN"/>
        </w:rPr>
        <w:t>目标</w:t>
      </w:r>
    </w:p>
    <w:p w14:paraId="31C242BD">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掌握支撑本专业学习和可持续发展必备的外语（英语等）、信息技术等文化基础知识，具有良好的人文素养与科学素养，具备职业生涯规划能力；</w:t>
      </w:r>
    </w:p>
    <w:p w14:paraId="09E3629F">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具有良好的语言表达能力、文字表达能力、沟通合作能力，具有较强的集体意识和团队合作意识，学习1门外语并结合本专业加以运用；</w:t>
      </w:r>
    </w:p>
    <w:p w14:paraId="5E1C9A27">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掌握城市轨道交通通信信号、车站机电设备、车辆构造方面的专业基础理论知识。</w:t>
      </w:r>
    </w:p>
    <w:p w14:paraId="3BF5106C">
      <w:pPr>
        <w:keepNext w:val="0"/>
        <w:keepLines w:val="0"/>
        <w:pageBreakBefore w:val="0"/>
        <w:widowControl w:val="0"/>
        <w:kinsoku/>
        <w:wordWrap/>
        <w:overflowPunct w:val="0"/>
        <w:topLinePunct w:val="0"/>
        <w:autoSpaceDE/>
        <w:autoSpaceDN/>
        <w:bidi w:val="0"/>
        <w:adjustRightInd w:val="0"/>
        <w:snapToGrid/>
        <w:spacing w:after="0" w:line="520" w:lineRule="exact"/>
        <w:ind w:right="0" w:firstLine="640" w:firstLineChars="200"/>
        <w:textAlignment w:val="auto"/>
        <w:outlineLvl w:val="0"/>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能力</w:t>
      </w:r>
      <w:r>
        <w:rPr>
          <w:rFonts w:hint="eastAsia" w:ascii="楷体" w:hAnsi="楷体" w:eastAsia="楷体" w:cs="楷体"/>
          <w:color w:val="auto"/>
          <w:sz w:val="32"/>
          <w:szCs w:val="32"/>
          <w:lang w:val="en-US" w:eastAsia="zh-CN"/>
        </w:rPr>
        <w:t>目标</w:t>
      </w:r>
    </w:p>
    <w:p w14:paraId="4A2F139C">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1.掌握城市轨道交通票务管理、客运组织、行车组织、安全管理方面的专业基础理论知识，具有解决运营生产实际问题的能力；</w:t>
      </w:r>
    </w:p>
    <w:p w14:paraId="5FCFD1B1">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2.掌握城市轨道交通车站站台门、电梯等运营设备的识别、操作和监控技能，具有对其进行监视、操作、巡查、基础维护及简单故障处理的能力；</w:t>
      </w:r>
    </w:p>
    <w:p w14:paraId="16EC0D95">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3.掌握城市轨道交通车站售检票系统运用、设备操作及票务处理等技能，具有正确使用与监控自动售检票系统、操作与巡查设施设备及处理简单故障的能力；</w:t>
      </w:r>
    </w:p>
    <w:p w14:paraId="0D8E75F2">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4.掌握城市轨道交通车站客运组织、客运服务及事务处理等技能，具有组织开展车站日常运作、客流组织疏导、车站客流组织方案编制与实施、乘客服务、乘客投诉与纠纷处理等的能力；</w:t>
      </w:r>
    </w:p>
    <w:p w14:paraId="772BE2EE">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5.掌握城市轨道交通行车组织、施工与设备检修组织等技能，具有控制台监视与操作、接发列车、施工行车组织的能力；</w:t>
      </w:r>
    </w:p>
    <w:p w14:paraId="2EEACD09">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6.掌握城市轨道交通突发事件应急处置等技能，具有及时启动应急预案、组织分岗位合作完成突发事件应急处置的能力；</w:t>
      </w:r>
    </w:p>
    <w:p w14:paraId="0B22A9D3">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7.具有探究学习、终身学习和可持续发展的能力，具有整合知识和综合运用知识分析问题和解决问题的能力；</w:t>
      </w:r>
    </w:p>
    <w:p w14:paraId="58671FF2">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8.掌握身体运动的基本知识和至少1项体育运动技能，达到国家大学生体质健康测试合格标准，养成良好的运动习惯、卫生习惯和行为习惯；具备一定的心理调适能力；</w:t>
      </w:r>
    </w:p>
    <w:p w14:paraId="0C2DDDB6">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9.掌握必备的美育知识，具有一定的文化修养、审美能力，形成至少1项艺术特长或爱好。</w:t>
      </w:r>
    </w:p>
    <w:p w14:paraId="123B02C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素质</w:t>
      </w:r>
      <w:r>
        <w:rPr>
          <w:rFonts w:hint="eastAsia" w:ascii="楷体" w:hAnsi="楷体" w:eastAsia="楷体" w:cs="楷体"/>
          <w:color w:val="auto"/>
          <w:sz w:val="32"/>
          <w:szCs w:val="32"/>
          <w:lang w:val="en-US" w:eastAsia="zh-CN"/>
        </w:rPr>
        <w:t>目标</w:t>
      </w:r>
    </w:p>
    <w:p w14:paraId="7E37D849">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1.坚定拥护中国共产党领导和中国特色社会主义制度，以习近平新时代中国特色社会主义思想为指导，践行社会主义核心价值观，具有坚定的理想信念、深厚的爱国情感和中华民族自豪感；</w:t>
      </w:r>
    </w:p>
    <w:p w14:paraId="379CA8C5">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掌握与本专业对应职业活动相关的国家法律、行业规定，掌握绿色生产、环境保护、安全防护、质量管理等相关知识与技能，了解相关行业文化，具有爱岗敬业的职业精神，遵守职业道德准则和行为规范，具备社会责任感和担当精神；</w:t>
      </w:r>
    </w:p>
    <w:p w14:paraId="16FD151B">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3.树立正确的劳动观，尊重劳动，热爱劳动，具备与本专业职业发展相适应的劳动素养，弘扬劳模精神、劳动精神、工匠精神，弘扬劳动光荣、技能宝贵、创造伟大的时代风尚。</w:t>
      </w:r>
    </w:p>
    <w:p w14:paraId="17033E12">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七</w:t>
      </w:r>
      <w:r>
        <w:rPr>
          <w:rFonts w:hint="eastAsia" w:ascii="黑体" w:hAnsi="黑体" w:eastAsia="黑体" w:cs="黑体"/>
          <w:color w:val="auto"/>
          <w:sz w:val="32"/>
          <w:szCs w:val="32"/>
        </w:rPr>
        <w:t>、课程设置</w:t>
      </w:r>
    </w:p>
    <w:p w14:paraId="4298909F">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主要包括公共基础课程和专业课程。</w:t>
      </w:r>
    </w:p>
    <w:p w14:paraId="3D05847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rPr>
      </w:pPr>
      <w:r>
        <w:rPr>
          <w:rFonts w:hint="eastAsia" w:ascii="楷体" w:hAnsi="楷体" w:eastAsia="楷体" w:cs="楷体"/>
          <w:color w:val="auto"/>
          <w:sz w:val="32"/>
          <w:szCs w:val="32"/>
        </w:rPr>
        <w:t>（一）公共基础课程</w:t>
      </w:r>
    </w:p>
    <w:p w14:paraId="6EF50825">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eastAsia="zh-CN"/>
        </w:rPr>
      </w:pPr>
      <w:bookmarkStart w:id="1" w:name="_Toc90734974"/>
      <w:r>
        <w:rPr>
          <w:rFonts w:hint="eastAsia" w:ascii="仿宋_GB2312" w:hAnsi="仿宋_GB2312" w:eastAsia="仿宋_GB2312" w:cs="仿宋_GB2312"/>
          <w:color w:val="auto"/>
          <w:sz w:val="32"/>
          <w:szCs w:val="32"/>
          <w:lang w:eastAsia="zh-CN"/>
        </w:rPr>
        <w:t>分为公共必修课和公共选修课。</w:t>
      </w:r>
    </w:p>
    <w:p w14:paraId="108845D4">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必修</w:t>
      </w:r>
      <w:r>
        <w:rPr>
          <w:rFonts w:hint="eastAsia" w:ascii="仿宋_GB2312" w:hAnsi="仿宋_GB2312" w:eastAsia="仿宋_GB2312" w:cs="仿宋_GB2312"/>
          <w:color w:val="auto"/>
          <w:sz w:val="32"/>
          <w:szCs w:val="32"/>
        </w:rPr>
        <w:t>课程包括</w:t>
      </w:r>
      <w:bookmarkEnd w:id="1"/>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思想道德与法治</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形势与政策</w:t>
      </w:r>
      <w:r>
        <w:rPr>
          <w:rFonts w:hint="eastAsia" w:ascii="仿宋_GB2312" w:hAnsi="仿宋_GB2312" w:eastAsia="仿宋_GB2312" w:cs="仿宋_GB2312"/>
          <w:color w:val="auto"/>
          <w:sz w:val="32"/>
          <w:szCs w:val="32"/>
          <w:lang w:eastAsia="zh-CN"/>
        </w:rPr>
        <w:t>、国家安全教育、</w:t>
      </w:r>
      <w:r>
        <w:rPr>
          <w:rFonts w:hint="eastAsia" w:ascii="仿宋_GB2312" w:hAnsi="仿宋_GB2312" w:eastAsia="仿宋_GB2312" w:cs="仿宋_GB2312"/>
          <w:color w:val="auto"/>
          <w:sz w:val="32"/>
          <w:szCs w:val="32"/>
        </w:rPr>
        <w:t>军事理论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军训</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计算机基础</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大学英语</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大学</w:t>
      </w:r>
      <w:r>
        <w:rPr>
          <w:rFonts w:hint="eastAsia" w:ascii="仿宋_GB2312" w:hAnsi="仿宋_GB2312" w:eastAsia="仿宋_GB2312" w:cs="仿宋_GB2312"/>
          <w:color w:val="auto"/>
          <w:sz w:val="32"/>
          <w:szCs w:val="32"/>
        </w:rPr>
        <w:t>体育</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大学生职业发展与就业指导</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大学生心理健康教育</w:t>
      </w:r>
      <w:r>
        <w:rPr>
          <w:rFonts w:hint="eastAsia" w:ascii="仿宋_GB2312" w:hAnsi="仿宋_GB2312" w:eastAsia="仿宋_GB2312" w:cs="仿宋_GB2312"/>
          <w:color w:val="auto"/>
          <w:sz w:val="32"/>
          <w:szCs w:val="32"/>
          <w:lang w:eastAsia="zh-CN"/>
        </w:rPr>
        <w:t>、劳动教育、</w:t>
      </w:r>
      <w:r>
        <w:rPr>
          <w:rFonts w:hint="eastAsia" w:ascii="仿宋_GB2312" w:hAnsi="仿宋_GB2312" w:eastAsia="仿宋_GB2312" w:cs="仿宋_GB2312"/>
          <w:color w:val="auto"/>
          <w:sz w:val="32"/>
          <w:szCs w:val="32"/>
        </w:rPr>
        <w:t>毛泽东思想和中国特色社会主义理论体系概论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创新创业教育</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习近平新时代中国特色社会主义思想概论</w:t>
      </w:r>
      <w:r>
        <w:rPr>
          <w:rFonts w:hint="eastAsia" w:ascii="仿宋_GB2312" w:hAnsi="仿宋_GB2312" w:eastAsia="仿宋_GB2312" w:cs="仿宋_GB2312"/>
          <w:color w:val="auto"/>
          <w:sz w:val="32"/>
          <w:szCs w:val="32"/>
          <w:lang w:eastAsia="zh-CN"/>
        </w:rPr>
        <w:t>。</w:t>
      </w:r>
    </w:p>
    <w:p w14:paraId="553F1885">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选修课程包括：</w:t>
      </w:r>
      <w:r>
        <w:rPr>
          <w:rFonts w:hint="eastAsia" w:ascii="仿宋_GB2312" w:hAnsi="仿宋_GB2312" w:eastAsia="仿宋_GB2312" w:cs="仿宋_GB2312"/>
          <w:color w:val="auto"/>
          <w:sz w:val="32"/>
          <w:szCs w:val="32"/>
        </w:rPr>
        <w:t>中国民俗剪纸技法</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影视与鉴赏</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中国共产党简史</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中华人民共和国简史</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改革开放简史</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highlight w:val="none"/>
        </w:rPr>
        <w:t>社会主义发展简史</w:t>
      </w:r>
      <w:r>
        <w:rPr>
          <w:rFonts w:hint="eastAsia" w:ascii="仿宋_GB2312" w:hAnsi="仿宋_GB2312" w:eastAsia="仿宋_GB2312" w:cs="仿宋_GB2312"/>
          <w:color w:val="auto"/>
          <w:sz w:val="32"/>
          <w:szCs w:val="32"/>
          <w:lang w:eastAsia="zh-CN"/>
        </w:rPr>
        <w:t>、中华优秀传统文化、中华民族共同体概论、数学、</w:t>
      </w:r>
      <w:r>
        <w:rPr>
          <w:rFonts w:hint="eastAsia" w:ascii="仿宋_GB2312" w:hAnsi="仿宋_GB2312" w:eastAsia="仿宋_GB2312" w:cs="仿宋_GB2312"/>
          <w:color w:val="auto"/>
          <w:sz w:val="32"/>
          <w:szCs w:val="32"/>
          <w:lang w:val="en-US" w:eastAsia="zh-CN"/>
        </w:rPr>
        <w:t>语文、物理、化学</w:t>
      </w:r>
      <w:r>
        <w:rPr>
          <w:rFonts w:hint="eastAsia" w:ascii="仿宋_GB2312" w:hAnsi="仿宋_GB2312" w:eastAsia="仿宋_GB2312" w:cs="仿宋_GB2312"/>
          <w:color w:val="auto"/>
          <w:sz w:val="32"/>
          <w:szCs w:val="32"/>
          <w:lang w:eastAsia="zh-CN"/>
        </w:rPr>
        <w:t>。</w:t>
      </w:r>
    </w:p>
    <w:p w14:paraId="0ECAC207">
      <w:pPr>
        <w:overflowPunct w:val="0"/>
        <w:adjustRightInd w:val="0"/>
        <w:spacing w:line="520" w:lineRule="exact"/>
        <w:ind w:firstLine="640" w:firstLineChars="200"/>
        <w:jc w:val="center"/>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highlight w:val="none"/>
        </w:rPr>
        <w:t>2</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公共基础课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7"/>
        <w:tblW w:w="10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869"/>
        <w:gridCol w:w="3663"/>
        <w:gridCol w:w="3281"/>
        <w:gridCol w:w="2453"/>
      </w:tblGrid>
      <w:tr w14:paraId="55A00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507" w:type="dxa"/>
            <w:vAlign w:val="center"/>
          </w:tcPr>
          <w:p w14:paraId="3FB5B33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rPr>
            </w:pPr>
            <w:bookmarkStart w:id="2" w:name="_Toc90734979"/>
            <w:bookmarkStart w:id="3" w:name="_Toc2022"/>
            <w:r>
              <w:rPr>
                <w:rFonts w:hint="eastAsia" w:ascii="仿宋_GB2312" w:hAnsi="仿宋_GB2312" w:eastAsia="仿宋_GB2312" w:cs="仿宋_GB2312"/>
                <w:color w:val="auto"/>
                <w:sz w:val="24"/>
                <w:szCs w:val="24"/>
              </w:rPr>
              <w:t>序号</w:t>
            </w:r>
            <w:bookmarkEnd w:id="2"/>
            <w:bookmarkEnd w:id="3"/>
          </w:p>
        </w:tc>
        <w:tc>
          <w:tcPr>
            <w:tcW w:w="869" w:type="dxa"/>
            <w:vAlign w:val="center"/>
          </w:tcPr>
          <w:p w14:paraId="2A468C4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rPr>
            </w:pPr>
            <w:bookmarkStart w:id="4" w:name="_Toc90734980"/>
            <w:bookmarkStart w:id="5" w:name="_Toc2635"/>
            <w:r>
              <w:rPr>
                <w:rFonts w:hint="eastAsia" w:ascii="仿宋_GB2312" w:hAnsi="仿宋_GB2312" w:eastAsia="仿宋_GB2312" w:cs="仿宋_GB2312"/>
                <w:color w:val="auto"/>
                <w:sz w:val="24"/>
                <w:szCs w:val="24"/>
              </w:rPr>
              <w:t>课程名称</w:t>
            </w:r>
            <w:bookmarkEnd w:id="4"/>
            <w:bookmarkEnd w:id="5"/>
          </w:p>
        </w:tc>
        <w:tc>
          <w:tcPr>
            <w:tcW w:w="3663" w:type="dxa"/>
            <w:vAlign w:val="center"/>
          </w:tcPr>
          <w:p w14:paraId="7694DFF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rPr>
            </w:pPr>
            <w:bookmarkStart w:id="6" w:name="_Toc24608"/>
            <w:bookmarkStart w:id="7" w:name="_Toc90734981"/>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bookmarkEnd w:id="6"/>
            <w:bookmarkEnd w:id="7"/>
          </w:p>
        </w:tc>
        <w:tc>
          <w:tcPr>
            <w:tcW w:w="3281" w:type="dxa"/>
            <w:vAlign w:val="center"/>
          </w:tcPr>
          <w:p w14:paraId="34F5D58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rPr>
            </w:pPr>
            <w:bookmarkStart w:id="8" w:name="_Toc90734982"/>
            <w:bookmarkStart w:id="9" w:name="_Toc23051"/>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bookmarkEnd w:id="8"/>
            <w:bookmarkEnd w:id="9"/>
          </w:p>
        </w:tc>
        <w:tc>
          <w:tcPr>
            <w:tcW w:w="2453" w:type="dxa"/>
            <w:vAlign w:val="center"/>
          </w:tcPr>
          <w:p w14:paraId="480118E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教学要求</w:t>
            </w:r>
          </w:p>
        </w:tc>
      </w:tr>
      <w:tr w14:paraId="59CFA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7FB20ED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p>
        </w:tc>
        <w:tc>
          <w:tcPr>
            <w:tcW w:w="869" w:type="dxa"/>
            <w:vAlign w:val="center"/>
          </w:tcPr>
          <w:p w14:paraId="614B5D2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rPr>
              <w:t>思想道德与法治</w:t>
            </w:r>
          </w:p>
        </w:tc>
        <w:tc>
          <w:tcPr>
            <w:tcW w:w="3663" w:type="dxa"/>
            <w:vAlign w:val="top"/>
          </w:tcPr>
          <w:p w14:paraId="59D2AB6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b w:val="0"/>
                <w:bCs w:val="0"/>
                <w:color w:val="auto"/>
                <w:sz w:val="24"/>
                <w:szCs w:val="24"/>
                <w:highlight w:val="none"/>
              </w:rPr>
              <w:t>系统掌握本课程的基本原理和理论，了解新时代、人生观、远大理想、中国精神、社会</w:t>
            </w:r>
            <w:r>
              <w:rPr>
                <w:rFonts w:hint="eastAsia" w:ascii="仿宋_GB2312" w:hAnsi="仿宋_GB2312" w:eastAsia="仿宋_GB2312" w:cs="仿宋_GB2312"/>
                <w:b w:val="0"/>
                <w:bCs w:val="0"/>
                <w:color w:val="auto"/>
                <w:sz w:val="24"/>
                <w:szCs w:val="24"/>
                <w:highlight w:val="none"/>
                <w:lang w:eastAsia="zh-CN"/>
              </w:rPr>
              <w:t>主义</w:t>
            </w:r>
            <w:r>
              <w:rPr>
                <w:rFonts w:hint="eastAsia" w:ascii="仿宋_GB2312" w:hAnsi="仿宋_GB2312" w:eastAsia="仿宋_GB2312" w:cs="仿宋_GB2312"/>
                <w:b w:val="0"/>
                <w:bCs w:val="0"/>
                <w:color w:val="auto"/>
                <w:sz w:val="24"/>
                <w:szCs w:val="24"/>
                <w:highlight w:val="none"/>
              </w:rPr>
              <w:t>核心价值观、道德规范、法治等相关内容，构建起个人与国家、社会，个人与职业、婚姻家庭之间命运共同体内在关联的 科学认知体系。</w:t>
            </w:r>
          </w:p>
          <w:p w14:paraId="232B96D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b w:val="0"/>
                <w:bCs w:val="0"/>
                <w:color w:val="auto"/>
                <w:sz w:val="24"/>
                <w:szCs w:val="24"/>
                <w:highlight w:val="none"/>
              </w:rPr>
              <w:t>能够运用基本原理和理论分析判断是非、明辨善恶；认真审视和正视自身言行举止，弃“恶”扬善，从“我”做起、从日常小事做起、从现在做起，逐渐养成自觉践行社会主义核心价值观的习惯。</w:t>
            </w:r>
          </w:p>
          <w:p w14:paraId="64794BB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以习近平新时代中国特色社会主义思想为指导，以引导大学生成长为担当民族复兴大任的时代新人为着眼点，以新时代对青年大学生的新要求为切入点，以人生选择、理想信念、价值观念、道德觉悟、法治素养等为主体内容，以提升大学生思想道德素养和法治素养为目标，教育和激励大学生立大志、明大德、成大才、担大任，在实现中国梦的生动实践中放飞青春梦想，成为自觉担当民族复兴大任的时代新人。</w:t>
            </w:r>
          </w:p>
        </w:tc>
        <w:tc>
          <w:tcPr>
            <w:tcW w:w="3281" w:type="dxa"/>
            <w:vAlign w:val="top"/>
          </w:tcPr>
          <w:p w14:paraId="759E42A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val="0"/>
                <w:bCs w:val="0"/>
                <w:color w:val="auto"/>
                <w:sz w:val="24"/>
                <w:szCs w:val="24"/>
                <w:highlight w:val="none"/>
              </w:rPr>
              <w:t>本课程包括三大知识模块：一是思想政治教育，包括绪论、第一至四章，旨在引导帮助大学生树立正确的人生观，确立科学的理想信念，弘扬以爱国主义为核心的民族精神和以改革创新为核心的时代精神，积极培育</w:t>
            </w:r>
            <w:r>
              <w:rPr>
                <w:rFonts w:hint="eastAsia" w:ascii="仿宋_GB2312" w:hAnsi="仿宋_GB2312" w:eastAsia="仿宋_GB2312" w:cs="仿宋_GB2312"/>
                <w:b w:val="0"/>
                <w:bCs w:val="0"/>
                <w:color w:val="auto"/>
                <w:sz w:val="24"/>
                <w:szCs w:val="24"/>
                <w:highlight w:val="none"/>
                <w:lang w:val="en-US" w:eastAsia="zh-CN"/>
              </w:rPr>
              <w:t>和</w:t>
            </w:r>
            <w:r>
              <w:rPr>
                <w:rFonts w:hint="eastAsia" w:ascii="仿宋_GB2312" w:hAnsi="仿宋_GB2312" w:eastAsia="仿宋_GB2312" w:cs="仿宋_GB2312"/>
                <w:b w:val="0"/>
                <w:bCs w:val="0"/>
                <w:color w:val="auto"/>
                <w:sz w:val="24"/>
                <w:szCs w:val="24"/>
                <w:highlight w:val="none"/>
              </w:rPr>
              <w:t>践行社会主义核心价值观。二是道德教育，包括第五章，旨在帮助大学生理解道德的本质和作用，继承中华民族优秀美德和中国革命道德，遵循社会主义道德核心和原则，遵守道德规范，提升个人品德。三是法治教育，包括第六章，主要帮助大学生了解法律特别是社会主义法律的特征和运行，掌握以宪法为核心的中国特色社会主义法律体系的基本内容，领会坚持走中国特色社会主义法治道路的基本原则，引导大学生积极培养法治思维，合理行使法律规定的权利和义务。</w:t>
            </w:r>
          </w:p>
        </w:tc>
        <w:tc>
          <w:tcPr>
            <w:tcW w:w="2453" w:type="dxa"/>
            <w:vAlign w:val="top"/>
          </w:tcPr>
          <w:p w14:paraId="347EC39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shd w:val="clear" w:color="auto" w:fill="FFFFFF"/>
              </w:rPr>
              <w:t>通</w:t>
            </w:r>
            <w:r>
              <w:rPr>
                <w:rFonts w:hint="eastAsia" w:ascii="仿宋_GB2312" w:hAnsi="仿宋_GB2312" w:eastAsia="仿宋_GB2312" w:cs="仿宋_GB2312"/>
                <w:color w:val="auto"/>
                <w:sz w:val="24"/>
                <w:szCs w:val="24"/>
                <w:highlight w:val="none"/>
                <w:shd w:val="clear" w:color="auto" w:fill="FFFFFF"/>
                <w:lang w:val="en-US" w:eastAsia="zh-CN"/>
              </w:rPr>
              <w:t>过</w:t>
            </w:r>
            <w:r>
              <w:rPr>
                <w:rFonts w:hint="eastAsia" w:ascii="仿宋_GB2312" w:hAnsi="仿宋_GB2312" w:eastAsia="仿宋_GB2312" w:cs="仿宋_GB2312"/>
                <w:color w:val="auto"/>
                <w:sz w:val="24"/>
                <w:szCs w:val="24"/>
                <w:highlight w:val="none"/>
                <w:shd w:val="clear" w:color="auto" w:fill="FFFFFF"/>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14:paraId="693C3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121F9F7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869" w:type="dxa"/>
            <w:vAlign w:val="center"/>
          </w:tcPr>
          <w:p w14:paraId="7DE5CB3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val="0"/>
                <w:bCs w:val="0"/>
                <w:color w:val="auto"/>
                <w:sz w:val="24"/>
                <w:szCs w:val="24"/>
                <w:highlight w:val="none"/>
              </w:rPr>
              <w:t>形势与政策</w:t>
            </w:r>
          </w:p>
        </w:tc>
        <w:tc>
          <w:tcPr>
            <w:tcW w:w="3663" w:type="dxa"/>
            <w:vAlign w:val="top"/>
          </w:tcPr>
          <w:p w14:paraId="774A211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引导和帮助学生掌握认识形势与政策问题的基本理论和基础知识，包括科学分析形势与政策的方法论、形势发展变化的规律、政策的产生和发展、政策的本质和特征等基础知识；了解国内外重大事件和热点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难点问题，紧跟时代脉搏，融入变革潮流；重点是了解</w:t>
            </w:r>
            <w:r>
              <w:rPr>
                <w:rFonts w:hint="eastAsia" w:ascii="仿宋_GB2312" w:hAnsi="仿宋_GB2312" w:eastAsia="仿宋_GB2312" w:cs="仿宋_GB2312"/>
                <w:b w:val="0"/>
                <w:bCs w:val="0"/>
                <w:color w:val="auto"/>
                <w:sz w:val="24"/>
                <w:szCs w:val="24"/>
                <w:highlight w:val="none"/>
                <w:lang w:val="en-US" w:eastAsia="zh-CN"/>
              </w:rPr>
              <w:t>党的二十</w:t>
            </w:r>
            <w:r>
              <w:rPr>
                <w:rFonts w:hint="eastAsia" w:ascii="仿宋_GB2312" w:hAnsi="仿宋_GB2312" w:eastAsia="仿宋_GB2312" w:cs="仿宋_GB2312"/>
                <w:b w:val="0"/>
                <w:bCs w:val="0"/>
                <w:color w:val="auto"/>
                <w:sz w:val="24"/>
                <w:szCs w:val="24"/>
                <w:highlight w:val="none"/>
              </w:rPr>
              <w:t>大以来形成的一系列政策体系，理解党的路线、方针、政策的正确性。</w:t>
            </w:r>
          </w:p>
          <w:p w14:paraId="587E94F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培养学生掌握正确分析形势和理解政策的能力，特别是对国内外重大事件、敏感问题、社会热点、难点、疑点问题的思考、分析和判断能力。</w:t>
            </w:r>
          </w:p>
          <w:p w14:paraId="5C85FF7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使学生感知国情民意，体会党的路线方针政策的正确，把对形势与政策的认识统一到党和国家的科学判断上和正确决策上，</w:t>
            </w:r>
            <w:r>
              <w:rPr>
                <w:rFonts w:hint="eastAsia" w:ascii="仿宋_GB2312" w:hAnsi="仿宋_GB2312" w:eastAsia="仿宋_GB2312" w:cs="仿宋_GB2312"/>
                <w:b w:val="0"/>
                <w:bCs w:val="0"/>
                <w:color w:val="auto"/>
                <w:sz w:val="24"/>
                <w:szCs w:val="24"/>
                <w:highlight w:val="none"/>
                <w:lang w:val="en-US" w:eastAsia="zh-CN"/>
              </w:rPr>
              <w:t>不断增强</w:t>
            </w:r>
            <w:r>
              <w:rPr>
                <w:rFonts w:hint="eastAsia" w:ascii="仿宋_GB2312" w:hAnsi="仿宋_GB2312" w:eastAsia="仿宋_GB2312" w:cs="仿宋_GB2312"/>
                <w:b w:val="0"/>
                <w:bCs w:val="0"/>
                <w:color w:val="auto"/>
                <w:sz w:val="24"/>
                <w:szCs w:val="24"/>
                <w:highlight w:val="none"/>
              </w:rPr>
              <w:t>“四个意识”</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坚定“四个自信”</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做到“两个维护”，为实现中华民族伟大复兴而发奋学习。</w:t>
            </w:r>
          </w:p>
        </w:tc>
        <w:tc>
          <w:tcPr>
            <w:tcW w:w="3281" w:type="dxa"/>
            <w:vAlign w:val="top"/>
          </w:tcPr>
          <w:p w14:paraId="46FCA15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根据</w:t>
            </w:r>
            <w:r>
              <w:rPr>
                <w:rFonts w:hint="eastAsia" w:ascii="仿宋_GB2312" w:hAnsi="仿宋_GB2312" w:eastAsia="仿宋_GB2312" w:cs="仿宋_GB2312"/>
                <w:color w:val="auto"/>
                <w:sz w:val="24"/>
                <w:szCs w:val="24"/>
                <w:highlight w:val="none"/>
                <w:lang w:eastAsia="zh-CN"/>
              </w:rPr>
              <w:t>新时代面临的新情况新问题，针对学生关注的热点问题和思想特点，</w:t>
            </w:r>
            <w:r>
              <w:rPr>
                <w:rFonts w:hint="eastAsia" w:ascii="仿宋_GB2312" w:hAnsi="仿宋_GB2312" w:eastAsia="仿宋_GB2312" w:cs="仿宋_GB2312"/>
                <w:color w:val="auto"/>
                <w:sz w:val="24"/>
                <w:szCs w:val="24"/>
                <w:highlight w:val="none"/>
              </w:rPr>
              <w:t>涵盖国际形势、国内形势、社会热点、国家政策等</w:t>
            </w:r>
            <w:r>
              <w:rPr>
                <w:rFonts w:hint="eastAsia" w:ascii="仿宋_GB2312" w:hAnsi="仿宋_GB2312" w:eastAsia="仿宋_GB2312" w:cs="仿宋_GB2312"/>
                <w:color w:val="auto"/>
                <w:sz w:val="24"/>
                <w:szCs w:val="24"/>
                <w:highlight w:val="none"/>
                <w:lang w:val="en-US" w:eastAsia="zh-CN"/>
              </w:rPr>
              <w:t>内容</w:t>
            </w:r>
            <w:r>
              <w:rPr>
                <w:rFonts w:hint="eastAsia" w:ascii="仿宋_GB2312" w:hAnsi="仿宋_GB2312" w:eastAsia="仿宋_GB2312" w:cs="仿宋_GB2312"/>
                <w:color w:val="auto"/>
                <w:sz w:val="24"/>
                <w:szCs w:val="24"/>
                <w:highlight w:val="none"/>
              </w:rPr>
              <w:t>。通过学习，学生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453" w:type="dxa"/>
            <w:vAlign w:val="top"/>
          </w:tcPr>
          <w:p w14:paraId="03AFB64C">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kern w:val="0"/>
                <w:sz w:val="24"/>
                <w:szCs w:val="24"/>
                <w:highlight w:val="none"/>
                <w:lang w:val="en-US" w:eastAsia="zh-CN" w:bidi="ar"/>
              </w:rPr>
              <w:t>按照中宣部、教育部每年每学期颁发的形势与政策课教学要点、要求和内容，对指定的专题进行教学。</w:t>
            </w:r>
            <w:r>
              <w:rPr>
                <w:rFonts w:hint="eastAsia" w:ascii="仿宋_GB2312" w:hAnsi="仿宋_GB2312" w:eastAsia="仿宋_GB2312" w:cs="仿宋_GB2312"/>
                <w:color w:val="auto"/>
                <w:sz w:val="24"/>
                <w:szCs w:val="24"/>
                <w:highlight w:val="none"/>
              </w:rPr>
              <w:t>教师采取混合式教学和学生研讨，聚焦社会热点、回应学生关切问题，提高学生运用马克思主义理论的立场</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观点</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方法解决实际问题的能力，提高政治辨别力，紧密围绕在以习近平同志为核心的党中央周围，奋进新征程。</w:t>
            </w:r>
          </w:p>
        </w:tc>
      </w:tr>
      <w:tr w14:paraId="2B290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3B5F559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3</w:t>
            </w:r>
          </w:p>
        </w:tc>
        <w:tc>
          <w:tcPr>
            <w:tcW w:w="869" w:type="dxa"/>
            <w:vAlign w:val="center"/>
          </w:tcPr>
          <w:p w14:paraId="4577FE7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rPr>
              <w:t>国家安全教育</w:t>
            </w:r>
          </w:p>
        </w:tc>
        <w:tc>
          <w:tcPr>
            <w:tcW w:w="3663" w:type="dxa"/>
            <w:vAlign w:val="top"/>
          </w:tcPr>
          <w:p w14:paraId="219D102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让学生系统掌握总体国家安全观的内涵和精神实质，理解中国特色国家安全体系，新时代我国国家安全面临的复杂形势，掌握筑牢其他各领域国家安全屏障的具体方法和途径。</w:t>
            </w:r>
          </w:p>
          <w:p w14:paraId="0BF6EBC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lang w:val="en-US" w:eastAsia="zh-CN"/>
              </w:rPr>
              <w:t>能</w:t>
            </w:r>
            <w:r>
              <w:rPr>
                <w:rFonts w:hint="eastAsia" w:ascii="仿宋_GB2312" w:hAnsi="仿宋_GB2312" w:eastAsia="仿宋_GB2312" w:cs="仿宋_GB2312"/>
                <w:b/>
                <w:bCs/>
                <w:color w:val="auto"/>
                <w:sz w:val="24"/>
                <w:szCs w:val="24"/>
                <w:highlight w:val="none"/>
              </w:rPr>
              <w:t>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eastAsia="zh-CN"/>
              </w:rPr>
              <w:t>能够建立总体国家安全观，树立中国特色社会主义理想信念，能够做到国家利益至上，维护国家主权、安全和发展利益，能够维护国家正当权益，绝不牺牲国家核心利益；</w:t>
            </w:r>
            <w:r>
              <w:rPr>
                <w:rFonts w:hint="eastAsia" w:ascii="仿宋_GB2312" w:hAnsi="仿宋_GB2312" w:eastAsia="仿宋_GB2312" w:cs="仿宋_GB2312"/>
                <w:color w:val="auto"/>
                <w:sz w:val="24"/>
                <w:szCs w:val="24"/>
                <w:highlight w:val="none"/>
                <w:lang w:val="en-US" w:eastAsia="zh-CN"/>
              </w:rPr>
              <w:t>能够</w:t>
            </w:r>
            <w:r>
              <w:rPr>
                <w:rFonts w:hint="eastAsia" w:ascii="仿宋_GB2312" w:hAnsi="仿宋_GB2312" w:eastAsia="仿宋_GB2312" w:cs="仿宋_GB2312"/>
                <w:color w:val="auto"/>
                <w:sz w:val="24"/>
                <w:szCs w:val="24"/>
                <w:highlight w:val="none"/>
                <w:lang w:eastAsia="zh-CN"/>
              </w:rPr>
              <w:t>增强政治认同，不信谣、不传谣，能够对危害政治安全的违法行为进行举报；能够以实际行动维护</w:t>
            </w:r>
            <w:r>
              <w:rPr>
                <w:rFonts w:hint="eastAsia" w:ascii="仿宋_GB2312" w:hAnsi="仿宋_GB2312" w:eastAsia="仿宋_GB2312" w:cs="仿宋_GB2312"/>
                <w:color w:val="auto"/>
                <w:sz w:val="24"/>
                <w:szCs w:val="24"/>
                <w:highlight w:val="none"/>
                <w:lang w:val="en-US" w:eastAsia="zh-CN"/>
              </w:rPr>
              <w:t>国家</w:t>
            </w:r>
            <w:r>
              <w:rPr>
                <w:rFonts w:hint="eastAsia" w:ascii="仿宋_GB2312" w:hAnsi="仿宋_GB2312" w:eastAsia="仿宋_GB2312" w:cs="仿宋_GB2312"/>
                <w:color w:val="auto"/>
                <w:sz w:val="24"/>
                <w:szCs w:val="24"/>
                <w:highlight w:val="none"/>
                <w:lang w:eastAsia="zh-CN"/>
              </w:rPr>
              <w:t>安全；</w:t>
            </w:r>
          </w:p>
          <w:p w14:paraId="262AB55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能够自觉遵守法律，做到诚实守信、廉洁自律；学会合作，为人正派，具有良好的协作、沟通能力和团队精神；严守法纪，坚持原则，自觉践行社会主义核心价值观。树立国家安全意识，培养爱国精神，使其矢志不渝听党话、跟党走，不断成为社会主义合格建设者和可靠接班人。</w:t>
            </w:r>
          </w:p>
          <w:p w14:paraId="0F41C62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提升学生的国家安全意识，培养学生将理论知识与实践相结合的能力，引导学生运用马克思主义的立场、观点、方法以及总体国家安全观分析和解决问题，构建起维护国家安全的实践能力。使学生树立国家安全底线思维，将国家安全意识转化为自觉行动，强化责任担当。</w:t>
            </w:r>
          </w:p>
        </w:tc>
        <w:tc>
          <w:tcPr>
            <w:tcW w:w="3281" w:type="dxa"/>
            <w:vAlign w:val="top"/>
          </w:tcPr>
          <w:p w14:paraId="52B3773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本课程包含国家安全绪论、政治安全、国土安全、军事安全、经济安全、文化安全、社会安全、科技安全。通过教学，使学生树立国家安全意识，培养学生爱国精神，使其矢志不渝听党话、跟党走，不断成为社会主义合格建设者和可靠接班人。</w:t>
            </w:r>
          </w:p>
        </w:tc>
        <w:tc>
          <w:tcPr>
            <w:tcW w:w="2453" w:type="dxa"/>
            <w:vAlign w:val="top"/>
          </w:tcPr>
          <w:p w14:paraId="0955749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rPr>
              <w:t>本课程以坚持总体国家安全观为科学指导，坚持党对国家安全教育的绝对领导，坚持以构建国家安全教育体系为途径，重点围绕理解中华民族命运与国家关系，践行总体国家安全观。学生系统掌握总体国家安全观的内涵和精神实质，理解中国特色国家安全体系，树立国家安全底线思维，将国家安全意识转化为自觉行动，强化学生责任担当。</w:t>
            </w:r>
          </w:p>
        </w:tc>
      </w:tr>
      <w:tr w14:paraId="0BCC2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5F2C126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869" w:type="dxa"/>
            <w:vAlign w:val="center"/>
          </w:tcPr>
          <w:p w14:paraId="267FEC9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军事理论</w:t>
            </w:r>
          </w:p>
        </w:tc>
        <w:tc>
          <w:tcPr>
            <w:tcW w:w="3663" w:type="dxa"/>
            <w:vAlign w:val="top"/>
          </w:tcPr>
          <w:p w14:paraId="4709EB8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掌握基本的军事理论知识，了解中国国防政策和军事战略，认识信息化战争的特点与规律等。</w:t>
            </w:r>
          </w:p>
          <w:p w14:paraId="6333927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运用所学军事理论知识分析国内外军事事件的能力，以及独立判断和批判性思考的习惯。提升学生的战略思维能力和实际操作技能，提高学生的应急反应速度和自我保护能力，为应对突发事件打下坚实基础。</w:t>
            </w:r>
          </w:p>
          <w:p w14:paraId="1155397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：激发学生对国家和民族的热爱之情，增强其作为公民的社会责任感和使命感；强化国防观念、国家安全意识与爱国主义精神。‌</w:t>
            </w:r>
          </w:p>
          <w:p w14:paraId="32DE150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通过系统的知识传授和能力培养，全面提升学生的综合素质，增强学生国家安全意识和国防观念，为未来成为具有家国情怀、战略视野和创新能力的优秀人才奠定坚实基础。</w:t>
            </w:r>
          </w:p>
          <w:p w14:paraId="269A680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3281" w:type="dxa"/>
            <w:vAlign w:val="top"/>
          </w:tcPr>
          <w:p w14:paraId="5E0A3CE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课程内容包括军事基础知识、军事思想、国家安全形势分析、战略环境、军事高技术、现代战争知识等。</w:t>
            </w:r>
          </w:p>
          <w:p w14:paraId="2A358D5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lang w:val="en-US" w:eastAsia="zh-CN"/>
              </w:rPr>
            </w:pPr>
          </w:p>
        </w:tc>
        <w:tc>
          <w:tcPr>
            <w:tcW w:w="2453" w:type="dxa"/>
            <w:vAlign w:val="top"/>
          </w:tcPr>
          <w:p w14:paraId="0811B52E">
            <w:pPr>
              <w:pStyle w:val="6"/>
              <w:keepNext w:val="0"/>
              <w:keepLines w:val="0"/>
              <w:widowControl/>
              <w:suppressLineNumbers w:val="0"/>
              <w:jc w:val="both"/>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本课程以马列主义、毛泽东思想、邓小平理论及习近平强军思想为指导，‌采用多媒体教学、案例研讨，使学生理解总体国家安全观，激发学生献身国防的热情、增强民族自豪感。</w:t>
            </w:r>
          </w:p>
          <w:p w14:paraId="5A80FBE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r>
      <w:tr w14:paraId="29832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0767BA4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14:paraId="6A830EF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14:paraId="4328778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14:paraId="45590F2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14:paraId="5FA3FF5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14:paraId="0567275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14:paraId="2C06950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14:paraId="711B134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14:paraId="188F3D9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14:paraId="5A8E422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869" w:type="dxa"/>
            <w:vAlign w:val="center"/>
          </w:tcPr>
          <w:p w14:paraId="3CFA91B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p>
          <w:p w14:paraId="48F60B0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p>
          <w:p w14:paraId="418ADCE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p>
          <w:p w14:paraId="758A4D3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p>
          <w:p w14:paraId="3287F77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p>
          <w:p w14:paraId="1C77860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p>
          <w:p w14:paraId="3CC1C22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p>
          <w:p w14:paraId="3333D1A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p>
          <w:p w14:paraId="6660B74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p>
          <w:p w14:paraId="13904AC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军训</w:t>
            </w:r>
          </w:p>
        </w:tc>
        <w:tc>
          <w:tcPr>
            <w:tcW w:w="3663" w:type="dxa"/>
            <w:vAlign w:val="top"/>
          </w:tcPr>
          <w:p w14:paraId="2A2CA833">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掌握基本的军事技能、完成基础军事训练。</w:t>
            </w:r>
          </w:p>
          <w:p w14:paraId="76B9023B">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结合模拟演练和角色扮演等活动，提升学生的战略思维能力和实际操作技能，增强学生的团队意识和沟通协调能力，提高学生的应急反应速度和自我保护能力，为应对突发事件打下坚实基础。</w:t>
            </w:r>
          </w:p>
          <w:p w14:paraId="2A9939A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：培养学生的纪律性和服从意识；强化团队协作精神，锻炼学生的意志力和毅力，培养其面对困难和挑战时不屈不挠的精神风貌，鼓励其为实现中华民族伟大复兴的中国梦贡献力量。</w:t>
            </w:r>
          </w:p>
          <w:p w14:paraId="44CF64E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通过能力培养，全面提升学生的综合素质，增强学生国防观念，为成为具有家国情怀、战略视野和创新能力的优秀人才奠定坚实基础。</w:t>
            </w:r>
          </w:p>
          <w:p w14:paraId="56C6C33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p>
        </w:tc>
        <w:tc>
          <w:tcPr>
            <w:tcW w:w="3281" w:type="dxa"/>
            <w:vAlign w:val="top"/>
          </w:tcPr>
          <w:p w14:paraId="29AE085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课程内容包括队列、战术训练等‌军事技能训练。</w:t>
            </w:r>
          </w:p>
          <w:p w14:paraId="295BC2F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lang w:val="en-US" w:eastAsia="zh-CN"/>
              </w:rPr>
            </w:pPr>
          </w:p>
        </w:tc>
        <w:tc>
          <w:tcPr>
            <w:tcW w:w="2453" w:type="dxa"/>
            <w:vAlign w:val="top"/>
          </w:tcPr>
          <w:p w14:paraId="4C731DD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lang w:val="en-US" w:eastAsia="zh-CN"/>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循序渐进，由浅入深，逐步提高学生的军训技能；注重示范指导，通过示范动作带动学生的学习兴趣；强化实践训练，让学生通过实际操作掌握军事技能。</w:t>
            </w:r>
          </w:p>
        </w:tc>
      </w:tr>
      <w:tr w14:paraId="57EDA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1C0AE21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Fonts w:hint="eastAsia" w:ascii="仿宋_GB2312" w:hAnsi="仿宋_GB2312" w:eastAsia="仿宋_GB2312" w:cs="仿宋_GB2312"/>
                <w:color w:val="auto"/>
                <w:sz w:val="24"/>
                <w:szCs w:val="24"/>
                <w:lang w:val="en-US" w:eastAsia="zh-CN"/>
              </w:rPr>
            </w:pPr>
            <w:r>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6</w:t>
            </w:r>
          </w:p>
        </w:tc>
        <w:tc>
          <w:tcPr>
            <w:tcW w:w="869" w:type="dxa"/>
            <w:vAlign w:val="center"/>
          </w:tcPr>
          <w:p w14:paraId="131B66A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Fonts w:hint="eastAsia" w:ascii="仿宋_GB2312" w:hAnsi="仿宋_GB2312" w:eastAsia="仿宋_GB2312" w:cs="仿宋_GB2312"/>
                <w:color w:val="auto"/>
                <w:sz w:val="24"/>
                <w:szCs w:val="24"/>
                <w:lang w:val="en-US" w:eastAsia="zh-CN"/>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计算机基础</w:t>
            </w:r>
          </w:p>
        </w:tc>
        <w:tc>
          <w:tcPr>
            <w:tcW w:w="3663" w:type="dxa"/>
            <w:vAlign w:val="top"/>
          </w:tcPr>
          <w:p w14:paraId="603C85B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计算机硬件组成和操作系统基本原理，理解常用办公软件功能特点，了解常用工具软件的分类及基本使用方法，拓展数字化办公技能，帮助学生系统掌握计算机领域的核心理论与前沿动态，为技能应用和职业发展奠定基础。</w:t>
            </w:r>
          </w:p>
          <w:p w14:paraId="63977AC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培养计算机基本操作能力，熟练使用办公软件处理文档。提升网络应用和信息检索水平，具备解决常见计算机问题的技能。</w:t>
            </w:r>
          </w:p>
          <w:p w14:paraId="255CA00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培养信息素养和数字思维，提高自主学习新技术能力。树立信息安全意识，养成规范使用计算机的良好习惯。</w:t>
            </w:r>
          </w:p>
          <w:p w14:paraId="628C79B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sz w:val="24"/>
                <w:szCs w:val="24"/>
                <w:lang w:val="en-US" w:eastAsia="zh-CN"/>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融入科技创新案例，培养科技报国情怀。通过信息伦理教育，强化网络行为规范和责任意识。引导学生树立家国情怀、职业道德和社会责任感，</w:t>
            </w:r>
            <w:r>
              <w:rPr>
                <w:rFonts w:hint="eastAsia" w:ascii="仿宋_GB2312" w:hAnsi="仿宋_GB2312" w:eastAsia="仿宋_GB2312" w:cs="仿宋_GB2312"/>
                <w:b w:val="0"/>
                <w:bCs w:val="0"/>
                <w:color w:val="auto"/>
                <w:kern w:val="2"/>
                <w:sz w:val="24"/>
                <w:szCs w:val="24"/>
                <w:highlight w:val="none"/>
                <w:lang w:val="en-US" w:eastAsia="zh-CN" w:bidi="ar-SA"/>
              </w:rPr>
              <w:t>最终实现“德才兼备、知行合一”的技术人才培养目标，为行业发展与社会进步输送兼具职业道德素养与专业技术能力的复合型人才。</w:t>
            </w:r>
          </w:p>
        </w:tc>
        <w:tc>
          <w:tcPr>
            <w:tcW w:w="3281" w:type="dxa"/>
            <w:vAlign w:val="top"/>
          </w:tcPr>
          <w:p w14:paraId="6500E28F">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rPr>
              <w:t>课程包含计算机硬件基础、Windows操作系统、Office办公软件、网络基础等模块。重点培养文档处理、数据分析和演示汇报等实用技能，融入专业相关的计算机应用案例。结合新技术发展，介绍云计算、大数据等前沿技术概念。</w:t>
            </w:r>
          </w:p>
        </w:tc>
        <w:tc>
          <w:tcPr>
            <w:tcW w:w="2453" w:type="dxa"/>
            <w:vAlign w:val="top"/>
          </w:tcPr>
          <w:p w14:paraId="26D51365">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rPr>
              <w:t>教师需采用任务驱动教学法，设计贴近实际的应用场景。合理运用信息化教学手段，强化实操训练。学生需按时完成实践任务，主动探索软件功能。教学中要注重应用能力培养，突出计算机工具的实用价值，提升学生信息素养。</w:t>
            </w:r>
          </w:p>
        </w:tc>
      </w:tr>
      <w:tr w14:paraId="7D853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6C12C99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w:t>
            </w:r>
          </w:p>
        </w:tc>
        <w:tc>
          <w:tcPr>
            <w:tcW w:w="869" w:type="dxa"/>
            <w:vAlign w:val="center"/>
          </w:tcPr>
          <w:p w14:paraId="4461ACB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Fonts w:hint="eastAsia" w:ascii="仿宋_GB2312" w:hAnsi="仿宋_GB2312" w:eastAsia="仿宋_GB2312" w:cs="仿宋_GB2312"/>
                <w:color w:val="auto"/>
                <w:sz w:val="24"/>
                <w:szCs w:val="24"/>
                <w:lang w:val="en-US" w:eastAsia="zh-CN"/>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大学英语</w:t>
            </w:r>
          </w:p>
        </w:tc>
        <w:tc>
          <w:tcPr>
            <w:tcW w:w="3663" w:type="dxa"/>
            <w:vAlign w:val="top"/>
          </w:tcPr>
          <w:p w14:paraId="676BE0A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掌握基础词汇和核心语法，学习职场英语表达。了解英语国家文化常识，熟悉专业相关术语。</w:t>
            </w:r>
          </w:p>
          <w:p w14:paraId="0723DEF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培养学生掌握语言基础知识和语言技能、具备基本的英语听、说、读、写、译能力，增强其跨文化交际意识和沟通能力，为适应未来职业需求。</w:t>
            </w:r>
          </w:p>
          <w:p w14:paraId="4F385EA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培养自主学习意识，增强跨文化理解能力。树立终身学习理念，提高团队协作和沟通能力。</w:t>
            </w:r>
          </w:p>
          <w:p w14:paraId="3456313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lang w:val="en-US" w:eastAsia="zh-CN"/>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融入工匠精神教育，培养职业操守。通过中外文化对比，培养学生树立正确的世界观、人生观、价值观，明辨西方文化与价值观，增强文化自信和爱国情怀。</w:t>
            </w:r>
          </w:p>
        </w:tc>
        <w:tc>
          <w:tcPr>
            <w:tcW w:w="3281" w:type="dxa"/>
            <w:vAlign w:val="top"/>
          </w:tcPr>
          <w:p w14:paraId="0EE072D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lang w:val="en-US" w:eastAsia="zh-CN"/>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三大模块：基础英语模块重点训练日常交际和职场基础英语；专业英语模块针对不同专业需求，学习相关术语和场景对话；实践应用模块通过模拟职场情境，开展项目任务训练。教学内容突出实用性，融入大量真实职场案例，同时结合行业发展，介绍相关职业规范和标准。</w:t>
            </w:r>
          </w:p>
        </w:tc>
        <w:tc>
          <w:tcPr>
            <w:tcW w:w="2453" w:type="dxa"/>
            <w:vAlign w:val="top"/>
          </w:tcPr>
          <w:p w14:paraId="24D63B6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rPr>
              <w:t>采用情景教学法，设计职场情境任务。结合信息化手段，注重实践能力培养。参与课堂活动，完成实践任务。利用网络资源自主学习，提升应用能力。</w:t>
            </w:r>
          </w:p>
        </w:tc>
      </w:tr>
      <w:tr w14:paraId="0ECE4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20CA40C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w:t>
            </w:r>
          </w:p>
        </w:tc>
        <w:tc>
          <w:tcPr>
            <w:tcW w:w="869" w:type="dxa"/>
            <w:vAlign w:val="center"/>
          </w:tcPr>
          <w:p w14:paraId="5DAF220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rPr>
              <w:t>大学体育</w:t>
            </w:r>
          </w:p>
        </w:tc>
        <w:tc>
          <w:tcPr>
            <w:tcW w:w="3663" w:type="dxa"/>
            <w:vAlign w:val="top"/>
          </w:tcPr>
          <w:p w14:paraId="0FFCC43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掌握体育运动基本理论知识，了解常见运动项目的规则与要领。学习科学锻炼方法和运动损伤预防知识，为终身体育锻炼奠定理论基础。</w:t>
            </w:r>
          </w:p>
          <w:p w14:paraId="76E4AA3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发展学生基础运动技能，提升速度、力量、耐力等身体素质。培养1-2项运动特长，</w:t>
            </w:r>
            <w:r>
              <w:rPr>
                <w:rFonts w:hint="eastAsia" w:ascii="仿宋_GB2312" w:hAnsi="仿宋_GB2312" w:eastAsia="仿宋_GB2312" w:cs="仿宋_GB2312"/>
                <w:b w:val="0"/>
                <w:bCs w:val="0"/>
                <w:color w:val="auto"/>
                <w:sz w:val="24"/>
                <w:szCs w:val="24"/>
                <w:highlight w:val="none"/>
              </w:rPr>
              <w:t>提升体育运动能力，提高职业体能水平。</w:t>
            </w:r>
            <w:r>
              <w:rPr>
                <w:rFonts w:hint="eastAsia" w:ascii="仿宋_GB2312" w:hAnsi="仿宋_GB2312" w:eastAsia="仿宋_GB2312" w:cs="仿宋_GB2312"/>
                <w:color w:val="auto"/>
                <w:sz w:val="24"/>
                <w:szCs w:val="24"/>
                <w:highlight w:val="none"/>
              </w:rPr>
              <w:t>增强团队协作能力和体育竞赛组织能力。</w:t>
            </w:r>
          </w:p>
          <w:p w14:paraId="234B1A2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遵守体育道德规范和行为准则，发扬体育精神，塑造良好的体育品格，增强责任意识、规则意识和团队意识</w:t>
            </w:r>
            <w:r>
              <w:rPr>
                <w:rFonts w:hint="eastAsia" w:ascii="仿宋_GB2312" w:hAnsi="仿宋_GB2312" w:eastAsia="仿宋_GB2312" w:cs="仿宋_GB2312"/>
                <w:b w:val="0"/>
                <w:bCs w:val="0"/>
                <w:color w:val="auto"/>
                <w:sz w:val="24"/>
                <w:szCs w:val="24"/>
                <w:highlight w:val="none"/>
                <w:lang w:eastAsia="zh-CN"/>
              </w:rPr>
              <w:t>。</w:t>
            </w:r>
          </w:p>
          <w:p w14:paraId="14EB8F0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以习近平新时代中国特色社会主义思想为指导，坚持知识传授与价值引领相结合， 树立健康第一的教育理念，帮助学生在体育锻炼中享受乐趣、增强体质、健全人格、锤炼意志。培养学生顽强拼搏、奋斗有我的信念，激发学生提升身体素质的责任感。</w:t>
            </w:r>
          </w:p>
        </w:tc>
        <w:tc>
          <w:tcPr>
            <w:tcW w:w="3281" w:type="dxa"/>
            <w:vAlign w:val="top"/>
          </w:tcPr>
          <w:p w14:paraId="0CDF23FA">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rPr>
              <w:t>基础体能训练提升身体素质；球类、田径等专项技能教学；特色项目如</w:t>
            </w:r>
            <w:r>
              <w:rPr>
                <w:rFonts w:hint="eastAsia" w:ascii="仿宋_GB2312" w:hAnsi="仿宋_GB2312" w:eastAsia="仿宋_GB2312" w:cs="仿宋_GB2312"/>
                <w:color w:val="auto"/>
                <w:sz w:val="24"/>
                <w:szCs w:val="24"/>
                <w:highlight w:val="none"/>
                <w:lang w:val="en-US" w:eastAsia="zh-CN"/>
              </w:rPr>
              <w:t>武术</w:t>
            </w:r>
            <w:r>
              <w:rPr>
                <w:rFonts w:hint="eastAsia" w:ascii="仿宋_GB2312" w:hAnsi="仿宋_GB2312" w:eastAsia="仿宋_GB2312" w:cs="仿宋_GB2312"/>
                <w:color w:val="auto"/>
                <w:sz w:val="24"/>
                <w:szCs w:val="24"/>
                <w:highlight w:val="none"/>
              </w:rPr>
              <w:t>、健身操等。融入职业体能训练，结合专业特点设计教学内容。</w:t>
            </w:r>
          </w:p>
        </w:tc>
        <w:tc>
          <w:tcPr>
            <w:tcW w:w="2453" w:type="dxa"/>
            <w:vAlign w:val="top"/>
          </w:tcPr>
          <w:p w14:paraId="2FD56FEB">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教师需</w:t>
            </w:r>
            <w:r>
              <w:rPr>
                <w:rFonts w:hint="eastAsia" w:ascii="仿宋_GB2312" w:hAnsi="仿宋_GB2312" w:eastAsia="仿宋_GB2312" w:cs="仿宋_GB2312"/>
                <w:color w:val="auto"/>
                <w:sz w:val="24"/>
                <w:szCs w:val="24"/>
                <w:highlight w:val="none"/>
              </w:rPr>
              <w:t>采用示范教学与分组练习相结合的方式，注重因材施教。合理运用信息化教学手段，创新教学方法。学生需按时出勤，积极参与训练，完成课后锻炼任务。教学过程中要注重安全教育，培养学生终身体育意识，营造积极向上的体育文化氛围。</w:t>
            </w:r>
          </w:p>
        </w:tc>
      </w:tr>
      <w:tr w14:paraId="52187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5" w:hRule="atLeast"/>
          <w:jc w:val="center"/>
        </w:trPr>
        <w:tc>
          <w:tcPr>
            <w:tcW w:w="507" w:type="dxa"/>
            <w:vAlign w:val="center"/>
          </w:tcPr>
          <w:p w14:paraId="629F94B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9</w:t>
            </w:r>
          </w:p>
        </w:tc>
        <w:tc>
          <w:tcPr>
            <w:tcW w:w="869" w:type="dxa"/>
            <w:vAlign w:val="center"/>
          </w:tcPr>
          <w:p w14:paraId="17229C1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rPr>
              <w:t>大学生职业发展与就业指导</w:t>
            </w:r>
          </w:p>
        </w:tc>
        <w:tc>
          <w:tcPr>
            <w:tcW w:w="3663" w:type="dxa"/>
            <w:vAlign w:val="top"/>
          </w:tcPr>
          <w:p w14:paraId="67E5B5A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掌握职业生涯规划基本理论，了解就业政策与劳动法规。学习求职材料制作规范，熟悉职场礼仪与职业素养要求。</w:t>
            </w:r>
          </w:p>
          <w:p w14:paraId="35089CD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培养职业规划与决策能力，提升简历制作与面试技巧</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提高学生求职应职技巧，</w:t>
            </w:r>
            <w:r>
              <w:rPr>
                <w:rFonts w:hint="eastAsia" w:ascii="仿宋_GB2312" w:hAnsi="仿宋_GB2312" w:eastAsia="仿宋_GB2312" w:cs="仿宋_GB2312"/>
                <w:color w:val="auto"/>
                <w:sz w:val="24"/>
                <w:szCs w:val="24"/>
                <w:highlight w:val="none"/>
              </w:rPr>
              <w:t>增强就业信息获取能力，掌握职场适应与职业发展方法。</w:t>
            </w:r>
          </w:p>
          <w:p w14:paraId="63B4E0C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分析当前大学生面临的就业形势，帮助学生及时了解就业市场的需求形势和国家、地方有关大学生就业的政策，按照社会需求确立就业心理，树立正确的就业观念和就业取向。</w:t>
            </w:r>
          </w:p>
          <w:p w14:paraId="7F2A207A">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通过加强就业形势和政策的宣传教育，</w:t>
            </w:r>
            <w:r>
              <w:rPr>
                <w:rFonts w:hint="eastAsia" w:ascii="仿宋_GB2312" w:hAnsi="仿宋_GB2312" w:eastAsia="仿宋_GB2312" w:cs="仿宋_GB2312"/>
                <w:b w:val="0"/>
                <w:bCs w:val="0"/>
                <w:color w:val="auto"/>
                <w:kern w:val="2"/>
                <w:sz w:val="24"/>
                <w:szCs w:val="24"/>
                <w:highlight w:val="none"/>
                <w:lang w:val="en-US" w:eastAsia="zh-CN" w:bidi="ar-SA"/>
              </w:rPr>
              <w:t>引导广大学生深刻认识到党和国家“以人民为中心”的发展理念，切实增强对国家保就业、稳增长工作的信心，充分感知国家在相关领域的坚实能力。</w:t>
            </w:r>
          </w:p>
        </w:tc>
        <w:tc>
          <w:tcPr>
            <w:tcW w:w="3281" w:type="dxa"/>
            <w:vAlign w:val="top"/>
          </w:tcPr>
          <w:p w14:paraId="643C86CC">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rPr>
              <w:t>课程包含职业认知、职业规划、求职技能、职场适应四大模块。通过职业测评、行业分析、简历制作、模拟面试等实践活动，帮助学生了解职业世界，掌握求职技巧。结合专业特点，开展行业专家讲座、企业参观等特色教学活动，强化职业认知与规划能力。</w:t>
            </w:r>
          </w:p>
        </w:tc>
        <w:tc>
          <w:tcPr>
            <w:tcW w:w="2453" w:type="dxa"/>
            <w:vAlign w:val="top"/>
          </w:tcPr>
          <w:p w14:paraId="1F59E36A">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rPr>
              <w:t>教师需结合专业特色，采用案例教学、情景模拟等互动式教学方法，注重实践环节设计。学生需主动参与课堂活动，完成职业探索任务，积极进行自我认知与职业规划。教学过程中要注重个性化指导，针对不同学生特点提供差异化就业建议。</w:t>
            </w:r>
          </w:p>
        </w:tc>
      </w:tr>
      <w:tr w14:paraId="05FB0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408A57F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w:t>
            </w:r>
          </w:p>
        </w:tc>
        <w:tc>
          <w:tcPr>
            <w:tcW w:w="869" w:type="dxa"/>
            <w:vAlign w:val="center"/>
          </w:tcPr>
          <w:p w14:paraId="3C46F98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rPr>
              <w:t>大学生心理健康教育</w:t>
            </w:r>
          </w:p>
        </w:tc>
        <w:tc>
          <w:tcPr>
            <w:tcW w:w="3663" w:type="dxa"/>
            <w:vAlign w:val="top"/>
          </w:tcPr>
          <w:p w14:paraId="0FC46F1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掌握心理健康基本概念和标准，了解常见心理问题表现及成因。</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color w:val="auto"/>
                <w:sz w:val="24"/>
                <w:szCs w:val="24"/>
                <w:highlight w:val="none"/>
              </w:rPr>
              <w:t>情绪管理、压力应对等心理调适方法，增强自我认知能力。</w:t>
            </w:r>
          </w:p>
          <w:p w14:paraId="684BABE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情绪调节与压力管理能力，提升人际沟通与冲突解决水平。使学生掌握心理自助技巧，具备初步心理问题识别与求助能力。</w:t>
            </w:r>
          </w:p>
          <w:p w14:paraId="2B82C07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积极乐观的人生态度，增强心理韧性和适应能力。树立正确的自我认知，形成健康的生活方式与行为习惯。</w:t>
            </w:r>
          </w:p>
          <w:p w14:paraId="4796F44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坚持育心与育德相结合，引导学生以自尊自信、理性平和、积极向上的健康心态正 确对待和处理成长中的心理困惑和问题，始终围绕社会主义核心价值观来发展和完善自身人格，将个人自我实现的追求与社会发展结合起来。</w:t>
            </w:r>
          </w:p>
        </w:tc>
        <w:tc>
          <w:tcPr>
            <w:tcW w:w="3281" w:type="dxa"/>
            <w:vAlign w:val="top"/>
          </w:tcPr>
          <w:p w14:paraId="6B00DDAE">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rPr>
              <w:t>课程包含心理健康基础知识、情绪管理、人际交往、压力应对等模块。通过案例分析、团体辅导等形式，帮助学生掌握心理调适技能。结合学生特点，重点讲解职业心理适应、就业压力疏导等内容，提升学生心理素质。</w:t>
            </w:r>
          </w:p>
        </w:tc>
        <w:tc>
          <w:tcPr>
            <w:tcW w:w="2453" w:type="dxa"/>
            <w:vAlign w:val="top"/>
          </w:tcPr>
          <w:p w14:paraId="2187DCCE">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rPr>
              <w:t>教师需采用互动体验式教学，创设安全开放的课堂氛围。结合学生实际需求，设计实践性教学活动。学生需积极参与课堂互动，完成心理训练任务。教学中要注重隐私保护，引导学生科学看待心理问题，提升心理健康素养。</w:t>
            </w:r>
          </w:p>
        </w:tc>
      </w:tr>
      <w:tr w14:paraId="46994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4781453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14:paraId="0FD450A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14:paraId="380C945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14:paraId="41C78B9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14:paraId="58AA638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14:paraId="448F773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11</w:t>
            </w:r>
          </w:p>
        </w:tc>
        <w:tc>
          <w:tcPr>
            <w:tcW w:w="869" w:type="dxa"/>
            <w:vAlign w:val="center"/>
          </w:tcPr>
          <w:p w14:paraId="6B2243C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p>
          <w:p w14:paraId="074B69E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p>
          <w:p w14:paraId="27855FC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p>
          <w:p w14:paraId="342148C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p>
          <w:p w14:paraId="3323223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p>
          <w:p w14:paraId="32367F0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劳动教育</w:t>
            </w:r>
          </w:p>
        </w:tc>
        <w:tc>
          <w:tcPr>
            <w:tcW w:w="3663" w:type="dxa"/>
            <w:vAlign w:val="top"/>
          </w:tcPr>
          <w:p w14:paraId="2F1F807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培养基本劳动技能，提升实践操作能力。掌握团队协作方法，增强问题解决与创新应用能力，适应未来职业劳动需求。</w:t>
            </w:r>
          </w:p>
          <w:p w14:paraId="2D0FE1E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：培育吃苦耐劳精神，树立劳动光荣意识。增强责任担当，培养勤俭节约品质，形成尊重劳动、热爱劳动的良好品格。</w:t>
            </w:r>
          </w:p>
          <w:p w14:paraId="03AD8EC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rPr>
              <w:t>培养学生的劳动观念，树立尊重劳动、热爱劳动、珍惜劳动成果的意识；引导学生形成正确的劳动价值观，理解劳动的社会意义和个人价值；培养新时代坚定的马克思主义者和具有工匠精神的社会主义建设者。</w:t>
            </w:r>
          </w:p>
          <w:p w14:paraId="2CD3001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弘扬劳模精神与工匠精神，强化劳动育人功能。</w:t>
            </w:r>
            <w:r>
              <w:rPr>
                <w:rFonts w:hint="eastAsia" w:ascii="仿宋_GB2312" w:hAnsi="仿宋_GB2312" w:eastAsia="仿宋_GB2312" w:cs="仿宋_GB2312"/>
                <w:b w:val="0"/>
                <w:bCs w:val="0"/>
                <w:color w:val="auto"/>
                <w:sz w:val="24"/>
                <w:szCs w:val="24"/>
                <w:highlight w:val="none"/>
              </w:rPr>
              <w:t>引导学生做社会主义核心价值观的积极践行者，培养新时代坚定的马克思主义者和具有工匠精神的社会主义建设者。</w:t>
            </w:r>
          </w:p>
        </w:tc>
        <w:tc>
          <w:tcPr>
            <w:tcW w:w="3281" w:type="dxa"/>
            <w:vAlign w:val="top"/>
          </w:tcPr>
          <w:p w14:paraId="26512B08">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主要包括工具使用、设备操作等基础训练；实践环节组织校园服务、专业实习等多样化活动。结合专业特色，设计职业劳动项目，融入新技术、新工艺内容，提升学生劳动素养与职业适应能力。</w:t>
            </w:r>
          </w:p>
        </w:tc>
        <w:tc>
          <w:tcPr>
            <w:tcW w:w="2453" w:type="dxa"/>
            <w:vAlign w:val="top"/>
          </w:tcPr>
          <w:p w14:paraId="337220AC">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教师需结合专业特点设计教学内容，注重劳动安全教育，规范操作流程。学生需积极参与劳动实践，认真完成劳动任务。教学过程中要突出劳动育人功能，强化劳动价值观教育，注重培养学生的劳动习惯和职业精神，促进德智体美劳全面发展。</w:t>
            </w:r>
          </w:p>
        </w:tc>
      </w:tr>
      <w:tr w14:paraId="23DA8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2D03AD9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w:t>
            </w:r>
          </w:p>
        </w:tc>
        <w:tc>
          <w:tcPr>
            <w:tcW w:w="869" w:type="dxa"/>
            <w:vAlign w:val="center"/>
          </w:tcPr>
          <w:p w14:paraId="008C760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rPr>
              <w:t>毛泽东思想和中国特色社会主义理论体系概论</w:t>
            </w:r>
          </w:p>
        </w:tc>
        <w:tc>
          <w:tcPr>
            <w:tcW w:w="3663" w:type="dxa"/>
            <w:vAlign w:val="top"/>
          </w:tcPr>
          <w:p w14:paraId="714BDBF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全面理解马克思主义中国化理论成果的科学内涵、理论体系、思想精髓、精神实质</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系统把握马克思主义中国化理论成果所蕴含的马克思主义立场、观点和方法。</w:t>
            </w:r>
          </w:p>
          <w:p w14:paraId="532586A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学会用马克思主义中国化理论成果分析和解决现实问题，把理论与实践、理想与现实、主观与客观统一起来，自觉投身于中国特色社会主义伟大实践。</w:t>
            </w:r>
          </w:p>
          <w:p w14:paraId="2EA84B5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w:t>
            </w:r>
            <w:r>
              <w:rPr>
                <w:rFonts w:hint="eastAsia" w:ascii="仿宋_GB2312" w:hAnsi="仿宋_GB2312" w:eastAsia="仿宋_GB2312" w:cs="仿宋_GB2312"/>
                <w:b/>
                <w:bCs/>
                <w:color w:val="auto"/>
                <w:sz w:val="24"/>
                <w:szCs w:val="24"/>
                <w:highlight w:val="none"/>
              </w:rPr>
              <w:t>目标</w:t>
            </w:r>
            <w:r>
              <w:rPr>
                <w:rFonts w:hint="eastAsia" w:ascii="仿宋_GB2312" w:hAnsi="仿宋_GB2312" w:eastAsia="仿宋_GB2312" w:cs="仿宋_GB2312"/>
                <w:b w:val="0"/>
                <w:bCs w:val="0"/>
                <w:color w:val="auto"/>
                <w:sz w:val="24"/>
                <w:szCs w:val="24"/>
                <w:highlight w:val="none"/>
              </w:rPr>
              <w:t>：引导大学生树立科学的世界观、历史观、大局观，深刻理解“中国共产党为什么能” “马克思主义为什么行”“中国特色社会主义为什么好”，</w:t>
            </w:r>
            <w:r>
              <w:rPr>
                <w:rFonts w:hint="eastAsia" w:ascii="仿宋_GB2312" w:hAnsi="仿宋_GB2312" w:eastAsia="仿宋_GB2312" w:cs="仿宋_GB2312"/>
                <w:b w:val="0"/>
                <w:bCs w:val="0"/>
                <w:color w:val="auto"/>
                <w:sz w:val="24"/>
                <w:szCs w:val="24"/>
                <w:highlight w:val="none"/>
                <w:lang w:val="en-US" w:eastAsia="zh-CN"/>
              </w:rPr>
              <w:t>自觉</w:t>
            </w:r>
            <w:r>
              <w:rPr>
                <w:rFonts w:hint="eastAsia" w:ascii="仿宋_GB2312" w:hAnsi="仿宋_GB2312" w:eastAsia="仿宋_GB2312" w:cs="仿宋_GB2312"/>
                <w:b w:val="0"/>
                <w:bCs w:val="0"/>
                <w:color w:val="auto"/>
                <w:sz w:val="24"/>
                <w:szCs w:val="24"/>
                <w:highlight w:val="none"/>
                <w:lang w:eastAsia="zh-CN"/>
              </w:rPr>
              <w:t>增强“四个意识”、坚定“四个自信”、</w:t>
            </w:r>
            <w:r>
              <w:rPr>
                <w:rFonts w:hint="eastAsia" w:ascii="仿宋_GB2312" w:hAnsi="仿宋_GB2312" w:eastAsia="仿宋_GB2312" w:cs="仿宋_GB2312"/>
                <w:b w:val="0"/>
                <w:bCs w:val="0"/>
                <w:color w:val="auto"/>
                <w:sz w:val="24"/>
                <w:szCs w:val="24"/>
                <w:highlight w:val="none"/>
              </w:rPr>
              <w:t>做到“两个维护”，</w:t>
            </w:r>
            <w:r>
              <w:rPr>
                <w:rFonts w:hint="eastAsia" w:ascii="仿宋_GB2312" w:hAnsi="仿宋_GB2312" w:eastAsia="仿宋_GB2312" w:cs="仿宋_GB2312"/>
                <w:b w:val="0"/>
                <w:bCs w:val="0"/>
                <w:color w:val="auto"/>
                <w:sz w:val="24"/>
                <w:szCs w:val="24"/>
                <w:highlight w:val="none"/>
                <w:lang w:val="en-US" w:eastAsia="zh-CN"/>
              </w:rPr>
              <w:t>努力学习</w:t>
            </w:r>
            <w:r>
              <w:rPr>
                <w:rFonts w:hint="eastAsia" w:ascii="仿宋_GB2312" w:hAnsi="仿宋_GB2312" w:eastAsia="仿宋_GB2312" w:cs="仿宋_GB2312"/>
                <w:i w:val="0"/>
                <w:iCs w:val="0"/>
                <w:caps w:val="0"/>
                <w:color w:val="auto"/>
                <w:spacing w:val="0"/>
                <w:sz w:val="24"/>
                <w:szCs w:val="24"/>
                <w:highlight w:val="none"/>
                <w:shd w:val="clear" w:fill="FFFFFF"/>
              </w:rPr>
              <w:t>文化知识，增强自己的本领</w:t>
            </w:r>
            <w:r>
              <w:rPr>
                <w:rFonts w:hint="eastAsia" w:ascii="仿宋_GB2312" w:hAnsi="仿宋_GB2312" w:eastAsia="仿宋_GB2312" w:cs="仿宋_GB2312"/>
                <w:i w:val="0"/>
                <w:iCs w:val="0"/>
                <w:caps w:val="0"/>
                <w:color w:val="auto"/>
                <w:spacing w:val="0"/>
                <w:sz w:val="24"/>
                <w:szCs w:val="24"/>
                <w:highlight w:val="none"/>
                <w:shd w:val="clear" w:fill="FFFFFF"/>
                <w:lang w:eastAsia="zh-CN"/>
              </w:rPr>
              <w:t>，</w:t>
            </w:r>
            <w:r>
              <w:rPr>
                <w:rFonts w:hint="eastAsia" w:ascii="仿宋_GB2312" w:hAnsi="仿宋_GB2312" w:eastAsia="仿宋_GB2312" w:cs="仿宋_GB2312"/>
                <w:b w:val="0"/>
                <w:bCs w:val="0"/>
                <w:color w:val="auto"/>
                <w:sz w:val="24"/>
                <w:szCs w:val="24"/>
                <w:highlight w:val="none"/>
              </w:rPr>
              <w:t>为实现中华民族伟大复兴中国梦而努力。</w:t>
            </w:r>
          </w:p>
          <w:p w14:paraId="43E3E9F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p>
        </w:tc>
        <w:tc>
          <w:tcPr>
            <w:tcW w:w="3281" w:type="dxa"/>
            <w:vAlign w:val="top"/>
          </w:tcPr>
          <w:p w14:paraId="7894AAE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课程</w:t>
            </w:r>
            <w:r>
              <w:rPr>
                <w:rFonts w:hint="eastAsia" w:ascii="仿宋_GB2312" w:hAnsi="仿宋_GB2312" w:eastAsia="仿宋_GB2312" w:cs="仿宋_GB2312"/>
                <w:b w:val="0"/>
                <w:bCs w:val="0"/>
                <w:color w:val="auto"/>
                <w:sz w:val="24"/>
                <w:szCs w:val="24"/>
                <w:highlight w:val="none"/>
              </w:rPr>
              <w:t>包括三大知识模块：一是马克思主义中国化的科学内涵和理论成果；二是阐述毛泽东思想的时 代背景、主要内容和历史地位；三是分别阐述邓小平理论、“三个代表”重要思想、科学发展观形成的社会历史条件、形成发展过程、主要内容和历史地位。</w:t>
            </w:r>
          </w:p>
          <w:p w14:paraId="1039446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14:paraId="4BBD429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p>
        </w:tc>
        <w:tc>
          <w:tcPr>
            <w:tcW w:w="2453" w:type="dxa"/>
            <w:vAlign w:val="top"/>
          </w:tcPr>
          <w:p w14:paraId="34C686A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rPr>
              <w:t>通过教师运用信息化技术进行史论结合、案例丰富的讲授，引导学生系统掌握马克思主义基本原理和马克思主义中国化理论成果，了解党史、新中国史、改革开放史、社会主义发展史，认识世情、国情、党情，培养运用马克思主义立场观点方法分析和解决问题的能力； 矢志不渝听党话</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跟党走，争做社会主义合格建设者和 可靠接班人。</w:t>
            </w:r>
          </w:p>
        </w:tc>
      </w:tr>
      <w:tr w14:paraId="4440A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7F0ABDE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13</w:t>
            </w:r>
          </w:p>
        </w:tc>
        <w:tc>
          <w:tcPr>
            <w:tcW w:w="869" w:type="dxa"/>
            <w:vAlign w:val="center"/>
          </w:tcPr>
          <w:p w14:paraId="6C52CE7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rPr>
              <w:t>创新创业教育</w:t>
            </w:r>
          </w:p>
        </w:tc>
        <w:tc>
          <w:tcPr>
            <w:tcW w:w="3663" w:type="dxa"/>
            <w:vAlign w:val="top"/>
          </w:tcPr>
          <w:p w14:paraId="3AA4930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熟悉创新思维的内涵及其基本训练方法；</w:t>
            </w:r>
            <w:r>
              <w:rPr>
                <w:rFonts w:hint="eastAsia" w:ascii="仿宋_GB2312" w:hAnsi="仿宋_GB2312" w:eastAsia="仿宋_GB2312" w:cs="仿宋_GB2312"/>
                <w:color w:val="auto"/>
                <w:sz w:val="24"/>
                <w:szCs w:val="24"/>
                <w:highlight w:val="none"/>
                <w:lang w:val="en-US" w:eastAsia="zh-CN"/>
              </w:rPr>
              <w:t>了解商业模式设计要点，</w:t>
            </w:r>
            <w:r>
              <w:rPr>
                <w:rFonts w:hint="eastAsia" w:ascii="仿宋_GB2312" w:hAnsi="仿宋_GB2312" w:eastAsia="仿宋_GB2312" w:cs="仿宋_GB2312"/>
                <w:b w:val="0"/>
                <w:bCs w:val="0"/>
                <w:color w:val="auto"/>
                <w:sz w:val="24"/>
                <w:szCs w:val="24"/>
                <w:highlight w:val="none"/>
              </w:rPr>
              <w:t>掌握常用的创新方法；掌握保护创新成果的方法</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了解创新创业政策法规。</w:t>
            </w:r>
          </w:p>
          <w:p w14:paraId="2C69726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 xml:space="preserve"> </w:t>
            </w:r>
            <w:r>
              <w:rPr>
                <w:rFonts w:hint="eastAsia" w:ascii="仿宋_GB2312" w:hAnsi="仿宋_GB2312" w:eastAsia="仿宋_GB2312" w:cs="仿宋_GB2312"/>
                <w:color w:val="auto"/>
                <w:sz w:val="24"/>
                <w:szCs w:val="24"/>
                <w:highlight w:val="none"/>
                <w:lang w:val="en-US" w:eastAsia="zh-CN"/>
              </w:rPr>
              <w:t>培养创新思维与机会识别能力，提升商业计划书撰写水平。增强资源整合与项目管理能力，掌握创业风险防范与应对方法。</w:t>
            </w:r>
          </w:p>
          <w:p w14:paraId="67A9D9C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培育开拓进取精神，树立正确的创业价值观。增强团队协作意识，培养抗压能力与责任担当，形成积极向上的创业心态。</w:t>
            </w:r>
          </w:p>
          <w:p w14:paraId="0BED7CA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融入企业家精神教育，强化社会责任意识。通过创新创业案例培育家国情怀，引导学生将个人发展融入国家创新驱动</w:t>
            </w:r>
            <w:r>
              <w:rPr>
                <w:rFonts w:hint="eastAsia" w:ascii="仿宋_GB2312" w:hAnsi="仿宋_GB2312" w:eastAsia="仿宋_GB2312" w:cs="仿宋_GB2312"/>
                <w:b w:val="0"/>
                <w:bCs w:val="0"/>
                <w:color w:val="auto"/>
                <w:sz w:val="24"/>
                <w:szCs w:val="24"/>
                <w:highlight w:val="none"/>
                <w:lang w:val="en-US" w:eastAsia="zh-CN"/>
              </w:rPr>
              <w:t>发展</w:t>
            </w:r>
            <w:r>
              <w:rPr>
                <w:rFonts w:hint="eastAsia" w:ascii="仿宋_GB2312" w:hAnsi="仿宋_GB2312" w:eastAsia="仿宋_GB2312" w:cs="仿宋_GB2312"/>
                <w:b w:val="0"/>
                <w:bCs w:val="0"/>
                <w:color w:val="auto"/>
                <w:sz w:val="24"/>
                <w:szCs w:val="24"/>
                <w:highlight w:val="none"/>
              </w:rPr>
              <w:t>战略。</w:t>
            </w:r>
          </w:p>
          <w:p w14:paraId="52FC70E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p>
        </w:tc>
        <w:tc>
          <w:tcPr>
            <w:tcW w:w="3281" w:type="dxa"/>
            <w:vAlign w:val="top"/>
          </w:tcPr>
          <w:p w14:paraId="74BD0E27">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课程包含创新思维训练、创业基础知识、商业计划设计、创业模拟实践四大模块。通过案例分析、工作坊等形式开展创新方法训练，组织商业模式设计、路演展示等实践活动。结合区域经济发展需求，引入真实创业项目，开展校企合作实践，强化学生创新创业能力培养。</w:t>
            </w:r>
          </w:p>
        </w:tc>
        <w:tc>
          <w:tcPr>
            <w:tcW w:w="2453" w:type="dxa"/>
            <w:vAlign w:val="top"/>
          </w:tcPr>
          <w:p w14:paraId="7F575A7A">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教师需采用项目驱动式教学，设计真实创业情境任务。邀请企业家参与教学，保持教学内容的前沿性。学生需主动参与创新实践，完成商业计划设计。教学中要注重理论与实践结合，突出创新思维培养，强化创业伦理教育，提升学生创新创业综合素质。</w:t>
            </w:r>
          </w:p>
        </w:tc>
      </w:tr>
      <w:tr w14:paraId="45871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28AACBD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14</w:t>
            </w:r>
          </w:p>
        </w:tc>
        <w:tc>
          <w:tcPr>
            <w:tcW w:w="869" w:type="dxa"/>
            <w:vAlign w:val="center"/>
          </w:tcPr>
          <w:p w14:paraId="6AC2966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rPr>
              <w:t>习近平新时代中国特色社会主义思想概论</w:t>
            </w:r>
          </w:p>
        </w:tc>
        <w:tc>
          <w:tcPr>
            <w:tcW w:w="3663" w:type="dxa"/>
            <w:vAlign w:val="top"/>
          </w:tcPr>
          <w:p w14:paraId="2C051CC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深刻理解习近平新时代中国特色社会主义思想是马克思主义中国化的最新理论成果；系统把握习近平新时代中国特色社会主义思想的核心观点和基本方略。</w:t>
            </w:r>
          </w:p>
          <w:p w14:paraId="0595FBA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提升大学生运用所学新思想、新理论分析和解决现实问题的能力；增强大学生全面贯彻党的基本理论和基本方略的自觉性和主动性。</w:t>
            </w:r>
          </w:p>
          <w:p w14:paraId="329238F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引导大学生自觉运用习近平新时代中国特色社会主义思想武装头脑，积极投身到建设新时代中国特色社会主义的伟大历史进程中，实现中国梦。 帮助大学生</w:t>
            </w:r>
            <w:r>
              <w:rPr>
                <w:rFonts w:hint="eastAsia" w:ascii="仿宋_GB2312" w:hAnsi="仿宋_GB2312" w:eastAsia="仿宋_GB2312" w:cs="仿宋_GB2312"/>
                <w:b w:val="0"/>
                <w:bCs w:val="0"/>
                <w:color w:val="auto"/>
                <w:sz w:val="24"/>
                <w:szCs w:val="24"/>
                <w:highlight w:val="none"/>
                <w:lang w:eastAsia="zh-CN"/>
              </w:rPr>
              <w:t>增强“四个意识”、坚定“四个自信”、做到“两个维护”</w:t>
            </w:r>
            <w:r>
              <w:rPr>
                <w:rFonts w:hint="eastAsia" w:ascii="仿宋_GB2312" w:hAnsi="仿宋_GB2312" w:eastAsia="仿宋_GB2312" w:cs="仿宋_GB2312"/>
                <w:b w:val="0"/>
                <w:bCs w:val="0"/>
                <w:color w:val="auto"/>
                <w:sz w:val="24"/>
                <w:szCs w:val="24"/>
                <w:highlight w:val="none"/>
              </w:rPr>
              <w:t>。</w:t>
            </w:r>
          </w:p>
          <w:p w14:paraId="38477FF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val="0"/>
                <w:bCs w:val="0"/>
                <w:color w:val="auto"/>
                <w:sz w:val="24"/>
                <w:szCs w:val="24"/>
                <w:highlight w:val="none"/>
              </w:rPr>
              <w:t xml:space="preserve"> </w:t>
            </w:r>
          </w:p>
        </w:tc>
        <w:tc>
          <w:tcPr>
            <w:tcW w:w="3281" w:type="dxa"/>
            <w:vAlign w:val="top"/>
          </w:tcPr>
          <w:p w14:paraId="14CBA49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rPr>
              <w:t>课程主要的知识模块</w:t>
            </w:r>
            <w:r>
              <w:rPr>
                <w:rFonts w:hint="eastAsia" w:ascii="仿宋_GB2312" w:hAnsi="仿宋_GB2312" w:eastAsia="仿宋_GB2312" w:cs="仿宋_GB2312"/>
                <w:color w:val="auto"/>
                <w:sz w:val="24"/>
                <w:szCs w:val="24"/>
                <w:highlight w:val="none"/>
                <w:lang w:val="en-US" w:eastAsia="zh-CN"/>
              </w:rPr>
              <w:t>包括</w:t>
            </w:r>
            <w:r>
              <w:rPr>
                <w:rFonts w:hint="eastAsia" w:ascii="仿宋_GB2312" w:hAnsi="仿宋_GB2312" w:eastAsia="仿宋_GB2312" w:cs="仿宋_GB2312"/>
                <w:color w:val="auto"/>
                <w:sz w:val="24"/>
                <w:szCs w:val="24"/>
                <w:highlight w:val="none"/>
              </w:rPr>
              <w:t>：习近平新时代中国特色社会主义思想及其历史地位、坚持和发展中国特色社会主义的总任务、</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“五位一体”总体布局、“四个全面”战略布局、实现中华民族伟大复兴的重要保障、中国特色大国外交、坚持和加强党的领导</w:t>
            </w:r>
            <w:r>
              <w:rPr>
                <w:rFonts w:hint="eastAsia" w:ascii="仿宋_GB2312" w:hAnsi="仿宋_GB2312" w:eastAsia="仿宋_GB2312" w:cs="仿宋_GB2312"/>
                <w:color w:val="auto"/>
                <w:sz w:val="24"/>
                <w:szCs w:val="24"/>
                <w:highlight w:val="none"/>
                <w:lang w:val="en-US" w:eastAsia="zh-CN"/>
              </w:rPr>
              <w:t>等内容。</w:t>
            </w:r>
          </w:p>
        </w:tc>
        <w:tc>
          <w:tcPr>
            <w:tcW w:w="2453" w:type="dxa"/>
            <w:vAlign w:val="top"/>
          </w:tcPr>
          <w:p w14:paraId="0AF04F6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rPr>
              <w:t xml:space="preserve">通过教师的混合式教学 </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史论结合 、案例丰富的教学，让学生感悟党的创新理论的思想伟力，坚持用马克思主义理论指导实践，做 “学思想、强党性、重实践、建新功”的新时代青年。</w:t>
            </w:r>
          </w:p>
        </w:tc>
      </w:tr>
      <w:tr w14:paraId="442AD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447FDC1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15</w:t>
            </w:r>
          </w:p>
        </w:tc>
        <w:tc>
          <w:tcPr>
            <w:tcW w:w="869" w:type="dxa"/>
            <w:vAlign w:val="center"/>
          </w:tcPr>
          <w:p w14:paraId="35A3ED1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rPr>
              <w:t>中国民俗剪纸技法</w:t>
            </w:r>
          </w:p>
        </w:tc>
        <w:tc>
          <w:tcPr>
            <w:tcW w:w="3663" w:type="dxa"/>
            <w:vAlign w:val="top"/>
          </w:tcPr>
          <w:p w14:paraId="60F3989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了解剪纸的历史与文化内涵和掌握剪纸的基本知识。</w:t>
            </w:r>
            <w:r>
              <w:rPr>
                <w:rFonts w:hint="eastAsia" w:ascii="仿宋_GB2312" w:hAnsi="仿宋_GB2312" w:eastAsia="仿宋_GB2312" w:cs="仿宋_GB2312"/>
                <w:color w:val="auto"/>
                <w:sz w:val="24"/>
                <w:szCs w:val="24"/>
                <w:highlight w:val="none"/>
                <w:lang w:val="en-US" w:eastAsia="zh-CN"/>
              </w:rPr>
              <w:t>掌握剪纸艺术的历史渊源与文化内涵，了解不同地域的剪纸风格特点。学习传统剪纸纹样寓意，掌握基础剪纸工具使用方法与安全规范。</w:t>
            </w:r>
          </w:p>
          <w:p w14:paraId="08398F8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b/>
                <w:bCs/>
                <w:color w:val="auto"/>
                <w:sz w:val="24"/>
                <w:szCs w:val="24"/>
                <w:highlight w:val="none"/>
                <w:lang w:val="en-US" w:eastAsia="zh-CN"/>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学生能够熟练掌握剪纸的基本技法、剪纸的构图技巧，</w:t>
            </w:r>
            <w:r>
              <w:rPr>
                <w:rFonts w:hint="eastAsia" w:ascii="仿宋_GB2312" w:hAnsi="仿宋_GB2312" w:eastAsia="仿宋_GB2312" w:cs="仿宋_GB2312"/>
                <w:color w:val="auto"/>
                <w:sz w:val="24"/>
                <w:szCs w:val="24"/>
                <w:highlight w:val="none"/>
                <w:lang w:val="en-US" w:eastAsia="zh-CN"/>
              </w:rPr>
              <w:t>培养图案设计与剪刀运用能力，掌握对称、连续等基础剪纸技法。</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学会运用多种剪纸技法进行创作，鼓励学生在传统剪纸技法的基础上进行创新，结合现代设计理念和元素，创作出具有时代感和个性的剪纸作品。</w:t>
            </w:r>
          </w:p>
          <w:p w14:paraId="66BF90E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培育耐心细致的工作态度，提升审美鉴赏能力。增强文化自信，传承非遗技艺，培养创新思维与艺术表现力。</w:t>
            </w:r>
          </w:p>
          <w:p w14:paraId="745284B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通过剪纸艺术，弘扬中华优秀传统文化，增强民族自豪感。在技艺传承中培育工匠精神，树立文化传承的责任意识。</w:t>
            </w:r>
          </w:p>
          <w:p w14:paraId="7F22EE2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14:paraId="5AFB08A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3281" w:type="dxa"/>
            <w:vAlign w:val="top"/>
          </w:tcPr>
          <w:p w14:paraId="0756A0C0">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课程包含剪纸文化理论、基础技法训练、创意设计实践三大模块。理论部分讲解剪纸发展历史与地域特色；技法训练包括对称剪、镂空剪等基础技法；实践环节设计传统纹样临摹与创新作品制作。结合现代设计理念，融入专业特色，开展主题性剪纸创作，如节庆装饰、文创产品设计等实践项目。</w:t>
            </w:r>
          </w:p>
        </w:tc>
        <w:tc>
          <w:tcPr>
            <w:tcW w:w="2453" w:type="dxa"/>
            <w:vAlign w:val="top"/>
          </w:tcPr>
          <w:p w14:paraId="17185962">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教师需采用示范教学与个别指导相结合的方式，注重传统技艺的规范性。准备充足的教学素材与工具，创设良好的创作环境。学生需认真完成课堂练习，积极参与创作实践。教学中要突出文化传承价值，注重培养学生的审美能力与创新意识，鼓励将传统技艺与现代设计相结合。</w:t>
            </w:r>
          </w:p>
        </w:tc>
      </w:tr>
      <w:tr w14:paraId="29A98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5154194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16</w:t>
            </w:r>
          </w:p>
        </w:tc>
        <w:tc>
          <w:tcPr>
            <w:tcW w:w="869" w:type="dxa"/>
            <w:vAlign w:val="center"/>
          </w:tcPr>
          <w:p w14:paraId="2426DCA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rPr>
              <w:t>影视与鉴赏</w:t>
            </w:r>
          </w:p>
        </w:tc>
        <w:tc>
          <w:tcPr>
            <w:tcW w:w="3663" w:type="dxa"/>
            <w:vAlign w:val="top"/>
          </w:tcPr>
          <w:p w14:paraId="2076D22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掌握影视基础知识，了解影视艺术的基本概念、发展历程、主要类型和流派。掌握影视制作的基本流程，鉴赏不同类型影视作品的基本方法和技巧，</w:t>
            </w:r>
            <w:r>
              <w:rPr>
                <w:rFonts w:hint="eastAsia" w:ascii="仿宋_GB2312" w:hAnsi="仿宋_GB2312" w:eastAsia="仿宋_GB2312" w:cs="仿宋_GB2312"/>
                <w:color w:val="auto"/>
                <w:sz w:val="24"/>
                <w:szCs w:val="24"/>
                <w:highlight w:val="none"/>
                <w:lang w:val="en-US" w:eastAsia="zh-CN"/>
              </w:rPr>
              <w:t>掌握影视创作基本流程。</w:t>
            </w:r>
          </w:p>
          <w:p w14:paraId="5C217A4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培养影视作品分析鉴赏能力，提升视听语言理解水平。掌握影视评论写作方法，具备基础影视审美判断能力。</w:t>
            </w:r>
          </w:p>
          <w:p w14:paraId="5C52C54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培育艺术审美情趣，提高文化修养水平。增强创新思维能力，树立正确的价值观和艺术观。</w:t>
            </w:r>
          </w:p>
          <w:p w14:paraId="51D4243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通过优秀影视作品弘扬社会主义核心价值观。在艺术鉴赏中增强文化自信，培养家国情怀和人文精神。</w:t>
            </w:r>
          </w:p>
        </w:tc>
        <w:tc>
          <w:tcPr>
            <w:tcW w:w="3281" w:type="dxa"/>
            <w:vAlign w:val="top"/>
          </w:tcPr>
          <w:p w14:paraId="0BAFD778">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课程包含影视艺术基础理论、经典作品赏析、创作实践三个模块。理论部分讲解影视语言、类型特征等基础知识；赏析环节重点分析中外经典影片；实践模块组织短片创作、影评写作等活动。结合时代特色，选取反映社会发展的优秀作品，开展主题式影视教育活动。</w:t>
            </w:r>
          </w:p>
        </w:tc>
        <w:tc>
          <w:tcPr>
            <w:tcW w:w="2453" w:type="dxa"/>
            <w:vAlign w:val="top"/>
          </w:tcPr>
          <w:p w14:paraId="76C12FE8">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教师需采用案例教学与互动讨论相结合的方式，精选具有教育意义的影视作品。学生需积极参与课堂讨论，完成鉴赏作业。教学中要注重价值引导，突出美育功能，培养学生批判性思维能力，提升艺术素养和人文情怀。</w:t>
            </w:r>
          </w:p>
        </w:tc>
      </w:tr>
      <w:tr w14:paraId="69A53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5FF11CB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17</w:t>
            </w:r>
          </w:p>
        </w:tc>
        <w:tc>
          <w:tcPr>
            <w:tcW w:w="869" w:type="dxa"/>
            <w:vAlign w:val="center"/>
          </w:tcPr>
          <w:p w14:paraId="62D2632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rPr>
              <w:t>中国共产党简史</w:t>
            </w:r>
          </w:p>
        </w:tc>
        <w:tc>
          <w:tcPr>
            <w:tcW w:w="3663" w:type="dxa"/>
            <w:vAlign w:val="top"/>
          </w:tcPr>
          <w:p w14:paraId="1432B7D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把握中国共产党历史发展脉络，了解中国共产党百年奋</w:t>
            </w:r>
            <w:r>
              <w:rPr>
                <w:rFonts w:hint="eastAsia" w:ascii="仿宋_GB2312" w:hAnsi="仿宋_GB2312" w:eastAsia="仿宋_GB2312" w:cs="仿宋_GB2312"/>
                <w:color w:val="auto"/>
                <w:sz w:val="24"/>
                <w:szCs w:val="24"/>
                <w:highlight w:val="none"/>
                <w:lang w:eastAsia="zh-CN"/>
              </w:rPr>
              <w:t>斗的</w:t>
            </w:r>
            <w:r>
              <w:rPr>
                <w:rFonts w:hint="eastAsia" w:ascii="仿宋_GB2312" w:hAnsi="仿宋_GB2312" w:eastAsia="仿宋_GB2312" w:cs="仿宋_GB2312"/>
                <w:color w:val="auto"/>
                <w:sz w:val="24"/>
                <w:szCs w:val="24"/>
                <w:highlight w:val="none"/>
              </w:rPr>
              <w:t>重大历史成就与历史经验；了解中国共产党是如何团结带领中国人民克服千难万险，创造了一个又一个彪炳史册的人间奇迹；了解一代又一代优秀中国共产党人的为民情怀与高尚情操。</w:t>
            </w:r>
          </w:p>
          <w:p w14:paraId="296C76F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深刻领会“四大选择”，即历史和人民怎样选择了马克思主义、怎样选择了中国共产党、怎样选择了社会主义道路、选择了改革开放；历史和人民怎样经过艰辛曲折的社会主义建设道路的探索，进一步增强拥护中国共产党的领导和接受马克思主义指导的自觉性。通过课堂教学，运用参与式教学方法，鼓励学生开展自主性学习、合作性学习，帮助学生提高解决问题的能力，要求他们理论联系实际，力争解决现实社会遇到的各种问题。</w:t>
            </w:r>
          </w:p>
          <w:p w14:paraId="5EAA170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 理解中国特色社会主义进入新时代的发展历程和时代特点。了解改革开放以来，我们寻找到了中国特色社会主义道路，形成了中国特色社会主义理论体系，并在中国特色社会主义理论体系指引下振兴中华民族的历程，从而自觉地继承和发扬近代以来中国共产党人的优秀品质，进一步增强民族自尊心、自信心和自豪感， 坚定对马克思主义的信仰、对中国共产党的信任、对社会主义的信心。促进学生政治素质和思想道德素质的提高，充分理解实行改革开放和实现中华民族伟大复兴中国梦的重大历史意义。</w:t>
            </w:r>
          </w:p>
        </w:tc>
        <w:tc>
          <w:tcPr>
            <w:tcW w:w="3281" w:type="dxa"/>
            <w:vAlign w:val="top"/>
          </w:tcPr>
          <w:p w14:paraId="5AB9E71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课程内容包括中国共产党的创建和投身大革命的洪流、掀起土地革命的风暴、全民族抗日战争的中流砥柱、夺取新民主主义革命的全国性胜利、中华人民共和国的成立和社会主义制度的建立、社会主义建设的探索和曲折发展、伟大历史转折和中国特色社会主义的开创、把中国特色社会主义全面推向21世纪、在新的形势下坚持和发展中国特色社会主义、中国特色社会主义进入新时代等。通过学习，学生将全面了解中国共产党领导中国人民进行革命、建设、改革的光辉历程，深刻认识党在各个历史时期的伟大成就和宝贵经验，为成为一名合格的共产党员、成为一名社会主义建设者奠定坚实的思想基础。</w:t>
            </w:r>
          </w:p>
        </w:tc>
        <w:tc>
          <w:tcPr>
            <w:tcW w:w="2453" w:type="dxa"/>
            <w:vAlign w:val="top"/>
          </w:tcPr>
          <w:p w14:paraId="1315C5E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rPr>
              <w:t>通过教师的理论讲授和丰富的史料佐证，以及线上线下参观历史纪念馆，引导学生树立正确的历史观，做到“</w:t>
            </w:r>
            <w:r>
              <w:rPr>
                <w:rFonts w:hint="eastAsia" w:ascii="仿宋_GB2312" w:hAnsi="仿宋_GB2312" w:eastAsia="仿宋_GB2312" w:cs="仿宋_GB2312"/>
                <w:color w:val="auto"/>
                <w:sz w:val="24"/>
                <w:szCs w:val="24"/>
                <w:highlight w:val="none"/>
                <w:lang w:eastAsia="zh-CN"/>
              </w:rPr>
              <w:t>学史明理、学史增信、学史崇德、学史力行</w:t>
            </w:r>
            <w:r>
              <w:rPr>
                <w:rFonts w:hint="eastAsia" w:ascii="仿宋_GB2312" w:hAnsi="仿宋_GB2312" w:eastAsia="仿宋_GB2312" w:cs="仿宋_GB2312"/>
                <w:color w:val="auto"/>
                <w:sz w:val="24"/>
                <w:szCs w:val="24"/>
                <w:highlight w:val="none"/>
              </w:rPr>
              <w:t>”，感悟党的伟大，做“青春心向党</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踔厉奋发建新功”的新时代青年。</w:t>
            </w:r>
          </w:p>
        </w:tc>
      </w:tr>
      <w:tr w14:paraId="054B8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429F7E6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18</w:t>
            </w:r>
          </w:p>
        </w:tc>
        <w:tc>
          <w:tcPr>
            <w:tcW w:w="869" w:type="dxa"/>
            <w:vAlign w:val="center"/>
          </w:tcPr>
          <w:p w14:paraId="1B6289F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rPr>
              <w:t>中华人民共和国简史</w:t>
            </w:r>
          </w:p>
        </w:tc>
        <w:tc>
          <w:tcPr>
            <w:tcW w:w="3663" w:type="dxa"/>
            <w:vAlign w:val="top"/>
          </w:tcPr>
          <w:p w14:paraId="077C37F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当代中国社会主义革命、建设和改革的具体历史条件和历史方位，其对国际共产主义运动的贡献。全面了解新中国历史的发展进程、历史分期、主要成就、探索进程中的曲折及重要经验教训、历史启示。掌握观察、分析、解决社会问题的基本方法和历史思维及辩证思维的能力。了解新中国成立的历史背景、历史意义，新中国成立初期的内外形势。恢复国民经济、巩固新生政权的主要措施及成效。新中国走社会主义道路的历史必然性。三大改造的主要过程、评价，“一五”计划的编制与实施。社会主义建设艰辛探索的主要过程、成就、失误及经验教训。</w:t>
            </w:r>
          </w:p>
          <w:p w14:paraId="11BACE1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jc w:val="both"/>
              <w:textAlignment w:val="auto"/>
              <w:rPr>
                <w:rFonts w:hint="eastAsia" w:ascii="仿宋_GB2312" w:hAnsi="仿宋_GB2312" w:eastAsia="仿宋_GB2312" w:cs="仿宋_GB2312"/>
                <w:i w:val="0"/>
                <w:iCs w:val="0"/>
                <w:caps w:val="0"/>
                <w:color w:val="auto"/>
                <w:spacing w:val="0"/>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学习新中国史研究的根本意义在于总结历史、立足现实、面向未来，不断深化对共产党执政规律、社会主义建设规律、人类社会发展规律的认识，总结治国理政经验，发挥思政育人功能，为实现中华民族伟大复兴的中国梦提供坚实的理论支撑。</w:t>
            </w:r>
          </w:p>
          <w:p w14:paraId="5D24A15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rightChars="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i w:val="0"/>
                <w:iCs w:val="0"/>
                <w:caps w:val="0"/>
                <w:color w:val="auto"/>
                <w:spacing w:val="0"/>
                <w:sz w:val="24"/>
                <w:szCs w:val="24"/>
                <w:highlight w:val="none"/>
                <w:lang w:val="en-US" w:eastAsia="zh-CN"/>
              </w:rPr>
              <w:t>素质目标：</w:t>
            </w:r>
            <w:r>
              <w:rPr>
                <w:rFonts w:hint="eastAsia" w:ascii="仿宋_GB2312" w:hAnsi="仿宋_GB2312" w:eastAsia="仿宋_GB2312" w:cs="仿宋_GB2312"/>
                <w:i w:val="0"/>
                <w:iCs w:val="0"/>
                <w:caps w:val="0"/>
                <w:color w:val="auto"/>
                <w:spacing w:val="0"/>
                <w:sz w:val="24"/>
                <w:szCs w:val="24"/>
                <w:highlight w:val="none"/>
                <w:lang w:val="en-US" w:eastAsia="zh-CN"/>
              </w:rPr>
              <w:t>引导学生</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了解在中国进行社会主义革命和建设的历史决定性及探索中主要成就、探索过程的艰辛曲折，坚定走中国特色社会主义道路的信念和信心；学会观察、分析和解决问题的科学方法，不断培养和提升辩证思维能力。</w:t>
            </w:r>
          </w:p>
        </w:tc>
        <w:tc>
          <w:tcPr>
            <w:tcW w:w="3281" w:type="dxa"/>
            <w:vAlign w:val="top"/>
          </w:tcPr>
          <w:p w14:paraId="3838D66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课程主要包括：</w:t>
            </w:r>
            <w:r>
              <w:rPr>
                <w:rFonts w:hint="eastAsia" w:ascii="仿宋_GB2312" w:hAnsi="仿宋_GB2312" w:eastAsia="仿宋_GB2312" w:cs="仿宋_GB2312"/>
                <w:color w:val="auto"/>
                <w:sz w:val="24"/>
                <w:szCs w:val="24"/>
                <w:highlight w:val="none"/>
              </w:rPr>
              <w:t>新中国成立和社会主义基本制度的确立</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社会主义建设的艰辛探索和曲折发展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改革开放与中国特色社会主义的开创</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建立社会主义市场经济体制和把中国特色社会主义全面推向21世纪</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全面建设</w:t>
            </w:r>
            <w:r>
              <w:rPr>
                <w:rFonts w:hint="eastAsia" w:ascii="仿宋_GB2312" w:hAnsi="仿宋_GB2312" w:eastAsia="仿宋_GB2312" w:cs="仿宋_GB2312"/>
                <w:color w:val="auto"/>
                <w:sz w:val="24"/>
                <w:szCs w:val="24"/>
                <w:highlight w:val="none"/>
              </w:rPr>
              <w:t>小康社会与新的形势下坚持和发展中国特色社会主义</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中国特色社会主义进入新时代和实现中华民族伟大复兴的中国梦</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决胜全面建成小康社会和开启全面建成社会主义现代化强国新征程</w:t>
            </w:r>
          </w:p>
          <w:p w14:paraId="5B94787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rPr>
              <w:t>等方面。通过学习，学生将深入了解中华人民共和国在各个历史阶段的发展变化，认识到中国特色社会主义道路的历史必然性和正确性，增强对国家的热爱和对未来的信心。</w:t>
            </w:r>
          </w:p>
        </w:tc>
        <w:tc>
          <w:tcPr>
            <w:tcW w:w="2453" w:type="dxa"/>
            <w:vAlign w:val="top"/>
          </w:tcPr>
          <w:p w14:paraId="086435F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rPr>
              <w:t>通过课堂讲解、案例分析、小组讨论、模拟实践等方式，促进学生进一步增强民族自尊心、自信心和自豪感</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 xml:space="preserve"> 坚定对马克思主义的信仰、对中国共产党的信任、对社会主义的信心。</w:t>
            </w:r>
          </w:p>
        </w:tc>
      </w:tr>
      <w:tr w14:paraId="1AE10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6DE69D9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19</w:t>
            </w:r>
          </w:p>
        </w:tc>
        <w:tc>
          <w:tcPr>
            <w:tcW w:w="869" w:type="dxa"/>
            <w:vAlign w:val="center"/>
          </w:tcPr>
          <w:p w14:paraId="5456317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rPr>
              <w:t>改革开放简史</w:t>
            </w:r>
          </w:p>
        </w:tc>
        <w:tc>
          <w:tcPr>
            <w:tcW w:w="3663" w:type="dxa"/>
            <w:vAlign w:val="top"/>
          </w:tcPr>
          <w:p w14:paraId="0362A01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知识目标</w:t>
            </w:r>
            <w:r>
              <w:rPr>
                <w:rFonts w:hint="eastAsia" w:ascii="仿宋_GB2312" w:hAnsi="仿宋_GB2312" w:eastAsia="仿宋_GB2312" w:cs="仿宋_GB2312"/>
                <w:color w:val="auto"/>
                <w:kern w:val="2"/>
                <w:sz w:val="24"/>
                <w:szCs w:val="24"/>
                <w:highlight w:val="none"/>
                <w:lang w:val="en-US" w:eastAsia="zh-CN" w:bidi="ar-SA"/>
              </w:rPr>
              <w:t>：帮助大学生了解我国改革开放的历史，把握一个国家、一个民族从贫穷落后到繁荣富强的规律，特别是党的十八大以来我国全面深化改革开放的新理念、新思想、新战略以及取得的重大成就和经验。掌握改革开放以来中国特色社会主义建设事业取得的历史性成就、作出的重大历史贡献，懂得进一步深化改革开放必须坚持的重要经验。</w:t>
            </w:r>
          </w:p>
          <w:p w14:paraId="5DDE731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能力目标：</w:t>
            </w:r>
            <w:r>
              <w:rPr>
                <w:rFonts w:hint="eastAsia" w:ascii="仿宋_GB2312" w:hAnsi="仿宋_GB2312" w:eastAsia="仿宋_GB2312" w:cs="仿宋_GB2312"/>
                <w:color w:val="auto"/>
                <w:kern w:val="2"/>
                <w:sz w:val="24"/>
                <w:szCs w:val="24"/>
                <w:highlight w:val="none"/>
                <w:lang w:val="en-US" w:eastAsia="zh-CN" w:bidi="ar-SA"/>
              </w:rPr>
              <w:t>帮助学生更加熟练地运用辩证唯物主义和历史唯物主义的立场、观点、方法，全面正确认识我国改革开放取得的伟大成就，客观应对改革开放中的矛盾和问题，以更加积极主动的心态投身改革开放的伟大事业中。</w:t>
            </w:r>
          </w:p>
          <w:p w14:paraId="02174A0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kern w:val="2"/>
                <w:sz w:val="24"/>
                <w:szCs w:val="24"/>
                <w:highlight w:val="none"/>
                <w:lang w:val="en-US" w:eastAsia="zh-CN" w:bidi="ar-SA"/>
              </w:rPr>
              <w:t>素质目标：</w:t>
            </w:r>
            <w:r>
              <w:rPr>
                <w:rFonts w:hint="eastAsia" w:ascii="仿宋_GB2312" w:hAnsi="仿宋_GB2312" w:eastAsia="仿宋_GB2312" w:cs="仿宋_GB2312"/>
                <w:color w:val="auto"/>
                <w:kern w:val="2"/>
                <w:sz w:val="24"/>
                <w:szCs w:val="24"/>
                <w:highlight w:val="none"/>
                <w:lang w:val="en-US" w:eastAsia="zh-CN" w:bidi="ar-SA"/>
              </w:rPr>
              <w:t>使学生能够充分理解我国改革开放各个时期的路线、政策和目标，增强自觉执行党的路线、方针、政策的自觉性，增强“四个意识”、坚定“四个自信”、做到“两个维护”，紧密结合全面建设社会主义现代化国家的实际，把理论与实践、知与行统一起来，自觉投身于中国特色社会主义的伟大实践，为实现中华民族伟大复兴作出应有的贡献。</w:t>
            </w:r>
          </w:p>
        </w:tc>
        <w:tc>
          <w:tcPr>
            <w:tcW w:w="3281" w:type="dxa"/>
            <w:vAlign w:val="top"/>
          </w:tcPr>
          <w:p w14:paraId="37C12A2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课程内容涵盖</w:t>
            </w:r>
            <w:r>
              <w:rPr>
                <w:rFonts w:hint="eastAsia" w:ascii="仿宋_GB2312" w:hAnsi="仿宋_GB2312" w:eastAsia="仿宋_GB2312" w:cs="仿宋_GB2312"/>
                <w:color w:val="auto"/>
                <w:sz w:val="24"/>
                <w:szCs w:val="24"/>
                <w:highlight w:val="none"/>
              </w:rPr>
              <w:t>改革开放拉开大幕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改革开放全面展开</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改革开放开创新局面</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改革开放在科学发展中深化</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改革开放进入新时代</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坚定不移推进全面深化改革</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坚定不移扩大高水平对外开放</w:t>
            </w:r>
            <w:r>
              <w:rPr>
                <w:rFonts w:hint="eastAsia" w:ascii="仿宋_GB2312" w:hAnsi="仿宋_GB2312" w:eastAsia="仿宋_GB2312" w:cs="仿宋_GB2312"/>
                <w:color w:val="auto"/>
                <w:sz w:val="24"/>
                <w:szCs w:val="24"/>
                <w:highlight w:val="none"/>
                <w:lang w:val="en-US" w:eastAsia="zh-CN"/>
              </w:rPr>
              <w:t>等。</w:t>
            </w:r>
            <w:r>
              <w:rPr>
                <w:rFonts w:hint="eastAsia" w:ascii="仿宋_GB2312" w:hAnsi="仿宋_GB2312" w:eastAsia="仿宋_GB2312" w:cs="仿宋_GB2312"/>
                <w:color w:val="auto"/>
                <w:sz w:val="24"/>
                <w:szCs w:val="24"/>
                <w:highlight w:val="none"/>
              </w:rPr>
              <w:t>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453" w:type="dxa"/>
            <w:vAlign w:val="top"/>
          </w:tcPr>
          <w:p w14:paraId="37226A6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rPr>
              <w:t>通过专题讲授法、情境教学法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案例教学法等</w:t>
            </w:r>
            <w:r>
              <w:rPr>
                <w:rFonts w:hint="eastAsia" w:ascii="仿宋_GB2312" w:hAnsi="仿宋_GB2312" w:eastAsia="仿宋_GB2312" w:cs="仿宋_GB2312"/>
                <w:color w:val="auto"/>
                <w:sz w:val="24"/>
                <w:szCs w:val="24"/>
                <w:highlight w:val="none"/>
              </w:rPr>
              <w:t>，让学生能够系统把握中国改革开放事业的辉煌成就、重大贡献、重要经验和深刻启示。</w:t>
            </w:r>
            <w:r>
              <w:rPr>
                <w:rFonts w:hint="eastAsia" w:ascii="仿宋_GB2312" w:hAnsi="仿宋_GB2312" w:eastAsia="仿宋_GB2312" w:cs="仿宋_GB2312"/>
                <w:color w:val="auto"/>
                <w:sz w:val="24"/>
                <w:szCs w:val="24"/>
                <w:highlight w:val="none"/>
                <w:lang w:val="en-US" w:eastAsia="zh-CN"/>
              </w:rPr>
              <w:t>引导大学生在全面了解中国改革开放的历史进程中，中国共产党为国家和民族作出的伟大贡献，深刻感悟中国共产党始终不渝为人民的初心宗旨，弄清楚中国共产党为什么能、马克思主义为什么行、中国特色社会主义为什么好等基本道理，坚定不移听党话、跟党走，在全面建设社会主义现代化国家、实现中华民族伟大复兴的实践中建功立业。</w:t>
            </w:r>
          </w:p>
        </w:tc>
      </w:tr>
      <w:tr w14:paraId="61BE3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3A98180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20</w:t>
            </w:r>
          </w:p>
        </w:tc>
        <w:tc>
          <w:tcPr>
            <w:tcW w:w="869" w:type="dxa"/>
            <w:vAlign w:val="center"/>
          </w:tcPr>
          <w:p w14:paraId="64B281C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rPr>
              <w:t>社会主义发展简史</w:t>
            </w:r>
          </w:p>
        </w:tc>
        <w:tc>
          <w:tcPr>
            <w:tcW w:w="3663" w:type="dxa"/>
            <w:vAlign w:val="top"/>
          </w:tcPr>
          <w:p w14:paraId="40E6AE5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帮助大学生重点了解空想社会主义的产生和发展，了解科学社会主义的产生和发展，了解世界和中国对社会主义道路和制度的探索和实践，了解新时代中国特色社会主义的理论创造和伟大实践</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从而增强对社会主义制度的认识与信心。</w:t>
            </w:r>
          </w:p>
          <w:p w14:paraId="188FE56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有助于大学生开阔眼界，扩大视野，增长知识，学会把中国特色社会主义理论置于社会主义发生、发展和演变的历史长河中加以认识和把握；有助于大学生全面总结社会主义历史经验，正确看待历史遗产，在总结和借鉴正反两方面社会主义历史经验的基础上，加深对中国特色社会主义理论体系的理解；有助于大学生划清科学社会主义与非科学社会主义的界线，提高大学生的鉴别、分析和批判能力。</w:t>
            </w:r>
          </w:p>
          <w:p w14:paraId="360088E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帮助大学生正确认识和理解社会主义制度的优越性，进一步增强大学生道路自信、理论自信、制度自信、文化自信，进一步提升大学生坚持和发展中国特色社会主义理论的自觉性和坚定性。</w:t>
            </w:r>
          </w:p>
        </w:tc>
        <w:tc>
          <w:tcPr>
            <w:tcW w:w="3281" w:type="dxa"/>
            <w:vAlign w:val="top"/>
          </w:tcPr>
          <w:p w14:paraId="4B3D411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rPr>
              <w:t>课程内容涵盖空想社会主义的产生与发展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科学社会主义的</w:t>
            </w:r>
            <w:r>
              <w:rPr>
                <w:rFonts w:hint="eastAsia" w:ascii="仿宋_GB2312" w:hAnsi="仿宋_GB2312" w:eastAsia="仿宋_GB2312" w:cs="仿宋_GB2312"/>
                <w:color w:val="auto"/>
                <w:sz w:val="24"/>
                <w:szCs w:val="24"/>
                <w:highlight w:val="none"/>
                <w:lang w:val="en-US" w:eastAsia="zh-CN"/>
              </w:rPr>
              <w:t>创立、</w:t>
            </w:r>
            <w:r>
              <w:rPr>
                <w:rFonts w:hint="eastAsia" w:ascii="仿宋_GB2312" w:hAnsi="仿宋_GB2312" w:eastAsia="仿宋_GB2312" w:cs="仿宋_GB2312"/>
                <w:color w:val="auto"/>
                <w:sz w:val="24"/>
                <w:szCs w:val="24"/>
                <w:highlight w:val="none"/>
              </w:rPr>
              <w:t>社会主义</w:t>
            </w:r>
            <w:r>
              <w:rPr>
                <w:rFonts w:hint="eastAsia" w:ascii="仿宋_GB2312" w:hAnsi="仿宋_GB2312" w:eastAsia="仿宋_GB2312" w:cs="仿宋_GB2312"/>
                <w:color w:val="auto"/>
                <w:sz w:val="24"/>
                <w:szCs w:val="24"/>
                <w:highlight w:val="none"/>
                <w:lang w:val="en-US" w:eastAsia="zh-CN"/>
              </w:rPr>
              <w:t>从理论到实践、社会主义在多国发展、中国特色社会主义的开创与发展</w:t>
            </w:r>
            <w:r>
              <w:rPr>
                <w:rFonts w:hint="eastAsia" w:ascii="仿宋_GB2312" w:hAnsi="仿宋_GB2312" w:eastAsia="仿宋_GB2312" w:cs="仿宋_GB2312"/>
                <w:color w:val="auto"/>
                <w:sz w:val="24"/>
                <w:szCs w:val="24"/>
                <w:highlight w:val="none"/>
              </w:rPr>
              <w:t>。通过学习，学生将了解社会主义思想的起源、发展和变革，掌握社会主义制度在不同国家的实践经验和教训，为理解和坚持中国特色社会主义提供历史依据和理论支持。</w:t>
            </w:r>
          </w:p>
        </w:tc>
        <w:tc>
          <w:tcPr>
            <w:tcW w:w="2453" w:type="dxa"/>
            <w:vAlign w:val="top"/>
          </w:tcPr>
          <w:p w14:paraId="2B9395A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rPr>
              <w:t>课堂教学应采用启发式、研讨式、案例式、参与式、体验式、实践式等方法，充分调动学生的主体作用。在课程组织上应将理论讲授和社会实践融合在一起，贴近生活，贴近实际，使学生在现实生活中感受到历史的气息，既</w:t>
            </w:r>
            <w:r>
              <w:rPr>
                <w:rFonts w:hint="eastAsia" w:ascii="仿宋_GB2312" w:hAnsi="仿宋_GB2312" w:eastAsia="仿宋_GB2312" w:cs="仿宋_GB2312"/>
                <w:color w:val="auto"/>
                <w:sz w:val="24"/>
                <w:szCs w:val="24"/>
                <w:highlight w:val="none"/>
                <w:lang w:val="en-US" w:eastAsia="zh-CN"/>
              </w:rPr>
              <w:t>能激发学生的学习情趣</w:t>
            </w:r>
            <w:r>
              <w:rPr>
                <w:rFonts w:hint="eastAsia" w:ascii="仿宋_GB2312" w:hAnsi="仿宋_GB2312" w:eastAsia="仿宋_GB2312" w:cs="仿宋_GB2312"/>
                <w:color w:val="auto"/>
                <w:sz w:val="24"/>
                <w:szCs w:val="24"/>
                <w:highlight w:val="none"/>
              </w:rPr>
              <w:t>，又有利于提高学生的认知、动手和研究能力，进而</w:t>
            </w:r>
            <w:r>
              <w:rPr>
                <w:rFonts w:hint="eastAsia" w:ascii="仿宋_GB2312" w:hAnsi="仿宋_GB2312" w:eastAsia="仿宋_GB2312" w:cs="仿宋_GB2312"/>
                <w:color w:val="auto"/>
                <w:sz w:val="24"/>
                <w:szCs w:val="24"/>
                <w:highlight w:val="none"/>
                <w:lang w:eastAsia="zh-CN"/>
              </w:rPr>
              <w:t>增强</w:t>
            </w:r>
            <w:r>
              <w:rPr>
                <w:rFonts w:hint="eastAsia" w:ascii="仿宋_GB2312" w:hAnsi="仿宋_GB2312" w:eastAsia="仿宋_GB2312" w:cs="仿宋_GB2312"/>
                <w:color w:val="auto"/>
                <w:sz w:val="24"/>
                <w:szCs w:val="24"/>
                <w:highlight w:val="none"/>
                <w:lang w:val="en-US" w:eastAsia="zh-CN"/>
              </w:rPr>
              <w:t>学生的爱国情怀</w:t>
            </w:r>
            <w:r>
              <w:rPr>
                <w:rFonts w:hint="eastAsia" w:ascii="仿宋_GB2312" w:hAnsi="仿宋_GB2312" w:eastAsia="仿宋_GB2312" w:cs="仿宋_GB2312"/>
                <w:color w:val="auto"/>
                <w:sz w:val="24"/>
                <w:szCs w:val="24"/>
                <w:highlight w:val="none"/>
              </w:rPr>
              <w:t>、自信心和民族自豪感，帮助学生掌握关于当代社会主义的基本知识，以更深刻的视角理解认识当代中国社会，强化共产主义世界观。</w:t>
            </w:r>
          </w:p>
        </w:tc>
      </w:tr>
      <w:tr w14:paraId="44FD0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14A1E4C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21</w:t>
            </w:r>
          </w:p>
        </w:tc>
        <w:tc>
          <w:tcPr>
            <w:tcW w:w="869" w:type="dxa"/>
            <w:vAlign w:val="center"/>
          </w:tcPr>
          <w:p w14:paraId="770A07D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rPr>
              <w:t>中华优秀传统文化</w:t>
            </w:r>
          </w:p>
        </w:tc>
        <w:tc>
          <w:tcPr>
            <w:tcW w:w="3663" w:type="dxa"/>
            <w:vAlign w:val="top"/>
          </w:tcPr>
          <w:p w14:paraId="3E3128E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掌握并传承中</w:t>
            </w:r>
            <w:r>
              <w:rPr>
                <w:rFonts w:hint="eastAsia" w:ascii="仿宋_GB2312" w:hAnsi="仿宋_GB2312" w:eastAsia="仿宋_GB2312" w:cs="仿宋_GB2312"/>
                <w:b w:val="0"/>
                <w:bCs w:val="0"/>
                <w:color w:val="auto"/>
                <w:sz w:val="24"/>
                <w:szCs w:val="24"/>
                <w:highlight w:val="none"/>
                <w:lang w:val="en-US" w:eastAsia="zh-CN"/>
              </w:rPr>
              <w:t>华优秀</w:t>
            </w:r>
            <w:r>
              <w:rPr>
                <w:rFonts w:hint="eastAsia" w:ascii="仿宋_GB2312" w:hAnsi="仿宋_GB2312" w:eastAsia="仿宋_GB2312" w:cs="仿宋_GB2312"/>
                <w:b w:val="0"/>
                <w:bCs w:val="0"/>
                <w:color w:val="auto"/>
                <w:sz w:val="24"/>
                <w:szCs w:val="24"/>
                <w:highlight w:val="none"/>
              </w:rPr>
              <w:t>传统文化的基本内涵</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主要内容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基本精神，了解了中国传统哲学、文学、</w:t>
            </w:r>
            <w:r>
              <w:rPr>
                <w:rFonts w:hint="eastAsia" w:ascii="仿宋_GB2312" w:hAnsi="仿宋_GB2312" w:eastAsia="仿宋_GB2312" w:cs="仿宋_GB2312"/>
                <w:b w:val="0"/>
                <w:bCs w:val="0"/>
                <w:color w:val="auto"/>
                <w:sz w:val="24"/>
                <w:szCs w:val="24"/>
                <w:highlight w:val="none"/>
                <w:lang w:val="en-US" w:eastAsia="zh-CN"/>
              </w:rPr>
              <w:t>仪式</w:t>
            </w:r>
            <w:r>
              <w:rPr>
                <w:rFonts w:hint="eastAsia" w:ascii="仿宋_GB2312" w:hAnsi="仿宋_GB2312" w:eastAsia="仿宋_GB2312" w:cs="仿宋_GB2312"/>
                <w:b w:val="0"/>
                <w:bCs w:val="0"/>
                <w:color w:val="auto"/>
                <w:sz w:val="24"/>
                <w:szCs w:val="24"/>
                <w:highlight w:val="none"/>
              </w:rPr>
              <w:t>文化精髓，扩大学生视野，读懂更多的经典名著名篇，熟悉中国古代的艺术、科技、文化成果，弘扬中国传统礼仪、风俗及美食文化。</w:t>
            </w:r>
          </w:p>
          <w:p w14:paraId="07C7E0F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掌握鉴赏中华优秀传统文化及其载体的能力；养成传统美德、树立文化自信、掌握文化精粹；培养发掘中华优秀传统文化的生成规律和闪光点的能力；能坚持创造性转化、创新性发展中华优秀传统文化。</w:t>
            </w:r>
          </w:p>
          <w:p w14:paraId="3C965BD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val="en-US" w:eastAsia="zh-CN"/>
              </w:rPr>
              <w:t>培养学生具有对中华优秀传统文化的热爱敬畏之情；具有强烈的民族精神、人文精神和科学精神；</w:t>
            </w:r>
            <w:r>
              <w:rPr>
                <w:rFonts w:hint="eastAsia" w:ascii="仿宋_GB2312" w:hAnsi="仿宋_GB2312" w:eastAsia="仿宋_GB2312" w:cs="仿宋_GB2312"/>
                <w:b w:val="0"/>
                <w:bCs w:val="0"/>
                <w:color w:val="auto"/>
                <w:sz w:val="24"/>
                <w:szCs w:val="24"/>
                <w:highlight w:val="none"/>
              </w:rPr>
              <w:t>弘扬中华优秀传统文化</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树立中华优秀传统文化是我们每一个中国人的血脉和灵魂的情感；提升人格修养，培养文化情怀，</w:t>
            </w:r>
            <w:r>
              <w:rPr>
                <w:rFonts w:hint="eastAsia" w:ascii="仿宋_GB2312" w:hAnsi="仿宋_GB2312" w:eastAsia="仿宋_GB2312" w:cs="仿宋_GB2312"/>
                <w:b w:val="0"/>
                <w:bCs w:val="0"/>
                <w:color w:val="auto"/>
                <w:sz w:val="24"/>
                <w:szCs w:val="24"/>
                <w:highlight w:val="none"/>
                <w:lang w:val="en-US" w:eastAsia="zh-CN"/>
              </w:rPr>
              <w:t>具有较好的审美情趣和审美能力，</w:t>
            </w:r>
            <w:r>
              <w:rPr>
                <w:rFonts w:hint="eastAsia" w:ascii="仿宋_GB2312" w:hAnsi="仿宋_GB2312" w:eastAsia="仿宋_GB2312" w:cs="仿宋_GB2312"/>
                <w:b w:val="0"/>
                <w:bCs w:val="0"/>
                <w:color w:val="auto"/>
                <w:sz w:val="24"/>
                <w:szCs w:val="24"/>
                <w:highlight w:val="none"/>
              </w:rPr>
              <w:t>具备一定的优秀传统文化素养。</w:t>
            </w:r>
          </w:p>
        </w:tc>
        <w:tc>
          <w:tcPr>
            <w:tcW w:w="3281" w:type="dxa"/>
            <w:vAlign w:val="top"/>
          </w:tcPr>
          <w:p w14:paraId="56DC2F5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涵盖中华优秀传统文化的多个方面，包括传统文学历史、哲学思想、传统技艺、传统建筑、传统演艺、传统书画、传统饮食、传统医药、传统风俗、传统道德等。通过经典文献解读、历史故事讲述、艺术作品赏析等形式，系统介绍传统文化的基本内容与特点。同时，结合现代社会背景，探讨传统文化在当代的价值与应用，如道德伦理、社会治理、生态文明建设等方面的启示。</w:t>
            </w:r>
          </w:p>
          <w:p w14:paraId="7BB9CCA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p>
        </w:tc>
        <w:tc>
          <w:tcPr>
            <w:tcW w:w="2453" w:type="dxa"/>
            <w:vAlign w:val="top"/>
          </w:tcPr>
          <w:p w14:paraId="770EC06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堂上通过案例欣赏，要求学生积极参与课堂讨论，认真完成课后作业与阅读任务，深入理解并掌握课程知识。鼓励学生主动思考传统文化的现代意义，运用所学知识解决实际问题。同时，强调实践与体验的重要性，组织学生参与文化考察、艺术实践等活动，增强对传统文化的直观感受与亲身体验。通过多元化的考核方式，既系统介绍中国传统文化的基本精神和基本知识，又着力引导学生从文化的视野分析、解读当代社会的种种现象，全面评估学生的学习成效与综合素养。培养学生对民族文化的感情和担当大任的历史责任感。</w:t>
            </w:r>
          </w:p>
          <w:p w14:paraId="192A098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14:paraId="22C2FB5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tc>
      </w:tr>
      <w:tr w14:paraId="174D2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29CAA62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22</w:t>
            </w:r>
          </w:p>
        </w:tc>
        <w:tc>
          <w:tcPr>
            <w:tcW w:w="869" w:type="dxa"/>
            <w:vAlign w:val="center"/>
          </w:tcPr>
          <w:p w14:paraId="650975C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rPr>
              <w:t>中华民族共同体概论</w:t>
            </w:r>
          </w:p>
        </w:tc>
        <w:tc>
          <w:tcPr>
            <w:tcW w:w="3663" w:type="dxa"/>
            <w:vAlign w:val="top"/>
          </w:tcPr>
          <w:p w14:paraId="75674B8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全面深入学习贯彻中央民族工作会议精神和习近平总书记关于加强和改进民族工作的重要思想，了解中华民族共同体的历史和现实，认识中华民族共同体的内涵与特征等中华民族共同体的基本常识，从历史中把握中华民族共同体演变的千年历程，树立正确的中华民族历史观。</w:t>
            </w:r>
          </w:p>
          <w:p w14:paraId="28020C8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引导学生牢固树立“休戚与共、荣辱与共、生死与共、命运与共”的共同体理念，牢固树立正确的国家观、历史观、民族观、文化观、宗教观，增强学生对伟大祖国、中华民族、中华文化、中国共产党、中国特色社会主义的认同，为实现中华民族伟大复兴的中国梦不懈奋斗，不断巩固中华民族共同体思想基础。</w:t>
            </w:r>
            <w:r>
              <w:rPr>
                <w:rFonts w:hint="eastAsia" w:ascii="仿宋_GB2312" w:hAnsi="仿宋_GB2312" w:eastAsia="仿宋_GB2312" w:cs="仿宋_GB2312"/>
                <w:color w:val="auto"/>
                <w:sz w:val="24"/>
                <w:szCs w:val="24"/>
                <w:highlight w:val="none"/>
                <w:lang w:val="en-US" w:eastAsia="zh-CN"/>
              </w:rPr>
              <w:t>紧扣铸牢中华民族共同体意识的基本任务，自觉推动中华民族共同体建设。</w:t>
            </w:r>
          </w:p>
          <w:p w14:paraId="6628130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引导学生树立正确的中华民族历史观，不断增强“五个认同”，树立“四个与共”的理念，铸牢中华民族共同体意识，铸就中国心、铸造中华魂；学生能积极参与各民族交往交流交融；学生会思考在铸牢中华民族共同体意识的社会大势中规划人生蓝图，树立为中华民族伟大复兴贡献力量的高远理想，努力为实现中华民族复兴伟业贡献力量。</w:t>
            </w:r>
          </w:p>
          <w:p w14:paraId="21C2BF3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3281" w:type="dxa"/>
            <w:vAlign w:val="top"/>
          </w:tcPr>
          <w:p w14:paraId="3720746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rPr>
              <w:t>课程共设十六讲，系统涵盖多方面内容：从中华民族共同体的基础理论、正确历史观树立入手，按史前至清前中期的历史脉络，梳理了中华民族共同体的起源、演进、初步形成、大交融、繁盛、内聚发展、大统合、稳固壮大及格局底定过程；随后聚焦近现代以来，讲述了1840—1919年国家转型与民族意识觉醒、1919—1949年先锋队引领下的民族新选择、1949—2012年新中国开启的民族新纪元，以及2012年至今新时代的民族共同体建设；最后以“文明新路与人类命运共同体”收束，形成完整的课程内容体系。</w:t>
            </w:r>
          </w:p>
        </w:tc>
        <w:tc>
          <w:tcPr>
            <w:tcW w:w="2453" w:type="dxa"/>
            <w:vAlign w:val="top"/>
          </w:tcPr>
          <w:p w14:paraId="7EB70FD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要求学生积极参与课堂讨论，深入理解中华民族共同体的核心理念与价值追求。鼓励学生主动查阅资料，拓宽知识面，深化对中华民族共同体构建的认识。通过课程考核，全面评估学生的学习成效与中华民族共同体意识的养成情况。</w:t>
            </w:r>
            <w:r>
              <w:rPr>
                <w:rFonts w:hint="eastAsia" w:ascii="仿宋_GB2312" w:hAnsi="仿宋_GB2312" w:eastAsia="仿宋_GB2312" w:cs="仿宋_GB2312"/>
                <w:color w:val="auto"/>
                <w:sz w:val="24"/>
                <w:szCs w:val="24"/>
                <w:highlight w:val="none"/>
              </w:rPr>
              <w:t>达到增强学生学习知识、理论的兴趣和钻研理论的热情、提高学生运用所学知识分析问题和解决问题的能力，</w:t>
            </w:r>
          </w:p>
          <w:p w14:paraId="1070567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rPr>
              <w:t>培养正确开展民族交往交流交融的态度、情感、能力，铸牢中华民族共同体意识。</w:t>
            </w:r>
          </w:p>
        </w:tc>
      </w:tr>
      <w:tr w14:paraId="0758E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655FAFF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p>
          <w:p w14:paraId="052D6DA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p>
          <w:p w14:paraId="00B54EF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p>
          <w:p w14:paraId="19A6EED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p>
          <w:p w14:paraId="0432E52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p>
          <w:p w14:paraId="470F034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p>
          <w:p w14:paraId="584FB63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p>
          <w:p w14:paraId="6FB334F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p>
          <w:p w14:paraId="6AA0E98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23</w:t>
            </w:r>
          </w:p>
        </w:tc>
        <w:tc>
          <w:tcPr>
            <w:tcW w:w="869" w:type="dxa"/>
            <w:vAlign w:val="center"/>
          </w:tcPr>
          <w:p w14:paraId="58100D5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p>
          <w:p w14:paraId="25A180B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p>
          <w:p w14:paraId="3EB0CD8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p>
          <w:p w14:paraId="66735E1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p>
          <w:p w14:paraId="5BA924F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p>
          <w:p w14:paraId="2E6F41E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p>
          <w:p w14:paraId="6B2BD36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p>
          <w:p w14:paraId="4425C93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p>
          <w:p w14:paraId="5D2F239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数学</w:t>
            </w:r>
          </w:p>
        </w:tc>
        <w:tc>
          <w:tcPr>
            <w:tcW w:w="3663" w:type="dxa"/>
            <w:vAlign w:val="top"/>
          </w:tcPr>
          <w:p w14:paraId="6F939C7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掌握函数、极限、导数等基础概念，理解微积分基本理论、数学建模方法，为专业课程奠定必要数学基础。</w:t>
            </w:r>
          </w:p>
          <w:p w14:paraId="3A41362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培养数学运算和逻辑推理能力，提升运用数学工具解决实际问题的水平。增强数据分析和建模能力，适应未来职业发展需求。</w:t>
            </w:r>
          </w:p>
          <w:p w14:paraId="32F6013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培养严谨求实的科学态度，提高抽象思维和创新能力。树立理论联系实际的观念，增强持续学习和自主探究意识。</w:t>
            </w:r>
          </w:p>
          <w:p w14:paraId="759D482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实现知识传授与价值引领的有机融合，培养学生养成求真务实、精益求精的态度，严谨对待学习与工作，通过融入数学史展现古今数学家的爱国情怀与奉献精神，厚植爱国主义情怀，在思维品质培养中以辩证思维解析数学概念，引导学生透过现象看本质，理解量变与质变、对立统一等规律，鼓励学生在数学问题求解中勇于创新，培养批判性思维和探索精神，同时通过团队合作解决数学建模等问题，增强学生的团队协作意识与社会责任感，使学生在掌握数学知识的同时，实现个人全面发展与社会价值统一。</w:t>
            </w:r>
          </w:p>
          <w:p w14:paraId="395E914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3281" w:type="dxa"/>
            <w:vAlign w:val="top"/>
          </w:tcPr>
          <w:p w14:paraId="4F4AC98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lang w:val="en-US" w:eastAsia="zh-CN"/>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函数与极限、导数与微分、积分及应用等基础模块。重点讲解工程实际问题中的数学应用，如最优化问题求解、变化率分析等。融入专业案例，开展数学建模实践，强化数学工具在专业领域的应用能力培养。</w:t>
            </w:r>
          </w:p>
        </w:tc>
        <w:tc>
          <w:tcPr>
            <w:tcW w:w="2453" w:type="dxa"/>
            <w:vAlign w:val="top"/>
          </w:tcPr>
          <w:p w14:paraId="58ABD3E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lang w:val="en-US" w:eastAsia="zh-CN"/>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教师需结合专业需求设计教学内容，采用问题导向和案例教学方法。合理运用信息化手段，强化直观教学效果。学生需按时完成作业，积极参与课堂讨论。教学中要注重理论联系实际，突出数学应用价值，培养学生解决实际问题的能力。</w:t>
            </w:r>
          </w:p>
        </w:tc>
      </w:tr>
      <w:tr w14:paraId="081E6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0EF44D2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24</w:t>
            </w:r>
          </w:p>
        </w:tc>
        <w:tc>
          <w:tcPr>
            <w:tcW w:w="869" w:type="dxa"/>
            <w:vAlign w:val="center"/>
          </w:tcPr>
          <w:p w14:paraId="71F062B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rPr>
              <w:t>语文</w:t>
            </w:r>
          </w:p>
        </w:tc>
        <w:tc>
          <w:tcPr>
            <w:tcW w:w="3663" w:type="dxa"/>
            <w:vAlign w:val="top"/>
          </w:tcPr>
          <w:p w14:paraId="19EA4CE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掌握现代汉语基础知识和常用文体特征，了解文学鉴赏基本方法。学习实用写作规范，提升语言表达准确性，培养基础文学素养。</w:t>
            </w:r>
          </w:p>
          <w:p w14:paraId="306B668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：培养阅读理解与书面表达能力，提升职场应用写作水平。增强口语交际能力，掌握专业文献阅读方法，适应职业发展需求。</w:t>
            </w:r>
          </w:p>
          <w:p w14:paraId="5A0EB88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培育人文精神与审美情趣，提高文化修养。增强逻辑思维与创新意识，树立终身学习理念。</w:t>
            </w:r>
          </w:p>
          <w:p w14:paraId="3766E09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通过经典作品传承中华优秀传统文化，培育文化自信。在语言训练中融入社会主义核心价值观教育。</w:t>
            </w:r>
          </w:p>
          <w:p w14:paraId="5BEF543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3281" w:type="dxa"/>
            <w:vAlign w:val="top"/>
          </w:tcPr>
          <w:p w14:paraId="307BC21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课程包含现代汉语应用、文学鉴赏、实用写作三大模块。重点培养应用文写作、口语交际等实用技能，精选反映时代精神的文学作品。结合专业特色，设计职场情境语言训练，融入专业文献阅读指导，强化职业语文能力培养。</w:t>
            </w:r>
          </w:p>
        </w:tc>
        <w:tc>
          <w:tcPr>
            <w:tcW w:w="2453" w:type="dxa"/>
            <w:vAlign w:val="top"/>
          </w:tcPr>
          <w:p w14:paraId="55FE716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教师需采用任务驱动教学法，设计真实语言应用场景。学生需积极参与课堂活动，完成实践训练任务。教学中要注重学用结合，突出职业导向，强化语言应用能力培养，提升学生人文素养和职业竞争力。</w:t>
            </w:r>
          </w:p>
        </w:tc>
      </w:tr>
      <w:tr w14:paraId="77C08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444C134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25</w:t>
            </w:r>
          </w:p>
        </w:tc>
        <w:tc>
          <w:tcPr>
            <w:tcW w:w="869" w:type="dxa"/>
            <w:vAlign w:val="center"/>
          </w:tcPr>
          <w:p w14:paraId="2300584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shd w:val="clear" w:color="FFFFFF" w:fill="D9D9D9"/>
              </w:rPr>
            </w:pPr>
            <w:r>
              <w:rPr>
                <w:rFonts w:hint="eastAsia" w:ascii="仿宋_GB2312" w:hAnsi="仿宋_GB2312" w:eastAsia="仿宋_GB2312" w:cs="仿宋_GB2312"/>
                <w:color w:val="auto"/>
                <w:sz w:val="24"/>
                <w:szCs w:val="24"/>
                <w:highlight w:val="none"/>
                <w:shd w:val="clear" w:color="auto" w:fill="auto"/>
                <w:lang w:val="en-US" w:eastAsia="zh-CN"/>
              </w:rPr>
              <w:t>物理</w:t>
            </w:r>
          </w:p>
        </w:tc>
        <w:tc>
          <w:tcPr>
            <w:tcW w:w="3663" w:type="dxa"/>
            <w:vAlign w:val="top"/>
          </w:tcPr>
          <w:p w14:paraId="1D2BE0E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shd w:val="clear" w:color="auto" w:fill="auto"/>
                <w:lang w:val="en-US" w:eastAsia="zh-CN"/>
              </w:rPr>
            </w:pPr>
            <w:r>
              <w:rPr>
                <w:rFonts w:hint="eastAsia" w:ascii="仿宋_GB2312" w:hAnsi="仿宋_GB2312" w:eastAsia="仿宋_GB2312" w:cs="仿宋_GB2312"/>
                <w:b/>
                <w:bCs/>
                <w:color w:val="auto"/>
                <w:sz w:val="24"/>
                <w:szCs w:val="24"/>
                <w:highlight w:val="none"/>
                <w:shd w:val="clear" w:color="auto" w:fill="auto"/>
                <w:lang w:val="en-US" w:eastAsia="zh-CN"/>
              </w:rPr>
              <w:t>知识目标：</w:t>
            </w:r>
            <w:r>
              <w:rPr>
                <w:rFonts w:hint="eastAsia" w:ascii="仿宋_GB2312" w:hAnsi="仿宋_GB2312" w:eastAsia="仿宋_GB2312" w:cs="仿宋_GB2312"/>
                <w:color w:val="auto"/>
                <w:sz w:val="24"/>
                <w:szCs w:val="24"/>
                <w:highlight w:val="none"/>
                <w:shd w:val="clear" w:color="auto" w:fill="auto"/>
                <w:lang w:val="en-US" w:eastAsia="zh-CN"/>
              </w:rPr>
              <w:t>掌握力学、热学、电磁学等经典物理核心概念与规律，了解其在高新技术和工程实践中的具体应用，构建必要的物理知识体系。</w:t>
            </w:r>
          </w:p>
          <w:p w14:paraId="537BBBC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shd w:val="clear" w:color="auto" w:fill="auto"/>
                <w:lang w:val="en-US" w:eastAsia="zh-CN"/>
              </w:rPr>
            </w:pPr>
            <w:r>
              <w:rPr>
                <w:rFonts w:hint="eastAsia" w:ascii="仿宋_GB2312" w:hAnsi="仿宋_GB2312" w:eastAsia="仿宋_GB2312" w:cs="仿宋_GB2312"/>
                <w:b/>
                <w:bCs/>
                <w:color w:val="auto"/>
                <w:sz w:val="24"/>
                <w:szCs w:val="24"/>
                <w:highlight w:val="none"/>
                <w:shd w:val="clear" w:color="auto" w:fill="auto"/>
                <w:lang w:val="en-US" w:eastAsia="zh-CN"/>
              </w:rPr>
              <w:t>能力目标：</w:t>
            </w:r>
            <w:r>
              <w:rPr>
                <w:rFonts w:hint="eastAsia" w:ascii="仿宋_GB2312" w:hAnsi="仿宋_GB2312" w:eastAsia="仿宋_GB2312" w:cs="仿宋_GB2312"/>
                <w:color w:val="auto"/>
                <w:sz w:val="24"/>
                <w:szCs w:val="24"/>
                <w:highlight w:val="none"/>
                <w:shd w:val="clear" w:color="auto" w:fill="auto"/>
                <w:lang w:val="en-US" w:eastAsia="zh-CN"/>
              </w:rPr>
              <w:t>能够运用物理原理分析和解决生产生活中的实际问题，具备基本的实验操作、数据处理和科学思维能力，提升技术应用与创新意识。</w:t>
            </w:r>
          </w:p>
          <w:p w14:paraId="6041129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shd w:val="clear" w:color="auto" w:fill="auto"/>
                <w:lang w:val="en-US" w:eastAsia="zh-CN"/>
              </w:rPr>
            </w:pPr>
            <w:r>
              <w:rPr>
                <w:rFonts w:hint="eastAsia" w:ascii="仿宋_GB2312" w:hAnsi="仿宋_GB2312" w:eastAsia="仿宋_GB2312" w:cs="仿宋_GB2312"/>
                <w:b/>
                <w:bCs/>
                <w:color w:val="auto"/>
                <w:sz w:val="24"/>
                <w:szCs w:val="24"/>
                <w:highlight w:val="none"/>
                <w:shd w:val="clear" w:color="auto" w:fill="auto"/>
                <w:lang w:val="en-US" w:eastAsia="zh-CN"/>
              </w:rPr>
              <w:t>素质目标：</w:t>
            </w:r>
            <w:r>
              <w:rPr>
                <w:rFonts w:hint="eastAsia" w:ascii="仿宋_GB2312" w:hAnsi="仿宋_GB2312" w:eastAsia="仿宋_GB2312" w:cs="仿宋_GB2312"/>
                <w:color w:val="auto"/>
                <w:sz w:val="24"/>
                <w:szCs w:val="24"/>
                <w:highlight w:val="none"/>
                <w:shd w:val="clear" w:color="auto" w:fill="auto"/>
                <w:lang w:val="en-US" w:eastAsia="zh-CN"/>
              </w:rPr>
              <w:t>培养严谨求实的科学态度、精益求精的工匠精神和探索未知的好奇心，为未来职业发展和终身学习奠定坚实基础。</w:t>
            </w:r>
          </w:p>
          <w:p w14:paraId="544FB0E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shd w:val="clear" w:color="auto" w:fill="auto"/>
                <w:lang w:val="en-US" w:eastAsia="zh-CN"/>
              </w:rPr>
            </w:pPr>
            <w:r>
              <w:rPr>
                <w:rFonts w:hint="eastAsia" w:ascii="仿宋_GB2312" w:hAnsi="仿宋_GB2312" w:eastAsia="仿宋_GB2312" w:cs="仿宋_GB2312"/>
                <w:b/>
                <w:bCs/>
                <w:color w:val="auto"/>
                <w:sz w:val="24"/>
                <w:szCs w:val="24"/>
                <w:highlight w:val="none"/>
                <w:shd w:val="clear" w:color="auto" w:fill="auto"/>
                <w:lang w:val="en-US" w:eastAsia="zh-CN"/>
              </w:rPr>
              <w:t>课程思政育人目标：</w:t>
            </w:r>
            <w:r>
              <w:rPr>
                <w:rFonts w:hint="eastAsia" w:ascii="仿宋_GB2312" w:hAnsi="仿宋_GB2312" w:eastAsia="仿宋_GB2312" w:cs="仿宋_GB2312"/>
                <w:color w:val="auto"/>
                <w:sz w:val="24"/>
                <w:szCs w:val="24"/>
                <w:highlight w:val="none"/>
                <w:shd w:val="clear" w:color="auto" w:fill="auto"/>
                <w:lang w:val="en-US" w:eastAsia="zh-CN"/>
              </w:rPr>
              <w:t>通过物理学史和科学家故事，弘扬科学精神和爱国情怀，培养职业道德、团队协作意识与社会责任感。</w:t>
            </w:r>
          </w:p>
          <w:p w14:paraId="25CB6A9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shd w:val="clear" w:color="auto" w:fill="auto"/>
                <w:lang w:val="en-US" w:eastAsia="zh-CN"/>
              </w:rPr>
            </w:pPr>
          </w:p>
        </w:tc>
        <w:tc>
          <w:tcPr>
            <w:tcW w:w="3281" w:type="dxa"/>
            <w:vAlign w:val="top"/>
          </w:tcPr>
          <w:p w14:paraId="49E593B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shd w:val="clear" w:color="auto" w:fill="auto"/>
                <w:lang w:val="en-US" w:eastAsia="zh-CN"/>
              </w:rPr>
            </w:pPr>
            <w:r>
              <w:rPr>
                <w:rFonts w:hint="eastAsia" w:ascii="仿宋_GB2312" w:hAnsi="仿宋_GB2312" w:eastAsia="仿宋_GB2312" w:cs="仿宋_GB2312"/>
                <w:color w:val="auto"/>
                <w:sz w:val="24"/>
                <w:szCs w:val="24"/>
                <w:highlight w:val="none"/>
                <w:shd w:val="clear" w:color="auto" w:fill="auto"/>
                <w:lang w:val="en-US" w:eastAsia="zh-CN"/>
              </w:rPr>
              <w:t>课程涵盖经典物理核心内容，包括质点力学、刚体转动、机械振动与波；热力学基础与理想气体状态方程；静电场、恒定磁场与电磁感应现象。教学内容注重与专业结合，通过案例分析介绍物理原理在工程技术（如机械、电气、汽车）中的典型应用，并安排基础物理实验以强化实践认知。</w:t>
            </w:r>
          </w:p>
        </w:tc>
        <w:tc>
          <w:tcPr>
            <w:tcW w:w="2453" w:type="dxa"/>
            <w:vAlign w:val="top"/>
          </w:tcPr>
          <w:p w14:paraId="30B082C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shd w:val="clear" w:color="auto" w:fill="auto"/>
                <w:lang w:val="en-US" w:eastAsia="zh-CN"/>
              </w:rPr>
            </w:pPr>
            <w:r>
              <w:rPr>
                <w:rFonts w:hint="eastAsia" w:ascii="仿宋_GB2312" w:hAnsi="仿宋_GB2312" w:eastAsia="仿宋_GB2312" w:cs="仿宋_GB2312"/>
                <w:color w:val="auto"/>
                <w:sz w:val="24"/>
                <w:szCs w:val="24"/>
                <w:highlight w:val="none"/>
                <w:shd w:val="clear" w:color="auto" w:fill="auto"/>
                <w:lang w:val="en-US" w:eastAsia="zh-CN"/>
              </w:rPr>
              <w:t>理论与实践并重，采用案例教学、项目驱动等方法，紧密联系专业实际和生活中的物理现象，激发学生兴趣。充分利用多媒体等信息化手段辅助教学，强化直观理解。注重培养学生动手操作、观察分析和解决实际问题的能力，鼓励团队协作与创新思维。</w:t>
            </w:r>
          </w:p>
        </w:tc>
      </w:tr>
      <w:tr w14:paraId="66F03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4F9A552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26</w:t>
            </w:r>
          </w:p>
        </w:tc>
        <w:tc>
          <w:tcPr>
            <w:tcW w:w="869" w:type="dxa"/>
            <w:vAlign w:val="center"/>
          </w:tcPr>
          <w:p w14:paraId="48F72B3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shd w:val="clear" w:color="FFFFFF" w:fill="D9D9D9"/>
              </w:rPr>
            </w:pPr>
            <w:r>
              <w:rPr>
                <w:rFonts w:hint="eastAsia" w:ascii="仿宋_GB2312" w:hAnsi="仿宋_GB2312" w:eastAsia="仿宋_GB2312" w:cs="仿宋_GB2312"/>
                <w:color w:val="auto"/>
                <w:sz w:val="24"/>
                <w:szCs w:val="24"/>
                <w:highlight w:val="none"/>
                <w:shd w:val="clear" w:color="auto" w:fill="auto"/>
                <w:lang w:val="en-US" w:eastAsia="zh-CN"/>
              </w:rPr>
              <w:t>化学</w:t>
            </w:r>
          </w:p>
        </w:tc>
        <w:tc>
          <w:tcPr>
            <w:tcW w:w="3663" w:type="dxa"/>
            <w:vAlign w:val="top"/>
          </w:tcPr>
          <w:p w14:paraId="4CBBAB1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shd w:val="clear" w:color="auto" w:fill="auto"/>
                <w:lang w:val="en-US" w:eastAsia="zh-CN"/>
              </w:rPr>
            </w:pPr>
            <w:r>
              <w:rPr>
                <w:rFonts w:hint="eastAsia" w:ascii="仿宋_GB2312" w:hAnsi="仿宋_GB2312" w:eastAsia="仿宋_GB2312" w:cs="仿宋_GB2312"/>
                <w:b/>
                <w:bCs/>
                <w:color w:val="auto"/>
                <w:sz w:val="24"/>
                <w:szCs w:val="24"/>
                <w:highlight w:val="none"/>
                <w:shd w:val="clear" w:color="auto" w:fill="auto"/>
                <w:lang w:val="en-US" w:eastAsia="zh-CN"/>
              </w:rPr>
              <w:t>知识目标：</w:t>
            </w:r>
            <w:r>
              <w:rPr>
                <w:rFonts w:hint="eastAsia" w:ascii="仿宋_GB2312" w:hAnsi="仿宋_GB2312" w:eastAsia="仿宋_GB2312" w:cs="仿宋_GB2312"/>
                <w:color w:val="auto"/>
                <w:sz w:val="24"/>
                <w:szCs w:val="24"/>
                <w:highlight w:val="none"/>
                <w:shd w:val="clear" w:color="auto" w:fill="auto"/>
                <w:lang w:val="en-US" w:eastAsia="zh-CN"/>
              </w:rPr>
              <w:t>掌握物质结构、溶液化学、反应速率、电解质溶液等基本化学原理，熟悉常见元素及其化合物的性质与重要反应律。</w:t>
            </w:r>
          </w:p>
          <w:p w14:paraId="388F131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shd w:val="clear" w:color="auto" w:fill="auto"/>
                <w:lang w:val="en-US" w:eastAsia="zh-CN"/>
              </w:rPr>
            </w:pPr>
            <w:r>
              <w:rPr>
                <w:rFonts w:hint="eastAsia" w:ascii="仿宋_GB2312" w:hAnsi="仿宋_GB2312" w:eastAsia="仿宋_GB2312" w:cs="仿宋_GB2312"/>
                <w:b/>
                <w:bCs/>
                <w:color w:val="auto"/>
                <w:sz w:val="24"/>
                <w:szCs w:val="24"/>
                <w:highlight w:val="none"/>
                <w:shd w:val="clear" w:color="auto" w:fill="auto"/>
                <w:lang w:val="en-US" w:eastAsia="zh-CN"/>
              </w:rPr>
              <w:t>能力目标：</w:t>
            </w:r>
            <w:r>
              <w:rPr>
                <w:rFonts w:hint="eastAsia" w:ascii="仿宋_GB2312" w:hAnsi="仿宋_GB2312" w:eastAsia="仿宋_GB2312" w:cs="仿宋_GB2312"/>
                <w:color w:val="auto"/>
                <w:sz w:val="24"/>
                <w:szCs w:val="24"/>
                <w:highlight w:val="none"/>
                <w:shd w:val="clear" w:color="auto" w:fill="auto"/>
                <w:lang w:val="en-US" w:eastAsia="zh-CN"/>
              </w:rPr>
              <w:t>能够规范进行基础化学实验操作，具备分析处理实验数据、鉴别常见物质及解决化工生产中一般性化学问题的实践能力。</w:t>
            </w:r>
          </w:p>
          <w:p w14:paraId="38B5691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shd w:val="clear" w:color="auto" w:fill="auto"/>
                <w:lang w:val="en-US" w:eastAsia="zh-CN"/>
              </w:rPr>
            </w:pPr>
            <w:r>
              <w:rPr>
                <w:rFonts w:hint="eastAsia" w:ascii="仿宋_GB2312" w:hAnsi="仿宋_GB2312" w:eastAsia="仿宋_GB2312" w:cs="仿宋_GB2312"/>
                <w:b/>
                <w:bCs/>
                <w:color w:val="auto"/>
                <w:sz w:val="24"/>
                <w:szCs w:val="24"/>
                <w:highlight w:val="none"/>
                <w:shd w:val="clear" w:color="auto" w:fill="auto"/>
                <w:lang w:val="en-US" w:eastAsia="zh-CN"/>
              </w:rPr>
              <w:t>素质目标：</w:t>
            </w:r>
            <w:r>
              <w:rPr>
                <w:rFonts w:hint="eastAsia" w:ascii="仿宋_GB2312" w:hAnsi="仿宋_GB2312" w:eastAsia="仿宋_GB2312" w:cs="仿宋_GB2312"/>
                <w:color w:val="auto"/>
                <w:sz w:val="24"/>
                <w:szCs w:val="24"/>
                <w:highlight w:val="none"/>
                <w:shd w:val="clear" w:color="auto" w:fill="auto"/>
                <w:lang w:val="en-US" w:eastAsia="zh-CN"/>
              </w:rPr>
              <w:t>培养严谨细致、实事求是的科学作风，树立环保、安全、节约的意识，为未来从事相关技术工作奠定良好的职业素养基础。</w:t>
            </w:r>
          </w:p>
          <w:p w14:paraId="7DA2F8F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shd w:val="clear" w:color="auto" w:fill="auto"/>
                <w:lang w:val="en-US" w:eastAsia="zh-CN"/>
              </w:rPr>
            </w:pPr>
            <w:r>
              <w:rPr>
                <w:rFonts w:hint="eastAsia" w:ascii="仿宋_GB2312" w:hAnsi="仿宋_GB2312" w:eastAsia="仿宋_GB2312" w:cs="仿宋_GB2312"/>
                <w:b/>
                <w:bCs/>
                <w:color w:val="auto"/>
                <w:sz w:val="24"/>
                <w:szCs w:val="24"/>
                <w:highlight w:val="none"/>
                <w:shd w:val="clear" w:color="auto" w:fill="auto"/>
                <w:lang w:val="en-US" w:eastAsia="zh-CN"/>
              </w:rPr>
              <w:t>课程思政育人目标：</w:t>
            </w:r>
            <w:r>
              <w:rPr>
                <w:rFonts w:hint="eastAsia" w:ascii="仿宋_GB2312" w:hAnsi="仿宋_GB2312" w:eastAsia="仿宋_GB2312" w:cs="仿宋_GB2312"/>
                <w:color w:val="auto"/>
                <w:sz w:val="24"/>
                <w:szCs w:val="24"/>
                <w:highlight w:val="none"/>
                <w:shd w:val="clear" w:color="auto" w:fill="auto"/>
                <w:lang w:val="en-US" w:eastAsia="zh-CN"/>
              </w:rPr>
              <w:t>通过我国古代化工成就与现代科技发展案例，增强民族自豪感，培养绿色化学理念、社会责任感和职业道德。</w:t>
            </w:r>
          </w:p>
          <w:p w14:paraId="74AD275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shd w:val="clear" w:color="auto" w:fill="auto"/>
                <w:lang w:val="en-US" w:eastAsia="zh-CN"/>
              </w:rPr>
            </w:pPr>
          </w:p>
        </w:tc>
        <w:tc>
          <w:tcPr>
            <w:tcW w:w="3281" w:type="dxa"/>
            <w:vAlign w:val="top"/>
          </w:tcPr>
          <w:p w14:paraId="3A92FB5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shd w:val="clear" w:color="auto" w:fill="auto"/>
                <w:lang w:val="en-US" w:eastAsia="zh-CN"/>
              </w:rPr>
            </w:pPr>
            <w:r>
              <w:rPr>
                <w:rFonts w:hint="eastAsia" w:ascii="仿宋_GB2312" w:hAnsi="仿宋_GB2312" w:eastAsia="仿宋_GB2312" w:cs="仿宋_GB2312"/>
                <w:color w:val="auto"/>
                <w:sz w:val="24"/>
                <w:szCs w:val="24"/>
                <w:highlight w:val="none"/>
                <w:shd w:val="clear" w:color="auto" w:fill="auto"/>
                <w:lang w:val="en-US" w:eastAsia="zh-CN"/>
              </w:rPr>
              <w:t>教学内容涵盖物质结构基础；化学反应基本原理（能量、速率与平衡）；重要元素及其化合物（如金属、非金属）的性质与应用；溶液（电离、pH、胶体）与分析化学基础；有机化学入门（常见烃与烃的衍生物）。课程将紧密结合环境监测、材料加工、生物医药、日用化工等专业领域实例展开教学，并配套基础化学实验。</w:t>
            </w:r>
          </w:p>
        </w:tc>
        <w:tc>
          <w:tcPr>
            <w:tcW w:w="2453" w:type="dxa"/>
            <w:vAlign w:val="top"/>
          </w:tcPr>
          <w:p w14:paraId="4A8AEA8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shd w:val="clear" w:color="auto" w:fill="auto"/>
                <w:lang w:val="en-US" w:eastAsia="zh-CN"/>
              </w:rPr>
            </w:pPr>
            <w:r>
              <w:rPr>
                <w:rFonts w:hint="eastAsia" w:ascii="仿宋_GB2312" w:hAnsi="仿宋_GB2312" w:eastAsia="仿宋_GB2312" w:cs="仿宋_GB2312"/>
                <w:color w:val="auto"/>
                <w:sz w:val="24"/>
                <w:szCs w:val="24"/>
                <w:highlight w:val="none"/>
                <w:shd w:val="clear" w:color="auto" w:fill="auto"/>
                <w:lang w:val="en-US" w:eastAsia="zh-CN"/>
              </w:rPr>
              <w:t>坚持“理论够用、重在应用”原则，采用项目化、案例式教学，将知识点融入专业实例和生活情境。充分利用演示实验等手段辅助教学，突出重点，化解难点。高度重视实验安全教育，严格规范学生操作流程，着重培养其观察、动手、分析和解决实际问题的综合能力。</w:t>
            </w:r>
          </w:p>
        </w:tc>
      </w:tr>
    </w:tbl>
    <w:p w14:paraId="5EDE0D5A">
      <w:pPr>
        <w:pStyle w:val="2"/>
        <w:pageBreakBefore w:val="0"/>
        <w:widowControl/>
        <w:kinsoku/>
        <w:wordWrap/>
        <w:topLinePunct w:val="0"/>
        <w:autoSpaceDE/>
        <w:autoSpaceDN/>
        <w:bidi w:val="0"/>
        <w:snapToGrid/>
        <w:spacing w:before="0" w:after="0" w:line="520" w:lineRule="exact"/>
        <w:ind w:firstLine="640" w:firstLineChars="200"/>
        <w:jc w:val="left"/>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（二）专业课程</w:t>
      </w:r>
    </w:p>
    <w:p w14:paraId="781EFB21">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一般包括专业基础课程、专业核心课程和专业拓展课程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并涵盖有关实践性教学环节。</w:t>
      </w:r>
    </w:p>
    <w:p w14:paraId="52640304">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rPr>
      </w:pPr>
      <w:bookmarkStart w:id="10" w:name="_Toc90734975"/>
      <w:r>
        <w:rPr>
          <w:rFonts w:hint="eastAsia" w:ascii="仿宋_GB2312" w:hAnsi="仿宋_GB2312" w:eastAsia="仿宋_GB2312" w:cs="仿宋_GB2312"/>
          <w:color w:val="auto"/>
          <w:sz w:val="32"/>
          <w:szCs w:val="32"/>
        </w:rPr>
        <w:t>1.专业基础课程</w:t>
      </w:r>
      <w:bookmarkEnd w:id="10"/>
    </w:p>
    <w:p w14:paraId="6257AFF8">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专业基础课程</w:t>
      </w:r>
      <w:r>
        <w:rPr>
          <w:rFonts w:hint="eastAsia" w:ascii="仿宋_GB2312" w:hAnsi="仿宋_GB2312" w:eastAsia="仿宋_GB2312" w:cs="仿宋_GB2312"/>
          <w:color w:val="auto"/>
          <w:sz w:val="32"/>
          <w:szCs w:val="32"/>
          <w:lang w:val="en-US" w:eastAsia="zh-CN"/>
        </w:rPr>
        <w:t>是为后续专业课程学习打基础的课程。包括：电工基础、交通运输概论、形体训练、城市轨道交通车辆基础、城市轨道交通服务礼仪、城市轨道交通通信与信号、城市轨道交通客运服务英语、轨道交通安全检查、城市轨道交通员工职业素养、城市轨道交通线路与站场</w:t>
      </w:r>
      <w:r>
        <w:rPr>
          <w:rFonts w:hint="eastAsia" w:ascii="仿宋_GB2312" w:hAnsi="仿宋_GB2312" w:eastAsia="仿宋_GB2312" w:cs="仿宋_GB2312"/>
          <w:color w:val="auto"/>
          <w:sz w:val="32"/>
          <w:szCs w:val="32"/>
        </w:rPr>
        <w:t>等课程。</w:t>
      </w:r>
    </w:p>
    <w:p w14:paraId="7C1B2D71">
      <w:pPr>
        <w:overflowPunct w:val="0"/>
        <w:adjustRightInd w:val="0"/>
        <w:spacing w:line="520" w:lineRule="exact"/>
        <w:jc w:val="center"/>
        <w:rPr>
          <w:rFonts w:hint="default" w:ascii="仿宋_GB2312" w:hAnsi="仿宋_GB2312" w:eastAsia="仿宋_GB2312" w:cs="仿宋_GB2312"/>
          <w:color w:val="auto"/>
          <w:sz w:val="32"/>
          <w:szCs w:val="32"/>
          <w:highlight w:val="green"/>
          <w:lang w:val="en-US" w:eastAsia="zh-CN"/>
        </w:rPr>
      </w:pPr>
      <w:r>
        <w:rPr>
          <w:rFonts w:hint="eastAsia" w:ascii="仿宋_GB2312" w:hAnsi="仿宋_GB2312" w:eastAsia="仿宋_GB2312" w:cs="仿宋_GB2312"/>
          <w:color w:val="auto"/>
          <w:sz w:val="32"/>
          <w:szCs w:val="32"/>
        </w:rPr>
        <w:t>表3</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专业</w:t>
      </w:r>
      <w:r>
        <w:rPr>
          <w:rFonts w:hint="eastAsia" w:ascii="仿宋_GB2312" w:hAnsi="仿宋_GB2312" w:eastAsia="仿宋_GB2312" w:cs="仿宋_GB2312"/>
          <w:color w:val="auto"/>
          <w:sz w:val="32"/>
          <w:szCs w:val="32"/>
          <w:highlight w:val="none"/>
        </w:rPr>
        <w:t>基础课</w:t>
      </w:r>
      <w:r>
        <w:rPr>
          <w:rFonts w:hint="eastAsia" w:ascii="仿宋_GB2312" w:hAnsi="仿宋_GB2312" w:eastAsia="仿宋_GB2312" w:cs="仿宋_GB2312"/>
          <w:color w:val="auto"/>
          <w:sz w:val="32"/>
          <w:szCs w:val="32"/>
          <w:highlight w:val="none"/>
          <w:lang w:val="en-US" w:eastAsia="zh-CN"/>
        </w:rPr>
        <w:t>课</w:t>
      </w:r>
      <w:r>
        <w:rPr>
          <w:rFonts w:hint="eastAsia" w:ascii="仿宋_GB2312" w:hAnsi="仿宋_GB2312" w:eastAsia="仿宋_GB2312" w:cs="仿宋_GB2312"/>
          <w:color w:val="auto"/>
          <w:sz w:val="32"/>
          <w:szCs w:val="32"/>
          <w:highlight w:val="none"/>
        </w:rPr>
        <w:t>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102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5"/>
        <w:gridCol w:w="896"/>
        <w:gridCol w:w="3880"/>
        <w:gridCol w:w="2480"/>
        <w:gridCol w:w="2552"/>
      </w:tblGrid>
      <w:tr w14:paraId="5BCB5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465" w:type="dxa"/>
            <w:vAlign w:val="center"/>
          </w:tcPr>
          <w:p w14:paraId="14DE5A91">
            <w:pPr>
              <w:spacing w:line="320" w:lineRule="exact"/>
              <w:jc w:val="center"/>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rPr>
              <w:t>序号</w:t>
            </w:r>
          </w:p>
        </w:tc>
        <w:tc>
          <w:tcPr>
            <w:tcW w:w="896" w:type="dxa"/>
            <w:vAlign w:val="center"/>
          </w:tcPr>
          <w:p w14:paraId="00AE1336">
            <w:pPr>
              <w:spacing w:line="360" w:lineRule="exact"/>
              <w:jc w:val="center"/>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szCs w:val="24"/>
              </w:rPr>
              <w:t>课程名称</w:t>
            </w:r>
          </w:p>
        </w:tc>
        <w:tc>
          <w:tcPr>
            <w:tcW w:w="3880" w:type="dxa"/>
            <w:vAlign w:val="center"/>
          </w:tcPr>
          <w:p w14:paraId="71335613">
            <w:pPr>
              <w:spacing w:line="360" w:lineRule="exact"/>
              <w:jc w:val="center"/>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szCs w:val="24"/>
                <w:lang w:val="en-US" w:eastAsia="zh-CN"/>
              </w:rPr>
              <w:t>课程</w:t>
            </w:r>
            <w:r>
              <w:rPr>
                <w:rFonts w:hint="eastAsia" w:ascii="仿宋_GB2312" w:hAnsi="仿宋_GB2312" w:eastAsia="仿宋_GB2312" w:cs="仿宋_GB2312"/>
                <w:b w:val="0"/>
                <w:bCs w:val="0"/>
                <w:color w:val="auto"/>
                <w:sz w:val="24"/>
                <w:szCs w:val="24"/>
              </w:rPr>
              <w:t>目标</w:t>
            </w:r>
          </w:p>
        </w:tc>
        <w:tc>
          <w:tcPr>
            <w:tcW w:w="2480" w:type="dxa"/>
            <w:vAlign w:val="center"/>
          </w:tcPr>
          <w:p w14:paraId="688B2F19">
            <w:pPr>
              <w:spacing w:line="360" w:lineRule="exact"/>
              <w:jc w:val="center"/>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szCs w:val="24"/>
                <w:lang w:val="en-US" w:eastAsia="zh-CN"/>
              </w:rPr>
              <w:t>主要</w:t>
            </w:r>
            <w:r>
              <w:rPr>
                <w:rFonts w:hint="eastAsia" w:ascii="仿宋_GB2312" w:hAnsi="仿宋_GB2312" w:eastAsia="仿宋_GB2312" w:cs="仿宋_GB2312"/>
                <w:b w:val="0"/>
                <w:bCs w:val="0"/>
                <w:color w:val="auto"/>
                <w:sz w:val="24"/>
                <w:szCs w:val="24"/>
              </w:rPr>
              <w:t>教学内容</w:t>
            </w:r>
          </w:p>
        </w:tc>
        <w:tc>
          <w:tcPr>
            <w:tcW w:w="2552" w:type="dxa"/>
            <w:vAlign w:val="center"/>
          </w:tcPr>
          <w:p w14:paraId="6A44DFEE">
            <w:pPr>
              <w:spacing w:line="360" w:lineRule="exact"/>
              <w:jc w:val="center"/>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szCs w:val="24"/>
              </w:rPr>
              <w:t>教学要求</w:t>
            </w:r>
          </w:p>
        </w:tc>
      </w:tr>
      <w:tr w14:paraId="301EF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5" w:hRule="atLeast"/>
          <w:jc w:val="center"/>
        </w:trPr>
        <w:tc>
          <w:tcPr>
            <w:tcW w:w="465" w:type="dxa"/>
            <w:vAlign w:val="center"/>
          </w:tcPr>
          <w:p w14:paraId="56DC910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896" w:type="dxa"/>
            <w:vAlign w:val="center"/>
          </w:tcPr>
          <w:p w14:paraId="0F393B00">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电工基础</w:t>
            </w:r>
          </w:p>
        </w:tc>
        <w:tc>
          <w:tcPr>
            <w:tcW w:w="3880" w:type="dxa"/>
            <w:vAlign w:val="top"/>
          </w:tcPr>
          <w:p w14:paraId="5FDEEABF">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知识目标：</w:t>
            </w:r>
            <w:r>
              <w:rPr>
                <w:rFonts w:hint="eastAsia" w:ascii="仿宋_GB2312" w:hAnsi="仿宋_GB2312" w:eastAsia="仿宋_GB2312" w:cs="仿宋_GB2312"/>
                <w:sz w:val="24"/>
                <w:lang w:val="en-US" w:eastAsia="zh-CN"/>
              </w:rPr>
              <w:t>让学生掌握电路结构、电学量计算与相关定律，熟悉电工材料特性、交直流电路差异及仪器仪表原理，构建扎实电学理论基础。</w:t>
            </w:r>
            <w:r>
              <w:rPr>
                <w:rFonts w:hint="eastAsia" w:ascii="仿宋_GB2312" w:hAnsi="仿宋_GB2312" w:eastAsia="仿宋_GB2312" w:cs="仿宋_GB2312"/>
                <w:b/>
                <w:bCs/>
                <w:sz w:val="24"/>
                <w:lang w:val="en-US" w:eastAsia="zh-CN"/>
              </w:rPr>
              <w:t>能力目标：</w:t>
            </w:r>
            <w:r>
              <w:rPr>
                <w:rFonts w:hint="eastAsia" w:ascii="仿宋_GB2312" w:hAnsi="仿宋_GB2312" w:eastAsia="仿宋_GB2312" w:cs="仿宋_GB2312"/>
                <w:sz w:val="24"/>
                <w:lang w:val="en-US" w:eastAsia="zh-CN"/>
              </w:rPr>
              <w:t>聚焦实操，使学生具备规范电工操作、电路检测与故障修复、简单电路设计搭建能力，同时掌握安全操作与应急处理方法。​</w:t>
            </w:r>
          </w:p>
          <w:p w14:paraId="6E16B18D">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素质目标：</w:t>
            </w:r>
            <w:r>
              <w:rPr>
                <w:rFonts w:hint="eastAsia" w:ascii="仿宋_GB2312" w:hAnsi="仿宋_GB2312" w:eastAsia="仿宋_GB2312" w:cs="仿宋_GB2312"/>
                <w:sz w:val="24"/>
                <w:lang w:val="en-US" w:eastAsia="zh-CN"/>
              </w:rPr>
              <w:t>培养学生严谨态度、自主创新与团队协作能力，树立安全第一的责任意识，形成良好电工职业素养。​</w:t>
            </w:r>
          </w:p>
          <w:p w14:paraId="0E6CE4A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通过行业成就与案例，厚植爱国情怀、传承工匠精神，培育法治责任意识与绿色发展理念，实现价值引领。</w:t>
            </w:r>
          </w:p>
        </w:tc>
        <w:tc>
          <w:tcPr>
            <w:tcW w:w="2480" w:type="dxa"/>
            <w:vAlign w:val="top"/>
          </w:tcPr>
          <w:p w14:paraId="1B00799D">
            <w:pPr>
              <w:overflowPunct w:val="0"/>
              <w:adjustRightInd w:val="0"/>
              <w:spacing w:line="360" w:lineRule="exact"/>
              <w:jc w:val="both"/>
              <w:rPr>
                <w:rFonts w:hint="eastAsia" w:ascii="仿宋_GB2312" w:hAnsi="仿宋_GB2312" w:eastAsia="仿宋_GB2312" w:cs="仿宋_GB2312"/>
                <w:color w:val="auto"/>
                <w:sz w:val="24"/>
                <w:highlight w:val="yellow"/>
              </w:rPr>
            </w:pPr>
            <w:r>
              <w:rPr>
                <w:rFonts w:hint="eastAsia" w:ascii="仿宋_GB2312" w:hAnsi="仿宋_GB2312" w:eastAsia="仿宋_GB2312" w:cs="仿宋_GB2312"/>
                <w:sz w:val="24"/>
              </w:rPr>
              <w:t>课程内容涵盖电路基础理论（电压/电流/电阻、电路模型）、直流电路分析（欧姆定律、基尔霍夫定律、等效变换）、交流电路特性（正弦量、RLC电路、谐振）、三相电路连接与功率计算、电磁现象（磁场、电磁感应、变压器）及安全用电技术（接地保护、触电急救、火灾预防），注重理论与实际应用的结合。</w:t>
            </w:r>
          </w:p>
        </w:tc>
        <w:tc>
          <w:tcPr>
            <w:tcW w:w="2552" w:type="dxa"/>
            <w:vAlign w:val="top"/>
          </w:tcPr>
          <w:p w14:paraId="36019449">
            <w:pPr>
              <w:overflowPunct w:val="0"/>
              <w:adjustRightInd w:val="0"/>
              <w:spacing w:line="360" w:lineRule="exact"/>
              <w:jc w:val="both"/>
              <w:rPr>
                <w:rFonts w:hint="eastAsia" w:ascii="仿宋_GB2312" w:hAnsi="仿宋_GB2312" w:eastAsia="仿宋_GB2312" w:cs="仿宋_GB2312"/>
                <w:color w:val="auto"/>
                <w:sz w:val="24"/>
                <w:highlight w:val="yellow"/>
              </w:rPr>
            </w:pPr>
            <w:r>
              <w:rPr>
                <w:rFonts w:hint="eastAsia" w:ascii="仿宋_GB2312" w:hAnsi="仿宋_GB2312" w:eastAsia="仿宋_GB2312" w:cs="仿宋_GB2312"/>
                <w:sz w:val="24"/>
              </w:rPr>
              <w:t>教学需结合理论授课与实验操作，通过案例分析深化理解；学生需完成电路搭建、仪表测量等实验任务，掌握规范操作流程；融入安全规范与工程伦理教育，强化职业素养培养。</w:t>
            </w:r>
          </w:p>
        </w:tc>
      </w:tr>
      <w:tr w14:paraId="599EA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5908A1C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color w:val="auto"/>
                <w:sz w:val="24"/>
                <w:lang w:val="en-US" w:eastAsia="zh-CN"/>
              </w:rPr>
            </w:pPr>
            <w:bookmarkStart w:id="11" w:name="_Hlk194587108"/>
            <w:r>
              <w:rPr>
                <w:rFonts w:hint="eastAsia" w:ascii="仿宋_GB2312" w:hAnsi="仿宋_GB2312" w:eastAsia="仿宋_GB2312" w:cs="仿宋_GB2312"/>
                <w:color w:val="auto"/>
                <w:sz w:val="24"/>
                <w:lang w:val="en-US" w:eastAsia="zh-CN"/>
              </w:rPr>
              <w:t>2</w:t>
            </w:r>
          </w:p>
        </w:tc>
        <w:tc>
          <w:tcPr>
            <w:tcW w:w="896" w:type="dxa"/>
            <w:vAlign w:val="center"/>
          </w:tcPr>
          <w:p w14:paraId="30906E3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rPr>
              <w:t>交通运输概论</w:t>
            </w:r>
          </w:p>
        </w:tc>
        <w:tc>
          <w:tcPr>
            <w:tcW w:w="3880" w:type="dxa"/>
            <w:vAlign w:val="top"/>
          </w:tcPr>
          <w:p w14:paraId="2B650EA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让学生掌握公路、铁路、水运等主流运输方式的特点与运营模式，了解交通运输系统构成及行业发展趋势，构建基础交通知识体系。​</w:t>
            </w:r>
          </w:p>
          <w:p w14:paraId="45C8698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侧重应用，使学生具备分析不同运输场景适配方案、识别交通运营基本问题的能力，掌握交通数据简单解读与应用方法。​</w:t>
            </w:r>
          </w:p>
          <w:p w14:paraId="4A9BDA4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培养学生系统思维与全局意识，树立交通服务民生的理念，提升关注交通领域创新与安全的职业素养。​</w:t>
            </w:r>
          </w:p>
          <w:p w14:paraId="6D2BC46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通过我国交通建设成就与行业榜样事迹，厚植家国情怀，培育交通人责任担当与绿色交通发展理念。</w:t>
            </w:r>
          </w:p>
          <w:p w14:paraId="5F533DE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p>
        </w:tc>
        <w:tc>
          <w:tcPr>
            <w:tcW w:w="2480" w:type="dxa"/>
            <w:vAlign w:val="top"/>
          </w:tcPr>
          <w:p w14:paraId="60645ADA">
            <w:pPr>
              <w:overflowPunct w:val="0"/>
              <w:adjustRightInd w:val="0"/>
              <w:spacing w:line="360" w:lineRule="exact"/>
              <w:jc w:val="both"/>
              <w:rPr>
                <w:rFonts w:hint="eastAsia" w:ascii="仿宋_GB2312" w:hAnsi="仿宋_GB2312" w:eastAsia="仿宋_GB2312" w:cs="仿宋_GB2312"/>
                <w:color w:val="auto"/>
                <w:sz w:val="24"/>
                <w:highlight w:val="yellow"/>
              </w:rPr>
            </w:pPr>
            <w:r>
              <w:rPr>
                <w:rFonts w:hint="eastAsia" w:ascii="仿宋_GB2312" w:hAnsi="仿宋_GB2312" w:eastAsia="仿宋_GB2312" w:cs="仿宋_GB2312"/>
                <w:sz w:val="24"/>
              </w:rPr>
              <w:t>绪论、公路运输、铁路运输、航空运输、水路运输、管道运输、城市交通运输系统、货物运输组织、交通运输安全、交通运输发展趋势</w:t>
            </w:r>
            <w:r>
              <w:rPr>
                <w:rFonts w:hint="eastAsia" w:ascii="仿宋_GB2312" w:hAnsi="仿宋_GB2312" w:eastAsia="仿宋_GB2312" w:cs="仿宋_GB2312"/>
                <w:sz w:val="24"/>
                <w:lang w:eastAsia="zh-CN"/>
              </w:rPr>
              <w:t>。</w:t>
            </w:r>
          </w:p>
        </w:tc>
        <w:tc>
          <w:tcPr>
            <w:tcW w:w="2552" w:type="dxa"/>
            <w:vAlign w:val="top"/>
          </w:tcPr>
          <w:p w14:paraId="1FB57FB9">
            <w:pPr>
              <w:overflowPunct w:val="0"/>
              <w:adjustRightInd w:val="0"/>
              <w:spacing w:line="360" w:lineRule="exact"/>
              <w:jc w:val="both"/>
              <w:rPr>
                <w:rFonts w:hint="eastAsia" w:ascii="仿宋_GB2312" w:hAnsi="仿宋_GB2312" w:eastAsia="仿宋_GB2312" w:cs="仿宋_GB2312"/>
                <w:color w:val="auto"/>
                <w:sz w:val="24"/>
                <w:highlight w:val="yellow"/>
              </w:rPr>
            </w:pPr>
            <w:r>
              <w:rPr>
                <w:rFonts w:hint="eastAsia" w:ascii="仿宋_GB2312" w:hAnsi="仿宋_GB2312" w:eastAsia="仿宋_GB2312" w:cs="仿宋_GB2312"/>
                <w:sz w:val="24"/>
              </w:rPr>
              <w:t>结合实际案例讲解基本概念、基本理论和基本方法，使学生通过案例分析或参加实践掌握所学理论知识，培养其独立分析、判断和解决问题的能力。采用多媒体讲授，扩充讲课内容，变换教学形式，发挥学生主动性，争取更好的教学效果。</w:t>
            </w:r>
          </w:p>
        </w:tc>
      </w:tr>
      <w:tr w14:paraId="02589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7AAC892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color w:val="auto"/>
                <w:sz w:val="24"/>
                <w:lang w:val="en-US" w:eastAsia="zh-CN"/>
              </w:rPr>
            </w:pPr>
            <w:bookmarkStart w:id="12" w:name="_Toc90734977"/>
            <w:r>
              <w:rPr>
                <w:rFonts w:hint="eastAsia" w:ascii="仿宋_GB2312" w:hAnsi="仿宋_GB2312" w:eastAsia="仿宋_GB2312" w:cs="仿宋_GB2312"/>
                <w:color w:val="auto"/>
                <w:sz w:val="24"/>
                <w:lang w:val="en-US" w:eastAsia="zh-CN"/>
              </w:rPr>
              <w:t>3</w:t>
            </w:r>
          </w:p>
        </w:tc>
        <w:tc>
          <w:tcPr>
            <w:tcW w:w="896" w:type="dxa"/>
            <w:vAlign w:val="center"/>
          </w:tcPr>
          <w:p w14:paraId="136ECE85">
            <w:pPr>
              <w:overflowPunct w:val="0"/>
              <w:adjustRightInd w:val="0"/>
              <w:spacing w:line="36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形体训练</w:t>
            </w:r>
          </w:p>
        </w:tc>
        <w:tc>
          <w:tcPr>
            <w:tcW w:w="3880" w:type="dxa"/>
            <w:vAlign w:val="top"/>
          </w:tcPr>
          <w:p w14:paraId="7CAFE1C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让学生掌握形体训练的基础原理、常见动作规范（如站姿、坐姿矫正、拉伸技巧），了解不同训练方式对体态塑造的作用，构建基础形体认知体系。</w:t>
            </w: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侧重实操，使学生具备独立完成基础形体训练动作、根据自身体态问题调整训练方案的能力，掌握科学热身与放松的方法。​</w:t>
            </w:r>
          </w:p>
          <w:p w14:paraId="132D730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培养学生的身体协调性与节奏感，树立健康审美与自律意识，提升对自身体态的关注度与改善意愿，形成良好运动习惯。​​</w:t>
            </w:r>
          </w:p>
          <w:p w14:paraId="50102F4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通过形体训练中“坚持精进” 的训练要求与团队协作项目，培育学生坚韧品格与集体荣誉感，传递 “健康体魄服务社会” 的价值理念。​</w:t>
            </w:r>
          </w:p>
        </w:tc>
        <w:tc>
          <w:tcPr>
            <w:tcW w:w="2480" w:type="dxa"/>
            <w:vAlign w:val="top"/>
          </w:tcPr>
          <w:p w14:paraId="4F58DDB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color w:val="auto"/>
                <w:sz w:val="24"/>
                <w:szCs w:val="24"/>
                <w:highlight w:val="none"/>
              </w:rPr>
              <w:t>围绕形体矫正、柔韧开发、力量训练和气质培养展开，主要包括四大模块：一是基础体态训练；二是柔韧性与协调性训练；三是肌肉力量与耐力训练；四是形体表现力训练。课程采用理论与实践结合的方式，融入现代体态矫正技术，并针对空乘专业需求设计差异化训练方案，确保学生获得个性化提升。</w:t>
            </w:r>
          </w:p>
        </w:tc>
        <w:tc>
          <w:tcPr>
            <w:tcW w:w="2552" w:type="dxa"/>
            <w:vAlign w:val="top"/>
          </w:tcPr>
          <w:p w14:paraId="3C24866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学生需按时参与课堂训练，完成每日体态矫正打卡（如靠墙站立），并提交阶段性体态对比报告。考核方式注重过程性评价，平时成绩包括出勤、课堂表现和训练日志，期末考核为综合展示。课程强调持续性练习，鼓励学生将训练融入日常生活，最终形成健康自然的体态习惯，实现形体与气质的全面提升。</w:t>
            </w:r>
          </w:p>
        </w:tc>
      </w:tr>
      <w:tr w14:paraId="34052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486D948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4</w:t>
            </w:r>
          </w:p>
        </w:tc>
        <w:tc>
          <w:tcPr>
            <w:tcW w:w="896" w:type="dxa"/>
            <w:vAlign w:val="center"/>
          </w:tcPr>
          <w:p w14:paraId="5192FFC8">
            <w:pPr>
              <w:overflowPunct w:val="0"/>
              <w:adjustRightInd w:val="0"/>
              <w:spacing w:line="36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城市轨道交通车辆基础</w:t>
            </w:r>
          </w:p>
        </w:tc>
        <w:tc>
          <w:tcPr>
            <w:tcW w:w="3880" w:type="dxa"/>
            <w:vAlign w:val="top"/>
          </w:tcPr>
          <w:p w14:paraId="794C642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让学生掌握城市轨道交通车辆（如地铁、轻轨）的基本构造、核心系统（转向架、制动、牵引系统）功能，了解车辆运行原理与安全规范，构建基础车辆知识框架。​</w:t>
            </w:r>
          </w:p>
          <w:p w14:paraId="2F79CD5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侧重应用，使学生具备识别车辆主要部件、判断简单故障现象的能力，掌握车辆日常检查与基础维护的操作方法，能解读车辆运行基础数据。​</w:t>
            </w:r>
          </w:p>
          <w:p w14:paraId="2B74478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培养学生严谨细致的作业态度与安全责任意识，提升对城市轨道交通车辆领域的专业认同感，形成关注车辆技术创新与运营安全的职业素养。​</w:t>
            </w:r>
          </w:p>
          <w:p w14:paraId="0C7AE65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通过我国城市轨道交通发展成就（如自主化车辆研发）与行业工匠事迹，厚植家国情怀，培育学生坚守岗位、保障民生出行的责任担当。</w:t>
            </w:r>
          </w:p>
        </w:tc>
        <w:tc>
          <w:tcPr>
            <w:tcW w:w="2480" w:type="dxa"/>
            <w:vAlign w:val="top"/>
          </w:tcPr>
          <w:p w14:paraId="7EFDD720">
            <w:pPr>
              <w:overflowPunct w:val="0"/>
              <w:adjustRightInd w:val="0"/>
              <w:spacing w:line="360" w:lineRule="exact"/>
              <w:jc w:val="both"/>
              <w:rPr>
                <w:rFonts w:hint="eastAsia" w:ascii="仿宋_GB2312" w:hAnsi="仿宋_GB2312" w:eastAsia="仿宋_GB2312" w:cs="仿宋_GB2312"/>
                <w:color w:val="auto"/>
                <w:sz w:val="24"/>
                <w:highlight w:val="yellow"/>
              </w:rPr>
            </w:pPr>
            <w:r>
              <w:rPr>
                <w:rFonts w:hint="eastAsia" w:ascii="仿宋_GB2312" w:hAnsi="仿宋_GB2312" w:eastAsia="仿宋_GB2312" w:cs="仿宋_GB2312"/>
                <w:sz w:val="24"/>
              </w:rPr>
              <w:t>课程围绕城市轨道交通车辆（如地铁、轻轨）的总体构造、关键系统（转向架、制动系统、牵引供电、车门控制、空调等）展开，涵盖车辆动力传递原理、电气控制逻辑、运行安全标准及常见故障诊断方法，结合车辆检修流程、应急处理规范及智能化运维技术，强化</w:t>
            </w:r>
            <w:r>
              <w:rPr>
                <w:rFonts w:hint="eastAsia" w:ascii="仿宋_GB2312" w:hAnsi="仿宋_GB2312" w:eastAsia="仿宋_GB2312" w:cs="仿宋_GB2312"/>
                <w:sz w:val="24"/>
                <w:highlight w:val="none"/>
              </w:rPr>
              <w:t>理论与实践的综合</w:t>
            </w:r>
            <w:r>
              <w:rPr>
                <w:rFonts w:hint="eastAsia" w:ascii="仿宋_GB2312" w:hAnsi="仿宋_GB2312" w:eastAsia="仿宋_GB2312" w:cs="仿宋_GB2312"/>
                <w:sz w:val="24"/>
              </w:rPr>
              <w:t>应用。</w:t>
            </w:r>
          </w:p>
        </w:tc>
        <w:tc>
          <w:tcPr>
            <w:tcW w:w="2552" w:type="dxa"/>
            <w:vAlign w:val="top"/>
          </w:tcPr>
          <w:p w14:paraId="196EB06C">
            <w:pPr>
              <w:overflowPunct w:val="0"/>
              <w:adjustRightInd w:val="0"/>
              <w:spacing w:line="360" w:lineRule="exact"/>
              <w:jc w:val="both"/>
              <w:rPr>
                <w:rFonts w:hint="eastAsia" w:ascii="仿宋_GB2312" w:hAnsi="仿宋_GB2312" w:eastAsia="仿宋_GB2312" w:cs="仿宋_GB2312"/>
                <w:color w:val="auto"/>
                <w:sz w:val="24"/>
                <w:highlight w:val="yellow"/>
              </w:rPr>
            </w:pPr>
            <w:r>
              <w:rPr>
                <w:rFonts w:hint="eastAsia" w:ascii="仿宋_GB2312" w:hAnsi="仿宋_GB2312" w:eastAsia="仿宋_GB2312" w:cs="仿宋_GB2312"/>
                <w:sz w:val="24"/>
              </w:rPr>
              <w:t>教学需采用需结合理论授课与实验操作，学生需掌握车辆系统基础知识、仪器检测及故障排查基础知识；注重安全规范意识和工程实践能力的培养。</w:t>
            </w:r>
          </w:p>
        </w:tc>
      </w:tr>
      <w:tr w14:paraId="73527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0B04D2B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5</w:t>
            </w:r>
          </w:p>
        </w:tc>
        <w:tc>
          <w:tcPr>
            <w:tcW w:w="896" w:type="dxa"/>
            <w:vAlign w:val="center"/>
          </w:tcPr>
          <w:p w14:paraId="671519B2">
            <w:pPr>
              <w:overflowPunct w:val="0"/>
              <w:adjustRightInd w:val="0"/>
              <w:spacing w:line="36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城市轨道交通服务礼仪</w:t>
            </w:r>
          </w:p>
        </w:tc>
        <w:tc>
          <w:tcPr>
            <w:tcW w:w="3880" w:type="dxa"/>
            <w:vAlign w:val="top"/>
          </w:tcPr>
          <w:p w14:paraId="26B2AF6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让学生掌握城市轨道交通（如地铁、轻轨）服务场景中的基础礼仪规范（仪容仪表、沟通话术、岗位礼仪），了解不同服务对象（乘客、同事）的礼仪需求，构建服务礼仪知识框架。</w:t>
            </w: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侧重实操，使学生具备在售票、引导、应急等场景中规范运用服务礼仪的能力，掌握与乘客高效沟通、化解服务矛盾的方法，能适配不同场景调整服务礼仪方式。​</w:t>
            </w:r>
          </w:p>
          <w:p w14:paraId="64E37E4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培养学生的服务意识与同理心，树立 “乘客至上” 的职业理念，提升情绪管理与细节把控能力，形成亲和、专业的服务职业素养。​</w:t>
            </w:r>
          </w:p>
          <w:p w14:paraId="40752AD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通过我国轨道交通服务标杆案例（如 “雷锋式” 服务班组）与民生服务理念，厚植敬业精神，培育学生以优质服务保障公众出行、助力城市文明建设的责任担当。</w:t>
            </w:r>
          </w:p>
        </w:tc>
        <w:tc>
          <w:tcPr>
            <w:tcW w:w="2480" w:type="dxa"/>
            <w:vAlign w:val="top"/>
          </w:tcPr>
          <w:p w14:paraId="7BEB9426">
            <w:pPr>
              <w:overflowPunct w:val="0"/>
              <w:adjustRightInd w:val="0"/>
              <w:spacing w:line="360" w:lineRule="exact"/>
              <w:jc w:val="both"/>
              <w:rPr>
                <w:rFonts w:hint="eastAsia" w:ascii="仿宋_GB2312" w:hAnsi="仿宋_GB2312" w:eastAsia="仿宋_GB2312" w:cs="仿宋_GB2312"/>
                <w:color w:val="auto"/>
                <w:sz w:val="24"/>
                <w:highlight w:val="yellow"/>
              </w:rPr>
            </w:pPr>
            <w:r>
              <w:rPr>
                <w:rFonts w:hint="eastAsia" w:ascii="仿宋_GB2312" w:hAnsi="仿宋_GB2312" w:eastAsia="仿宋_GB2312" w:cs="仿宋_GB2312"/>
                <w:sz w:val="24"/>
              </w:rPr>
              <w:t>仪容仪表；仪态；服务用语；沟通技巧、服务注意事项等</w:t>
            </w:r>
            <w:r>
              <w:rPr>
                <w:rFonts w:hint="eastAsia" w:ascii="仿宋_GB2312" w:hAnsi="仿宋_GB2312" w:eastAsia="仿宋_GB2312" w:cs="仿宋_GB2312"/>
                <w:sz w:val="24"/>
                <w:lang w:eastAsia="zh-CN"/>
              </w:rPr>
              <w:t>。</w:t>
            </w:r>
          </w:p>
        </w:tc>
        <w:tc>
          <w:tcPr>
            <w:tcW w:w="2552" w:type="dxa"/>
            <w:vAlign w:val="top"/>
          </w:tcPr>
          <w:p w14:paraId="2919279E">
            <w:pPr>
              <w:overflowPunct w:val="0"/>
              <w:adjustRightInd w:val="0"/>
              <w:spacing w:line="360" w:lineRule="exact"/>
              <w:jc w:val="both"/>
              <w:rPr>
                <w:rFonts w:hint="eastAsia" w:ascii="仿宋_GB2312" w:hAnsi="仿宋_GB2312" w:eastAsia="仿宋_GB2312" w:cs="仿宋_GB2312"/>
                <w:color w:val="auto"/>
                <w:sz w:val="24"/>
                <w:highlight w:val="yellow"/>
              </w:rPr>
            </w:pPr>
            <w:r>
              <w:rPr>
                <w:rFonts w:hint="eastAsia" w:ascii="仿宋_GB2312" w:hAnsi="仿宋_GB2312" w:eastAsia="仿宋_GB2312" w:cs="仿宋_GB2312"/>
                <w:sz w:val="24"/>
              </w:rPr>
              <w:t>通过采用讲授和礼仪示范教学法，使学生掌握服务礼仪基本规范，强化服务意识与态度，提升沟通技巧与应变能力；注重细节，塑造专业形象；培养同理心，营造温馨舒适的乘客体验。</w:t>
            </w:r>
          </w:p>
        </w:tc>
      </w:tr>
      <w:tr w14:paraId="0AA11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483E311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6</w:t>
            </w:r>
          </w:p>
        </w:tc>
        <w:tc>
          <w:tcPr>
            <w:tcW w:w="896" w:type="dxa"/>
            <w:vAlign w:val="center"/>
          </w:tcPr>
          <w:p w14:paraId="059CF0E7">
            <w:pPr>
              <w:overflowPunct w:val="0"/>
              <w:adjustRightInd w:val="0"/>
              <w:spacing w:line="36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城市轨道交通通信与信号</w:t>
            </w:r>
          </w:p>
        </w:tc>
        <w:tc>
          <w:tcPr>
            <w:tcW w:w="3880" w:type="dxa"/>
            <w:vAlign w:val="top"/>
          </w:tcPr>
          <w:p w14:paraId="0BC767B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让学生掌握城市轨道交通通信系统（如无线通信、广播系统）与信号设备（如信号机、道岔）的基本构造和工作原理，了解信号控制流程与安全标准，构建通信信号基础认知体系。​</w:t>
            </w:r>
          </w:p>
          <w:p w14:paraId="5F01E3F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侧重实操应用，使学生具备识别通信与信号关键设备、判断简单故障现象的能力，掌握设备日常检查与基础参数调试方法，能解读信号系统基础运行数据。​</w:t>
            </w:r>
          </w:p>
          <w:p w14:paraId="5E143FD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培养学生严谨细致的技术态度与安全生产意识，提升对城市轨道交通通信信号领域的专业认同感，形成关注技术创新与系统稳定性的职业素养。​</w:t>
            </w:r>
          </w:p>
          <w:p w14:paraId="718CF32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通过我国轨道交通通信信号技术自主化成就（如列控系统研发）与行业技术标兵事迹，厚植家国情怀，培育学生坚守技术岗位、保障轨道交通安全运行的责任担当。</w:t>
            </w:r>
          </w:p>
        </w:tc>
        <w:tc>
          <w:tcPr>
            <w:tcW w:w="2480" w:type="dxa"/>
            <w:vAlign w:val="top"/>
          </w:tcPr>
          <w:p w14:paraId="5BFE20DB">
            <w:pPr>
              <w:overflowPunct w:val="0"/>
              <w:adjustRightInd w:val="0"/>
              <w:spacing w:line="360" w:lineRule="exact"/>
              <w:jc w:val="both"/>
              <w:rPr>
                <w:rFonts w:hint="eastAsia" w:ascii="仿宋_GB2312" w:hAnsi="仿宋_GB2312" w:eastAsia="仿宋_GB2312" w:cs="仿宋_GB2312"/>
                <w:color w:val="auto"/>
                <w:sz w:val="24"/>
                <w:highlight w:val="yellow"/>
              </w:rPr>
            </w:pPr>
            <w:r>
              <w:rPr>
                <w:rFonts w:hint="eastAsia" w:ascii="仿宋_GB2312" w:hAnsi="仿宋_GB2312" w:eastAsia="仿宋_GB2312" w:cs="仿宋_GB2312"/>
                <w:sz w:val="24"/>
              </w:rPr>
              <w:t>传统信号设备的构成、功能及原理；介绍城市轨道交通信号；自动控制系统的基本组成及原理</w:t>
            </w:r>
            <w:r>
              <w:rPr>
                <w:rFonts w:hint="eastAsia" w:ascii="仿宋_GB2312" w:hAnsi="仿宋_GB2312" w:eastAsia="仿宋_GB2312" w:cs="仿宋_GB2312"/>
                <w:sz w:val="24"/>
                <w:lang w:eastAsia="zh-CN"/>
              </w:rPr>
              <w:t>。</w:t>
            </w:r>
          </w:p>
        </w:tc>
        <w:tc>
          <w:tcPr>
            <w:tcW w:w="2552" w:type="dxa"/>
            <w:vAlign w:val="top"/>
          </w:tcPr>
          <w:p w14:paraId="0F109B00">
            <w:pPr>
              <w:overflowPunct w:val="0"/>
              <w:adjustRightInd w:val="0"/>
              <w:spacing w:line="360" w:lineRule="exact"/>
              <w:jc w:val="both"/>
              <w:rPr>
                <w:rFonts w:hint="eastAsia" w:ascii="仿宋_GB2312" w:hAnsi="仿宋_GB2312" w:eastAsia="仿宋_GB2312" w:cs="仿宋_GB2312"/>
                <w:color w:val="auto"/>
                <w:sz w:val="24"/>
                <w:highlight w:val="yellow"/>
              </w:rPr>
            </w:pPr>
            <w:r>
              <w:rPr>
                <w:rFonts w:hint="eastAsia" w:ascii="仿宋_GB2312" w:hAnsi="仿宋_GB2312" w:eastAsia="仿宋_GB2312" w:cs="仿宋_GB2312"/>
                <w:sz w:val="24"/>
              </w:rPr>
              <w:t>本课程主要采用讲授法、小组讨论法、教师指导等多种教学方法，辅助采用多媒体等现代教学方法。充分调动学生学习兴趣，促进学生积极思考与实践，使学生对城市轨道交通通信信号系统知识全面深入</w:t>
            </w:r>
            <w:r>
              <w:rPr>
                <w:rFonts w:hint="eastAsia" w:ascii="仿宋_GB2312" w:hAnsi="仿宋_GB2312" w:eastAsia="仿宋_GB2312" w:cs="仿宋_GB2312"/>
                <w:sz w:val="24"/>
                <w:highlight w:val="none"/>
              </w:rPr>
              <w:t>的</w:t>
            </w:r>
            <w:r>
              <w:rPr>
                <w:rFonts w:hint="eastAsia" w:ascii="仿宋_GB2312" w:hAnsi="仿宋_GB2312" w:eastAsia="仿宋_GB2312" w:cs="仿宋_GB2312"/>
                <w:sz w:val="24"/>
              </w:rPr>
              <w:t>掌握，进而促进学生职业能力的提高。</w:t>
            </w:r>
          </w:p>
        </w:tc>
      </w:tr>
      <w:tr w14:paraId="0161D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085CF72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7</w:t>
            </w:r>
          </w:p>
        </w:tc>
        <w:tc>
          <w:tcPr>
            <w:tcW w:w="896" w:type="dxa"/>
            <w:vAlign w:val="center"/>
          </w:tcPr>
          <w:p w14:paraId="1149DA73">
            <w:pPr>
              <w:overflowPunct w:val="0"/>
              <w:adjustRightInd w:val="0"/>
              <w:spacing w:line="36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城市轨道交通客运服务英语</w:t>
            </w:r>
          </w:p>
        </w:tc>
        <w:tc>
          <w:tcPr>
            <w:tcW w:w="3880" w:type="dxa"/>
            <w:vAlign w:val="top"/>
          </w:tcPr>
          <w:p w14:paraId="6FAB587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让学生掌握城市轨道交通客运服务场景（如购票、引导、应急、问询）的核心英语词汇与常用句型，了解服务英语的礼仪表达规范，构建客运服务英语基础词汇与语法体系。​​</w:t>
            </w:r>
          </w:p>
          <w:p w14:paraId="7501EC3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侧重实用沟通，使学生具备在客运服务场景中用英语进行简单交流（如解答乘客疑问、指引乘车路线、处理基础服务问题）的能力，掌握英语服务沟通中的倾听与回应技巧。​​</w:t>
            </w:r>
          </w:p>
          <w:p w14:paraId="734E3FF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培养学生的跨语言沟通意识与国际化服务视野，提升英语服务中的耐心与同理心，形成准确、得体使用英语开展客运服务的职业素养。​</w:t>
            </w:r>
          </w:p>
          <w:p w14:paraId="52026D2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通过我国城市轨道交通国际化服务案例（如多语言服务站点）与涉外服务榜样事迹，厚植职业自豪感，培育学生以专业英语服务展现中国城市文明、保障中外乘客出行的责任担当。</w:t>
            </w:r>
          </w:p>
        </w:tc>
        <w:tc>
          <w:tcPr>
            <w:tcW w:w="2480" w:type="dxa"/>
            <w:vAlign w:val="top"/>
          </w:tcPr>
          <w:p w14:paraId="01E74D41">
            <w:pPr>
              <w:overflowPunct w:val="0"/>
              <w:adjustRightInd w:val="0"/>
              <w:spacing w:line="360" w:lineRule="exact"/>
              <w:jc w:val="both"/>
              <w:rPr>
                <w:rFonts w:hint="eastAsia" w:ascii="仿宋_GB2312" w:hAnsi="仿宋_GB2312" w:eastAsia="仿宋_GB2312" w:cs="仿宋_GB2312"/>
                <w:color w:val="auto"/>
                <w:sz w:val="24"/>
                <w:highlight w:val="yellow"/>
              </w:rPr>
            </w:pPr>
            <w:r>
              <w:rPr>
                <w:rFonts w:hint="eastAsia" w:ascii="仿宋_GB2312" w:hAnsi="仿宋_GB2312" w:eastAsia="仿宋_GB2312" w:cs="仿宋_GB2312"/>
                <w:sz w:val="24"/>
              </w:rPr>
              <w:t>课程聚焦地铁、轻轨等城市轨道交通客运服务场景，涵盖票务咨询（购票、退票、换乘）、站内导引（方位指示、设施介绍）、列车广播（安全提示、到站播报）、突发事件应对（故障通报、紧急疏散）等场景的英语对话与术语，结合行业规范文本（如服务手册、应急预案）的阅读理解与模拟写作，融入跨文化交际礼仪及行业技术词汇拓展，强化实用性与场景适配性。</w:t>
            </w:r>
          </w:p>
        </w:tc>
        <w:tc>
          <w:tcPr>
            <w:tcW w:w="2552" w:type="dxa"/>
            <w:vAlign w:val="top"/>
          </w:tcPr>
          <w:p w14:paraId="2941008B">
            <w:pPr>
              <w:overflowPunct w:val="0"/>
              <w:adjustRightInd w:val="0"/>
              <w:spacing w:line="360" w:lineRule="exact"/>
              <w:jc w:val="both"/>
              <w:rPr>
                <w:rFonts w:hint="eastAsia" w:ascii="仿宋_GB2312" w:hAnsi="仿宋_GB2312" w:eastAsia="仿宋_GB2312" w:cs="仿宋_GB2312"/>
                <w:color w:val="auto"/>
                <w:sz w:val="24"/>
                <w:highlight w:val="yellow"/>
              </w:rPr>
            </w:pPr>
            <w:r>
              <w:rPr>
                <w:rFonts w:hint="eastAsia" w:ascii="仿宋_GB2312" w:hAnsi="仿宋_GB2312" w:eastAsia="仿宋_GB2312" w:cs="仿宋_GB2312"/>
                <w:sz w:val="24"/>
              </w:rPr>
              <w:t>教学采用情景模拟、角色扮演与多媒体资源结合的方式，通过案例演练与语音训练提升口语应用能力；学生需完成服务对话设计、广播词撰写及情景表演等实践任务，掌握标准化服务流程的英语表达；注重语言流畅度、服务规范性和跨文化沟通能力的综合培养。</w:t>
            </w:r>
          </w:p>
        </w:tc>
      </w:tr>
      <w:tr w14:paraId="3B026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5D77CAA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8</w:t>
            </w:r>
          </w:p>
        </w:tc>
        <w:tc>
          <w:tcPr>
            <w:tcW w:w="896" w:type="dxa"/>
            <w:vAlign w:val="center"/>
          </w:tcPr>
          <w:p w14:paraId="7D28C0BF">
            <w:pPr>
              <w:overflowPunct w:val="0"/>
              <w:adjustRightInd w:val="0"/>
              <w:spacing w:line="36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轨道交通安全检查</w:t>
            </w:r>
          </w:p>
        </w:tc>
        <w:tc>
          <w:tcPr>
            <w:tcW w:w="3880" w:type="dxa"/>
            <w:vAlign w:val="top"/>
          </w:tcPr>
          <w:p w14:paraId="2594B26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让学生掌握轨道交通安全检查的核心标准（如违禁品识别、安检流程规范）、常用设备（安检仪、手持探测器）的工作原理，了解安检法律法规与应急处置原则，构建安检基础认知体系。​</w:t>
            </w:r>
          </w:p>
          <w:p w14:paraId="5925024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侧重实操应用，使学生具备规范操作安检设备、准确识别常见违禁品的能力，掌握安检场景中与乘客沟通解释、应对突发情况的方法，能按标准完成旅客及行李安检流程。​</w:t>
            </w:r>
          </w:p>
          <w:p w14:paraId="450BAA8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培养学生严谨负责的安检态度与敏锐的安全防范意识，提升服务中的耐心与原则性，形成严守规范、高效细致开展安检工作的职业素养。​</w:t>
            </w:r>
          </w:p>
          <w:p w14:paraId="41301FF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通过我国轨道交通安检体系建设成就与 “安全卫士”榜样事迹，厚植职业使命感，培育学生以严格安检守护公众出行安全、维护城市交通秩序的责任担当。</w:t>
            </w:r>
          </w:p>
        </w:tc>
        <w:tc>
          <w:tcPr>
            <w:tcW w:w="2480" w:type="dxa"/>
            <w:vAlign w:val="top"/>
          </w:tcPr>
          <w:p w14:paraId="2A89C89E">
            <w:pPr>
              <w:keepNext w:val="0"/>
              <w:keepLines w:val="0"/>
              <w:pageBreakBefore w:val="0"/>
              <w:widowControl w:val="0"/>
              <w:kinsoku/>
              <w:wordWrap/>
              <w:overflowPunct w:val="0"/>
              <w:topLinePunct w:val="0"/>
              <w:autoSpaceDE/>
              <w:autoSpaceDN/>
              <w:bidi w:val="0"/>
              <w:adjustRightInd w:val="0"/>
              <w:snapToGrid w:val="0"/>
              <w:spacing w:after="0" w:line="36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课程内容包括：</w:t>
            </w:r>
          </w:p>
          <w:p w14:paraId="65AF3FAD">
            <w:pPr>
              <w:keepNext w:val="0"/>
              <w:keepLines w:val="0"/>
              <w:pageBreakBefore w:val="0"/>
              <w:widowControl w:val="0"/>
              <w:kinsoku/>
              <w:wordWrap/>
              <w:overflowPunct w:val="0"/>
              <w:topLinePunct w:val="0"/>
              <w:autoSpaceDE/>
              <w:autoSpaceDN/>
              <w:bidi w:val="0"/>
              <w:adjustRightInd w:val="0"/>
              <w:snapToGrid w:val="0"/>
              <w:spacing w:after="0" w:line="360" w:lineRule="exact"/>
              <w:jc w:val="both"/>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sz w:val="24"/>
                <w:szCs w:val="24"/>
                <w:lang w:val="en-US" w:eastAsia="zh-CN"/>
              </w:rPr>
              <w:t>安检流程（X光机、手持探测仪）、危险品分类与识别、安检法律法规、应急事件（爆炸物、可疑物品）处理流程及安检数据分析。</w:t>
            </w:r>
          </w:p>
        </w:tc>
        <w:tc>
          <w:tcPr>
            <w:tcW w:w="2552" w:type="dxa"/>
            <w:vAlign w:val="top"/>
          </w:tcPr>
          <w:p w14:paraId="15D05C87">
            <w:pPr>
              <w:keepNext w:val="0"/>
              <w:keepLines w:val="0"/>
              <w:pageBreakBefore w:val="0"/>
              <w:widowControl w:val="0"/>
              <w:kinsoku/>
              <w:wordWrap/>
              <w:overflowPunct w:val="0"/>
              <w:topLinePunct w:val="0"/>
              <w:autoSpaceDE/>
              <w:autoSpaceDN/>
              <w:bidi w:val="0"/>
              <w:adjustRightInd w:val="0"/>
              <w:snapToGrid w:val="0"/>
              <w:spacing w:line="360" w:lineRule="exact"/>
              <w:jc w:val="both"/>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sz w:val="24"/>
                <w:szCs w:val="24"/>
                <w:lang w:val="en-US" w:eastAsia="zh-CN"/>
              </w:rPr>
              <w:t>课程通过案例分析、实操训练教学。要求学生掌握轨道交通安全检查安检设备操作和异常情况识别技能，掌握高铁公共场所安全检查的技能达到确保公共场所安全的目的。</w:t>
            </w:r>
          </w:p>
        </w:tc>
      </w:tr>
      <w:tr w14:paraId="105CD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63E083F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9</w:t>
            </w:r>
          </w:p>
        </w:tc>
        <w:tc>
          <w:tcPr>
            <w:tcW w:w="896" w:type="dxa"/>
            <w:vAlign w:val="center"/>
          </w:tcPr>
          <w:p w14:paraId="3C55BA99">
            <w:pPr>
              <w:overflowPunct w:val="0"/>
              <w:adjustRightInd w:val="0"/>
              <w:spacing w:line="36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城市轨道交通员工职业素养</w:t>
            </w:r>
          </w:p>
        </w:tc>
        <w:tc>
          <w:tcPr>
            <w:tcW w:w="3880" w:type="dxa"/>
            <w:vAlign w:val="top"/>
          </w:tcPr>
          <w:p w14:paraId="05D6B11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系统掌握城市轨道交通运营安全、服务规范、设备操作及应急处理等专业知识，形成完整的职业知识体系。</w:t>
            </w:r>
          </w:p>
          <w:p w14:paraId="31399C5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具备熟练的岗位操作技能、良好的沟通协调能力和突发事件的应急处置能力，能够高效、安全地完成各项运营任务。</w:t>
            </w:r>
          </w:p>
          <w:p w14:paraId="15C56D4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树立安全第一、乘客至上的服务理念，养成严谨守纪、爱岗敬业、团结协作的职业品格。</w:t>
            </w:r>
          </w:p>
          <w:p w14:paraId="7B828A8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将社会主义核心价值观融入职业素养教育，培养具有家国情怀、社会责任感和工匠精神的新时代轨道交通</w:t>
            </w:r>
            <w:r>
              <w:rPr>
                <w:rFonts w:hint="eastAsia" w:ascii="仿宋_GB2312" w:hAnsi="仿宋_GB2312" w:eastAsia="仿宋_GB2312" w:cs="仿宋_GB2312"/>
                <w:color w:val="auto"/>
                <w:sz w:val="24"/>
                <w:szCs w:val="24"/>
                <w:highlight w:val="none"/>
                <w:lang w:val="en-US" w:eastAsia="zh-CN"/>
              </w:rPr>
              <w:t>人才</w:t>
            </w:r>
            <w:r>
              <w:rPr>
                <w:rFonts w:hint="eastAsia" w:ascii="仿宋_GB2312" w:hAnsi="仿宋_GB2312" w:eastAsia="仿宋_GB2312" w:cs="仿宋_GB2312"/>
                <w:color w:val="auto"/>
                <w:sz w:val="24"/>
                <w:szCs w:val="24"/>
                <w:lang w:val="en-US" w:eastAsia="zh-CN"/>
              </w:rPr>
              <w:t>。</w:t>
            </w:r>
          </w:p>
        </w:tc>
        <w:tc>
          <w:tcPr>
            <w:tcW w:w="2480" w:type="dxa"/>
            <w:vAlign w:val="top"/>
          </w:tcPr>
          <w:p w14:paraId="729CC7F3">
            <w:pPr>
              <w:overflowPunct w:val="0"/>
              <w:adjustRightInd w:val="0"/>
              <w:spacing w:line="360" w:lineRule="exact"/>
              <w:jc w:val="both"/>
              <w:rPr>
                <w:rFonts w:hint="eastAsia" w:ascii="仿宋_GB2312" w:hAnsi="仿宋_GB2312" w:eastAsia="仿宋_GB2312" w:cs="仿宋_GB2312"/>
                <w:color w:val="auto"/>
                <w:sz w:val="24"/>
                <w:highlight w:val="yellow"/>
              </w:rPr>
            </w:pPr>
            <w:r>
              <w:rPr>
                <w:rFonts w:hint="eastAsia" w:ascii="仿宋_GB2312" w:hAnsi="仿宋_GB2312" w:eastAsia="仿宋_GB2312" w:cs="仿宋_GB2312"/>
                <w:sz w:val="24"/>
              </w:rPr>
              <w:t>课程围绕轨道交通员工职业角色定位，涵盖职业道德与行业法规、服务礼仪与乘客沟通技巧、安全责任与标准化作业流程、突发事件中的心理调适与应急响应、团队协作与跨部门联动机制等内容，结合典型案例分析企业文化建设、职业形象管理及服务纠纷处理策略，融入智能化服务趋势下的职业适应性训练。</w:t>
            </w:r>
          </w:p>
        </w:tc>
        <w:tc>
          <w:tcPr>
            <w:tcW w:w="2552" w:type="dxa"/>
            <w:vAlign w:val="top"/>
          </w:tcPr>
          <w:p w14:paraId="0FD8EC3C">
            <w:pPr>
              <w:overflowPunct w:val="0"/>
              <w:adjustRightInd w:val="0"/>
              <w:spacing w:line="360" w:lineRule="exact"/>
              <w:jc w:val="both"/>
              <w:rPr>
                <w:rFonts w:hint="eastAsia" w:ascii="仿宋_GB2312" w:hAnsi="仿宋_GB2312" w:eastAsia="仿宋_GB2312" w:cs="仿宋_GB2312"/>
                <w:color w:val="auto"/>
                <w:sz w:val="24"/>
                <w:highlight w:val="yellow"/>
              </w:rPr>
            </w:pPr>
            <w:r>
              <w:rPr>
                <w:rFonts w:hint="eastAsia" w:ascii="仿宋_GB2312" w:hAnsi="仿宋_GB2312" w:eastAsia="仿宋_GB2312" w:cs="仿宋_GB2312"/>
                <w:sz w:val="24"/>
              </w:rPr>
              <w:t>教学需采用案例研讨、角色模拟相结合的方式，引导学生参与服务场景还原、矛盾化解模拟及压力情境训练；要求学生掌握职业行为规范，能主动应用服务礼仪与沟通技巧解决实际问题；考核需综合评估职业认知水平、行为规范执行度及模拟实操表现，注重职业认同感与岗位适应力的持续提升。</w:t>
            </w:r>
          </w:p>
        </w:tc>
      </w:tr>
      <w:tr w14:paraId="3EB2E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094BA46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10</w:t>
            </w:r>
          </w:p>
        </w:tc>
        <w:tc>
          <w:tcPr>
            <w:tcW w:w="896" w:type="dxa"/>
            <w:vAlign w:val="center"/>
          </w:tcPr>
          <w:p w14:paraId="25CFFE77">
            <w:pPr>
              <w:overflowPunct w:val="0"/>
              <w:adjustRightInd w:val="0"/>
              <w:spacing w:line="36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城市轨道交通线路与站场</w:t>
            </w:r>
          </w:p>
        </w:tc>
        <w:tc>
          <w:tcPr>
            <w:tcW w:w="3880" w:type="dxa"/>
            <w:vAlign w:val="top"/>
          </w:tcPr>
          <w:p w14:paraId="370635D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系统掌握线网布局、站场设计规范、轨道结构与设备配置等核心知识，为后续专业学习和岗位实践奠定坚实基础。</w:t>
            </w:r>
          </w:p>
          <w:p w14:paraId="44CAD96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具备识读与绘制线路站场图、进行客流组织与设备布置优化的能力，能够独立完成站场运行参数的初步分析与改进方案设计。</w:t>
            </w:r>
          </w:p>
          <w:p w14:paraId="4553C41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树立严谨细致的工程意识，培养安全至上、服务乘客的职业责任感和工匠精神，强化团队合作与持续改进意识。</w:t>
            </w:r>
          </w:p>
          <w:p w14:paraId="62BE0FB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结合国家交通强国战略，引导学生厚植爱国情怀与使命感，将个人成长融入城市发展与人民出行福祉，做有责任、有担当的轨道交通建设者。</w:t>
            </w:r>
          </w:p>
          <w:p w14:paraId="6F8D53B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p>
        </w:tc>
        <w:tc>
          <w:tcPr>
            <w:tcW w:w="2480" w:type="dxa"/>
            <w:vAlign w:val="top"/>
          </w:tcPr>
          <w:p w14:paraId="106C81EB">
            <w:pPr>
              <w:overflowPunct w:val="0"/>
              <w:adjustRightInd w:val="0"/>
              <w:spacing w:line="360" w:lineRule="exact"/>
              <w:jc w:val="both"/>
              <w:rPr>
                <w:rFonts w:hint="eastAsia" w:ascii="仿宋_GB2312" w:hAnsi="仿宋_GB2312" w:eastAsia="仿宋_GB2312" w:cs="仿宋_GB2312"/>
                <w:color w:val="auto"/>
                <w:sz w:val="24"/>
                <w:highlight w:val="yellow"/>
              </w:rPr>
            </w:pPr>
            <w:r>
              <w:rPr>
                <w:rFonts w:hint="eastAsia" w:ascii="仿宋_GB2312" w:hAnsi="仿宋_GB2312" w:eastAsia="仿宋_GB2312" w:cs="仿宋_GB2312"/>
                <w:sz w:val="24"/>
              </w:rPr>
              <w:t>课程涵盖城市轨道交通线路分类与设计要素（如平纵断面设计、限界管理）、轨道结构组成（钢轨、道床、道岔、无缝线路技术）、站场功能分区（车站、车辆段、停车场）及流线组织、信号与供电设施布局、线路施工与养护技术等内容，结合典型工程案例解析线路规划矛盾协调、站场智能化升级及BIM技术应用，强化理论与工程实践的联系。</w:t>
            </w:r>
          </w:p>
        </w:tc>
        <w:tc>
          <w:tcPr>
            <w:tcW w:w="2552" w:type="dxa"/>
            <w:vAlign w:val="top"/>
          </w:tcPr>
          <w:p w14:paraId="0D2287CB">
            <w:pPr>
              <w:overflowPunct w:val="0"/>
              <w:adjustRightInd w:val="0"/>
              <w:spacing w:line="360" w:lineRule="exact"/>
              <w:jc w:val="both"/>
              <w:rPr>
                <w:rFonts w:hint="eastAsia" w:ascii="仿宋_GB2312" w:hAnsi="仿宋_GB2312" w:eastAsia="仿宋_GB2312" w:cs="仿宋_GB2312"/>
                <w:color w:val="auto"/>
                <w:sz w:val="24"/>
                <w:highlight w:val="yellow"/>
              </w:rPr>
            </w:pPr>
            <w:r>
              <w:rPr>
                <w:rFonts w:hint="eastAsia" w:ascii="仿宋_GB2312" w:hAnsi="仿宋_GB2312" w:eastAsia="仿宋_GB2312" w:cs="仿宋_GB2312"/>
                <w:sz w:val="24"/>
              </w:rPr>
              <w:t>教学需融合课堂讲授、案例讲解，通过项目化任务引导学生完成线路或站场布局优化分析；要求学生掌握专业制图软件操作，能结合规范标准评估设计方案合理性；考核需突出对线路站场技术要点的理解深度、工程问题解决能力及安全规范意识的综合评价。</w:t>
            </w:r>
          </w:p>
        </w:tc>
      </w:tr>
      <w:bookmarkEnd w:id="11"/>
    </w:tbl>
    <w:p w14:paraId="0D3E7CEE">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2.专业核心课程</w:t>
      </w:r>
      <w:bookmarkEnd w:id="12"/>
    </w:p>
    <w:p w14:paraId="3994E891">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bookmarkStart w:id="13" w:name="OLE_LINK7"/>
      <w:r>
        <w:rPr>
          <w:rFonts w:hint="eastAsia" w:ascii="仿宋_GB2312" w:hAnsi="仿宋_GB2312" w:eastAsia="仿宋_GB2312" w:cs="仿宋_GB2312"/>
          <w:color w:val="auto"/>
          <w:sz w:val="32"/>
          <w:szCs w:val="32"/>
        </w:rPr>
        <w:t>专业核心课是</w:t>
      </w:r>
      <w:bookmarkEnd w:id="13"/>
      <w:r>
        <w:rPr>
          <w:rFonts w:hint="eastAsia" w:ascii="仿宋_GB2312" w:hAnsi="仿宋_GB2312" w:eastAsia="仿宋_GB2312" w:cs="仿宋_GB2312"/>
          <w:color w:val="auto"/>
          <w:sz w:val="32"/>
          <w:szCs w:val="32"/>
          <w:lang w:val="en-US" w:eastAsia="zh-CN"/>
        </w:rPr>
        <w:t>面向高铁乘务、地铁服务、城市轨道交通服务等岗位，结合其他行业高级管理和服务的就业岗位，建立城市轨道交通运营管理专业核心课程，培养学生售检票、客流组织、行车作业、站内设备操作等方面的能力。包括城市轨道交通机电设备运用、城市轨道交通客运服务、城市轨道交通客运组织、城市轨道交通行车组织、城市轨道交通票务管理、城市轨道交通应急处置</w:t>
      </w:r>
      <w:r>
        <w:rPr>
          <w:rFonts w:hint="eastAsia" w:ascii="仿宋_GB2312" w:hAnsi="仿宋_GB2312" w:eastAsia="仿宋_GB2312" w:cs="仿宋_GB2312"/>
          <w:color w:val="auto"/>
          <w:sz w:val="32"/>
          <w:szCs w:val="32"/>
          <w:highlight w:val="none"/>
          <w:lang w:val="en-US" w:eastAsia="zh-CN"/>
        </w:rPr>
        <w:t>等</w:t>
      </w:r>
      <w:r>
        <w:rPr>
          <w:rFonts w:hint="eastAsia" w:ascii="仿宋_GB2312" w:hAnsi="仿宋_GB2312" w:eastAsia="仿宋_GB2312" w:cs="仿宋_GB2312"/>
          <w:color w:val="auto"/>
          <w:sz w:val="32"/>
          <w:szCs w:val="32"/>
        </w:rPr>
        <w:t>课程。</w:t>
      </w:r>
    </w:p>
    <w:p w14:paraId="6A5D6BB3">
      <w:pPr>
        <w:overflowPunct w:val="0"/>
        <w:adjustRightInd w:val="0"/>
        <w:spacing w:line="520" w:lineRule="exact"/>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表4</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专业核心课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8"/>
        <w:tblW w:w="104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
        <w:gridCol w:w="775"/>
        <w:gridCol w:w="4002"/>
        <w:gridCol w:w="2925"/>
        <w:gridCol w:w="2272"/>
      </w:tblGrid>
      <w:tr w14:paraId="269BE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75" w:type="dxa"/>
            <w:vAlign w:val="center"/>
          </w:tcPr>
          <w:p w14:paraId="7D77BF61">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775" w:type="dxa"/>
            <w:vAlign w:val="center"/>
          </w:tcPr>
          <w:p w14:paraId="01B5B54E">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课程名称</w:t>
            </w:r>
          </w:p>
        </w:tc>
        <w:tc>
          <w:tcPr>
            <w:tcW w:w="4002" w:type="dxa"/>
            <w:vAlign w:val="center"/>
          </w:tcPr>
          <w:p w14:paraId="5E6B443A">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2925" w:type="dxa"/>
            <w:vAlign w:val="center"/>
          </w:tcPr>
          <w:p w14:paraId="74A76042">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2272" w:type="dxa"/>
            <w:vAlign w:val="center"/>
          </w:tcPr>
          <w:p w14:paraId="1C934E34">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教学要求</w:t>
            </w:r>
          </w:p>
        </w:tc>
      </w:tr>
      <w:tr w14:paraId="564E2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013066D9">
            <w:pPr>
              <w:overflowPunct w:val="0"/>
              <w:adjustRightInd w:val="0"/>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775" w:type="dxa"/>
            <w:vAlign w:val="center"/>
          </w:tcPr>
          <w:p w14:paraId="6700F71B">
            <w:pPr>
              <w:overflowPunct w:val="0"/>
              <w:adjustRightInd w:val="0"/>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sz w:val="24"/>
              </w:rPr>
              <w:t>城市轨道交通机电设备运用</w:t>
            </w:r>
          </w:p>
        </w:tc>
        <w:tc>
          <w:tcPr>
            <w:tcW w:w="4002" w:type="dxa"/>
            <w:vAlign w:val="top"/>
          </w:tcPr>
          <w:p w14:paraId="74C8E4B0">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rPr>
            </w:pPr>
            <w:r>
              <w:rPr>
                <w:rFonts w:hint="default" w:ascii="仿宋_GB2312" w:hAnsi="仿宋_GB2312" w:eastAsia="仿宋_GB2312" w:cs="仿宋_GB2312"/>
                <w:b/>
                <w:bCs/>
                <w:sz w:val="24"/>
                <w:lang w:val="en-US" w:eastAsia="zh-CN"/>
              </w:rPr>
              <w:t>知识目标：</w:t>
            </w:r>
            <w:r>
              <w:rPr>
                <w:rFonts w:hint="default" w:ascii="仿宋_GB2312" w:hAnsi="仿宋_GB2312" w:eastAsia="仿宋_GB2312" w:cs="仿宋_GB2312"/>
                <w:sz w:val="24"/>
                <w:lang w:val="en-US" w:eastAsia="zh-CN"/>
              </w:rPr>
              <w:t>全面掌握车辆、供电、信号、通风空调、电扶梯等机电系统的结构原理、运行参数及维保标准，形成跨系统的整体认知。</w:t>
            </w:r>
          </w:p>
          <w:p w14:paraId="2331AB84">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default" w:ascii="仿宋_GB2312" w:hAnsi="仿宋_GB2312" w:eastAsia="仿宋_GB2312" w:cs="仿宋_GB2312"/>
                <w:sz w:val="24"/>
              </w:rPr>
            </w:pPr>
            <w:r>
              <w:rPr>
                <w:rFonts w:hint="default" w:ascii="仿宋_GB2312" w:hAnsi="仿宋_GB2312" w:eastAsia="仿宋_GB2312" w:cs="仿宋_GB2312"/>
                <w:b/>
                <w:bCs/>
                <w:sz w:val="24"/>
                <w:lang w:val="en-US" w:eastAsia="zh-CN"/>
              </w:rPr>
              <w:t>能力目标：</w:t>
            </w:r>
            <w:r>
              <w:rPr>
                <w:rFonts w:hint="default" w:ascii="仿宋_GB2312" w:hAnsi="仿宋_GB2312" w:eastAsia="仿宋_GB2312" w:cs="仿宋_GB2312"/>
                <w:sz w:val="24"/>
                <w:lang w:val="en-US" w:eastAsia="zh-CN"/>
              </w:rPr>
              <w:t>具备独立完成设备启停、故障诊断、应急处置及日常维护的操作与分析能力，能在突发情况下迅速恢复系统安全运行。</w:t>
            </w:r>
          </w:p>
          <w:p w14:paraId="0CD42140">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default" w:ascii="仿宋_GB2312" w:hAnsi="仿宋_GB2312" w:eastAsia="仿宋_GB2312" w:cs="仿宋_GB2312"/>
                <w:sz w:val="24"/>
              </w:rPr>
            </w:pPr>
            <w:r>
              <w:rPr>
                <w:rFonts w:hint="default" w:ascii="仿宋_GB2312" w:hAnsi="仿宋_GB2312" w:eastAsia="仿宋_GB2312" w:cs="仿宋_GB2312"/>
                <w:b/>
                <w:bCs/>
                <w:sz w:val="24"/>
                <w:lang w:val="en-US" w:eastAsia="zh-CN"/>
              </w:rPr>
              <w:t>素质目标：</w:t>
            </w:r>
            <w:r>
              <w:rPr>
                <w:rFonts w:hint="default" w:ascii="仿宋_GB2312" w:hAnsi="仿宋_GB2312" w:eastAsia="仿宋_GB2312" w:cs="仿宋_GB2312"/>
                <w:sz w:val="24"/>
                <w:lang w:val="en-US" w:eastAsia="zh-CN"/>
              </w:rPr>
              <w:t>培养严谨规范、精益求精的工匠精神和安全至上、协同共享的职业态度，树立绿色节能与持续改进的责任意识。</w:t>
            </w:r>
          </w:p>
          <w:p w14:paraId="6746ABBA">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default" w:ascii="仿宋_GB2312" w:hAnsi="仿宋_GB2312" w:eastAsia="仿宋_GB2312" w:cs="仿宋_GB2312"/>
                <w:b/>
                <w:bCs/>
                <w:sz w:val="24"/>
                <w:lang w:val="en-US" w:eastAsia="zh-CN"/>
              </w:rPr>
              <w:t>课程思政育人目标：</w:t>
            </w:r>
            <w:r>
              <w:rPr>
                <w:rFonts w:hint="default" w:ascii="仿宋_GB2312" w:hAnsi="仿宋_GB2312" w:eastAsia="仿宋_GB2312" w:cs="仿宋_GB2312"/>
                <w:sz w:val="24"/>
                <w:lang w:val="en-US" w:eastAsia="zh-CN"/>
              </w:rPr>
              <w:t>以“交通强国、装备先行”为引领，厚植科技报国情怀，引导学生把个人技能提升与国家重大需求对接，</w:t>
            </w:r>
            <w:r>
              <w:rPr>
                <w:rFonts w:hint="eastAsia" w:ascii="仿宋_GB2312" w:hAnsi="仿宋_GB2312" w:eastAsia="仿宋_GB2312" w:cs="仿宋_GB2312"/>
                <w:sz w:val="24"/>
                <w:lang w:val="en-US" w:eastAsia="zh-CN"/>
              </w:rPr>
              <w:t>培养学生成</w:t>
            </w:r>
            <w:r>
              <w:rPr>
                <w:rFonts w:hint="default" w:ascii="仿宋_GB2312" w:hAnsi="仿宋_GB2312" w:eastAsia="仿宋_GB2312" w:cs="仿宋_GB2312"/>
                <w:sz w:val="24"/>
                <w:lang w:val="en-US" w:eastAsia="zh-CN"/>
              </w:rPr>
              <w:t>为具有民族自豪感与使命感的轨道交通</w:t>
            </w:r>
            <w:r>
              <w:rPr>
                <w:rFonts w:hint="default" w:ascii="仿宋_GB2312" w:hAnsi="仿宋_GB2312" w:eastAsia="仿宋_GB2312" w:cs="仿宋_GB2312"/>
                <w:sz w:val="24"/>
                <w:highlight w:val="none"/>
                <w:lang w:val="en-US" w:eastAsia="zh-CN"/>
              </w:rPr>
              <w:t>机电</w:t>
            </w:r>
            <w:r>
              <w:rPr>
                <w:rFonts w:hint="default" w:ascii="仿宋_GB2312" w:hAnsi="仿宋_GB2312" w:eastAsia="仿宋_GB2312" w:cs="仿宋_GB2312"/>
                <w:sz w:val="24"/>
                <w:lang w:val="en-US" w:eastAsia="zh-CN"/>
              </w:rPr>
              <w:t>守护者。</w:t>
            </w:r>
          </w:p>
        </w:tc>
        <w:tc>
          <w:tcPr>
            <w:tcW w:w="2925" w:type="dxa"/>
            <w:vAlign w:val="top"/>
          </w:tcPr>
          <w:p w14:paraId="3E29F917">
            <w:pPr>
              <w:overflowPunct w:val="0"/>
              <w:adjustRightInd w:val="0"/>
              <w:spacing w:line="36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sz w:val="24"/>
              </w:rPr>
              <w:t>机电设备的基础理论（如供电、环控、消防、电扶梯、屏蔽门等系统的组成与原理）、核心设备技术（包括运行控制、联动逻辑及智能化应用）、运维管理（日常巡检、故障诊断与预防性维护）以及安全规范（国家标准、应急处理流程等）</w:t>
            </w:r>
            <w:r>
              <w:rPr>
                <w:rFonts w:hint="eastAsia" w:ascii="仿宋_GB2312" w:hAnsi="仿宋_GB2312" w:eastAsia="仿宋_GB2312" w:cs="仿宋_GB2312"/>
                <w:sz w:val="24"/>
                <w:lang w:eastAsia="zh-CN"/>
              </w:rPr>
              <w:t>。</w:t>
            </w:r>
          </w:p>
        </w:tc>
        <w:tc>
          <w:tcPr>
            <w:tcW w:w="2272" w:type="dxa"/>
            <w:vAlign w:val="top"/>
          </w:tcPr>
          <w:p w14:paraId="2ED078CC">
            <w:pPr>
              <w:overflowPunct w:val="0"/>
              <w:adjustRightInd w:val="0"/>
              <w:spacing w:line="36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sz w:val="24"/>
              </w:rPr>
              <w:t>要求学生掌握供电、环控、电扶梯、屏蔽门、消防及AFC等系统的结构原理与操作规范，具备设备巡检、维护保养及故障应急处理能力，严格遵守安全操作规程，培养团队协作与责任意识，并通过理论考核与实操训练达到行业岗位技能标准。</w:t>
            </w:r>
          </w:p>
        </w:tc>
      </w:tr>
      <w:tr w14:paraId="39FB1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5" w:hRule="atLeast"/>
          <w:jc w:val="center"/>
        </w:trPr>
        <w:tc>
          <w:tcPr>
            <w:tcW w:w="475" w:type="dxa"/>
            <w:vAlign w:val="center"/>
          </w:tcPr>
          <w:p w14:paraId="4F79DBED">
            <w:pPr>
              <w:overflowPunct w:val="0"/>
              <w:adjustRightInd w:val="0"/>
              <w:spacing w:line="360" w:lineRule="exact"/>
              <w:jc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2</w:t>
            </w:r>
          </w:p>
        </w:tc>
        <w:tc>
          <w:tcPr>
            <w:tcW w:w="775" w:type="dxa"/>
            <w:vAlign w:val="center"/>
          </w:tcPr>
          <w:p w14:paraId="2AF30AF8">
            <w:pPr>
              <w:overflowPunct w:val="0"/>
              <w:adjustRightInd w:val="0"/>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sz w:val="24"/>
              </w:rPr>
              <w:t>城市轨道交通客运服务</w:t>
            </w:r>
          </w:p>
        </w:tc>
        <w:tc>
          <w:tcPr>
            <w:tcW w:w="4002" w:type="dxa"/>
            <w:vAlign w:val="top"/>
          </w:tcPr>
          <w:p w14:paraId="192CC508">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default" w:ascii="仿宋_GB2312" w:hAnsi="仿宋_GB2312" w:eastAsia="仿宋_GB2312" w:cs="仿宋_GB2312"/>
                <w:b/>
                <w:bCs/>
                <w:sz w:val="24"/>
                <w:lang w:val="en-US" w:eastAsia="zh-CN"/>
              </w:rPr>
              <w:t>知识目标：</w:t>
            </w:r>
            <w:r>
              <w:rPr>
                <w:rFonts w:hint="default" w:ascii="仿宋_GB2312" w:hAnsi="仿宋_GB2312" w:eastAsia="仿宋_GB2312" w:cs="仿宋_GB2312"/>
                <w:sz w:val="24"/>
                <w:lang w:val="en-US" w:eastAsia="zh-CN"/>
              </w:rPr>
              <w:t>系统掌握客运服务标准、乘客心理、票务流程及应急服务规范，构建以乘客为中心的知识体系。</w:t>
            </w:r>
          </w:p>
          <w:p w14:paraId="2C990E14">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default" w:ascii="仿宋_GB2312" w:hAnsi="仿宋_GB2312" w:eastAsia="仿宋_GB2312" w:cs="仿宋_GB2312"/>
                <w:sz w:val="24"/>
                <w:lang w:val="en-US" w:eastAsia="zh-CN"/>
              </w:rPr>
            </w:pPr>
            <w:r>
              <w:rPr>
                <w:rFonts w:hint="default" w:ascii="仿宋_GB2312" w:hAnsi="仿宋_GB2312" w:eastAsia="仿宋_GB2312" w:cs="仿宋_GB2312"/>
                <w:b/>
                <w:bCs/>
                <w:sz w:val="24"/>
                <w:lang w:val="en-US" w:eastAsia="zh-CN"/>
              </w:rPr>
              <w:t>能力目标：</w:t>
            </w:r>
            <w:r>
              <w:rPr>
                <w:rFonts w:hint="default" w:ascii="仿宋_GB2312" w:hAnsi="仿宋_GB2312" w:eastAsia="仿宋_GB2312" w:cs="仿宋_GB2312"/>
                <w:sz w:val="24"/>
                <w:lang w:val="en-US" w:eastAsia="zh-CN"/>
              </w:rPr>
              <w:t>具备高效服务、双语沟通、客流组织及突发事件处置的综合服务能力，能持续提升乘客出行体验与满意度。</w:t>
            </w:r>
          </w:p>
          <w:p w14:paraId="64E2DBFA">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default" w:ascii="仿宋_GB2312" w:hAnsi="仿宋_GB2312" w:eastAsia="仿宋_GB2312" w:cs="仿宋_GB2312"/>
                <w:sz w:val="24"/>
                <w:lang w:val="en-US" w:eastAsia="zh-CN"/>
              </w:rPr>
            </w:pPr>
            <w:r>
              <w:rPr>
                <w:rFonts w:hint="default" w:ascii="仿宋_GB2312" w:hAnsi="仿宋_GB2312" w:eastAsia="仿宋_GB2312" w:cs="仿宋_GB2312"/>
                <w:b/>
                <w:bCs/>
                <w:sz w:val="24"/>
                <w:lang w:val="en-US" w:eastAsia="zh-CN"/>
              </w:rPr>
              <w:t>素质目标：</w:t>
            </w:r>
            <w:r>
              <w:rPr>
                <w:rFonts w:hint="default" w:ascii="仿宋_GB2312" w:hAnsi="仿宋_GB2312" w:eastAsia="仿宋_GB2312" w:cs="仿宋_GB2312"/>
                <w:sz w:val="24"/>
                <w:lang w:val="en-US" w:eastAsia="zh-CN"/>
              </w:rPr>
              <w:t>树立“乘客至上、微笑服务”的职业理念，养成亲和、耐心、细致的服务品格和团队协作精神。</w:t>
            </w:r>
          </w:p>
          <w:p w14:paraId="0B1B9265">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default" w:ascii="仿宋_GB2312" w:hAnsi="仿宋_GB2312" w:eastAsia="仿宋_GB2312" w:cs="仿宋_GB2312"/>
                <w:b/>
                <w:bCs/>
                <w:sz w:val="24"/>
                <w:lang w:val="en-US" w:eastAsia="zh-CN"/>
              </w:rPr>
              <w:t>课程思政育人目标：</w:t>
            </w:r>
            <w:r>
              <w:rPr>
                <w:rFonts w:hint="default" w:ascii="仿宋_GB2312" w:hAnsi="仿宋_GB2312" w:eastAsia="仿宋_GB2312" w:cs="仿宋_GB2312"/>
                <w:sz w:val="24"/>
                <w:lang w:val="en-US" w:eastAsia="zh-CN"/>
              </w:rPr>
              <w:t>将“人民城市为人民”宗旨贯穿教学，引导学生厚植家国情怀与奉献精神，成为有温度、有担当的城市文明传播者。</w:t>
            </w:r>
          </w:p>
        </w:tc>
        <w:tc>
          <w:tcPr>
            <w:tcW w:w="2925" w:type="dxa"/>
            <w:vAlign w:val="top"/>
          </w:tcPr>
          <w:p w14:paraId="225A0781">
            <w:pPr>
              <w:overflowPunct w:val="0"/>
              <w:adjustRightInd w:val="0"/>
              <w:spacing w:line="36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sz w:val="24"/>
              </w:rPr>
              <w:t>客运服务基础（服务标准、职业礼仪）、票务操作（自动售票机、闸机使用与异常处理）、乘客服务（问询引导、特殊人群服务、投诉处理）、应急管理（大客流组织、突发事件处置）以及智能服务技术（信息化系统应用）等</w:t>
            </w:r>
            <w:r>
              <w:rPr>
                <w:rFonts w:hint="eastAsia" w:ascii="仿宋_GB2312" w:hAnsi="仿宋_GB2312" w:eastAsia="仿宋_GB2312" w:cs="仿宋_GB2312"/>
                <w:sz w:val="24"/>
                <w:lang w:eastAsia="zh-CN"/>
              </w:rPr>
              <w:t>。</w:t>
            </w:r>
          </w:p>
        </w:tc>
        <w:tc>
          <w:tcPr>
            <w:tcW w:w="2272" w:type="dxa"/>
            <w:vAlign w:val="top"/>
          </w:tcPr>
          <w:p w14:paraId="34A015E5">
            <w:pPr>
              <w:overflowPunct w:val="0"/>
              <w:adjustRightInd w:val="0"/>
              <w:spacing w:line="36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sz w:val="24"/>
              </w:rPr>
              <w:t>要求学生掌握客运服务标准、乘客沟通技巧、票务服务流程及应急事件处置规范，具备良好的服务意识与职业素养，能够熟练运用服务设备并处理乘客投诉，同时通过情景模拟与实践训练提升团队协作与突发事件应对能力，以满足城市轨道交通客运岗位的服务质量要求。</w:t>
            </w:r>
          </w:p>
        </w:tc>
      </w:tr>
      <w:tr w14:paraId="62FB9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68F39FD4">
            <w:pPr>
              <w:overflowPunct w:val="0"/>
              <w:adjustRightInd w:val="0"/>
              <w:spacing w:line="360" w:lineRule="exact"/>
              <w:jc w:val="center"/>
              <w:rPr>
                <w:rFonts w:hint="default" w:ascii="仿宋_GB2312" w:hAnsi="仿宋_GB2312" w:eastAsia="仿宋_GB2312" w:cs="仿宋_GB2312"/>
                <w:color w:val="auto"/>
                <w:sz w:val="24"/>
                <w:lang w:val="en-US" w:eastAsia="zh-CN"/>
              </w:rPr>
            </w:pPr>
            <w:bookmarkStart w:id="14" w:name="_Toc90734991"/>
            <w:r>
              <w:rPr>
                <w:rFonts w:hint="eastAsia" w:ascii="仿宋_GB2312" w:hAnsi="仿宋_GB2312" w:eastAsia="仿宋_GB2312" w:cs="仿宋_GB2312"/>
                <w:color w:val="auto"/>
                <w:sz w:val="24"/>
                <w:lang w:val="en-US" w:eastAsia="zh-CN"/>
              </w:rPr>
              <w:t>3</w:t>
            </w:r>
          </w:p>
        </w:tc>
        <w:tc>
          <w:tcPr>
            <w:tcW w:w="775" w:type="dxa"/>
            <w:vAlign w:val="center"/>
          </w:tcPr>
          <w:p w14:paraId="604E19DB">
            <w:pPr>
              <w:overflowPunct w:val="0"/>
              <w:adjustRightInd w:val="0"/>
              <w:spacing w:line="360" w:lineRule="exact"/>
              <w:jc w:val="left"/>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rPr>
              <w:t>城市轨道交通客运组织</w:t>
            </w:r>
          </w:p>
        </w:tc>
        <w:tc>
          <w:tcPr>
            <w:tcW w:w="4002" w:type="dxa"/>
            <w:vAlign w:val="top"/>
          </w:tcPr>
          <w:p w14:paraId="73160374">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default" w:ascii="仿宋_GB2312" w:hAnsi="仿宋_GB2312" w:eastAsia="仿宋_GB2312" w:cs="仿宋_GB2312"/>
                <w:sz w:val="24"/>
                <w:lang w:val="en-US" w:eastAsia="zh-CN"/>
              </w:rPr>
            </w:pPr>
            <w:r>
              <w:rPr>
                <w:rFonts w:hint="default" w:ascii="仿宋_GB2312" w:hAnsi="仿宋_GB2312" w:eastAsia="仿宋_GB2312" w:cs="仿宋_GB2312"/>
                <w:b/>
                <w:bCs/>
                <w:sz w:val="24"/>
                <w:lang w:val="en-US" w:eastAsia="zh-CN"/>
              </w:rPr>
              <w:t>知识目标：</w:t>
            </w:r>
            <w:r>
              <w:rPr>
                <w:rFonts w:hint="default" w:ascii="仿宋_GB2312" w:hAnsi="仿宋_GB2312" w:eastAsia="仿宋_GB2312" w:cs="仿宋_GB2312"/>
                <w:sz w:val="24"/>
                <w:lang w:val="en-US" w:eastAsia="zh-CN"/>
              </w:rPr>
              <w:t>系统掌握客流预测、运行计划编制、车站客流组织及运力调配等核心理论与方法，构建科学高效的客运组织知识体系。</w:t>
            </w:r>
          </w:p>
          <w:p w14:paraId="5CE581BF">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default" w:ascii="仿宋_GB2312" w:hAnsi="仿宋_GB2312" w:eastAsia="仿宋_GB2312" w:cs="仿宋_GB2312"/>
                <w:sz w:val="24"/>
                <w:lang w:val="en-US" w:eastAsia="zh-CN"/>
              </w:rPr>
            </w:pPr>
            <w:r>
              <w:rPr>
                <w:rFonts w:hint="default" w:ascii="仿宋_GB2312" w:hAnsi="仿宋_GB2312" w:eastAsia="仿宋_GB2312" w:cs="仿宋_GB2312"/>
                <w:b/>
                <w:bCs/>
                <w:sz w:val="24"/>
                <w:lang w:val="en-US" w:eastAsia="zh-CN"/>
              </w:rPr>
              <w:t>能力目标：</w:t>
            </w:r>
            <w:r>
              <w:rPr>
                <w:rFonts w:hint="default" w:ascii="仿宋_GB2312" w:hAnsi="仿宋_GB2312" w:eastAsia="仿宋_GB2312" w:cs="仿宋_GB2312"/>
                <w:sz w:val="24"/>
                <w:lang w:val="en-US" w:eastAsia="zh-CN"/>
              </w:rPr>
              <w:t>具备数据采集分析、运行图优化、应急预案制定与现场调度指挥的综合能力，能在高峰期及突发事件中快速组织乘客安全有序出行。</w:t>
            </w:r>
          </w:p>
          <w:p w14:paraId="2732DD5D">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default" w:ascii="仿宋_GB2312" w:hAnsi="仿宋_GB2312" w:eastAsia="仿宋_GB2312" w:cs="仿宋_GB2312"/>
                <w:sz w:val="24"/>
                <w:lang w:val="en-US" w:eastAsia="zh-CN"/>
              </w:rPr>
            </w:pPr>
            <w:r>
              <w:rPr>
                <w:rFonts w:hint="default" w:ascii="仿宋_GB2312" w:hAnsi="仿宋_GB2312" w:eastAsia="仿宋_GB2312" w:cs="仿宋_GB2312"/>
                <w:b/>
                <w:bCs/>
                <w:sz w:val="24"/>
                <w:lang w:val="en-US" w:eastAsia="zh-CN"/>
              </w:rPr>
              <w:t>素质目标：</w:t>
            </w:r>
            <w:r>
              <w:rPr>
                <w:rFonts w:hint="default" w:ascii="仿宋_GB2312" w:hAnsi="仿宋_GB2312" w:eastAsia="仿宋_GB2312" w:cs="仿宋_GB2312"/>
                <w:sz w:val="24"/>
                <w:lang w:val="en-US" w:eastAsia="zh-CN"/>
              </w:rPr>
              <w:t>树立“以人为本、安全第一”的职业理念，养成严谨细致、协同高效、持续改进的工作作风和强烈的社会责任感。</w:t>
            </w:r>
          </w:p>
          <w:p w14:paraId="73E9D641">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default" w:ascii="仿宋_GB2312" w:hAnsi="仿宋_GB2312" w:eastAsia="仿宋_GB2312" w:cs="仿宋_GB2312"/>
                <w:b/>
                <w:bCs/>
                <w:sz w:val="24"/>
                <w:lang w:val="en-US" w:eastAsia="zh-CN"/>
              </w:rPr>
              <w:t>课程思政育人目标：</w:t>
            </w:r>
            <w:r>
              <w:rPr>
                <w:rFonts w:hint="default" w:ascii="仿宋_GB2312" w:hAnsi="仿宋_GB2312" w:eastAsia="仿宋_GB2312" w:cs="仿宋_GB2312"/>
                <w:sz w:val="24"/>
                <w:lang w:val="en-US" w:eastAsia="zh-CN"/>
              </w:rPr>
              <w:t>将“交通强国、服务人民”的时代使命融入教学，引导学生厚植家国情怀与奉献精神，培养具有大局意识和担当精神的新时代轨道交通客运组织者。</w:t>
            </w:r>
          </w:p>
        </w:tc>
        <w:tc>
          <w:tcPr>
            <w:tcW w:w="2925" w:type="dxa"/>
            <w:vAlign w:val="top"/>
          </w:tcPr>
          <w:p w14:paraId="43E33C19">
            <w:pPr>
              <w:overflowPunct w:val="0"/>
              <w:adjustRightInd w:val="0"/>
              <w:spacing w:line="36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sz w:val="24"/>
              </w:rPr>
              <w:t>车站导流设备设施运用；车站日常运作；客流调查与预测；车站客流组织疏导；车站客流组织方案编制与分析；车站服务设施监管；现场乘客服务；乘客投诉与纠纷处理；站容环境保持；站务运作组织；票务组织与管理模拟面试；突发事件的应急处理</w:t>
            </w:r>
            <w:r>
              <w:rPr>
                <w:rFonts w:hint="eastAsia" w:ascii="仿宋_GB2312" w:hAnsi="仿宋_GB2312" w:eastAsia="仿宋_GB2312" w:cs="仿宋_GB2312"/>
                <w:sz w:val="24"/>
                <w:lang w:eastAsia="zh-CN"/>
              </w:rPr>
              <w:t>。</w:t>
            </w:r>
          </w:p>
        </w:tc>
        <w:tc>
          <w:tcPr>
            <w:tcW w:w="2272" w:type="dxa"/>
            <w:vAlign w:val="top"/>
          </w:tcPr>
          <w:p w14:paraId="5E6AB380">
            <w:pPr>
              <w:overflowPunct w:val="0"/>
              <w:adjustRightInd w:val="0"/>
              <w:spacing w:line="36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sz w:val="24"/>
              </w:rPr>
              <w:t>注重理论与实践结合，掌握客流预测、站务管理、应急预案等核心知识。通过案例分析、模拟演练等方法，培养学生组织协调、应急处理及服务意识。强调团队协作与创新能力，以适应轨道交通行业快速发展需求。</w:t>
            </w:r>
          </w:p>
        </w:tc>
      </w:tr>
      <w:tr w14:paraId="24742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02FB5806">
            <w:pPr>
              <w:overflowPunct w:val="0"/>
              <w:adjustRightInd w:val="0"/>
              <w:spacing w:line="360" w:lineRule="exact"/>
              <w:jc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4</w:t>
            </w:r>
          </w:p>
        </w:tc>
        <w:tc>
          <w:tcPr>
            <w:tcW w:w="775" w:type="dxa"/>
            <w:vAlign w:val="center"/>
          </w:tcPr>
          <w:p w14:paraId="0C80506E">
            <w:pPr>
              <w:overflowPunct w:val="0"/>
              <w:adjustRightInd w:val="0"/>
              <w:spacing w:line="360" w:lineRule="exact"/>
              <w:jc w:val="left"/>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rPr>
              <w:t>城市轨道交通行车组织</w:t>
            </w:r>
          </w:p>
        </w:tc>
        <w:tc>
          <w:tcPr>
            <w:tcW w:w="4002" w:type="dxa"/>
            <w:vAlign w:val="top"/>
          </w:tcPr>
          <w:p w14:paraId="45976CE8">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知识目标：</w:t>
            </w:r>
            <w:r>
              <w:rPr>
                <w:rFonts w:hint="eastAsia" w:ascii="仿宋_GB2312" w:hAnsi="仿宋_GB2312" w:eastAsia="仿宋_GB2312" w:cs="仿宋_GB2312"/>
                <w:sz w:val="24"/>
                <w:lang w:val="en-US" w:eastAsia="zh-CN"/>
              </w:rPr>
              <w:t>掌握行车基础设备、运行图编制原理、调度指挥流程、正常/非正常行车组织规则、车辆段及施工管理规范、事故预防分析方法等核心理论知识。</w:t>
            </w:r>
          </w:p>
          <w:p w14:paraId="412BF4F3">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能力目标：</w:t>
            </w:r>
            <w:r>
              <w:rPr>
                <w:rFonts w:hint="eastAsia" w:ascii="仿宋_GB2312" w:hAnsi="仿宋_GB2312" w:eastAsia="仿宋_GB2312" w:cs="仿宋_GB2312"/>
                <w:sz w:val="24"/>
                <w:lang w:val="en-US" w:eastAsia="zh-CN"/>
              </w:rPr>
              <w:t>能够熟练操作信号系统及调度控制中心软硬件，独立编制运行图，执行行车调度与调车作业；具备非正常情况下列车运行组织、行车事故应急处理和系统故障快速响应的实操能力。</w:t>
            </w:r>
          </w:p>
          <w:p w14:paraId="66AECD05">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素质目标：</w:t>
            </w:r>
            <w:r>
              <w:rPr>
                <w:rFonts w:hint="eastAsia" w:ascii="仿宋_GB2312" w:hAnsi="仿宋_GB2312" w:eastAsia="仿宋_GB2312" w:cs="仿宋_GB2312"/>
                <w:sz w:val="24"/>
                <w:lang w:val="en-US" w:eastAsia="zh-CN"/>
              </w:rPr>
              <w:t>培养严谨的安全责任意识、高效的团队协作与沟通能力，形成规范操作习惯和临场应变素质。</w:t>
            </w:r>
          </w:p>
          <w:p w14:paraId="415C34B4">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课程思政育人目标：</w:t>
            </w:r>
            <w:r>
              <w:rPr>
                <w:rFonts w:hint="eastAsia" w:ascii="仿宋_GB2312" w:hAnsi="仿宋_GB2312" w:eastAsia="仿宋_GB2312" w:cs="仿宋_GB2312"/>
                <w:sz w:val="24"/>
                <w:lang w:val="en-US" w:eastAsia="zh-CN"/>
              </w:rPr>
              <w:t>强化“人民至上、安全第一”的职业信念，树立爱岗敬业的担当精神，深化规章意识和协作精神，筑牢守护城市公共交通生命线的责任感与使命感。</w:t>
            </w:r>
          </w:p>
        </w:tc>
        <w:tc>
          <w:tcPr>
            <w:tcW w:w="2925" w:type="dxa"/>
            <w:vAlign w:val="top"/>
          </w:tcPr>
          <w:p w14:paraId="3D3109B5">
            <w:pPr>
              <w:overflowPunct w:val="0"/>
              <w:adjustRightInd w:val="0"/>
              <w:spacing w:line="36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sz w:val="24"/>
              </w:rPr>
              <w:t>城市轨道交通行车基础设备；城市轨道交通运行图；城市轨道交通行车调度与调车工作；城市轨道交通正常情况下的行车组织；城市轨道交通非正常情况下的列车运行组织；车辆段行车组织；城市轨道交通施工作业组织；行车事故预防与分析等。车站行车值班员的工作职责；行车调度控制中心、车辆段的系统操作流程；行车事故处理和</w:t>
            </w:r>
            <w:r>
              <w:rPr>
                <w:rFonts w:hint="eastAsia" w:ascii="仿宋_GB2312" w:hAnsi="仿宋_GB2312" w:eastAsia="仿宋_GB2312" w:cs="仿宋_GB2312"/>
                <w:sz w:val="24"/>
                <w:highlight w:val="none"/>
              </w:rPr>
              <w:t>系统故障下</w:t>
            </w:r>
            <w:r>
              <w:rPr>
                <w:rFonts w:hint="eastAsia" w:ascii="仿宋_GB2312" w:hAnsi="仿宋_GB2312" w:eastAsia="仿宋_GB2312" w:cs="仿宋_GB2312"/>
                <w:sz w:val="24"/>
              </w:rPr>
              <w:t>的应急处理</w:t>
            </w:r>
            <w:r>
              <w:rPr>
                <w:rFonts w:hint="eastAsia" w:ascii="仿宋_GB2312" w:hAnsi="仿宋_GB2312" w:eastAsia="仿宋_GB2312" w:cs="仿宋_GB2312"/>
                <w:sz w:val="24"/>
                <w:lang w:eastAsia="zh-CN"/>
              </w:rPr>
              <w:t>。</w:t>
            </w:r>
          </w:p>
        </w:tc>
        <w:tc>
          <w:tcPr>
            <w:tcW w:w="2272" w:type="dxa"/>
            <w:vAlign w:val="top"/>
          </w:tcPr>
          <w:p w14:paraId="2F9BF799">
            <w:pPr>
              <w:overflowPunct w:val="0"/>
              <w:adjustRightInd w:val="0"/>
              <w:spacing w:line="36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sz w:val="24"/>
              </w:rPr>
              <w:t>注重实践，强化模拟演练，确保学生掌握应急处置能力，掌握行车基本理论，熟悉信号系统操作，理解调度指挥流程，培养安全意识，提升团队协作与沟通能力，为未来岗位需求打下坚实基础。</w:t>
            </w:r>
          </w:p>
        </w:tc>
      </w:tr>
      <w:tr w14:paraId="579DC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004841F1">
            <w:pPr>
              <w:overflowPunct w:val="0"/>
              <w:adjustRightInd w:val="0"/>
              <w:spacing w:line="360" w:lineRule="exact"/>
              <w:jc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5</w:t>
            </w:r>
          </w:p>
        </w:tc>
        <w:tc>
          <w:tcPr>
            <w:tcW w:w="775" w:type="dxa"/>
            <w:vAlign w:val="center"/>
          </w:tcPr>
          <w:p w14:paraId="4FDC8420">
            <w:pPr>
              <w:overflowPunct w:val="0"/>
              <w:adjustRightInd w:val="0"/>
              <w:spacing w:line="360" w:lineRule="exact"/>
              <w:jc w:val="left"/>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rPr>
              <w:t>城市轨道交通票务管理</w:t>
            </w:r>
          </w:p>
        </w:tc>
        <w:tc>
          <w:tcPr>
            <w:tcW w:w="4002" w:type="dxa"/>
            <w:vAlign w:val="top"/>
          </w:tcPr>
          <w:p w14:paraId="7B98FF71">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知识目标：</w:t>
            </w:r>
            <w:r>
              <w:rPr>
                <w:rFonts w:hint="eastAsia" w:ascii="仿宋_GB2312" w:hAnsi="仿宋_GB2312" w:eastAsia="仿宋_GB2312" w:cs="仿宋_GB2312"/>
                <w:sz w:val="24"/>
                <w:lang w:val="en-US" w:eastAsia="zh-CN"/>
              </w:rPr>
              <w:t>掌握自动售检票系统（AFC）构成原理、售票/监票/补票作业规范、票务设备故障类型及乘客事务处理流程等核心知识。</w:t>
            </w:r>
          </w:p>
          <w:p w14:paraId="05AA7962">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能力目标：</w:t>
            </w:r>
            <w:r>
              <w:rPr>
                <w:rFonts w:hint="eastAsia" w:ascii="仿宋_GB2312" w:hAnsi="仿宋_GB2312" w:eastAsia="仿宋_GB2312" w:cs="仿宋_GB2312"/>
                <w:sz w:val="24"/>
                <w:lang w:val="en-US" w:eastAsia="zh-CN"/>
              </w:rPr>
              <w:t>能独立操作票务设备进行售票、检票及人工点钞；具备票务异常（如设备故障、票务争议）快速响应与处置能力，熟练运用案例分析解决实际票务问题。</w:t>
            </w:r>
          </w:p>
          <w:p w14:paraId="4ECADD21">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素质目标：</w:t>
            </w:r>
            <w:r>
              <w:rPr>
                <w:rFonts w:hint="eastAsia" w:ascii="仿宋_GB2312" w:hAnsi="仿宋_GB2312" w:eastAsia="仿宋_GB2312" w:cs="仿宋_GB2312"/>
                <w:sz w:val="24"/>
                <w:lang w:val="en-US" w:eastAsia="zh-CN"/>
              </w:rPr>
              <w:t>培养细致严谨的操作习惯、高效的沟通服务意识及廉洁自律的职业操守，提升应对突发情况的应变能力。</w:t>
            </w:r>
          </w:p>
          <w:p w14:paraId="2B08A843">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课程思政育人目标：</w:t>
            </w:r>
            <w:r>
              <w:rPr>
                <w:rFonts w:hint="eastAsia" w:ascii="仿宋_GB2312" w:hAnsi="仿宋_GB2312" w:eastAsia="仿宋_GB2312" w:cs="仿宋_GB2312"/>
                <w:sz w:val="24"/>
                <w:lang w:val="en-US" w:eastAsia="zh-CN"/>
              </w:rPr>
              <w:t>树立“乘客为本、服务至上”的价值观，强化公平诚信的票务纪律意识，培养守护公共财产的责任感与窗口岗位的敬业精神。</w:t>
            </w:r>
          </w:p>
        </w:tc>
        <w:tc>
          <w:tcPr>
            <w:tcW w:w="2925" w:type="dxa"/>
            <w:vAlign w:val="top"/>
          </w:tcPr>
          <w:p w14:paraId="1D0A1E5A">
            <w:pPr>
              <w:overflowPunct w:val="0"/>
              <w:adjustRightInd w:val="0"/>
              <w:spacing w:line="36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sz w:val="24"/>
              </w:rPr>
              <w:t>自动售检票系统；售票作业；监票作业；补票作业；票务设备异常处理；售票作业；乘客事务处理；人工点钞</w:t>
            </w:r>
            <w:r>
              <w:rPr>
                <w:rFonts w:hint="eastAsia" w:ascii="仿宋_GB2312" w:hAnsi="仿宋_GB2312" w:eastAsia="仿宋_GB2312" w:cs="仿宋_GB2312"/>
                <w:sz w:val="24"/>
                <w:lang w:eastAsia="zh-CN"/>
              </w:rPr>
              <w:t>。</w:t>
            </w:r>
          </w:p>
        </w:tc>
        <w:tc>
          <w:tcPr>
            <w:tcW w:w="2272" w:type="dxa"/>
            <w:vAlign w:val="top"/>
          </w:tcPr>
          <w:p w14:paraId="5A352850">
            <w:pPr>
              <w:overflowPunct w:val="0"/>
              <w:adjustRightInd w:val="0"/>
              <w:spacing w:line="36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sz w:val="24"/>
              </w:rPr>
              <w:t>教学中需注重理论和实践操作相结合的方法，结合实际案例，培养学生分析解决问题的能力，使学生掌握票务系统构成、售票、检票等核心技能，具备处理票务异常的能力。</w:t>
            </w:r>
          </w:p>
        </w:tc>
      </w:tr>
      <w:tr w14:paraId="6813A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2C6842BA">
            <w:pPr>
              <w:overflowPunct w:val="0"/>
              <w:adjustRightInd w:val="0"/>
              <w:spacing w:line="360" w:lineRule="exact"/>
              <w:jc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6</w:t>
            </w:r>
          </w:p>
        </w:tc>
        <w:tc>
          <w:tcPr>
            <w:tcW w:w="775" w:type="dxa"/>
            <w:vAlign w:val="center"/>
          </w:tcPr>
          <w:p w14:paraId="4E4A09A5">
            <w:pPr>
              <w:overflowPunct w:val="0"/>
              <w:adjustRightInd w:val="0"/>
              <w:spacing w:line="360" w:lineRule="exact"/>
              <w:jc w:val="left"/>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rPr>
              <w:t>城市轨道交通应急处置</w:t>
            </w:r>
          </w:p>
        </w:tc>
        <w:tc>
          <w:tcPr>
            <w:tcW w:w="4002" w:type="dxa"/>
            <w:vAlign w:val="top"/>
          </w:tcPr>
          <w:p w14:paraId="01DB0804">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知识目标：</w:t>
            </w:r>
            <w:r>
              <w:rPr>
                <w:rFonts w:hint="eastAsia" w:ascii="仿宋_GB2312" w:hAnsi="仿宋_GB2312" w:eastAsia="仿宋_GB2312" w:cs="仿宋_GB2312"/>
                <w:sz w:val="24"/>
                <w:lang w:val="en-US" w:eastAsia="zh-CN"/>
              </w:rPr>
              <w:t>掌握典型突发事件（脱轨、断电、恐袭等）的应急预案框架、应急指挥体系构建逻辑、应急设备操作规范、事故上报与疏散流程、伤员急救及事后恢复机制，理解智能化应急系统（AI监控、大数据预警）的应用及行业法规。</w:t>
            </w:r>
          </w:p>
          <w:p w14:paraId="5E38AA0D">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能力目标：</w:t>
            </w:r>
            <w:r>
              <w:rPr>
                <w:rFonts w:hint="eastAsia" w:ascii="仿宋_GB2312" w:hAnsi="仿宋_GB2312" w:eastAsia="仿宋_GB2312" w:cs="仿宋_GB2312"/>
                <w:sz w:val="24"/>
                <w:lang w:val="en-US" w:eastAsia="zh-CN"/>
              </w:rPr>
              <w:t>能独立编制基础应急预案，熟练操作消防、广播等应急设备；具备现场指挥决策、多角色协同救援、虚拟仿真推演及跨部门联动处置的实战能力，有效应用智能系统进行预警响应。</w:t>
            </w:r>
          </w:p>
          <w:p w14:paraId="14EBA2AD">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素质目标：</w:t>
            </w:r>
            <w:r>
              <w:rPr>
                <w:rFonts w:hint="eastAsia" w:ascii="仿宋_GB2312" w:hAnsi="仿宋_GB2312" w:eastAsia="仿宋_GB2312" w:cs="仿宋_GB2312"/>
                <w:sz w:val="24"/>
                <w:lang w:val="en-US" w:eastAsia="zh-CN"/>
              </w:rPr>
              <w:t>培养冷静果敢的应急心理素质、安全底线思维与风险预判能力，强化团队协作意识及跨岗位沟通效率。</w:t>
            </w:r>
          </w:p>
          <w:p w14:paraId="7ABD7640">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课程思政育人目标：</w:t>
            </w:r>
            <w:r>
              <w:rPr>
                <w:rFonts w:hint="eastAsia" w:ascii="仿宋_GB2312" w:hAnsi="仿宋_GB2312" w:eastAsia="仿宋_GB2312" w:cs="仿宋_GB2312"/>
                <w:sz w:val="24"/>
                <w:lang w:val="en-US" w:eastAsia="zh-CN"/>
              </w:rPr>
              <w:t>厚植“生命至上、科学救援”的职业信仰，锤炼恪守法规的责任担当，弘扬临危不惧的奉献精神，筑牢守护公共安全的使命意识。</w:t>
            </w:r>
          </w:p>
        </w:tc>
        <w:tc>
          <w:tcPr>
            <w:tcW w:w="2925" w:type="dxa"/>
            <w:vAlign w:val="top"/>
          </w:tcPr>
          <w:p w14:paraId="5705EB16">
            <w:pPr>
              <w:overflowPunct w:val="0"/>
              <w:adjustRightInd w:val="0"/>
              <w:spacing w:line="36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sz w:val="24"/>
              </w:rPr>
              <w:t>课程围绕城市轨道交通典型突发事件（如列车脱轨、供电中断、恐怖袭击等），解析应急预案编制框架、现场指挥体系搭建、应急设备（消防设施、紧急广播、逃生通道）的使用方法，涵盖事故上报流程、乘客疏散策略、伤员急救常识及事后恢复机制，结合虚拟仿真演练与真实案例分析，融入智能化应急管理系统（如AI监控、大数据预警）的应用场景及行业法规要求。</w:t>
            </w:r>
          </w:p>
        </w:tc>
        <w:tc>
          <w:tcPr>
            <w:tcW w:w="2272" w:type="dxa"/>
            <w:vAlign w:val="top"/>
          </w:tcPr>
          <w:p w14:paraId="37EB8509">
            <w:pPr>
              <w:overflowPunct w:val="0"/>
              <w:adjustRightInd w:val="0"/>
              <w:spacing w:line="36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sz w:val="24"/>
              </w:rPr>
              <w:t>教学需采用“理论+模拟+实操”模式，通过沙盘推演、事故救援模拟及实地演练强化实战能力；要求学生能独立制定基础应急预案，熟练操作应急设备并完成多角色协同处置任务；考核侧重预案逻辑性、操作规范性及临场应变能力评估，注重安全底线思维与跨部门联动意识的培养。</w:t>
            </w:r>
          </w:p>
        </w:tc>
      </w:tr>
    </w:tbl>
    <w:p w14:paraId="00CDA7CE">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专业拓展课程</w:t>
      </w:r>
      <w:bookmarkEnd w:id="14"/>
    </w:p>
    <w:p w14:paraId="5651A0BB">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专业拓展课程是</w:t>
      </w:r>
      <w:r>
        <w:rPr>
          <w:rFonts w:hint="eastAsia" w:ascii="仿宋_GB2312" w:hAnsi="仿宋_GB2312" w:eastAsia="仿宋_GB2312" w:cs="仿宋_GB2312"/>
          <w:color w:val="auto"/>
          <w:sz w:val="32"/>
          <w:szCs w:val="32"/>
          <w:lang w:val="en-US" w:eastAsia="zh-CN"/>
        </w:rPr>
        <w:t>按照岗位迁移，根据交通运输行业发展的趋势，依据企业用人需求调研，企业对客运服务等方面日益增加的需求，建立了城市轨道交通运营管理专业拓展课，并将辅修方向课程纳入其中。由城市轨道交通调度指挥、城市轨道交通班组管理、城市轨道交通客运服务手语、城市轨道交通列车驾驶实务、智能综合监控系统、智慧城轨运营管理、卫生防疫与急救技能、工程制图等</w:t>
      </w:r>
      <w:r>
        <w:rPr>
          <w:rFonts w:hint="eastAsia" w:ascii="仿宋_GB2312" w:hAnsi="仿宋_GB2312" w:eastAsia="仿宋_GB2312" w:cs="仿宋_GB2312"/>
          <w:color w:val="auto"/>
          <w:sz w:val="32"/>
          <w:szCs w:val="32"/>
        </w:rPr>
        <w:t>课程构成专业拓展课。</w:t>
      </w:r>
    </w:p>
    <w:p w14:paraId="1F270485">
      <w:pPr>
        <w:overflowPunct w:val="0"/>
        <w:adjustRightInd w:val="0"/>
        <w:spacing w:line="520" w:lineRule="exact"/>
        <w:jc w:val="center"/>
        <w:rPr>
          <w:rFonts w:hint="eastAsia" w:ascii="仿宋_GB2312" w:hAnsi="仿宋_GB2312" w:eastAsia="仿宋_GB2312" w:cs="仿宋_GB2312"/>
          <w:color w:val="auto"/>
          <w:sz w:val="32"/>
          <w:szCs w:val="32"/>
          <w:highlight w:val="gree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 xml:space="preserve">5 </w:t>
      </w:r>
      <w:r>
        <w:rPr>
          <w:rFonts w:hint="eastAsia" w:ascii="仿宋_GB2312" w:hAnsi="仿宋_GB2312" w:eastAsia="仿宋_GB2312" w:cs="仿宋_GB2312"/>
          <w:color w:val="auto"/>
          <w:sz w:val="32"/>
          <w:szCs w:val="32"/>
        </w:rPr>
        <w:t>专业拓展</w:t>
      </w:r>
      <w:r>
        <w:rPr>
          <w:rFonts w:hint="eastAsia" w:ascii="仿宋_GB2312" w:hAnsi="仿宋_GB2312" w:eastAsia="仿宋_GB2312" w:cs="仿宋_GB2312"/>
          <w:color w:val="000000" w:themeColor="text1"/>
          <w:sz w:val="32"/>
          <w:szCs w:val="32"/>
          <w:highlight w:val="none"/>
          <w14:textFill>
            <w14:solidFill>
              <w14:schemeClr w14:val="tx1"/>
            </w14:solidFill>
          </w14:textFill>
        </w:rPr>
        <w:t>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课程目标、主要教学内容与要求</w:t>
      </w:r>
    </w:p>
    <w:tbl>
      <w:tblPr>
        <w:tblStyle w:val="8"/>
        <w:tblpPr w:leftFromText="180" w:rightFromText="180" w:vertAnchor="text" w:tblpXSpec="center" w:tblpY="1"/>
        <w:tblOverlap w:val="never"/>
        <w:tblW w:w="10624" w:type="dxa"/>
        <w:tblInd w:w="-2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1"/>
        <w:gridCol w:w="1105"/>
        <w:gridCol w:w="3482"/>
        <w:gridCol w:w="2450"/>
        <w:gridCol w:w="2946"/>
      </w:tblGrid>
      <w:tr w14:paraId="69490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1" w:type="dxa"/>
            <w:vAlign w:val="center"/>
          </w:tcPr>
          <w:p w14:paraId="2B3E010D">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1105" w:type="dxa"/>
            <w:vAlign w:val="center"/>
          </w:tcPr>
          <w:p w14:paraId="3313CF9E">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课程名称</w:t>
            </w:r>
          </w:p>
        </w:tc>
        <w:tc>
          <w:tcPr>
            <w:tcW w:w="3482" w:type="dxa"/>
            <w:vAlign w:val="center"/>
          </w:tcPr>
          <w:p w14:paraId="45A7A5E4">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2450" w:type="dxa"/>
            <w:vAlign w:val="center"/>
          </w:tcPr>
          <w:p w14:paraId="21E4A618">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2946" w:type="dxa"/>
            <w:vAlign w:val="center"/>
          </w:tcPr>
          <w:p w14:paraId="3E499F5F">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教学要求</w:t>
            </w:r>
          </w:p>
        </w:tc>
      </w:tr>
      <w:tr w14:paraId="5FA21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1" w:type="dxa"/>
            <w:vAlign w:val="center"/>
          </w:tcPr>
          <w:p w14:paraId="6654779D">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w:t>
            </w:r>
          </w:p>
        </w:tc>
        <w:tc>
          <w:tcPr>
            <w:tcW w:w="1105" w:type="dxa"/>
            <w:vAlign w:val="center"/>
          </w:tcPr>
          <w:p w14:paraId="03F65F4F">
            <w:pPr>
              <w:overflowPunct w:val="0"/>
              <w:adjustRightInd w:val="0"/>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sz w:val="24"/>
              </w:rPr>
              <w:t>城市轨道交通调度指挥</w:t>
            </w:r>
          </w:p>
        </w:tc>
        <w:tc>
          <w:tcPr>
            <w:tcW w:w="3482" w:type="dxa"/>
            <w:vAlign w:val="top"/>
          </w:tcPr>
          <w:p w14:paraId="60330150">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知识目标：</w:t>
            </w:r>
            <w:r>
              <w:rPr>
                <w:rFonts w:hint="eastAsia" w:ascii="仿宋_GB2312" w:hAnsi="仿宋_GB2312" w:eastAsia="仿宋_GB2312" w:cs="仿宋_GB2312"/>
                <w:sz w:val="24"/>
                <w:lang w:val="en-US" w:eastAsia="zh-CN"/>
              </w:rPr>
              <w:t>掌握运行图编制原理、调度规章体系、行车调整与冲突疏解技术、应急指挥流程（设备故障/突发事件）、信号系统（ATS及联锁设备）操作规范及调度信息化平台应用逻辑。</w:t>
            </w:r>
          </w:p>
          <w:p w14:paraId="79254D78">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能力目标：</w:t>
            </w:r>
            <w:r>
              <w:rPr>
                <w:rFonts w:hint="eastAsia" w:ascii="仿宋_GB2312" w:hAnsi="仿宋_GB2312" w:eastAsia="仿宋_GB2312" w:cs="仿宋_GB2312"/>
                <w:sz w:val="24"/>
                <w:lang w:val="en-US" w:eastAsia="zh-CN"/>
              </w:rPr>
              <w:t>能独立编制运行图并实时调整列车运行计划，熟练操作ATS等信号系统进行行车监控与调度；具备突发事件快速响应、多工种协同指挥及信息化平台综合应用能力，通过仿真演练提升决策效能。</w:t>
            </w:r>
          </w:p>
          <w:p w14:paraId="76A016D9">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素质目标：</w:t>
            </w:r>
            <w:r>
              <w:rPr>
                <w:rFonts w:hint="eastAsia" w:ascii="仿宋_GB2312" w:hAnsi="仿宋_GB2312" w:eastAsia="仿宋_GB2312" w:cs="仿宋_GB2312"/>
                <w:sz w:val="24"/>
                <w:lang w:val="en-US" w:eastAsia="zh-CN"/>
              </w:rPr>
              <w:t>培养全局统筹意识、高效精准的指挥作风、安全责任底线思维及多岗位协作沟通素养。</w:t>
            </w:r>
          </w:p>
          <w:p w14:paraId="30BC5C71">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课程思政育人目标：</w:t>
            </w:r>
            <w:r>
              <w:rPr>
                <w:rFonts w:hint="eastAsia" w:ascii="仿宋_GB2312" w:hAnsi="仿宋_GB2312" w:eastAsia="仿宋_GB2312" w:cs="仿宋_GB2312"/>
                <w:sz w:val="24"/>
                <w:lang w:val="en-US" w:eastAsia="zh-CN"/>
              </w:rPr>
              <w:t>筑牢“调度为核、畅通为民”的职业信仰，强化恪守规章的执行力与守护城市动脉的使命感，锤炼科学决策、临危不乱的责任担当。</w:t>
            </w:r>
          </w:p>
        </w:tc>
        <w:tc>
          <w:tcPr>
            <w:tcW w:w="2450" w:type="dxa"/>
            <w:vAlign w:val="top"/>
          </w:tcPr>
          <w:p w14:paraId="40FAD535">
            <w:pPr>
              <w:overflowPunct w:val="0"/>
              <w:adjustRightInd w:val="0"/>
              <w:spacing w:line="360" w:lineRule="exact"/>
              <w:jc w:val="both"/>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sz w:val="24"/>
              </w:rPr>
              <w:t>调度基础知识（运行图编制、调度规章）、行车调度技术（列车运行调整、冲突疏解）、应急指挥流程（设备故障、突发事件处置）、信号系统操作（ATS、联锁设备应用）以及调度信息化平台应用</w:t>
            </w:r>
            <w:r>
              <w:rPr>
                <w:rFonts w:hint="eastAsia" w:ascii="仿宋_GB2312" w:hAnsi="仿宋_GB2312" w:eastAsia="仿宋_GB2312" w:cs="仿宋_GB2312"/>
                <w:sz w:val="24"/>
                <w:lang w:eastAsia="zh-CN"/>
              </w:rPr>
              <w:t>。</w:t>
            </w:r>
          </w:p>
        </w:tc>
        <w:tc>
          <w:tcPr>
            <w:tcW w:w="2946" w:type="dxa"/>
            <w:vAlign w:val="top"/>
          </w:tcPr>
          <w:p w14:paraId="65E8616B">
            <w:pPr>
              <w:overflowPunct w:val="0"/>
              <w:adjustRightInd w:val="0"/>
              <w:spacing w:line="360" w:lineRule="exact"/>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rPr>
              <w:t>要求学生熟练掌握列车运行图编制、实时调度指挥及应急事件处置流程，具备ATS等信号系统的规范操作能力，能有效监控客流与协调多工种联动作业，同时通过仿真演练和案例分析强化安全责任意识与决策判断能力，最终达到行业调度岗位所需的专业技能与职业素养标准。</w:t>
            </w:r>
          </w:p>
        </w:tc>
      </w:tr>
      <w:tr w14:paraId="421A3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1" w:type="dxa"/>
            <w:vAlign w:val="center"/>
          </w:tcPr>
          <w:p w14:paraId="4502C02C">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2</w:t>
            </w:r>
          </w:p>
        </w:tc>
        <w:tc>
          <w:tcPr>
            <w:tcW w:w="1105" w:type="dxa"/>
            <w:vAlign w:val="center"/>
          </w:tcPr>
          <w:p w14:paraId="59197FBD">
            <w:pPr>
              <w:overflowPunct w:val="0"/>
              <w:adjustRightInd w:val="0"/>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sz w:val="24"/>
              </w:rPr>
              <w:t>城市轨道交通班组管理</w:t>
            </w:r>
          </w:p>
        </w:tc>
        <w:tc>
          <w:tcPr>
            <w:tcW w:w="3482" w:type="dxa"/>
            <w:vAlign w:val="top"/>
          </w:tcPr>
          <w:p w14:paraId="6CF31105">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知识目标：</w:t>
            </w:r>
            <w:r>
              <w:rPr>
                <w:rFonts w:hint="eastAsia" w:ascii="仿宋_GB2312" w:hAnsi="仿宋_GB2312" w:eastAsia="仿宋_GB2312" w:cs="仿宋_GB2312"/>
                <w:sz w:val="24"/>
                <w:lang w:val="en-US" w:eastAsia="zh-CN"/>
              </w:rPr>
              <w:t>掌握班组组织架构设计原理、岗位职责划分规则、生产排班与标准化作业流程、安全管理工具（KYT/6S）应用规范、绩效激励方法及信息化管理工具功能。</w:t>
            </w:r>
          </w:p>
          <w:p w14:paraId="45B21D63">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能力目标：</w:t>
            </w:r>
            <w:r>
              <w:rPr>
                <w:rFonts w:hint="eastAsia" w:ascii="仿宋_GB2312" w:hAnsi="仿宋_GB2312" w:eastAsia="仿宋_GB2312" w:cs="仿宋_GB2312"/>
                <w:sz w:val="24"/>
                <w:lang w:val="en-US" w:eastAsia="zh-CN"/>
              </w:rPr>
              <w:t>能独立制定生产排班计划，运用安全管理工具开展风险防控和应急预案；具备现场协调、绩效评估及突发事件指挥能力，通过情景模拟实现团队高效协作与资源调配。</w:t>
            </w:r>
          </w:p>
          <w:p w14:paraId="67555DB1">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素质目标：</w:t>
            </w:r>
            <w:r>
              <w:rPr>
                <w:rFonts w:hint="eastAsia" w:ascii="仿宋_GB2312" w:hAnsi="仿宋_GB2312" w:eastAsia="仿宋_GB2312" w:cs="仿宋_GB2312"/>
                <w:sz w:val="24"/>
                <w:lang w:val="en-US" w:eastAsia="zh-CN"/>
              </w:rPr>
              <w:t>培养制度化管理思维、标准化执行习惯、责任担当意识及沟通领导力，提升团队凝聚力与风险预判素养。</w:t>
            </w:r>
          </w:p>
          <w:p w14:paraId="09CC33B8">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课程思政育人目标：</w:t>
            </w:r>
            <w:r>
              <w:rPr>
                <w:rFonts w:hint="eastAsia" w:ascii="仿宋_GB2312" w:hAnsi="仿宋_GB2312" w:eastAsia="仿宋_GB2312" w:cs="仿宋_GB2312"/>
                <w:sz w:val="24"/>
                <w:lang w:val="en-US" w:eastAsia="zh-CN"/>
              </w:rPr>
              <w:t>树立“基层稳则全局安”的管理理念，强化服务一线的奉献精神，筑牢规章执行的纪律底线，践行公平公正的团队协作价值观。</w:t>
            </w:r>
          </w:p>
          <w:p w14:paraId="3BE6B5A4">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p>
          <w:p w14:paraId="717092E2">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p>
        </w:tc>
        <w:tc>
          <w:tcPr>
            <w:tcW w:w="2450" w:type="dxa"/>
            <w:vAlign w:val="top"/>
          </w:tcPr>
          <w:p w14:paraId="7EB2DE75">
            <w:pPr>
              <w:overflowPunct w:val="0"/>
              <w:adjustRightInd w:val="0"/>
              <w:spacing w:line="360" w:lineRule="exact"/>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rPr>
              <w:t>班组组织与职责（组织架构、岗位分工）、生产管理（排班计划、作业标准化）、安全管理（风险识别、应急预案）、团队建设（沟通技巧、绩效激励）以及信息化管理工具应用</w:t>
            </w:r>
            <w:r>
              <w:rPr>
                <w:rFonts w:hint="eastAsia" w:ascii="仿宋_GB2312" w:hAnsi="仿宋_GB2312" w:eastAsia="仿宋_GB2312" w:cs="仿宋_GB2312"/>
                <w:sz w:val="24"/>
                <w:lang w:eastAsia="zh-CN"/>
              </w:rPr>
              <w:t>。</w:t>
            </w:r>
          </w:p>
        </w:tc>
        <w:tc>
          <w:tcPr>
            <w:tcW w:w="2946" w:type="dxa"/>
            <w:vAlign w:val="top"/>
          </w:tcPr>
          <w:p w14:paraId="221DD368">
            <w:pPr>
              <w:overflowPunct w:val="0"/>
              <w:adjustRightInd w:val="0"/>
              <w:spacing w:line="360" w:lineRule="exact"/>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rPr>
              <w:t>要求学生掌握班组组织架构、岗位职责划分及标准化作业流程，具备生产计划制定、现场协调与绩效管理能力，能够运用安全管理工具（如KYT、6S）开展风险防控，并通过情景模拟和案例分析培养团队领导力与突发事件指挥能力，最终达到轨道交通基层管理岗位所需的综合管理素养与标准化执行要求。</w:t>
            </w:r>
          </w:p>
        </w:tc>
      </w:tr>
      <w:tr w14:paraId="3DA71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1" w:type="dxa"/>
            <w:vAlign w:val="center"/>
          </w:tcPr>
          <w:p w14:paraId="7566CD8A">
            <w:pPr>
              <w:keepNext w:val="0"/>
              <w:keepLines w:val="0"/>
              <w:pageBreakBefore w:val="0"/>
              <w:widowControl w:val="0"/>
              <w:kinsoku/>
              <w:wordWrap/>
              <w:topLinePunct w:val="0"/>
              <w:autoSpaceDE/>
              <w:autoSpaceDN/>
              <w:bidi w:val="0"/>
              <w:snapToGrid/>
              <w:spacing w:after="0" w:line="320" w:lineRule="exact"/>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3</w:t>
            </w:r>
          </w:p>
        </w:tc>
        <w:tc>
          <w:tcPr>
            <w:tcW w:w="1105" w:type="dxa"/>
            <w:vAlign w:val="center"/>
          </w:tcPr>
          <w:p w14:paraId="4BDE4C58">
            <w:pPr>
              <w:overflowPunct w:val="0"/>
              <w:adjustRightInd w:val="0"/>
              <w:spacing w:line="360" w:lineRule="exact"/>
              <w:jc w:val="left"/>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rPr>
              <w:t>城市轨道交通客运服务手语</w:t>
            </w:r>
          </w:p>
        </w:tc>
        <w:tc>
          <w:tcPr>
            <w:tcW w:w="3482" w:type="dxa"/>
            <w:vAlign w:val="top"/>
          </w:tcPr>
          <w:p w14:paraId="1B6C4F40">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知识目标：</w:t>
            </w:r>
            <w:r>
              <w:rPr>
                <w:rFonts w:hint="eastAsia" w:ascii="仿宋_GB2312" w:hAnsi="仿宋_GB2312" w:eastAsia="仿宋_GB2312" w:cs="仿宋_GB2312"/>
                <w:sz w:val="24"/>
                <w:lang w:val="en-US" w:eastAsia="zh-CN"/>
              </w:rPr>
              <w:t>掌握轨道交通场景核心手语词汇（数字/时间/票务/设施/安全指令）与情景句型结构，理解聋哑人文化特性及非肢体礼仪规范，熟悉行业服务标准与沟通禁忌。</w:t>
            </w:r>
          </w:p>
          <w:p w14:paraId="146123C1">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能力目标：</w:t>
            </w:r>
            <w:r>
              <w:rPr>
                <w:rFonts w:hint="eastAsia" w:ascii="仿宋_GB2312" w:hAnsi="仿宋_GB2312" w:eastAsia="仿宋_GB2312" w:cs="仿宋_GB2312"/>
                <w:sz w:val="24"/>
                <w:lang w:val="en-US" w:eastAsia="zh-CN"/>
              </w:rPr>
              <w:t>能自然流畅运用手语完成购票引导、乘车咨询、紧急疏散通知等场景对话；具备手语对话设计、现场应变及跨文化沟通能力，通过实景演练确保表达准确性与服务适配性。</w:t>
            </w:r>
          </w:p>
          <w:p w14:paraId="79E9DDDA">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素质目标：</w:t>
            </w:r>
            <w:r>
              <w:rPr>
                <w:rFonts w:hint="eastAsia" w:ascii="仿宋_GB2312" w:hAnsi="仿宋_GB2312" w:eastAsia="仿宋_GB2312" w:cs="仿宋_GB2312"/>
                <w:sz w:val="24"/>
                <w:lang w:val="en-US" w:eastAsia="zh-CN"/>
              </w:rPr>
              <w:t>培养尊重包容的服务意识、细致敏锐的观察力、得体规范的非肢体礼仪（表情/手势节奏）及职业化沟通素养。</w:t>
            </w:r>
          </w:p>
          <w:p w14:paraId="3D5BD228">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sz w:val="24"/>
                <w:lang w:val="en-US" w:eastAsia="zh-CN"/>
              </w:rPr>
              <w:t>课程思政育人目标：</w:t>
            </w:r>
            <w:r>
              <w:rPr>
                <w:rFonts w:hint="eastAsia" w:ascii="仿宋_GB2312" w:hAnsi="仿宋_GB2312" w:eastAsia="仿宋_GB2312" w:cs="仿宋_GB2312"/>
                <w:sz w:val="24"/>
                <w:lang w:val="en-US" w:eastAsia="zh-CN"/>
              </w:rPr>
              <w:t>践行“无声服务，平等关爱”的人文理念，筑牢服务弱势群体的责任感，弘扬交通行业人文温度，树立包容共享的社会主义核心价值观。</w:t>
            </w:r>
          </w:p>
        </w:tc>
        <w:tc>
          <w:tcPr>
            <w:tcW w:w="2450" w:type="dxa"/>
            <w:vAlign w:val="top"/>
          </w:tcPr>
          <w:p w14:paraId="5971BF41">
            <w:pPr>
              <w:overflowPunct w:val="0"/>
              <w:adjustRightInd w:val="0"/>
              <w:spacing w:line="360" w:lineRule="exact"/>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rPr>
              <w:t>课程围绕轨道交通客运服务场景，涵盖数字、方向、时间、票务（购票、退换票）、设施（安检、闸机、车厢）、安全警示（紧急疏散、故障通知）等基础手语词汇与句型，结合问询应答、乘车引导、突发事件沟通等情景对话训练，融入聋哑人文化认知、非肢体礼仪（表情、手势节奏）及行业服务规范，通过案例模拟与实景演练强化手语应用的准确性与服务适配性。</w:t>
            </w:r>
          </w:p>
        </w:tc>
        <w:tc>
          <w:tcPr>
            <w:tcW w:w="2946" w:type="dxa"/>
            <w:vAlign w:val="top"/>
          </w:tcPr>
          <w:p w14:paraId="6B496E13">
            <w:pPr>
              <w:overflowPunct w:val="0"/>
              <w:adjustRightInd w:val="0"/>
              <w:spacing w:line="360" w:lineRule="exact"/>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rPr>
              <w:t>教学需采用“理论+情景+实操”模式，通过视频示范、角色扮演及情景模拟服务过程；学生需完成指定服务场景的手语对话设计、现场演示及互动反馈，掌握自然流畅的手语表达与应变技巧；考核侧重手语准确性、沟通效率及服务态度评价，注重文化尊重意识与职业服务规范的同步培养。</w:t>
            </w:r>
          </w:p>
        </w:tc>
      </w:tr>
      <w:tr w14:paraId="1F3D2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1" w:type="dxa"/>
            <w:vAlign w:val="center"/>
          </w:tcPr>
          <w:p w14:paraId="4B61A7CF">
            <w:pPr>
              <w:keepNext w:val="0"/>
              <w:keepLines w:val="0"/>
              <w:pageBreakBefore w:val="0"/>
              <w:widowControl w:val="0"/>
              <w:kinsoku/>
              <w:wordWrap/>
              <w:topLinePunct w:val="0"/>
              <w:autoSpaceDE/>
              <w:autoSpaceDN/>
              <w:bidi w:val="0"/>
              <w:snapToGrid/>
              <w:spacing w:after="0" w:line="320" w:lineRule="exact"/>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4</w:t>
            </w:r>
          </w:p>
        </w:tc>
        <w:tc>
          <w:tcPr>
            <w:tcW w:w="1105" w:type="dxa"/>
            <w:vAlign w:val="center"/>
          </w:tcPr>
          <w:p w14:paraId="7BBA1F68">
            <w:pPr>
              <w:overflowPunct w:val="0"/>
              <w:adjustRightInd w:val="0"/>
              <w:spacing w:line="360" w:lineRule="exact"/>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rPr>
              <w:t>城市轨道交通列车驾驶实务</w:t>
            </w:r>
          </w:p>
        </w:tc>
        <w:tc>
          <w:tcPr>
            <w:tcW w:w="3482" w:type="dxa"/>
            <w:vAlign w:val="top"/>
          </w:tcPr>
          <w:p w14:paraId="4DF1C4D2">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知识目标：</w:t>
            </w:r>
            <w:r>
              <w:rPr>
                <w:rFonts w:hint="eastAsia" w:ascii="仿宋_GB2312" w:hAnsi="仿宋_GB2312" w:eastAsia="仿宋_GB2312" w:cs="仿宋_GB2312"/>
                <w:sz w:val="24"/>
                <w:lang w:val="en-US" w:eastAsia="zh-CN"/>
              </w:rPr>
              <w:t>掌握列车核心构造（转向架、制动系统）原理、标准化驾驶作业流程（出勤检查/启动对标/精确停车）、信号系统（ATP/ATO模式转换及故障应对）逻辑与应急处理规范（突发事件处置、救援连挂）。</w:t>
            </w:r>
          </w:p>
          <w:p w14:paraId="21DF28EF">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能力目标：</w:t>
            </w:r>
            <w:r>
              <w:rPr>
                <w:rFonts w:hint="eastAsia" w:ascii="仿宋_GB2312" w:hAnsi="仿宋_GB2312" w:eastAsia="仿宋_GB2312" w:cs="仿宋_GB2312"/>
                <w:sz w:val="24"/>
                <w:lang w:val="en-US" w:eastAsia="zh-CN"/>
              </w:rPr>
              <w:t>能精准执行列车启动、对标停靠及多模式驾驶转换；熟练操作信号系统并快速处置设备故障，通过模拟驾驶完成多场景应急演练，具备救援连挂等实战操作能力。</w:t>
            </w:r>
          </w:p>
          <w:p w14:paraId="0E7D8C81">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素质目标：</w:t>
            </w:r>
            <w:r>
              <w:rPr>
                <w:rFonts w:hint="eastAsia" w:ascii="仿宋_GB2312" w:hAnsi="仿宋_GB2312" w:eastAsia="仿宋_GB2312" w:cs="仿宋_GB2312"/>
                <w:sz w:val="24"/>
                <w:lang w:val="en-US" w:eastAsia="zh-CN"/>
              </w:rPr>
              <w:t>培养严谨的安全规范执行习惯、沉着精准的操作心理素质、风险预判意识及情境快速决断力。</w:t>
            </w:r>
          </w:p>
          <w:p w14:paraId="42B8E40C">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sz w:val="24"/>
                <w:lang w:val="en-US" w:eastAsia="zh-CN"/>
              </w:rPr>
              <w:t>课程思政育人目标：</w:t>
            </w:r>
            <w:r>
              <w:rPr>
                <w:rFonts w:hint="eastAsia" w:ascii="仿宋_GB2312" w:hAnsi="仿宋_GB2312" w:eastAsia="仿宋_GB2312" w:cs="仿宋_GB2312"/>
                <w:sz w:val="24"/>
                <w:lang w:val="en-US" w:eastAsia="zh-CN"/>
              </w:rPr>
              <w:t>筑牢“万次操作零失误”的责任信仰，弘扬敬畏生命、守护安全的职业精神，践行精益求精的工匠品格与岗位使命感。</w:t>
            </w:r>
          </w:p>
        </w:tc>
        <w:tc>
          <w:tcPr>
            <w:tcW w:w="2450" w:type="dxa"/>
            <w:vAlign w:val="top"/>
          </w:tcPr>
          <w:p w14:paraId="230C6B11">
            <w:pPr>
              <w:overflowPunct w:val="0"/>
              <w:adjustRightInd w:val="0"/>
              <w:spacing w:line="360" w:lineRule="exact"/>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rPr>
              <w:t>列车构造与原理（转向架、制动系统等）、驾驶标准化作业（出勤检查、启动对标、精确停车）、信号系统认知（ATP/ATO模式转换、信号故障应对）、应急处理（突发事件处置流程、救援连挂作业）以及模拟驾驶实训（多场景仿真演练）</w:t>
            </w:r>
            <w:r>
              <w:rPr>
                <w:rFonts w:hint="eastAsia" w:ascii="仿宋_GB2312" w:hAnsi="仿宋_GB2312" w:eastAsia="仿宋_GB2312" w:cs="仿宋_GB2312"/>
                <w:sz w:val="24"/>
                <w:lang w:eastAsia="zh-CN"/>
              </w:rPr>
              <w:t>。</w:t>
            </w:r>
          </w:p>
        </w:tc>
        <w:tc>
          <w:tcPr>
            <w:tcW w:w="2946" w:type="dxa"/>
            <w:vAlign w:val="top"/>
          </w:tcPr>
          <w:p w14:paraId="1DA53153">
            <w:pPr>
              <w:overflowPunct w:val="0"/>
              <w:adjustRightInd w:val="0"/>
              <w:spacing w:line="360" w:lineRule="exact"/>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rPr>
              <w:t>要求学生熟练掌握列车构造原理、标准化驾驶操作流程及信号系统联动控制，具备精准对标停车、多模式驾驶转换和突发事件应急处置能力，严格遵守安全作业规范，并通过模拟驾驶训练与跟岗实习强化心理素质与情境判</w:t>
            </w:r>
            <w:r>
              <w:rPr>
                <w:rFonts w:hint="eastAsia" w:ascii="仿宋_GB2312" w:hAnsi="仿宋_GB2312" w:eastAsia="仿宋_GB2312" w:cs="仿宋_GB2312"/>
                <w:sz w:val="24"/>
                <w:highlight w:val="none"/>
              </w:rPr>
              <w:t>断</w:t>
            </w:r>
            <w:r>
              <w:rPr>
                <w:rFonts w:hint="eastAsia" w:ascii="仿宋_GB2312" w:hAnsi="仿宋_GB2312" w:eastAsia="仿宋_GB2312" w:cs="仿宋_GB2312"/>
                <w:sz w:val="24"/>
              </w:rPr>
              <w:t>力，最终达到轨道交通列车驾驶员岗位职业资格认证标准。</w:t>
            </w:r>
          </w:p>
        </w:tc>
      </w:tr>
      <w:tr w14:paraId="10AA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1" w:type="dxa"/>
            <w:vAlign w:val="center"/>
          </w:tcPr>
          <w:p w14:paraId="3A96BE0A">
            <w:pPr>
              <w:keepNext w:val="0"/>
              <w:keepLines w:val="0"/>
              <w:pageBreakBefore w:val="0"/>
              <w:widowControl w:val="0"/>
              <w:kinsoku/>
              <w:wordWrap/>
              <w:topLinePunct w:val="0"/>
              <w:autoSpaceDE/>
              <w:autoSpaceDN/>
              <w:bidi w:val="0"/>
              <w:snapToGrid/>
              <w:spacing w:after="0" w:line="320" w:lineRule="exact"/>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5</w:t>
            </w:r>
          </w:p>
        </w:tc>
        <w:tc>
          <w:tcPr>
            <w:tcW w:w="1105" w:type="dxa"/>
            <w:vAlign w:val="center"/>
          </w:tcPr>
          <w:p w14:paraId="2B2AA835">
            <w:pPr>
              <w:overflowPunct w:val="0"/>
              <w:adjustRightInd w:val="0"/>
              <w:spacing w:line="360" w:lineRule="exact"/>
              <w:jc w:val="left"/>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rPr>
              <w:t>智能综合监控系统</w:t>
            </w:r>
          </w:p>
        </w:tc>
        <w:tc>
          <w:tcPr>
            <w:tcW w:w="3482" w:type="dxa"/>
            <w:vAlign w:val="top"/>
          </w:tcPr>
          <w:p w14:paraId="5FCEB162">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知识目标：</w:t>
            </w:r>
            <w:r>
              <w:rPr>
                <w:rFonts w:hint="eastAsia" w:ascii="仿宋_GB2312" w:hAnsi="仿宋_GB2312" w:eastAsia="仿宋_GB2312" w:cs="仿宋_GB2312"/>
                <w:sz w:val="24"/>
                <w:lang w:val="en-US" w:eastAsia="zh-CN"/>
              </w:rPr>
              <w:t>掌握ISCS系统架构原理（硬件组成/网络拓扑/数据协议）、BAS/FAS/SCADA等子系统功能集成逻辑、运维操作规范（人机交互/报警处理/远程控制）、数据分析方法（日志查询/趋势分析）及智能预警机制。</w:t>
            </w:r>
          </w:p>
          <w:p w14:paraId="52F9B86A">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能力目标：</w:t>
            </w:r>
            <w:r>
              <w:rPr>
                <w:rFonts w:hint="eastAsia" w:ascii="仿宋_GB2312" w:hAnsi="仿宋_GB2312" w:eastAsia="仿宋_GB2312" w:cs="仿宋_GB2312"/>
                <w:sz w:val="24"/>
                <w:lang w:val="en-US" w:eastAsia="zh-CN"/>
              </w:rPr>
              <w:t>能独立操作监控界面进行设备联动控制与报警处置；具备系统配置、故障智能诊断、应急远程调度能力，通过仿真平台完成子系统协同演练与故障模拟处置。</w:t>
            </w:r>
          </w:p>
          <w:p w14:paraId="0D0BE6B3">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素质目标：</w:t>
            </w:r>
            <w:r>
              <w:rPr>
                <w:rFonts w:hint="eastAsia" w:ascii="仿宋_GB2312" w:hAnsi="仿宋_GB2312" w:eastAsia="仿宋_GB2312" w:cs="仿宋_GB2312"/>
                <w:sz w:val="24"/>
                <w:lang w:val="en-US" w:eastAsia="zh-CN"/>
              </w:rPr>
              <w:t>培养缜密的系统思维、规范的技术操作习惯、数据</w:t>
            </w:r>
            <w:r>
              <w:rPr>
                <w:rFonts w:hint="eastAsia" w:ascii="仿宋_GB2312" w:hAnsi="仿宋_GB2312" w:eastAsia="仿宋_GB2312" w:cs="仿宋_GB2312"/>
                <w:spacing w:val="-11"/>
                <w:sz w:val="24"/>
                <w:lang w:val="en-US" w:eastAsia="zh-CN"/>
              </w:rPr>
              <w:t>敏感度及运维安全风险预判意识。</w:t>
            </w:r>
          </w:p>
          <w:p w14:paraId="282D62E8">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sz w:val="24"/>
                <w:lang w:val="en-US" w:eastAsia="zh-CN"/>
              </w:rPr>
              <w:t>课程思政育人目标：</w:t>
            </w:r>
            <w:r>
              <w:rPr>
                <w:rFonts w:hint="eastAsia" w:ascii="仿宋_GB2312" w:hAnsi="仿宋_GB2312" w:eastAsia="仿宋_GB2312" w:cs="仿宋_GB2312"/>
                <w:sz w:val="24"/>
                <w:lang w:val="en-US" w:eastAsia="zh-CN"/>
              </w:rPr>
              <w:t>践行“科技赋能、精准监控”的智慧运维理念，筑牢守护城市生命线的责任担当，培养精益求精的工匠精神与协同联动的全局观。</w:t>
            </w:r>
          </w:p>
        </w:tc>
        <w:tc>
          <w:tcPr>
            <w:tcW w:w="2450" w:type="dxa"/>
            <w:vAlign w:val="top"/>
          </w:tcPr>
          <w:p w14:paraId="2C070922">
            <w:pPr>
              <w:overflowPunct w:val="0"/>
              <w:adjustRightInd w:val="0"/>
              <w:spacing w:line="360" w:lineRule="exact"/>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rPr>
              <w:t>系统架构与原理（硬件组成、网络拓扑、数据交互协议）、功能模块应用（BAS/FAS/SCADA子系统集成与联动）、运维操作技能（人机界面操作、报警信息处理、远程控制）、数据分析与故障诊断（日志查询、趋势分析、智能预警）以及仿真平台实训（系统配置、应急演练、故障模拟处置）</w:t>
            </w:r>
            <w:r>
              <w:rPr>
                <w:rFonts w:hint="eastAsia" w:ascii="仿宋_GB2312" w:hAnsi="仿宋_GB2312" w:eastAsia="仿宋_GB2312" w:cs="仿宋_GB2312"/>
                <w:sz w:val="24"/>
                <w:lang w:eastAsia="zh-CN"/>
              </w:rPr>
              <w:t>。</w:t>
            </w:r>
          </w:p>
        </w:tc>
        <w:tc>
          <w:tcPr>
            <w:tcW w:w="2946" w:type="dxa"/>
            <w:vAlign w:val="top"/>
          </w:tcPr>
          <w:p w14:paraId="5C9CE758">
            <w:pPr>
              <w:overflowPunct w:val="0"/>
              <w:adjustRightInd w:val="0"/>
              <w:spacing w:line="360" w:lineRule="exact"/>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rPr>
              <w:t>要求学生掌握轨道交通ISCS（智能综合监控系统）的架构原理、功能模块及联动逻辑，具备系统操作、设备监控、数据分析和故障诊断能力，熟悉BAS（环境与设备监控）、FAS（火灾报警）等子系统的集成管理，并通过仿真平台实训强化应急指挥与系统维护技能，达到智能化运维岗位的技术要求。</w:t>
            </w:r>
          </w:p>
        </w:tc>
      </w:tr>
      <w:tr w14:paraId="578BA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1" w:type="dxa"/>
            <w:vAlign w:val="center"/>
          </w:tcPr>
          <w:p w14:paraId="7157ECE6">
            <w:pPr>
              <w:keepNext w:val="0"/>
              <w:keepLines w:val="0"/>
              <w:pageBreakBefore w:val="0"/>
              <w:widowControl w:val="0"/>
              <w:kinsoku/>
              <w:wordWrap/>
              <w:topLinePunct w:val="0"/>
              <w:autoSpaceDE/>
              <w:autoSpaceDN/>
              <w:bidi w:val="0"/>
              <w:snapToGrid/>
              <w:spacing w:after="0" w:line="320" w:lineRule="exact"/>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6</w:t>
            </w:r>
          </w:p>
        </w:tc>
        <w:tc>
          <w:tcPr>
            <w:tcW w:w="1105" w:type="dxa"/>
            <w:vAlign w:val="center"/>
          </w:tcPr>
          <w:p w14:paraId="2C81E533">
            <w:pPr>
              <w:overflowPunct w:val="0"/>
              <w:adjustRightInd w:val="0"/>
              <w:spacing w:line="360" w:lineRule="exact"/>
              <w:jc w:val="left"/>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rPr>
              <w:t>智慧城轨运营管理</w:t>
            </w:r>
          </w:p>
        </w:tc>
        <w:tc>
          <w:tcPr>
            <w:tcW w:w="3482" w:type="dxa"/>
            <w:vAlign w:val="top"/>
          </w:tcPr>
          <w:p w14:paraId="0BD4E894">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知识目标：</w:t>
            </w:r>
            <w:r>
              <w:rPr>
                <w:rFonts w:hint="eastAsia" w:ascii="仿宋_GB2312" w:hAnsi="仿宋_GB2312" w:eastAsia="仿宋_GB2312" w:cs="仿宋_GB2312"/>
                <w:sz w:val="24"/>
                <w:lang w:val="en-US" w:eastAsia="zh-CN"/>
              </w:rPr>
              <w:t>掌握智能调度（自动驾驶、客流预测）、设备智能运维（故障预警/健康管理）、数字化乘客服务（智能票务/信息终端）、能源优化及网络安全防护的核心技术原理，理解5G通信、数字孪生等技术在智慧车站/线网协同中的应用逻辑与行业标准。</w:t>
            </w:r>
          </w:p>
          <w:p w14:paraId="04BDEDCB">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能力目标：</w:t>
            </w:r>
            <w:r>
              <w:rPr>
                <w:rFonts w:hint="eastAsia" w:ascii="仿宋_GB2312" w:hAnsi="仿宋_GB2312" w:eastAsia="仿宋_GB2312" w:cs="仿宋_GB2312"/>
                <w:sz w:val="24"/>
                <w:lang w:val="en-US" w:eastAsia="zh-CN"/>
              </w:rPr>
              <w:t>能运用数据分析工具评估运营效率或推演故障场景，设计智能化服务解决方案；具备新技术适配性分析、系统协同优化及复杂运营问题的创新解决能力，通过案例模拟实现技术融合应用。</w:t>
            </w:r>
          </w:p>
          <w:p w14:paraId="79578BA1">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素质目标：</w:t>
            </w:r>
            <w:r>
              <w:rPr>
                <w:rFonts w:hint="eastAsia" w:ascii="仿宋_GB2312" w:hAnsi="仿宋_GB2312" w:eastAsia="仿宋_GB2312" w:cs="仿宋_GB2312"/>
                <w:sz w:val="24"/>
                <w:lang w:val="en-US" w:eastAsia="zh-CN"/>
              </w:rPr>
              <w:t>培养智慧化系统思维、前沿技术敏感度、数据安全伦理意识及可持续发展理念，强化多模块协同的前瞻性管理素养。</w:t>
            </w:r>
          </w:p>
          <w:p w14:paraId="1DED0A0B">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课程思政育人目标：</w:t>
            </w:r>
            <w:r>
              <w:rPr>
                <w:rFonts w:hint="eastAsia" w:ascii="仿宋_GB2312" w:hAnsi="仿宋_GB2312" w:eastAsia="仿宋_GB2312" w:cs="仿宋_GB2312"/>
                <w:sz w:val="24"/>
                <w:lang w:val="en-US" w:eastAsia="zh-CN"/>
              </w:rPr>
              <w:t>践行“科技赋能、服务为民”的创新观，筑牢网络安全责任底线，弘扬绿色集约的可持续发展精神，培养技术应用与人文伦理协同发展的职业价值观。</w:t>
            </w:r>
          </w:p>
        </w:tc>
        <w:tc>
          <w:tcPr>
            <w:tcW w:w="2450" w:type="dxa"/>
            <w:vAlign w:val="top"/>
          </w:tcPr>
          <w:p w14:paraId="0A6D21E4">
            <w:pPr>
              <w:overflowPunct w:val="0"/>
              <w:adjustRightInd w:val="0"/>
              <w:spacing w:line="360" w:lineRule="exact"/>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rPr>
              <w:t>课程聚焦智慧城轨的运营管理体系，涵盖智能调度系统（列车自动驾驶、实时客流预测）、设备智能运维（故障预警、健康管理）、乘客服务数字化（智能票务、信息服务终端）、能源管理优化及网络安全防护等内容，结合5G通信、数字孪生等技术应用案例，分析智慧车站、智慧线网的全流程协同机制，融入行业标准与可持续发展理念。</w:t>
            </w:r>
          </w:p>
        </w:tc>
        <w:tc>
          <w:tcPr>
            <w:tcW w:w="2946" w:type="dxa"/>
            <w:vAlign w:val="top"/>
          </w:tcPr>
          <w:p w14:paraId="16C64323">
            <w:pPr>
              <w:overflowPunct w:val="0"/>
              <w:adjustRightInd w:val="0"/>
              <w:spacing w:line="360" w:lineRule="exact"/>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rPr>
              <w:t>教学需案例研讨、角色模拟相结合的方式；要求学生能运用数据分析工具完成运营效率评估或故障模拟推演，设计智能化服务方案；考核侧重技术应用逻辑性、系统思维及解决复杂运营问题的创新能力，强调新技术适配性与行业伦理的双重导向。</w:t>
            </w:r>
          </w:p>
        </w:tc>
      </w:tr>
      <w:tr w14:paraId="7349B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1" w:type="dxa"/>
            <w:vAlign w:val="center"/>
          </w:tcPr>
          <w:p w14:paraId="2794E5A5">
            <w:pPr>
              <w:keepNext w:val="0"/>
              <w:keepLines w:val="0"/>
              <w:pageBreakBefore w:val="0"/>
              <w:widowControl w:val="0"/>
              <w:kinsoku/>
              <w:wordWrap/>
              <w:topLinePunct w:val="0"/>
              <w:autoSpaceDE/>
              <w:autoSpaceDN/>
              <w:bidi w:val="0"/>
              <w:snapToGrid/>
              <w:spacing w:after="0" w:line="320" w:lineRule="exact"/>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7</w:t>
            </w:r>
          </w:p>
        </w:tc>
        <w:tc>
          <w:tcPr>
            <w:tcW w:w="1105" w:type="dxa"/>
            <w:vAlign w:val="center"/>
          </w:tcPr>
          <w:p w14:paraId="5B911A47">
            <w:pPr>
              <w:overflowPunct w:val="0"/>
              <w:adjustRightInd w:val="0"/>
              <w:spacing w:line="360" w:lineRule="exact"/>
              <w:jc w:val="left"/>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rPr>
              <w:t>卫生防疫与急救技能</w:t>
            </w:r>
          </w:p>
        </w:tc>
        <w:tc>
          <w:tcPr>
            <w:tcW w:w="3482" w:type="dxa"/>
            <w:vAlign w:val="top"/>
          </w:tcPr>
          <w:p w14:paraId="50F28B91">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知识目标：</w:t>
            </w:r>
            <w:r>
              <w:rPr>
                <w:rFonts w:hint="eastAsia" w:ascii="仿宋_GB2312" w:hAnsi="仿宋_GB2312" w:eastAsia="仿宋_GB2312" w:cs="仿宋_GB2312"/>
                <w:sz w:val="24"/>
                <w:lang w:val="en-US" w:eastAsia="zh-CN"/>
              </w:rPr>
              <w:t>掌握传染病传播机制、个人防护装备规范、公共场所消毒流程、急救技术（CPR/AED操作/创伤处理）及突发公共卫生事件应急管理法规与伦理准则。</w:t>
            </w:r>
          </w:p>
          <w:p w14:paraId="25B30109">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能力目标：</w:t>
            </w:r>
            <w:r>
              <w:rPr>
                <w:rFonts w:hint="eastAsia" w:ascii="仿宋_GB2312" w:hAnsi="仿宋_GB2312" w:eastAsia="仿宋_GB2312" w:cs="仿宋_GB2312"/>
                <w:sz w:val="24"/>
                <w:lang w:val="en-US" w:eastAsia="zh-CN"/>
              </w:rPr>
              <w:t>能规范完成伤口处理、骨折固定、心肺复苏等急救操作；具备独立开展基础伤情评估、群体事件初步防控、流行病学调查及消毒防疫执行能力，通过情景模拟强化时效性与协作处置效能。</w:t>
            </w:r>
          </w:p>
          <w:p w14:paraId="015E3941">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素质目标：</w:t>
            </w:r>
            <w:r>
              <w:rPr>
                <w:rFonts w:hint="eastAsia" w:ascii="仿宋_GB2312" w:hAnsi="仿宋_GB2312" w:eastAsia="仿宋_GB2312" w:cs="仿宋_GB2312"/>
                <w:sz w:val="24"/>
                <w:lang w:val="en-US" w:eastAsia="zh-CN"/>
              </w:rPr>
              <w:t>培养科学防疫意识、规范操作习惯、临场应变心理素质及人文关怀精神，提升安全责任与团队协作素养。</w:t>
            </w:r>
          </w:p>
          <w:p w14:paraId="3B87B2E3">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课程思政育人目标：</w:t>
            </w:r>
            <w:r>
              <w:rPr>
                <w:rFonts w:hint="eastAsia" w:ascii="仿宋_GB2312" w:hAnsi="仿宋_GB2312" w:eastAsia="仿宋_GB2312" w:cs="仿宋_GB2312"/>
                <w:sz w:val="24"/>
                <w:lang w:val="en-US" w:eastAsia="zh-CN"/>
              </w:rPr>
              <w:t>践行“人民至上、生命至上”的价值导向，筑牢守护公共健康的职业使命感，弘扬救死扶伤的奉献精神，强化依法防疫的责任担当与尊重生命的伦理意识。</w:t>
            </w:r>
          </w:p>
        </w:tc>
        <w:tc>
          <w:tcPr>
            <w:tcW w:w="2450" w:type="dxa"/>
            <w:vAlign w:val="top"/>
          </w:tcPr>
          <w:p w14:paraId="23DC1D3E">
            <w:pPr>
              <w:overflowPunct w:val="0"/>
              <w:adjustRightInd w:val="0"/>
              <w:spacing w:line="360" w:lineRule="exact"/>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rPr>
              <w:t>课程涵盖卫生防疫基础知识（传染病传播途径、预防接种、个人防护装备使用）、公共场所消毒流程、急救技能（CPR、AED操作、气道异物处理、骨折固定、烧伤烫伤急救）、流行病学调查要点及突发公共卫生事件（如疫情、食物中毒）的应急管理流程，结合案例分析急救伦理、法律法规及心理疏导技巧，强化实操场景中的规范性与时效性。</w:t>
            </w:r>
          </w:p>
        </w:tc>
        <w:tc>
          <w:tcPr>
            <w:tcW w:w="2946" w:type="dxa"/>
            <w:vAlign w:val="top"/>
          </w:tcPr>
          <w:p w14:paraId="13B78902">
            <w:pPr>
              <w:overflowPunct w:val="0"/>
              <w:adjustRightInd w:val="0"/>
              <w:spacing w:line="360" w:lineRule="exact"/>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rPr>
              <w:t>教学需采用理论讲授、情景模拟与实操训练相结合模式，通过标准化急救模型演练、防疫场景角色扮演及真实案例复盘深化技能应用；要求学生熟练掌握急救操作流程，能独立完成基础伤情评估与紧急处理，并协作完成群体性事件的初步防控；考核侧重操作规范性、应急判断力及防疫知识迁移能力，注重安全意识与人文关怀的双重培养。</w:t>
            </w:r>
          </w:p>
        </w:tc>
      </w:tr>
      <w:tr w14:paraId="27BB8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1" w:type="dxa"/>
            <w:vAlign w:val="center"/>
          </w:tcPr>
          <w:p w14:paraId="7D908466">
            <w:pPr>
              <w:keepNext w:val="0"/>
              <w:keepLines w:val="0"/>
              <w:pageBreakBefore w:val="0"/>
              <w:widowControl w:val="0"/>
              <w:kinsoku/>
              <w:wordWrap/>
              <w:topLinePunct w:val="0"/>
              <w:autoSpaceDE/>
              <w:autoSpaceDN/>
              <w:bidi w:val="0"/>
              <w:snapToGrid/>
              <w:spacing w:after="0" w:line="320" w:lineRule="exact"/>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8</w:t>
            </w:r>
          </w:p>
        </w:tc>
        <w:tc>
          <w:tcPr>
            <w:tcW w:w="1105" w:type="dxa"/>
            <w:vAlign w:val="center"/>
          </w:tcPr>
          <w:p w14:paraId="663EF697">
            <w:pPr>
              <w:overflowPunct w:val="0"/>
              <w:adjustRightInd w:val="0"/>
              <w:spacing w:line="360" w:lineRule="exact"/>
              <w:jc w:val="left"/>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rPr>
              <w:t>工程制图</w:t>
            </w:r>
          </w:p>
        </w:tc>
        <w:tc>
          <w:tcPr>
            <w:tcW w:w="3482" w:type="dxa"/>
            <w:vAlign w:val="top"/>
          </w:tcPr>
          <w:p w14:paraId="1866C7CD">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知识目标：</w:t>
            </w:r>
            <w:r>
              <w:rPr>
                <w:rFonts w:hint="eastAsia" w:ascii="仿宋_GB2312" w:hAnsi="仿宋_GB2312" w:eastAsia="仿宋_GB2312" w:cs="仿宋_GB2312"/>
                <w:sz w:val="24"/>
                <w:lang w:val="en-US" w:eastAsia="zh-CN"/>
              </w:rPr>
              <w:t>掌握投影原理、轴测图与三视图绘制规范，理解组合体表达、建筑/结构施工图及给排水工程图制图标准，熟悉标高投影等工程表达方法。</w:t>
            </w:r>
          </w:p>
          <w:p w14:paraId="1E5D0F84">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能力目标：</w:t>
            </w:r>
            <w:r>
              <w:rPr>
                <w:rFonts w:hint="eastAsia" w:ascii="仿宋_GB2312" w:hAnsi="仿宋_GB2312" w:eastAsia="仿宋_GB2312" w:cs="仿宋_GB2312"/>
                <w:sz w:val="24"/>
                <w:lang w:val="en-US" w:eastAsia="zh-CN"/>
              </w:rPr>
              <w:t>能运用AutoCAD软件精确绘制施工图，具备空间形体拆解建模、手工与计算机制图双技能，通过模型实训培养工程图纸的阅读转化与造型设计能力。</w:t>
            </w:r>
          </w:p>
          <w:p w14:paraId="7C3FE32F">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素质目标：</w:t>
            </w:r>
            <w:r>
              <w:rPr>
                <w:rFonts w:hint="eastAsia" w:ascii="仿宋_GB2312" w:hAnsi="仿宋_GB2312" w:eastAsia="仿宋_GB2312" w:cs="仿宋_GB2312"/>
                <w:sz w:val="24"/>
                <w:lang w:val="en-US" w:eastAsia="zh-CN"/>
              </w:rPr>
              <w:t>塑造严谨精准的制图标准意识、立体空间思维习惯、工程美学素养及规范操作职业习惯。</w:t>
            </w:r>
          </w:p>
          <w:p w14:paraId="5836C506">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课程思政育人目标：</w:t>
            </w:r>
            <w:r>
              <w:rPr>
                <w:rFonts w:hint="eastAsia" w:ascii="仿宋_GB2312" w:hAnsi="仿宋_GB2312" w:eastAsia="仿宋_GB2312" w:cs="仿宋_GB2312"/>
                <w:sz w:val="24"/>
                <w:lang w:val="en-US" w:eastAsia="zh-CN"/>
              </w:rPr>
              <w:t>厚植“毫厘匠心筑基石”的职业信仰，践行工程领域的科学严谨精神，培养精益求精的工匠品格，强化国家标准化建设的责任担当。</w:t>
            </w:r>
          </w:p>
          <w:p w14:paraId="096BFE83">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p>
        </w:tc>
        <w:tc>
          <w:tcPr>
            <w:tcW w:w="2450" w:type="dxa"/>
            <w:vAlign w:val="top"/>
          </w:tcPr>
          <w:p w14:paraId="14C316C0">
            <w:pPr>
              <w:overflowPunct w:val="0"/>
              <w:adjustRightInd w:val="0"/>
              <w:spacing w:line="360" w:lineRule="exact"/>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rPr>
              <w:t>制图的基本知识和技能；投影的基本知识；点、直线、平面的投影；轴测图；立体表面交线；组合体的投影；工程形体的表达方式；标高投影；建筑施工图；结构施工图；给水排水工程图</w:t>
            </w:r>
            <w:r>
              <w:rPr>
                <w:rFonts w:hint="eastAsia" w:ascii="仿宋_GB2312" w:hAnsi="仿宋_GB2312" w:eastAsia="仿宋_GB2312" w:cs="仿宋_GB2312"/>
                <w:sz w:val="24"/>
                <w:lang w:eastAsia="zh-CN"/>
              </w:rPr>
              <w:t>。</w:t>
            </w:r>
          </w:p>
        </w:tc>
        <w:tc>
          <w:tcPr>
            <w:tcW w:w="2946" w:type="dxa"/>
            <w:vAlign w:val="top"/>
          </w:tcPr>
          <w:p w14:paraId="502A5BF0">
            <w:pPr>
              <w:overflowPunct w:val="0"/>
              <w:adjustRightInd w:val="0"/>
              <w:spacing w:line="360" w:lineRule="exact"/>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rPr>
              <w:t>教学方式分课堂教学、上机实训和课外辅导三部分。其中，教学尽量采用启发式教学及与同学们互动方法进行</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rPr>
              <w:t>多给同学们看模型实物讲解</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rPr>
              <w:t>并指导同学们利用模型和AutoCAD软件进行上机实训操作。利用课前、课后等课余时间及时答疑，给同学们创造更多的习题练习时间及在绘图室里绘图的机会，通过本课程的学习，切实培养同学们的标准意识、手工和计算机绘图能力、空间形体的形象思维能力和造型设计能力</w:t>
            </w:r>
            <w:r>
              <w:rPr>
                <w:rFonts w:hint="eastAsia" w:ascii="仿宋_GB2312" w:hAnsi="仿宋_GB2312" w:eastAsia="仿宋_GB2312" w:cs="仿宋_GB2312"/>
                <w:sz w:val="24"/>
                <w:lang w:eastAsia="zh-CN"/>
              </w:rPr>
              <w:t>。</w:t>
            </w:r>
          </w:p>
        </w:tc>
      </w:tr>
    </w:tbl>
    <w:p w14:paraId="034CE310">
      <w:pPr>
        <w:keepNext w:val="0"/>
        <w:keepLines w:val="0"/>
        <w:pageBreakBefore w:val="0"/>
        <w:widowControl w:val="0"/>
        <w:kinsoku/>
        <w:wordWrap/>
        <w:topLinePunct w:val="0"/>
        <w:autoSpaceDE/>
        <w:autoSpaceDN/>
        <w:bidi w:val="0"/>
        <w:adjustRightInd w:val="0"/>
        <w:snapToGrid w:val="0"/>
        <w:spacing w:after="0"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.实践</w:t>
      </w:r>
      <w:r>
        <w:rPr>
          <w:rFonts w:hint="eastAsia" w:ascii="仿宋_GB2312" w:hAnsi="仿宋_GB2312" w:eastAsia="仿宋_GB2312" w:cs="仿宋_GB2312"/>
          <w:color w:val="auto"/>
          <w:sz w:val="32"/>
          <w:szCs w:val="32"/>
          <w:lang w:val="en-US" w:eastAsia="zh-CN"/>
        </w:rPr>
        <w:t>性</w:t>
      </w:r>
      <w:r>
        <w:rPr>
          <w:rFonts w:hint="eastAsia" w:ascii="仿宋_GB2312" w:hAnsi="仿宋_GB2312" w:eastAsia="仿宋_GB2312" w:cs="仿宋_GB2312"/>
          <w:color w:val="auto"/>
          <w:sz w:val="32"/>
          <w:szCs w:val="32"/>
        </w:rPr>
        <w:t>教学环节：</w:t>
      </w:r>
      <w:r>
        <w:rPr>
          <w:rFonts w:hint="eastAsia" w:ascii="仿宋_GB2312" w:hAnsi="仿宋_GB2312" w:eastAsia="仿宋_GB2312" w:cs="仿宋_GB2312"/>
          <w:color w:val="auto"/>
          <w:sz w:val="32"/>
          <w:szCs w:val="32"/>
          <w:lang w:val="en-US" w:eastAsia="zh-CN"/>
        </w:rPr>
        <w:t>毕业设计、岗位实习。</w:t>
      </w:r>
    </w:p>
    <w:p w14:paraId="3022098A">
      <w:pPr>
        <w:keepNext w:val="0"/>
        <w:keepLines w:val="0"/>
        <w:pageBreakBefore w:val="0"/>
        <w:widowControl w:val="0"/>
        <w:kinsoku/>
        <w:wordWrap/>
        <w:overflowPunct w:val="0"/>
        <w:topLinePunct w:val="0"/>
        <w:autoSpaceDE/>
        <w:autoSpaceDN/>
        <w:bidi w:val="0"/>
        <w:adjustRightInd w:val="0"/>
        <w:spacing w:after="0" w:line="520" w:lineRule="exact"/>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 xml:space="preserve">6 </w:t>
      </w:r>
      <w:r>
        <w:rPr>
          <w:rFonts w:hint="eastAsia" w:ascii="仿宋_GB2312" w:hAnsi="仿宋_GB2312" w:eastAsia="仿宋_GB2312" w:cs="仿宋_GB2312"/>
          <w:color w:val="auto"/>
          <w:sz w:val="32"/>
          <w:szCs w:val="32"/>
          <w:highlight w:val="none"/>
        </w:rPr>
        <w:t>实践</w:t>
      </w:r>
      <w:r>
        <w:rPr>
          <w:rFonts w:hint="eastAsia" w:ascii="仿宋_GB2312" w:hAnsi="仿宋_GB2312" w:eastAsia="仿宋_GB2312" w:cs="仿宋_GB2312"/>
          <w:color w:val="auto"/>
          <w:sz w:val="32"/>
          <w:szCs w:val="32"/>
          <w:highlight w:val="none"/>
          <w:lang w:val="en-US" w:eastAsia="zh-CN"/>
        </w:rPr>
        <w:t>性</w:t>
      </w:r>
      <w:r>
        <w:rPr>
          <w:rFonts w:hint="eastAsia" w:ascii="仿宋_GB2312" w:hAnsi="仿宋_GB2312" w:eastAsia="仿宋_GB2312" w:cs="仿宋_GB2312"/>
          <w:color w:val="auto"/>
          <w:sz w:val="32"/>
          <w:szCs w:val="32"/>
          <w:highlight w:val="none"/>
        </w:rPr>
        <w:t>教学环节课程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105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6"/>
        <w:gridCol w:w="825"/>
        <w:gridCol w:w="4358"/>
        <w:gridCol w:w="2454"/>
        <w:gridCol w:w="2147"/>
      </w:tblGrid>
      <w:tr w14:paraId="7F827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6" w:type="dxa"/>
            <w:vAlign w:val="center"/>
          </w:tcPr>
          <w:p w14:paraId="5DFAEBEF">
            <w:pPr>
              <w:overflowPunct w:val="0"/>
              <w:adjustRightInd w:val="0"/>
              <w:spacing w:line="360" w:lineRule="exact"/>
              <w:jc w:val="center"/>
              <w:rPr>
                <w:rFonts w:hint="eastAsia" w:ascii="仿宋_GB2312" w:hAnsi="仿宋_GB2312" w:eastAsia="仿宋_GB2312" w:cs="仿宋_GB2312"/>
                <w:color w:val="auto"/>
                <w:sz w:val="24"/>
              </w:rPr>
            </w:pPr>
            <w:bookmarkStart w:id="15" w:name="OLE_LINK21"/>
            <w:r>
              <w:rPr>
                <w:rFonts w:hint="eastAsia" w:ascii="仿宋_GB2312" w:hAnsi="仿宋_GB2312" w:eastAsia="仿宋_GB2312" w:cs="仿宋_GB2312"/>
                <w:color w:val="auto"/>
                <w:sz w:val="24"/>
              </w:rPr>
              <w:t>序号</w:t>
            </w:r>
          </w:p>
        </w:tc>
        <w:tc>
          <w:tcPr>
            <w:tcW w:w="825" w:type="dxa"/>
            <w:vAlign w:val="center"/>
          </w:tcPr>
          <w:p w14:paraId="22264B55">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课程</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名称</w:t>
            </w:r>
          </w:p>
        </w:tc>
        <w:tc>
          <w:tcPr>
            <w:tcW w:w="4358" w:type="dxa"/>
            <w:vAlign w:val="center"/>
          </w:tcPr>
          <w:p w14:paraId="1A1E6A56">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2454" w:type="dxa"/>
            <w:vAlign w:val="center"/>
          </w:tcPr>
          <w:p w14:paraId="1321B7FB">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2147" w:type="dxa"/>
            <w:vAlign w:val="center"/>
          </w:tcPr>
          <w:p w14:paraId="3BB50F05">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教学要求</w:t>
            </w:r>
          </w:p>
        </w:tc>
      </w:tr>
      <w:tr w14:paraId="19423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46" w:type="dxa"/>
            <w:vAlign w:val="center"/>
          </w:tcPr>
          <w:p w14:paraId="377A4E4B">
            <w:pPr>
              <w:overflowPunct w:val="0"/>
              <w:adjustRightInd w:val="0"/>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sz w:val="24"/>
              </w:rPr>
              <w:t>1</w:t>
            </w:r>
          </w:p>
        </w:tc>
        <w:tc>
          <w:tcPr>
            <w:tcW w:w="825" w:type="dxa"/>
            <w:vAlign w:val="center"/>
          </w:tcPr>
          <w:p w14:paraId="01E0979B">
            <w:pPr>
              <w:overflowPunct w:val="0"/>
              <w:adjustRightInd w:val="0"/>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sz w:val="24"/>
              </w:rPr>
              <w:t>毕业设计</w:t>
            </w:r>
          </w:p>
        </w:tc>
        <w:tc>
          <w:tcPr>
            <w:tcW w:w="4358" w:type="dxa"/>
            <w:vAlign w:val="top"/>
          </w:tcPr>
          <w:p w14:paraId="74E04C80">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知识目标：</w:t>
            </w:r>
            <w:r>
              <w:rPr>
                <w:rFonts w:hint="eastAsia" w:ascii="仿宋_GB2312" w:hAnsi="仿宋_GB2312" w:eastAsia="仿宋_GB2312" w:cs="仿宋_GB2312"/>
                <w:sz w:val="24"/>
                <w:lang w:val="en-US" w:eastAsia="zh-CN"/>
              </w:rPr>
              <w:t>整合专业课程知识体系，掌握选题领域的前沿动态与行业标准，理解科研方法或工程设计规范。</w:t>
            </w:r>
          </w:p>
          <w:p w14:paraId="536E2380">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能力目标：</w:t>
            </w:r>
            <w:r>
              <w:rPr>
                <w:rFonts w:hint="eastAsia" w:ascii="仿宋_GB2312" w:hAnsi="仿宋_GB2312" w:eastAsia="仿宋_GB2312" w:cs="仿宋_GB2312"/>
                <w:sz w:val="24"/>
                <w:lang w:val="en-US" w:eastAsia="zh-CN"/>
              </w:rPr>
              <w:t>具备独立完成课题研究、方案设计或技术开发的实践能力；通过调研分析、数据建模、成果论证等全流程训练，形成科研写作、创新思维及复杂问题解决能力。</w:t>
            </w:r>
          </w:p>
          <w:p w14:paraId="28A5CB28">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素质目标：</w:t>
            </w:r>
            <w:r>
              <w:rPr>
                <w:rFonts w:hint="eastAsia" w:ascii="仿宋_GB2312" w:hAnsi="仿宋_GB2312" w:eastAsia="仿宋_GB2312" w:cs="仿宋_GB2312"/>
                <w:sz w:val="24"/>
                <w:lang w:val="en-US" w:eastAsia="zh-CN"/>
              </w:rPr>
              <w:t>培养严谨的学术规范意识、跨学科协作素养、知识产权保护观念及持续学习的职业潜力。</w:t>
            </w:r>
          </w:p>
          <w:p w14:paraId="30EEB8C0">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课程思政育人目标：</w:t>
            </w:r>
            <w:r>
              <w:rPr>
                <w:rFonts w:hint="eastAsia" w:ascii="仿宋_GB2312" w:hAnsi="仿宋_GB2312" w:eastAsia="仿宋_GB2312" w:cs="仿宋_GB2312"/>
                <w:sz w:val="24"/>
                <w:lang w:val="en-US" w:eastAsia="zh-CN"/>
              </w:rPr>
              <w:t>厚植“知行合一、科技报国”的科研担当，锤炼求真务实的治学品格，强化服务城轨行业发展的责任使命感，践行创新成果转化与社会价值并重的职业价值观。</w:t>
            </w:r>
          </w:p>
          <w:p w14:paraId="5D7A07EC">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p>
        </w:tc>
        <w:tc>
          <w:tcPr>
            <w:tcW w:w="2454" w:type="dxa"/>
            <w:vAlign w:val="top"/>
          </w:tcPr>
          <w:p w14:paraId="524C557D">
            <w:pPr>
              <w:overflowPunct w:val="0"/>
              <w:adjustRightInd w:val="0"/>
              <w:spacing w:line="36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sz w:val="24"/>
              </w:rPr>
              <w:t>毕业作品设计；毕业设计报告书编写</w:t>
            </w:r>
            <w:r>
              <w:rPr>
                <w:rFonts w:hint="eastAsia" w:ascii="仿宋_GB2312" w:hAnsi="仿宋_GB2312" w:eastAsia="仿宋_GB2312" w:cs="仿宋_GB2312"/>
                <w:sz w:val="24"/>
                <w:lang w:eastAsia="zh-CN"/>
              </w:rPr>
              <w:t>。</w:t>
            </w:r>
          </w:p>
        </w:tc>
        <w:tc>
          <w:tcPr>
            <w:tcW w:w="2147" w:type="dxa"/>
            <w:vAlign w:val="top"/>
          </w:tcPr>
          <w:p w14:paraId="2E7BF086">
            <w:pPr>
              <w:overflowPunct w:val="0"/>
              <w:adjustRightInd w:val="0"/>
              <w:spacing w:line="36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sz w:val="24"/>
              </w:rPr>
              <w:t>毕业设计课程要求学生综合运用所学知识，独立完成选题研究或项目设计，培养创新思维、科研能力和解决问题的能力，确保成果具有实际应用价值或学术贡献，达到专业培养目标。</w:t>
            </w:r>
          </w:p>
        </w:tc>
      </w:tr>
      <w:tr w14:paraId="40F48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6" w:type="dxa"/>
            <w:vAlign w:val="center"/>
          </w:tcPr>
          <w:p w14:paraId="64258F4E">
            <w:pPr>
              <w:overflowPunct w:val="0"/>
              <w:adjustRightInd w:val="0"/>
              <w:spacing w:line="360" w:lineRule="exact"/>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rPr>
              <w:t>2</w:t>
            </w:r>
          </w:p>
        </w:tc>
        <w:tc>
          <w:tcPr>
            <w:tcW w:w="825" w:type="dxa"/>
            <w:vAlign w:val="center"/>
          </w:tcPr>
          <w:p w14:paraId="3BC71C3F">
            <w:pPr>
              <w:overflowPunct w:val="0"/>
              <w:adjustRightInd w:val="0"/>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sz w:val="24"/>
              </w:rPr>
              <w:t>岗位实习</w:t>
            </w:r>
          </w:p>
        </w:tc>
        <w:tc>
          <w:tcPr>
            <w:tcW w:w="4358" w:type="dxa"/>
            <w:vAlign w:val="top"/>
          </w:tcPr>
          <w:p w14:paraId="5DE74AF2">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知识目标：</w:t>
            </w:r>
            <w:r>
              <w:rPr>
                <w:rFonts w:hint="eastAsia" w:ascii="仿宋_GB2312" w:hAnsi="仿宋_GB2312" w:eastAsia="仿宋_GB2312" w:cs="仿宋_GB2312"/>
                <w:sz w:val="24"/>
                <w:lang w:val="en-US" w:eastAsia="zh-CN"/>
              </w:rPr>
              <w:t>理解高铁、地铁及轨交服务岗位的作业标准、安全规范及服务流程，掌握企业规章制度与岗位职责核心要点。</w:t>
            </w:r>
          </w:p>
          <w:p w14:paraId="64C3F9CB">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能力目标：</w:t>
            </w:r>
            <w:r>
              <w:rPr>
                <w:rFonts w:hint="eastAsia" w:ascii="仿宋_GB2312" w:hAnsi="仿宋_GB2312" w:eastAsia="仿宋_GB2312" w:cs="仿宋_GB2312"/>
                <w:sz w:val="24"/>
                <w:lang w:val="en-US" w:eastAsia="zh-CN"/>
              </w:rPr>
              <w:t>通过一线实操熟练掌握票务处理、乘客引导、应急处置等岗位技能，具备独立解决服务现场实际问题的执行能力。</w:t>
            </w:r>
          </w:p>
          <w:p w14:paraId="55A83042">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素质目标：</w:t>
            </w:r>
            <w:r>
              <w:rPr>
                <w:rFonts w:hint="eastAsia" w:ascii="仿宋_GB2312" w:hAnsi="仿宋_GB2312" w:eastAsia="仿宋_GB2312" w:cs="仿宋_GB2312"/>
                <w:sz w:val="24"/>
                <w:lang w:val="en-US" w:eastAsia="zh-CN"/>
              </w:rPr>
              <w:t>培养职业化服务意识、团队协作精神、沟通应变能力及吃苦耐劳的敬业品质。</w:t>
            </w:r>
          </w:p>
          <w:p w14:paraId="0B9B7115">
            <w:pPr>
              <w:keepNext w:val="0"/>
              <w:keepLines w:val="0"/>
              <w:pageBreakBefore w:val="0"/>
              <w:widowControl w:val="0"/>
              <w:kinsoku/>
              <w:wordWrap/>
              <w:overflowPunct w:val="0"/>
              <w:topLinePunct w:val="0"/>
              <w:autoSpaceDE/>
              <w:autoSpaceDN/>
              <w:bidi w:val="0"/>
              <w:adjustRightInd w:val="0"/>
              <w:snapToGrid/>
              <w:spacing w:after="0" w:line="360" w:lineRule="exact"/>
              <w:jc w:val="both"/>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lang w:val="en-US" w:eastAsia="zh-CN"/>
              </w:rPr>
              <w:t>课程思政育人目标：</w:t>
            </w:r>
            <w:r>
              <w:rPr>
                <w:rFonts w:hint="eastAsia" w:ascii="仿宋_GB2312" w:hAnsi="仿宋_GB2312" w:eastAsia="仿宋_GB2312" w:cs="仿宋_GB2312"/>
                <w:sz w:val="24"/>
                <w:lang w:val="en-US" w:eastAsia="zh-CN"/>
              </w:rPr>
              <w:t>筑牢“服务民生、奉献社会”的职业信仰，践行基层岗位的责任担当，弘扬爱岗敬业的劳动精神，强化服务人民出行的使命感。</w:t>
            </w:r>
          </w:p>
        </w:tc>
        <w:tc>
          <w:tcPr>
            <w:tcW w:w="2454" w:type="dxa"/>
            <w:vAlign w:val="top"/>
          </w:tcPr>
          <w:p w14:paraId="529987D1">
            <w:pPr>
              <w:overflowPunct w:val="0"/>
              <w:adjustRightInd w:val="0"/>
              <w:spacing w:line="36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sz w:val="24"/>
              </w:rPr>
              <w:t>高铁乘务岗位实习、地铁服务岗位实习、城市轨道交通服务岗位实习</w:t>
            </w:r>
            <w:r>
              <w:rPr>
                <w:rFonts w:hint="eastAsia" w:ascii="仿宋_GB2312" w:hAnsi="仿宋_GB2312" w:eastAsia="仿宋_GB2312" w:cs="仿宋_GB2312"/>
                <w:sz w:val="24"/>
                <w:lang w:eastAsia="zh-CN"/>
              </w:rPr>
              <w:t>。</w:t>
            </w:r>
          </w:p>
        </w:tc>
        <w:tc>
          <w:tcPr>
            <w:tcW w:w="2147" w:type="dxa"/>
            <w:vAlign w:val="top"/>
          </w:tcPr>
          <w:p w14:paraId="3D2B4E2B">
            <w:pPr>
              <w:overflowPunct w:val="0"/>
              <w:adjustRightInd w:val="0"/>
              <w:spacing w:line="36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spacing w:val="-11"/>
                <w:kern w:val="0"/>
                <w:sz w:val="24"/>
              </w:rPr>
              <w:t>强调理论与实践结合，要求学生深入企业一线，通过参与实际工作任务，掌握岗位技能，增强职业素养，培养解决问题的能力与团队协作精神，为职业生涯奠定坚实基础。</w:t>
            </w:r>
          </w:p>
        </w:tc>
      </w:tr>
      <w:bookmarkEnd w:id="15"/>
    </w:tbl>
    <w:p w14:paraId="17F9242B">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（三）第二课堂</w:t>
      </w:r>
      <w:r>
        <w:rPr>
          <w:rFonts w:hint="eastAsia" w:ascii="楷体" w:hAnsi="楷体" w:eastAsia="楷体" w:cs="楷体"/>
          <w:color w:val="auto"/>
          <w:sz w:val="32"/>
          <w:szCs w:val="32"/>
          <w:lang w:val="en-US" w:eastAsia="zh-CN"/>
        </w:rPr>
        <w:t>素质教育课</w:t>
      </w:r>
    </w:p>
    <w:p w14:paraId="727224FA">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第二课堂</w:t>
      </w:r>
      <w:r>
        <w:rPr>
          <w:rFonts w:hint="eastAsia" w:ascii="仿宋_GB2312" w:hAnsi="仿宋_GB2312" w:eastAsia="仿宋_GB2312" w:cs="仿宋_GB2312"/>
          <w:color w:val="auto"/>
          <w:sz w:val="32"/>
          <w:szCs w:val="32"/>
          <w:lang w:val="en-US" w:eastAsia="zh-CN"/>
        </w:rPr>
        <w:t>素质教育课</w:t>
      </w:r>
      <w:r>
        <w:rPr>
          <w:rFonts w:hint="eastAsia" w:ascii="仿宋_GB2312" w:hAnsi="仿宋_GB2312" w:eastAsia="仿宋_GB2312" w:cs="仿宋_GB2312"/>
          <w:color w:val="auto"/>
          <w:sz w:val="32"/>
          <w:szCs w:val="32"/>
        </w:rPr>
        <w:t>包括思想成长、</w:t>
      </w:r>
      <w:r>
        <w:rPr>
          <w:rFonts w:hint="eastAsia" w:ascii="仿宋_GB2312" w:hAnsi="仿宋_GB2312" w:eastAsia="仿宋_GB2312" w:cs="仿宋_GB2312"/>
          <w:color w:val="auto"/>
          <w:sz w:val="32"/>
          <w:szCs w:val="32"/>
          <w:lang w:val="en-US" w:eastAsia="zh-CN"/>
        </w:rPr>
        <w:t>实践实习</w:t>
      </w:r>
      <w:r>
        <w:rPr>
          <w:rFonts w:hint="eastAsia" w:ascii="仿宋_GB2312" w:hAnsi="仿宋_GB2312" w:eastAsia="仿宋_GB2312" w:cs="仿宋_GB2312"/>
          <w:color w:val="auto"/>
          <w:sz w:val="32"/>
          <w:szCs w:val="32"/>
        </w:rPr>
        <w:t>、创新创业、</w:t>
      </w:r>
      <w:r>
        <w:rPr>
          <w:rFonts w:hint="eastAsia" w:ascii="仿宋_GB2312" w:hAnsi="仿宋_GB2312" w:eastAsia="仿宋_GB2312" w:cs="仿宋_GB2312"/>
          <w:color w:val="auto"/>
          <w:sz w:val="32"/>
          <w:szCs w:val="32"/>
          <w:lang w:val="en-US" w:eastAsia="zh-CN"/>
        </w:rPr>
        <w:t>志愿公益、</w:t>
      </w:r>
      <w:r>
        <w:rPr>
          <w:rFonts w:hint="eastAsia" w:ascii="仿宋_GB2312" w:hAnsi="仿宋_GB2312" w:eastAsia="仿宋_GB2312" w:cs="仿宋_GB2312"/>
          <w:color w:val="auto"/>
          <w:sz w:val="32"/>
          <w:szCs w:val="32"/>
        </w:rPr>
        <w:t>文体</w:t>
      </w:r>
      <w:r>
        <w:rPr>
          <w:rFonts w:hint="eastAsia" w:ascii="仿宋_GB2312" w:hAnsi="仿宋_GB2312" w:eastAsia="仿宋_GB2312" w:cs="仿宋_GB2312"/>
          <w:color w:val="auto"/>
          <w:sz w:val="32"/>
          <w:szCs w:val="32"/>
          <w:lang w:val="en-US" w:eastAsia="zh-CN"/>
        </w:rPr>
        <w:t>活动</w:t>
      </w:r>
      <w:r>
        <w:rPr>
          <w:rFonts w:hint="eastAsia" w:ascii="仿宋_GB2312" w:hAnsi="仿宋_GB2312" w:eastAsia="仿宋_GB2312" w:cs="仿宋_GB2312"/>
          <w:color w:val="auto"/>
          <w:sz w:val="32"/>
          <w:szCs w:val="32"/>
        </w:rPr>
        <w:t>、工作履历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专业技能特长等其他各类课程及活动。</w:t>
      </w:r>
    </w:p>
    <w:p w14:paraId="161B7568">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val="en-US" w:eastAsia="zh-CN"/>
        </w:rPr>
        <w:t>第二课堂素质教育课安排表</w:t>
      </w:r>
    </w:p>
    <w:tbl>
      <w:tblPr>
        <w:tblStyle w:val="8"/>
        <w:tblW w:w="10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3573"/>
        <w:gridCol w:w="880"/>
        <w:gridCol w:w="1013"/>
        <w:gridCol w:w="1040"/>
        <w:gridCol w:w="1236"/>
        <w:gridCol w:w="1236"/>
      </w:tblGrid>
      <w:tr w14:paraId="5704E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0D4DFFD2">
            <w:pPr>
              <w:overflowPunct w:val="0"/>
              <w:adjustRightInd w:val="0"/>
              <w:spacing w:line="360" w:lineRule="exact"/>
              <w:jc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lang w:val="en-US" w:eastAsia="zh-CN"/>
              </w:rPr>
              <w:t>模块</w:t>
            </w:r>
          </w:p>
        </w:tc>
        <w:tc>
          <w:tcPr>
            <w:tcW w:w="3573" w:type="dxa"/>
            <w:vAlign w:val="center"/>
          </w:tcPr>
          <w:p w14:paraId="5DF06DC8">
            <w:pPr>
              <w:spacing w:line="360" w:lineRule="exact"/>
              <w:jc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szCs w:val="24"/>
                <w:lang w:val="en-US" w:eastAsia="zh-CN"/>
              </w:rPr>
              <w:t>内容</w:t>
            </w:r>
          </w:p>
        </w:tc>
        <w:tc>
          <w:tcPr>
            <w:tcW w:w="880" w:type="dxa"/>
            <w:vAlign w:val="center"/>
          </w:tcPr>
          <w:p w14:paraId="172650D4">
            <w:pPr>
              <w:spacing w:line="360" w:lineRule="exact"/>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性质</w:t>
            </w:r>
          </w:p>
        </w:tc>
        <w:tc>
          <w:tcPr>
            <w:tcW w:w="1013" w:type="dxa"/>
            <w:vAlign w:val="center"/>
          </w:tcPr>
          <w:p w14:paraId="6D85E7E1">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组织者</w:t>
            </w:r>
          </w:p>
        </w:tc>
        <w:tc>
          <w:tcPr>
            <w:tcW w:w="1040" w:type="dxa"/>
            <w:vAlign w:val="center"/>
          </w:tcPr>
          <w:p w14:paraId="3BE99B15">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认定者</w:t>
            </w:r>
          </w:p>
        </w:tc>
        <w:tc>
          <w:tcPr>
            <w:tcW w:w="1236" w:type="dxa"/>
            <w:vAlign w:val="center"/>
          </w:tcPr>
          <w:p w14:paraId="3CC3AACA">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计分标准</w:t>
            </w:r>
          </w:p>
        </w:tc>
        <w:tc>
          <w:tcPr>
            <w:tcW w:w="1236" w:type="dxa"/>
            <w:vAlign w:val="center"/>
          </w:tcPr>
          <w:p w14:paraId="6C0F63DD">
            <w:pPr>
              <w:spacing w:line="360" w:lineRule="exact"/>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备注</w:t>
            </w:r>
          </w:p>
        </w:tc>
      </w:tr>
      <w:tr w14:paraId="41D7D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6113C52B">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思想成长</w:t>
            </w:r>
          </w:p>
        </w:tc>
        <w:tc>
          <w:tcPr>
            <w:tcW w:w="3573" w:type="dxa"/>
            <w:vAlign w:val="center"/>
          </w:tcPr>
          <w:p w14:paraId="09D95305">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1.思想政治教育</w:t>
            </w:r>
            <w:r>
              <w:rPr>
                <w:rFonts w:hint="eastAsia" w:ascii="仿宋_GB2312" w:hAnsi="仿宋_GB2312" w:eastAsia="仿宋_GB2312" w:cs="仿宋_GB2312"/>
                <w:b w:val="0"/>
                <w:bCs w:val="0"/>
                <w:color w:val="000000"/>
                <w:sz w:val="24"/>
                <w:szCs w:val="24"/>
              </w:rPr>
              <w:t>主题</w:t>
            </w:r>
            <w:r>
              <w:rPr>
                <w:rFonts w:hint="eastAsia" w:ascii="仿宋_GB2312" w:hAnsi="仿宋_GB2312" w:eastAsia="仿宋_GB2312" w:cs="仿宋_GB2312"/>
                <w:b w:val="0"/>
                <w:bCs w:val="0"/>
                <w:color w:val="000000"/>
                <w:sz w:val="24"/>
                <w:szCs w:val="24"/>
                <w:lang w:val="en-US" w:eastAsia="zh-CN"/>
              </w:rPr>
              <w:t>讲</w:t>
            </w:r>
            <w:r>
              <w:rPr>
                <w:rFonts w:hint="eastAsia" w:ascii="仿宋_GB2312" w:hAnsi="仿宋_GB2312" w:eastAsia="仿宋_GB2312" w:cs="仿宋_GB2312"/>
                <w:b w:val="0"/>
                <w:bCs w:val="0"/>
                <w:color w:val="000000"/>
                <w:sz w:val="24"/>
                <w:szCs w:val="24"/>
              </w:rPr>
              <w:t>座、形势与政策报告会</w:t>
            </w:r>
          </w:p>
          <w:p w14:paraId="02058773">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2.</w:t>
            </w:r>
            <w:r>
              <w:rPr>
                <w:rFonts w:hint="eastAsia" w:ascii="仿宋_GB2312" w:hAnsi="仿宋_GB2312" w:eastAsia="仿宋_GB2312" w:cs="仿宋_GB2312"/>
                <w:b w:val="0"/>
                <w:bCs w:val="0"/>
                <w:color w:val="000000"/>
                <w:sz w:val="24"/>
                <w:szCs w:val="24"/>
              </w:rPr>
              <w:t>爱国主义教育活动</w:t>
            </w:r>
          </w:p>
          <w:p w14:paraId="72DEA21A">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3.</w:t>
            </w:r>
            <w:r>
              <w:rPr>
                <w:rFonts w:hint="eastAsia" w:ascii="仿宋_GB2312" w:hAnsi="仿宋_GB2312" w:eastAsia="仿宋_GB2312" w:cs="仿宋_GB2312"/>
                <w:b w:val="0"/>
                <w:bCs w:val="0"/>
                <w:color w:val="000000"/>
                <w:sz w:val="24"/>
                <w:szCs w:val="24"/>
              </w:rPr>
              <w:t>党团组织生活</w:t>
            </w:r>
          </w:p>
          <w:p w14:paraId="129641D4">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4.</w:t>
            </w:r>
            <w:r>
              <w:rPr>
                <w:rFonts w:hint="eastAsia" w:ascii="仿宋_GB2312" w:hAnsi="仿宋_GB2312" w:eastAsia="仿宋_GB2312" w:cs="仿宋_GB2312"/>
                <w:b w:val="0"/>
                <w:bCs w:val="0"/>
                <w:color w:val="000000"/>
                <w:sz w:val="24"/>
                <w:szCs w:val="24"/>
              </w:rPr>
              <w:t xml:space="preserve">党团培训 </w:t>
            </w:r>
          </w:p>
          <w:p w14:paraId="26438E3A">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青年大学习</w:t>
            </w:r>
          </w:p>
        </w:tc>
        <w:tc>
          <w:tcPr>
            <w:tcW w:w="880" w:type="dxa"/>
            <w:vAlign w:val="center"/>
          </w:tcPr>
          <w:p w14:paraId="77B5986B">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4ED49ED9">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65BA7D51">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5AA4B9BB">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restart"/>
            <w:vAlign w:val="center"/>
          </w:tcPr>
          <w:p w14:paraId="17D7DD20">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rPr>
              <w:t>第二课堂成绩</w:t>
            </w:r>
            <w:r>
              <w:rPr>
                <w:rFonts w:hint="eastAsia" w:ascii="仿宋_GB2312" w:hAnsi="仿宋_GB2312" w:eastAsia="仿宋_GB2312" w:cs="仿宋_GB2312"/>
                <w:b w:val="0"/>
                <w:bCs w:val="0"/>
                <w:color w:val="000000"/>
                <w:sz w:val="24"/>
                <w:szCs w:val="24"/>
                <w:lang w:val="en-US" w:eastAsia="zh-CN"/>
              </w:rPr>
              <w:t>由</w:t>
            </w:r>
            <w:r>
              <w:rPr>
                <w:rFonts w:hint="eastAsia" w:ascii="仿宋_GB2312" w:hAnsi="仿宋_GB2312" w:eastAsia="仿宋_GB2312" w:cs="仿宋_GB2312"/>
                <w:b w:val="0"/>
                <w:bCs w:val="0"/>
                <w:color w:val="000000"/>
                <w:sz w:val="24"/>
                <w:szCs w:val="24"/>
              </w:rPr>
              <w:t xml:space="preserve">网络管理系 统（到梦 空间）实 时记录，学生在大一、 </w:t>
            </w:r>
            <w:r>
              <w:rPr>
                <w:rFonts w:hint="eastAsia" w:ascii="仿宋_GB2312" w:hAnsi="仿宋_GB2312" w:eastAsia="仿宋_GB2312" w:cs="仿宋_GB2312"/>
                <w:b w:val="0"/>
                <w:bCs w:val="0"/>
                <w:color w:val="000000"/>
                <w:sz w:val="24"/>
                <w:szCs w:val="24"/>
                <w:lang w:val="en-US" w:eastAsia="zh-CN"/>
              </w:rPr>
              <w:t>大</w:t>
            </w:r>
            <w:r>
              <w:rPr>
                <w:rFonts w:hint="eastAsia" w:ascii="仿宋_GB2312" w:hAnsi="仿宋_GB2312" w:eastAsia="仿宋_GB2312" w:cs="仿宋_GB2312"/>
                <w:b w:val="0"/>
                <w:bCs w:val="0"/>
                <w:color w:val="000000"/>
                <w:sz w:val="24"/>
                <w:szCs w:val="24"/>
              </w:rPr>
              <w:t>二期间</w:t>
            </w:r>
            <w:r>
              <w:rPr>
                <w:rFonts w:hint="eastAsia" w:ascii="仿宋_GB2312" w:hAnsi="仿宋_GB2312" w:eastAsia="仿宋_GB2312" w:cs="仿宋_GB2312"/>
                <w:b w:val="0"/>
                <w:bCs w:val="0"/>
                <w:color w:val="000000"/>
                <w:sz w:val="24"/>
                <w:szCs w:val="24"/>
                <w:lang w:val="en-US" w:eastAsia="zh-CN"/>
              </w:rPr>
              <w:t>积分达60分及以上，可获4</w:t>
            </w:r>
            <w:r>
              <w:rPr>
                <w:rFonts w:hint="eastAsia" w:ascii="仿宋_GB2312" w:hAnsi="仿宋_GB2312" w:eastAsia="仿宋_GB2312" w:cs="仿宋_GB2312"/>
                <w:b w:val="0"/>
                <w:bCs w:val="0"/>
                <w:color w:val="000000"/>
                <w:sz w:val="24"/>
                <w:szCs w:val="24"/>
              </w:rPr>
              <w:t>学分。</w:t>
            </w:r>
          </w:p>
        </w:tc>
      </w:tr>
      <w:tr w14:paraId="0B614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70662222">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rPr>
              <w:t>实践</w:t>
            </w:r>
            <w:r>
              <w:rPr>
                <w:rFonts w:hint="eastAsia" w:ascii="仿宋_GB2312" w:hAnsi="仿宋_GB2312" w:eastAsia="仿宋_GB2312" w:cs="仿宋_GB2312"/>
                <w:color w:val="auto"/>
                <w:sz w:val="24"/>
                <w:szCs w:val="24"/>
                <w:lang w:val="en-US" w:eastAsia="zh-CN"/>
              </w:rPr>
              <w:t>实习</w:t>
            </w:r>
          </w:p>
        </w:tc>
        <w:tc>
          <w:tcPr>
            <w:tcW w:w="3573" w:type="dxa"/>
            <w:vAlign w:val="center"/>
          </w:tcPr>
          <w:p w14:paraId="0E7A2BA9">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1.</w:t>
            </w:r>
            <w:r>
              <w:rPr>
                <w:rFonts w:hint="eastAsia" w:ascii="仿宋_GB2312" w:hAnsi="仿宋_GB2312" w:eastAsia="仿宋_GB2312" w:cs="仿宋_GB2312"/>
                <w:b w:val="0"/>
                <w:bCs w:val="0"/>
                <w:color w:val="000000"/>
                <w:sz w:val="24"/>
                <w:szCs w:val="24"/>
              </w:rPr>
              <w:t xml:space="preserve">暑期“三下乡”社会实践活动 </w:t>
            </w:r>
            <w:r>
              <w:rPr>
                <w:rFonts w:hint="eastAsia" w:ascii="仿宋_GB2312" w:hAnsi="仿宋_GB2312" w:eastAsia="仿宋_GB2312" w:cs="仿宋_GB2312"/>
                <w:b w:val="0"/>
                <w:bCs w:val="0"/>
                <w:color w:val="000000"/>
                <w:sz w:val="24"/>
                <w:szCs w:val="24"/>
                <w:lang w:val="en-US" w:eastAsia="zh-CN"/>
              </w:rPr>
              <w:t>2.</w:t>
            </w:r>
            <w:r>
              <w:rPr>
                <w:rFonts w:hint="eastAsia" w:ascii="仿宋_GB2312" w:hAnsi="仿宋_GB2312" w:eastAsia="仿宋_GB2312" w:cs="仿宋_GB2312"/>
                <w:b w:val="0"/>
                <w:bCs w:val="0"/>
                <w:color w:val="000000"/>
                <w:sz w:val="24"/>
                <w:szCs w:val="24"/>
              </w:rPr>
              <w:t xml:space="preserve">寒暑假“返家乡”实践活动 </w:t>
            </w:r>
          </w:p>
          <w:p w14:paraId="5E07AE36">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3.</w:t>
            </w:r>
            <w:r>
              <w:rPr>
                <w:rFonts w:hint="eastAsia" w:ascii="仿宋_GB2312" w:hAnsi="仿宋_GB2312" w:eastAsia="仿宋_GB2312" w:cs="仿宋_GB2312"/>
                <w:b w:val="0"/>
                <w:bCs w:val="0"/>
                <w:color w:val="000000"/>
                <w:sz w:val="24"/>
                <w:szCs w:val="24"/>
              </w:rPr>
              <w:t xml:space="preserve">企业见习实践 </w:t>
            </w:r>
          </w:p>
          <w:p w14:paraId="09D60354">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4.</w:t>
            </w:r>
            <w:r>
              <w:rPr>
                <w:rFonts w:hint="eastAsia" w:ascii="仿宋_GB2312" w:hAnsi="仿宋_GB2312" w:eastAsia="仿宋_GB2312" w:cs="仿宋_GB2312"/>
                <w:b w:val="0"/>
                <w:bCs w:val="0"/>
                <w:color w:val="000000"/>
                <w:sz w:val="24"/>
                <w:szCs w:val="24"/>
              </w:rPr>
              <w:t xml:space="preserve">上级、校院交予专项工作项目实践活动含兼挂职锻炼 </w:t>
            </w:r>
          </w:p>
          <w:p w14:paraId="3D101282">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 xml:space="preserve">新闻宣传报道被学校、学院采用或转发 </w:t>
            </w:r>
          </w:p>
          <w:p w14:paraId="55241EA3">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default"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6.晨读</w:t>
            </w:r>
          </w:p>
          <w:p w14:paraId="63B3AB54">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7</w:t>
            </w:r>
            <w:r>
              <w:rPr>
                <w:rFonts w:hint="eastAsia" w:ascii="仿宋_GB2312" w:hAnsi="仿宋_GB2312" w:eastAsia="仿宋_GB2312" w:cs="仿宋_GB2312"/>
                <w:b w:val="0"/>
                <w:bCs w:val="0"/>
                <w:color w:val="000000"/>
                <w:sz w:val="24"/>
                <w:szCs w:val="24"/>
              </w:rPr>
              <w:t xml:space="preserve">.劳动精神、劳模精神、工匠精神专题教育 </w:t>
            </w:r>
          </w:p>
          <w:p w14:paraId="5112A6DB">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8.</w:t>
            </w:r>
            <w:r>
              <w:rPr>
                <w:rFonts w:hint="eastAsia" w:ascii="仿宋_GB2312" w:hAnsi="仿宋_GB2312" w:eastAsia="仿宋_GB2312" w:cs="仿宋_GB2312"/>
                <w:b w:val="0"/>
                <w:bCs w:val="0"/>
                <w:color w:val="000000"/>
                <w:sz w:val="24"/>
                <w:szCs w:val="24"/>
              </w:rPr>
              <w:t>实践活动的相关荣誉</w:t>
            </w:r>
          </w:p>
        </w:tc>
        <w:tc>
          <w:tcPr>
            <w:tcW w:w="880" w:type="dxa"/>
            <w:vAlign w:val="center"/>
          </w:tcPr>
          <w:p w14:paraId="73BADC23">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6AA6AC74">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79103101">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3C4737C7">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613B109E">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0D8D6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60D279D8">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创新创业</w:t>
            </w:r>
          </w:p>
        </w:tc>
        <w:tc>
          <w:tcPr>
            <w:tcW w:w="3573" w:type="dxa"/>
            <w:vAlign w:val="center"/>
          </w:tcPr>
          <w:p w14:paraId="722B2DD2">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w:t>
            </w:r>
            <w:r>
              <w:rPr>
                <w:rFonts w:hint="eastAsia" w:ascii="仿宋_GB2312" w:hAnsi="仿宋_GB2312" w:eastAsia="仿宋_GB2312" w:cs="仿宋_GB2312"/>
                <w:color w:val="auto"/>
                <w:sz w:val="24"/>
                <w:szCs w:val="24"/>
              </w:rPr>
              <w:t xml:space="preserve">发表文章、出版专著 </w:t>
            </w:r>
          </w:p>
          <w:p w14:paraId="216F9F98">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 xml:space="preserve">发明专利 </w:t>
            </w:r>
          </w:p>
          <w:p w14:paraId="2ACC54EF">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3.</w:t>
            </w:r>
            <w:r>
              <w:rPr>
                <w:rFonts w:hint="eastAsia" w:ascii="仿宋_GB2312" w:hAnsi="仿宋_GB2312" w:eastAsia="仿宋_GB2312" w:cs="仿宋_GB2312"/>
                <w:color w:val="auto"/>
                <w:sz w:val="24"/>
                <w:szCs w:val="24"/>
              </w:rPr>
              <w:t xml:space="preserve">创新创业项目竞赛 </w:t>
            </w:r>
          </w:p>
          <w:p w14:paraId="74DBBB6A">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4.</w:t>
            </w:r>
            <w:r>
              <w:rPr>
                <w:rFonts w:hint="eastAsia" w:ascii="仿宋_GB2312" w:hAnsi="仿宋_GB2312" w:eastAsia="仿宋_GB2312" w:cs="仿宋_GB2312"/>
                <w:color w:val="auto"/>
                <w:sz w:val="24"/>
                <w:szCs w:val="24"/>
              </w:rPr>
              <w:t xml:space="preserve">创新创业项目培训 </w:t>
            </w:r>
          </w:p>
          <w:p w14:paraId="42327C62">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5.</w:t>
            </w:r>
            <w:r>
              <w:rPr>
                <w:rFonts w:hint="eastAsia" w:ascii="仿宋_GB2312" w:hAnsi="仿宋_GB2312" w:eastAsia="仿宋_GB2312" w:cs="仿宋_GB2312"/>
                <w:color w:val="auto"/>
                <w:sz w:val="24"/>
                <w:szCs w:val="24"/>
              </w:rPr>
              <w:t xml:space="preserve">创新创业课程、讲座 </w:t>
            </w:r>
          </w:p>
          <w:p w14:paraId="774D702F">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6.</w:t>
            </w:r>
            <w:r>
              <w:rPr>
                <w:rFonts w:hint="eastAsia" w:ascii="仿宋_GB2312" w:hAnsi="仿宋_GB2312" w:eastAsia="仿宋_GB2312" w:cs="仿宋_GB2312"/>
                <w:color w:val="auto"/>
                <w:sz w:val="24"/>
                <w:szCs w:val="24"/>
              </w:rPr>
              <w:t>自主创业</w:t>
            </w:r>
          </w:p>
        </w:tc>
        <w:tc>
          <w:tcPr>
            <w:tcW w:w="880" w:type="dxa"/>
            <w:vAlign w:val="center"/>
          </w:tcPr>
          <w:p w14:paraId="7926EA25">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19F23DC9">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14163173">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2262B373">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4E8E62DC">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2E164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379CFA82">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p>
          <w:p w14:paraId="6F94881D">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志愿公益</w:t>
            </w:r>
          </w:p>
        </w:tc>
        <w:tc>
          <w:tcPr>
            <w:tcW w:w="3573" w:type="dxa"/>
            <w:vAlign w:val="center"/>
          </w:tcPr>
          <w:p w14:paraId="2369C520">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1.校级、学院、社团、班级等学生组织开展的志愿服务活动 </w:t>
            </w:r>
          </w:p>
          <w:p w14:paraId="489CC2F8">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2.无偿献血活动 </w:t>
            </w:r>
          </w:p>
          <w:p w14:paraId="10A1E807">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3.捐献造血干细胞 </w:t>
            </w:r>
          </w:p>
          <w:p w14:paraId="13829108">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4.相关公益类宣传讲座、报告会等志愿服务表彰</w:t>
            </w:r>
          </w:p>
          <w:p w14:paraId="171C4727">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 xml:space="preserve">公益劳动 </w:t>
            </w:r>
          </w:p>
        </w:tc>
        <w:tc>
          <w:tcPr>
            <w:tcW w:w="880" w:type="dxa"/>
            <w:vAlign w:val="center"/>
          </w:tcPr>
          <w:p w14:paraId="5646DC7D">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22F235FC">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6603828A">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3010FBA8">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3B2C8997">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2BDB8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7C7027E4">
            <w:pPr>
              <w:keepNext w:val="0"/>
              <w:keepLines w:val="0"/>
              <w:pageBreakBefore w:val="0"/>
              <w:widowControl w:val="0"/>
              <w:kinsoku/>
              <w:wordWrap/>
              <w:overflowPunct w:val="0"/>
              <w:topLinePunct w:val="0"/>
              <w:autoSpaceDE/>
              <w:autoSpaceDN/>
              <w:bidi w:val="0"/>
              <w:adjustRightInd w:val="0"/>
              <w:snapToGrid/>
              <w:spacing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rPr>
              <w:t xml:space="preserve">文体活动 </w:t>
            </w:r>
          </w:p>
        </w:tc>
        <w:tc>
          <w:tcPr>
            <w:tcW w:w="3573" w:type="dxa"/>
            <w:vAlign w:val="center"/>
          </w:tcPr>
          <w:p w14:paraId="74D37FEB">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1.文艺竞赛 </w:t>
            </w:r>
          </w:p>
          <w:p w14:paraId="388CED24">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2.体育竞赛 </w:t>
            </w:r>
          </w:p>
          <w:p w14:paraId="20A3A786">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3.文艺演出 </w:t>
            </w:r>
          </w:p>
          <w:p w14:paraId="34167C71">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4.体育活动 </w:t>
            </w:r>
          </w:p>
          <w:p w14:paraId="6038CF7E">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5.文体讲座</w:t>
            </w:r>
          </w:p>
        </w:tc>
        <w:tc>
          <w:tcPr>
            <w:tcW w:w="880" w:type="dxa"/>
            <w:vAlign w:val="center"/>
          </w:tcPr>
          <w:p w14:paraId="307F22FF">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6D6C9E6A">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3759036F">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5C0A4D42">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63FF3766">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23D76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5F33B02D">
            <w:pPr>
              <w:keepNext w:val="0"/>
              <w:keepLines w:val="0"/>
              <w:pageBreakBefore w:val="0"/>
              <w:widowControl w:val="0"/>
              <w:kinsoku/>
              <w:wordWrap/>
              <w:overflowPunct w:val="0"/>
              <w:topLinePunct w:val="0"/>
              <w:autoSpaceDE/>
              <w:autoSpaceDN/>
              <w:bidi w:val="0"/>
              <w:adjustRightInd w:val="0"/>
              <w:snapToGrid/>
              <w:spacing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 xml:space="preserve">工作履历 </w:t>
            </w:r>
          </w:p>
        </w:tc>
        <w:tc>
          <w:tcPr>
            <w:tcW w:w="3573" w:type="dxa"/>
            <w:vAlign w:val="center"/>
          </w:tcPr>
          <w:p w14:paraId="2732D6E0">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1.团学干部任职</w:t>
            </w:r>
          </w:p>
          <w:p w14:paraId="2E02E53C">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2.团学先进个人</w:t>
            </w:r>
          </w:p>
          <w:p w14:paraId="18F3BB3A">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3.勤工俭学</w:t>
            </w:r>
          </w:p>
          <w:p w14:paraId="4B4B02E2">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4.社会任职 </w:t>
            </w:r>
          </w:p>
          <w:p w14:paraId="15CAD285">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5.退伍军人</w:t>
            </w:r>
          </w:p>
        </w:tc>
        <w:tc>
          <w:tcPr>
            <w:tcW w:w="880" w:type="dxa"/>
            <w:vAlign w:val="center"/>
          </w:tcPr>
          <w:p w14:paraId="2A2E8AE8">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72D80E3F">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3B6574D8">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7A6A74A7">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1905C4F4">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1AA73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2CA49717">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技能特长 </w:t>
            </w:r>
          </w:p>
        </w:tc>
        <w:tc>
          <w:tcPr>
            <w:tcW w:w="3573" w:type="dxa"/>
            <w:vAlign w:val="center"/>
          </w:tcPr>
          <w:p w14:paraId="2FFA20FF">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1.职业资格证书 </w:t>
            </w:r>
          </w:p>
          <w:p w14:paraId="68FDFC3A">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2.职业技能证书 </w:t>
            </w:r>
          </w:p>
          <w:p w14:paraId="38885751">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3.机动车驾驶证</w:t>
            </w:r>
          </w:p>
          <w:p w14:paraId="5BB7E012">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4.从业人员上岗资格证 </w:t>
            </w:r>
          </w:p>
          <w:p w14:paraId="5DDA2ACC">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5.技能比赛获奖</w:t>
            </w:r>
          </w:p>
        </w:tc>
        <w:tc>
          <w:tcPr>
            <w:tcW w:w="880" w:type="dxa"/>
            <w:vAlign w:val="center"/>
          </w:tcPr>
          <w:p w14:paraId="68F13F8C">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08A3DC28">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4183704C">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7AF95D8D">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59A5987E">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06C50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32971815">
            <w:pPr>
              <w:keepNext w:val="0"/>
              <w:keepLines w:val="0"/>
              <w:pageBreakBefore w:val="0"/>
              <w:widowControl w:val="0"/>
              <w:kinsoku/>
              <w:wordWrap/>
              <w:overflowPunct w:val="0"/>
              <w:topLinePunct w:val="0"/>
              <w:autoSpaceDE/>
              <w:autoSpaceDN/>
              <w:bidi w:val="0"/>
              <w:adjustRightInd w:val="0"/>
              <w:snapToGrid/>
              <w:spacing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其他</w:t>
            </w:r>
          </w:p>
        </w:tc>
        <w:tc>
          <w:tcPr>
            <w:tcW w:w="3573" w:type="dxa"/>
            <w:vAlign w:val="center"/>
          </w:tcPr>
          <w:p w14:paraId="1A006D31">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1.其他证书（社会职业类证书） </w:t>
            </w:r>
          </w:p>
          <w:p w14:paraId="1EC47502">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2.校内各单位其他类型活动 </w:t>
            </w:r>
          </w:p>
          <w:p w14:paraId="181F1E6F">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3.升旗仪式工作人员</w:t>
            </w:r>
          </w:p>
        </w:tc>
        <w:tc>
          <w:tcPr>
            <w:tcW w:w="880" w:type="dxa"/>
            <w:vAlign w:val="center"/>
          </w:tcPr>
          <w:p w14:paraId="47477267">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3FF6C526">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4770BA5B">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3813F857">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777C9250">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bl>
    <w:p w14:paraId="54D13A2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olor w:val="auto"/>
          <w:sz w:val="32"/>
          <w:szCs w:val="32"/>
        </w:rPr>
      </w:pPr>
      <w:r>
        <w:rPr>
          <w:rFonts w:hint="eastAsia" w:ascii="黑体" w:hAnsi="黑体" w:eastAsia="黑体"/>
          <w:color w:val="auto"/>
          <w:sz w:val="32"/>
          <w:szCs w:val="32"/>
          <w:lang w:val="en-US" w:eastAsia="zh-CN"/>
        </w:rPr>
        <w:t>八</w:t>
      </w:r>
      <w:r>
        <w:rPr>
          <w:rFonts w:ascii="黑体" w:hAnsi="黑体" w:eastAsia="黑体"/>
          <w:color w:val="auto"/>
          <w:sz w:val="32"/>
          <w:szCs w:val="32"/>
        </w:rPr>
        <w:t>、教学进程总体安排</w:t>
      </w:r>
    </w:p>
    <w:p w14:paraId="31A6BE6E">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 xml:space="preserve">（一）教学环节分配表 </w:t>
      </w:r>
    </w:p>
    <w:p w14:paraId="11024F05">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教学周数分配表每学期总周数合计应为</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周，各学期教学周数应与教学计划进程表一致，军训、入学教育、考试环节、实习开展、毕业设计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社会实践及毕业教育</w:t>
      </w:r>
      <w:r>
        <w:rPr>
          <w:rFonts w:hint="eastAsia" w:ascii="仿宋_GB2312" w:hAnsi="仿宋_GB2312" w:eastAsia="仿宋_GB2312" w:cs="仿宋_GB2312"/>
          <w:color w:val="auto"/>
          <w:sz w:val="32"/>
          <w:szCs w:val="32"/>
        </w:rPr>
        <w:t>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学期合计周数</w:t>
      </w:r>
      <w:r>
        <w:rPr>
          <w:rFonts w:hint="eastAsia" w:ascii="仿宋_GB2312" w:hAnsi="仿宋_GB2312" w:eastAsia="仿宋_GB2312" w:cs="仿宋_GB2312"/>
          <w:color w:val="auto"/>
          <w:sz w:val="32"/>
          <w:szCs w:val="32"/>
          <w:lang w:val="en-US" w:eastAsia="zh-CN"/>
        </w:rPr>
        <w:t>为</w:t>
      </w:r>
      <w:r>
        <w:rPr>
          <w:rFonts w:hint="eastAsia" w:ascii="仿宋_GB2312" w:hAnsi="仿宋_GB2312" w:eastAsia="仿宋_GB2312" w:cs="仿宋_GB2312"/>
          <w:color w:val="auto"/>
          <w:sz w:val="32"/>
          <w:szCs w:val="32"/>
        </w:rPr>
        <w:t>20周。</w:t>
      </w:r>
    </w:p>
    <w:p w14:paraId="732E568F">
      <w:pPr>
        <w:keepNext w:val="0"/>
        <w:keepLines w:val="0"/>
        <w:pageBreakBefore w:val="0"/>
        <w:widowControl w:val="0"/>
        <w:kinsoku/>
        <w:wordWrap/>
        <w:topLinePunct w:val="0"/>
        <w:autoSpaceDE/>
        <w:autoSpaceDN/>
        <w:bidi w:val="0"/>
        <w:snapToGrid/>
        <w:spacing w:after="0" w:line="520" w:lineRule="exact"/>
        <w:ind w:firstLine="640" w:firstLineChars="20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 xml:space="preserve"> 教育活动时间分配表（单位：周）</w:t>
      </w:r>
    </w:p>
    <w:tbl>
      <w:tblPr>
        <w:tblStyle w:val="8"/>
        <w:tblW w:w="5117" w:type="pct"/>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33"/>
        <w:gridCol w:w="1230"/>
        <w:gridCol w:w="1108"/>
        <w:gridCol w:w="1108"/>
        <w:gridCol w:w="1108"/>
        <w:gridCol w:w="1108"/>
        <w:gridCol w:w="1111"/>
      </w:tblGrid>
      <w:tr w14:paraId="5CBEA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37" w:type="pct"/>
            <w:vMerge w:val="restart"/>
            <mc:AlternateContent>
              <mc:Choice Requires="wpsCustomData">
                <wpsCustomData:diagonals>
                  <wpsCustomData:diagonal from="30000" to="13800">
                    <wpsCustomData:border w:val="single" w:color="auto" w:sz="4" w:space="0"/>
                  </wpsCustomData:diagonal>
                  <wpsCustomData:diagonal from="30000" to="6000">
                    <wpsCustomData:border w:val="single" w:color="auto" w:sz="4" w:space="0"/>
                  </wpsCustomData:diagonal>
                </wpsCustomData:diagonals>
              </mc:Choice>
            </mc:AlternateContent>
          </w:tcPr>
          <w:p w14:paraId="484E0E88">
            <w:pPr>
              <w:spacing w:after="0" w:line="240" w:lineRule="auto"/>
              <w:rPr>
                <w:rFonts w:hint="eastAsia" w:ascii="仿宋_GB2312" w:hAnsi="仿宋_GB2312" w:eastAsia="仿宋_GB2312" w:cs="仿宋_GB2312"/>
                <w:color w:val="auto"/>
                <w:sz w:val="24"/>
                <w:szCs w:val="24"/>
              </w:rPr>
            </w:pPr>
          </w:p>
          <w:p w14:paraId="0096DAE4">
            <w:pPr>
              <w:spacing w:after="0" w:line="240" w:lineRule="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项目</w:t>
            </w:r>
          </w:p>
          <w:p w14:paraId="418FDF9E">
            <w:pPr>
              <w:spacing w:after="0" w:line="24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周数</w:t>
            </w:r>
          </w:p>
          <w:p w14:paraId="0C3879D7">
            <w:pPr>
              <w:spacing w:after="0" w:line="240" w:lineRule="auto"/>
              <mc:AlternateContent>
                <mc:Choice Requires="wpsCustomData">
                  <wpsCustomData:diagonalParaType/>
                </mc:Choice>
              </mc:AlternateConten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内容</w:t>
            </w:r>
          </w:p>
          <w:p w14:paraId="391025A5">
            <w:pPr>
              <w:spacing w:after="0" w:line="240" w:lineRule="auto"/>
              <w:rPr>
                <w:rFonts w:hint="eastAsia" w:ascii="仿宋_GB2312" w:hAnsi="仿宋_GB2312" w:eastAsia="仿宋_GB2312" w:cs="仿宋_GB2312"/>
                <w:color w:val="auto"/>
                <w:sz w:val="24"/>
                <w:szCs w:val="24"/>
                <w:lang w:val="en-US" w:eastAsia="zh-CN"/>
              </w:rPr>
            </w:pPr>
          </w:p>
          <w:p w14:paraId="74AAA2E8">
            <w:pPr>
              <w:spacing w:after="0" w:line="240" w:lineRule="auto"/>
              <mc:AlternateContent>
                <mc:Choice Requires="wpsCustomData">
                  <wpsCustomData:diagonalParaType/>
                </mc:Choice>
              </mc:AlternateConten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周数</w:t>
            </w:r>
          </w:p>
          <w:p w14:paraId="3832F13E">
            <w:pPr>
              <w:spacing w:after="0" w:line="240" w:lineRule="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学年</w:t>
            </w:r>
          </w:p>
        </w:tc>
        <w:tc>
          <w:tcPr>
            <w:tcW w:w="1229" w:type="pct"/>
            <w:gridSpan w:val="2"/>
            <w:vAlign w:val="center"/>
          </w:tcPr>
          <w:p w14:paraId="69024E0F">
            <w:pPr>
              <w:spacing w:after="0" w:line="240" w:lineRule="auto"/>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一</w:t>
            </w:r>
          </w:p>
        </w:tc>
        <w:tc>
          <w:tcPr>
            <w:tcW w:w="1165" w:type="pct"/>
            <w:gridSpan w:val="2"/>
            <w:vAlign w:val="center"/>
          </w:tcPr>
          <w:p w14:paraId="225B3DF9">
            <w:pPr>
              <w:spacing w:after="0" w:line="240" w:lineRule="auto"/>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二</w:t>
            </w:r>
          </w:p>
        </w:tc>
        <w:tc>
          <w:tcPr>
            <w:tcW w:w="1167" w:type="pct"/>
            <w:gridSpan w:val="2"/>
            <w:vAlign w:val="center"/>
          </w:tcPr>
          <w:p w14:paraId="1A30DC11">
            <w:pPr>
              <w:spacing w:after="0" w:line="240" w:lineRule="auto"/>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三</w:t>
            </w:r>
          </w:p>
        </w:tc>
      </w:tr>
      <w:tr w14:paraId="13C3A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37" w:type="pct"/>
            <w:vMerge w:val="continue"/>
          </w:tcPr>
          <w:p w14:paraId="56D14410">
            <w:pPr>
              <w:spacing w:after="0" w:line="240" w:lineRule="auto"/>
              <w:rPr>
                <w:rFonts w:hint="eastAsia" w:ascii="仿宋_GB2312" w:hAnsi="仿宋_GB2312" w:eastAsia="仿宋_GB2312" w:cs="仿宋_GB2312"/>
                <w:sz w:val="24"/>
                <w:szCs w:val="24"/>
              </w:rPr>
            </w:pPr>
          </w:p>
        </w:tc>
        <w:tc>
          <w:tcPr>
            <w:tcW w:w="646" w:type="pct"/>
            <w:vAlign w:val="center"/>
          </w:tcPr>
          <w:p w14:paraId="1DCE23DC">
            <w:pPr>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1</w:t>
            </w:r>
          </w:p>
        </w:tc>
        <w:tc>
          <w:tcPr>
            <w:tcW w:w="582" w:type="pct"/>
            <w:vAlign w:val="center"/>
          </w:tcPr>
          <w:p w14:paraId="6A8C8C63">
            <w:pPr>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2</w:t>
            </w:r>
          </w:p>
        </w:tc>
        <w:tc>
          <w:tcPr>
            <w:tcW w:w="582" w:type="pct"/>
            <w:vAlign w:val="center"/>
          </w:tcPr>
          <w:p w14:paraId="050E924E">
            <w:pPr>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3</w:t>
            </w:r>
          </w:p>
        </w:tc>
        <w:tc>
          <w:tcPr>
            <w:tcW w:w="582" w:type="pct"/>
            <w:vAlign w:val="center"/>
          </w:tcPr>
          <w:p w14:paraId="1EAA5F41">
            <w:pPr>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w:t>
            </w:r>
          </w:p>
        </w:tc>
        <w:tc>
          <w:tcPr>
            <w:tcW w:w="582" w:type="pct"/>
            <w:vAlign w:val="center"/>
          </w:tcPr>
          <w:p w14:paraId="13AB6862">
            <w:pPr>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5</w:t>
            </w:r>
          </w:p>
        </w:tc>
        <w:tc>
          <w:tcPr>
            <w:tcW w:w="584" w:type="pct"/>
            <w:vAlign w:val="center"/>
          </w:tcPr>
          <w:p w14:paraId="510A51BA">
            <w:pPr>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6</w:t>
            </w:r>
          </w:p>
        </w:tc>
      </w:tr>
      <w:tr w14:paraId="26892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437" w:type="pct"/>
            <w:vAlign w:val="center"/>
          </w:tcPr>
          <w:p w14:paraId="78142731">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课堂教学</w:t>
            </w:r>
          </w:p>
        </w:tc>
        <w:tc>
          <w:tcPr>
            <w:tcW w:w="646" w:type="pct"/>
            <w:vAlign w:val="center"/>
          </w:tcPr>
          <w:p w14:paraId="019A5890">
            <w:pPr>
              <w:spacing w:after="0" w:line="240" w:lineRule="auto"/>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1-18</w:t>
            </w:r>
          </w:p>
        </w:tc>
        <w:tc>
          <w:tcPr>
            <w:tcW w:w="582" w:type="pct"/>
            <w:vAlign w:val="center"/>
          </w:tcPr>
          <w:p w14:paraId="0CD4C131">
            <w:pPr>
              <w:spacing w:after="0" w:line="240" w:lineRule="auto"/>
              <w:jc w:val="center"/>
              <w:rPr>
                <w:rFonts w:hint="eastAsia" w:ascii="仿宋_GB2312" w:hAnsi="仿宋_GB2312" w:eastAsia="仿宋_GB2312" w:cs="仿宋_GB2312"/>
                <w:color w:val="auto"/>
                <w:sz w:val="18"/>
                <w:szCs w:val="18"/>
              </w:rPr>
            </w:pPr>
            <w:r>
              <w:rPr>
                <w:rFonts w:hint="eastAsia" w:ascii="仿宋_GB2312" w:hAnsi="仿宋_GB2312" w:eastAsia="仿宋_GB2312" w:cs="仿宋_GB2312"/>
                <w:sz w:val="18"/>
                <w:szCs w:val="18"/>
                <w:lang w:val="en-US" w:eastAsia="zh-CN"/>
              </w:rPr>
              <w:t>1-18</w:t>
            </w:r>
          </w:p>
        </w:tc>
        <w:tc>
          <w:tcPr>
            <w:tcW w:w="582" w:type="pct"/>
            <w:vAlign w:val="center"/>
          </w:tcPr>
          <w:p w14:paraId="7D7AAF28">
            <w:pPr>
              <w:spacing w:after="0" w:line="240" w:lineRule="auto"/>
              <w:jc w:val="center"/>
              <w:rPr>
                <w:rFonts w:hint="eastAsia" w:ascii="仿宋_GB2312" w:hAnsi="仿宋_GB2312" w:eastAsia="仿宋_GB2312" w:cs="仿宋_GB2312"/>
                <w:color w:val="auto"/>
                <w:sz w:val="18"/>
                <w:szCs w:val="18"/>
              </w:rPr>
            </w:pPr>
            <w:r>
              <w:rPr>
                <w:rFonts w:hint="eastAsia" w:ascii="仿宋_GB2312" w:hAnsi="仿宋_GB2312" w:eastAsia="仿宋_GB2312" w:cs="仿宋_GB2312"/>
                <w:sz w:val="18"/>
                <w:szCs w:val="18"/>
                <w:lang w:val="en-US" w:eastAsia="zh-CN"/>
              </w:rPr>
              <w:t>1-18</w:t>
            </w:r>
          </w:p>
        </w:tc>
        <w:tc>
          <w:tcPr>
            <w:tcW w:w="582" w:type="pct"/>
            <w:vAlign w:val="center"/>
          </w:tcPr>
          <w:p w14:paraId="7DD15D35">
            <w:pPr>
              <w:spacing w:after="0" w:line="240" w:lineRule="auto"/>
              <w:jc w:val="center"/>
              <w:rPr>
                <w:rFonts w:hint="eastAsia" w:ascii="仿宋_GB2312" w:hAnsi="仿宋_GB2312" w:eastAsia="仿宋_GB2312" w:cs="仿宋_GB2312"/>
                <w:color w:val="auto"/>
                <w:sz w:val="18"/>
                <w:szCs w:val="18"/>
              </w:rPr>
            </w:pPr>
            <w:r>
              <w:rPr>
                <w:rFonts w:hint="eastAsia" w:ascii="仿宋_GB2312" w:hAnsi="仿宋_GB2312" w:eastAsia="仿宋_GB2312" w:cs="仿宋_GB2312"/>
                <w:sz w:val="18"/>
                <w:szCs w:val="18"/>
                <w:lang w:val="en-US" w:eastAsia="zh-CN"/>
              </w:rPr>
              <w:t>1-18</w:t>
            </w:r>
          </w:p>
        </w:tc>
        <w:tc>
          <w:tcPr>
            <w:tcW w:w="582" w:type="pct"/>
            <w:vAlign w:val="center"/>
          </w:tcPr>
          <w:p w14:paraId="28909D55">
            <w:pPr>
              <w:spacing w:after="0" w:line="240" w:lineRule="auto"/>
              <w:jc w:val="center"/>
              <w:rPr>
                <w:rFonts w:hint="eastAsia" w:ascii="仿宋_GB2312" w:hAnsi="仿宋_GB2312" w:eastAsia="仿宋_GB2312" w:cs="仿宋_GB2312"/>
                <w:color w:val="auto"/>
                <w:sz w:val="18"/>
                <w:szCs w:val="18"/>
              </w:rPr>
            </w:pPr>
            <w:r>
              <w:rPr>
                <w:rFonts w:hint="eastAsia" w:ascii="仿宋_GB2312" w:hAnsi="仿宋_GB2312" w:eastAsia="仿宋_GB2312" w:cs="仿宋_GB2312"/>
                <w:sz w:val="18"/>
                <w:szCs w:val="18"/>
                <w:lang w:val="en-US" w:eastAsia="zh-CN"/>
              </w:rPr>
              <w:t>1-18</w:t>
            </w:r>
          </w:p>
        </w:tc>
        <w:tc>
          <w:tcPr>
            <w:tcW w:w="584" w:type="pct"/>
            <w:vAlign w:val="center"/>
          </w:tcPr>
          <w:p w14:paraId="34A7728C">
            <w:pPr>
              <w:spacing w:after="0" w:line="240" w:lineRule="auto"/>
              <w:jc w:val="center"/>
              <w:rPr>
                <w:rFonts w:hint="eastAsia" w:ascii="仿宋_GB2312" w:hAnsi="仿宋_GB2312" w:eastAsia="仿宋_GB2312" w:cs="仿宋_GB2312"/>
                <w:color w:val="auto"/>
                <w:sz w:val="18"/>
                <w:szCs w:val="18"/>
              </w:rPr>
            </w:pPr>
            <w:r>
              <w:rPr>
                <w:rFonts w:hint="eastAsia" w:ascii="仿宋_GB2312" w:hAnsi="仿宋_GB2312" w:eastAsia="仿宋_GB2312" w:cs="仿宋_GB2312"/>
                <w:sz w:val="18"/>
                <w:szCs w:val="18"/>
                <w:lang w:val="en-US" w:eastAsia="zh-CN"/>
              </w:rPr>
              <w:t>1-18</w:t>
            </w:r>
          </w:p>
        </w:tc>
      </w:tr>
      <w:tr w14:paraId="1CD17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0BE39A7C">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考试</w:t>
            </w:r>
          </w:p>
        </w:tc>
        <w:tc>
          <w:tcPr>
            <w:tcW w:w="646" w:type="pct"/>
            <w:vAlign w:val="center"/>
          </w:tcPr>
          <w:p w14:paraId="19F330F9">
            <w:pPr>
              <w:spacing w:after="0" w:line="240" w:lineRule="auto"/>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19-20</w:t>
            </w:r>
          </w:p>
        </w:tc>
        <w:tc>
          <w:tcPr>
            <w:tcW w:w="582" w:type="pct"/>
            <w:vAlign w:val="center"/>
          </w:tcPr>
          <w:p w14:paraId="2F93C3B2">
            <w:pPr>
              <w:spacing w:after="0" w:line="240" w:lineRule="auto"/>
              <w:jc w:val="center"/>
              <w:rPr>
                <w:rFonts w:hint="eastAsia" w:ascii="仿宋_GB2312" w:hAnsi="仿宋_GB2312" w:eastAsia="仿宋_GB2312" w:cs="仿宋_GB2312"/>
                <w:color w:val="auto"/>
                <w:sz w:val="18"/>
                <w:szCs w:val="18"/>
              </w:rPr>
            </w:pPr>
            <w:r>
              <w:rPr>
                <w:rFonts w:hint="eastAsia" w:ascii="仿宋_GB2312" w:hAnsi="仿宋_GB2312" w:eastAsia="仿宋_GB2312" w:cs="仿宋_GB2312"/>
                <w:sz w:val="18"/>
                <w:szCs w:val="18"/>
                <w:lang w:val="en-US" w:eastAsia="zh-CN"/>
              </w:rPr>
              <w:t>19-20</w:t>
            </w:r>
          </w:p>
        </w:tc>
        <w:tc>
          <w:tcPr>
            <w:tcW w:w="582" w:type="pct"/>
            <w:vAlign w:val="center"/>
          </w:tcPr>
          <w:p w14:paraId="0BB23C47">
            <w:pPr>
              <w:spacing w:after="0" w:line="240" w:lineRule="auto"/>
              <w:jc w:val="center"/>
              <w:rPr>
                <w:rFonts w:hint="eastAsia" w:ascii="仿宋_GB2312" w:hAnsi="仿宋_GB2312" w:eastAsia="仿宋_GB2312" w:cs="仿宋_GB2312"/>
                <w:color w:val="auto"/>
                <w:sz w:val="18"/>
                <w:szCs w:val="18"/>
              </w:rPr>
            </w:pPr>
            <w:r>
              <w:rPr>
                <w:rFonts w:hint="eastAsia" w:ascii="仿宋_GB2312" w:hAnsi="仿宋_GB2312" w:eastAsia="仿宋_GB2312" w:cs="仿宋_GB2312"/>
                <w:sz w:val="18"/>
                <w:szCs w:val="18"/>
                <w:lang w:val="en-US" w:eastAsia="zh-CN"/>
              </w:rPr>
              <w:t>19-20</w:t>
            </w:r>
          </w:p>
        </w:tc>
        <w:tc>
          <w:tcPr>
            <w:tcW w:w="582" w:type="pct"/>
            <w:vAlign w:val="center"/>
          </w:tcPr>
          <w:p w14:paraId="0C45B93F">
            <w:pPr>
              <w:spacing w:after="0" w:line="240" w:lineRule="auto"/>
              <w:jc w:val="center"/>
              <w:rPr>
                <w:rFonts w:hint="eastAsia" w:ascii="仿宋_GB2312" w:hAnsi="仿宋_GB2312" w:eastAsia="仿宋_GB2312" w:cs="仿宋_GB2312"/>
                <w:color w:val="auto"/>
                <w:sz w:val="18"/>
                <w:szCs w:val="18"/>
              </w:rPr>
            </w:pPr>
            <w:r>
              <w:rPr>
                <w:rFonts w:hint="eastAsia" w:ascii="仿宋_GB2312" w:hAnsi="仿宋_GB2312" w:eastAsia="仿宋_GB2312" w:cs="仿宋_GB2312"/>
                <w:sz w:val="18"/>
                <w:szCs w:val="18"/>
                <w:lang w:val="en-US" w:eastAsia="zh-CN"/>
              </w:rPr>
              <w:t>19-20</w:t>
            </w:r>
          </w:p>
        </w:tc>
        <w:tc>
          <w:tcPr>
            <w:tcW w:w="582" w:type="pct"/>
            <w:vAlign w:val="center"/>
          </w:tcPr>
          <w:p w14:paraId="1F5478ED">
            <w:pPr>
              <w:spacing w:after="0" w:line="240" w:lineRule="auto"/>
              <w:jc w:val="center"/>
              <w:rPr>
                <w:rFonts w:hint="eastAsia" w:ascii="仿宋_GB2312" w:hAnsi="仿宋_GB2312" w:eastAsia="仿宋_GB2312" w:cs="仿宋_GB2312"/>
                <w:color w:val="auto"/>
                <w:sz w:val="18"/>
                <w:szCs w:val="18"/>
              </w:rPr>
            </w:pPr>
            <w:r>
              <w:rPr>
                <w:rFonts w:hint="eastAsia" w:ascii="仿宋_GB2312" w:hAnsi="仿宋_GB2312" w:eastAsia="仿宋_GB2312" w:cs="仿宋_GB2312"/>
                <w:sz w:val="18"/>
                <w:szCs w:val="18"/>
                <w:lang w:val="en-US" w:eastAsia="zh-CN"/>
              </w:rPr>
              <w:t>19-20</w:t>
            </w:r>
          </w:p>
        </w:tc>
        <w:tc>
          <w:tcPr>
            <w:tcW w:w="584" w:type="pct"/>
            <w:vAlign w:val="center"/>
          </w:tcPr>
          <w:p w14:paraId="1FF8088C">
            <w:pPr>
              <w:spacing w:after="0" w:line="240" w:lineRule="auto"/>
              <w:jc w:val="center"/>
              <w:rPr>
                <w:rFonts w:hint="eastAsia" w:ascii="仿宋_GB2312" w:hAnsi="仿宋_GB2312" w:eastAsia="仿宋_GB2312" w:cs="仿宋_GB2312"/>
                <w:color w:val="auto"/>
                <w:sz w:val="18"/>
                <w:szCs w:val="18"/>
              </w:rPr>
            </w:pPr>
            <w:r>
              <w:rPr>
                <w:rFonts w:hint="eastAsia" w:ascii="仿宋_GB2312" w:hAnsi="仿宋_GB2312" w:eastAsia="仿宋_GB2312" w:cs="仿宋_GB2312"/>
                <w:sz w:val="18"/>
                <w:szCs w:val="18"/>
                <w:lang w:val="en-US" w:eastAsia="zh-CN"/>
              </w:rPr>
              <w:t>19-20</w:t>
            </w:r>
          </w:p>
        </w:tc>
      </w:tr>
      <w:tr w14:paraId="4496F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4D9BA178">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军训</w:t>
            </w:r>
          </w:p>
        </w:tc>
        <w:tc>
          <w:tcPr>
            <w:tcW w:w="646" w:type="pct"/>
            <w:vAlign w:val="center"/>
          </w:tcPr>
          <w:p w14:paraId="23979967">
            <w:pPr>
              <w:spacing w:after="0" w:line="240" w:lineRule="auto"/>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1-2</w:t>
            </w:r>
          </w:p>
        </w:tc>
        <w:tc>
          <w:tcPr>
            <w:tcW w:w="582" w:type="pct"/>
            <w:vAlign w:val="center"/>
          </w:tcPr>
          <w:p w14:paraId="15A662FF">
            <w:pPr>
              <w:spacing w:after="0" w:line="240" w:lineRule="auto"/>
              <w:jc w:val="center"/>
              <w:rPr>
                <w:rFonts w:hint="eastAsia" w:ascii="仿宋_GB2312" w:hAnsi="仿宋_GB2312" w:eastAsia="仿宋_GB2312" w:cs="仿宋_GB2312"/>
                <w:color w:val="auto"/>
                <w:sz w:val="18"/>
                <w:szCs w:val="18"/>
              </w:rPr>
            </w:pPr>
          </w:p>
        </w:tc>
        <w:tc>
          <w:tcPr>
            <w:tcW w:w="582" w:type="pct"/>
            <w:vAlign w:val="center"/>
          </w:tcPr>
          <w:p w14:paraId="399A02F9">
            <w:pPr>
              <w:spacing w:after="0" w:line="240" w:lineRule="auto"/>
              <w:jc w:val="center"/>
              <w:rPr>
                <w:rFonts w:hint="eastAsia" w:ascii="仿宋_GB2312" w:hAnsi="仿宋_GB2312" w:eastAsia="仿宋_GB2312" w:cs="仿宋_GB2312"/>
                <w:color w:val="auto"/>
                <w:sz w:val="18"/>
                <w:szCs w:val="18"/>
              </w:rPr>
            </w:pPr>
          </w:p>
        </w:tc>
        <w:tc>
          <w:tcPr>
            <w:tcW w:w="582" w:type="pct"/>
            <w:vAlign w:val="center"/>
          </w:tcPr>
          <w:p w14:paraId="7BB89183">
            <w:pPr>
              <w:spacing w:after="0" w:line="240" w:lineRule="auto"/>
              <w:jc w:val="center"/>
              <w:rPr>
                <w:rFonts w:hint="eastAsia" w:ascii="仿宋_GB2312" w:hAnsi="仿宋_GB2312" w:eastAsia="仿宋_GB2312" w:cs="仿宋_GB2312"/>
                <w:color w:val="auto"/>
                <w:sz w:val="18"/>
                <w:szCs w:val="18"/>
              </w:rPr>
            </w:pPr>
          </w:p>
        </w:tc>
        <w:tc>
          <w:tcPr>
            <w:tcW w:w="582" w:type="pct"/>
            <w:vAlign w:val="center"/>
          </w:tcPr>
          <w:p w14:paraId="33796631">
            <w:pPr>
              <w:spacing w:after="0" w:line="240" w:lineRule="auto"/>
              <w:jc w:val="center"/>
              <w:rPr>
                <w:rFonts w:hint="eastAsia" w:ascii="仿宋_GB2312" w:hAnsi="仿宋_GB2312" w:eastAsia="仿宋_GB2312" w:cs="仿宋_GB2312"/>
                <w:color w:val="auto"/>
                <w:sz w:val="18"/>
                <w:szCs w:val="18"/>
              </w:rPr>
            </w:pPr>
          </w:p>
        </w:tc>
        <w:tc>
          <w:tcPr>
            <w:tcW w:w="584" w:type="pct"/>
            <w:vAlign w:val="center"/>
          </w:tcPr>
          <w:p w14:paraId="7ABCC1F4">
            <w:pPr>
              <w:spacing w:after="0" w:line="240" w:lineRule="auto"/>
              <w:jc w:val="center"/>
              <w:rPr>
                <w:rFonts w:hint="eastAsia" w:ascii="仿宋_GB2312" w:hAnsi="仿宋_GB2312" w:eastAsia="仿宋_GB2312" w:cs="仿宋_GB2312"/>
                <w:color w:val="auto"/>
                <w:sz w:val="18"/>
                <w:szCs w:val="18"/>
              </w:rPr>
            </w:pPr>
          </w:p>
        </w:tc>
      </w:tr>
      <w:tr w14:paraId="7BD49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5EE8AD7C">
            <w:pPr>
              <w:spacing w:after="0" w:line="240" w:lineRule="auto"/>
              <w:jc w:val="center"/>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入学教育</w:t>
            </w:r>
          </w:p>
        </w:tc>
        <w:tc>
          <w:tcPr>
            <w:tcW w:w="646" w:type="pct"/>
            <w:vAlign w:val="center"/>
          </w:tcPr>
          <w:p w14:paraId="6CFBA0A9">
            <w:pPr>
              <w:spacing w:after="0" w:line="240" w:lineRule="auto"/>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3-8</w:t>
            </w:r>
          </w:p>
        </w:tc>
        <w:tc>
          <w:tcPr>
            <w:tcW w:w="582" w:type="pct"/>
            <w:vAlign w:val="center"/>
          </w:tcPr>
          <w:p w14:paraId="36579C33">
            <w:pPr>
              <w:spacing w:after="0" w:line="240" w:lineRule="auto"/>
              <w:jc w:val="center"/>
              <w:rPr>
                <w:rFonts w:hint="eastAsia" w:ascii="仿宋_GB2312" w:hAnsi="仿宋_GB2312" w:eastAsia="仿宋_GB2312" w:cs="仿宋_GB2312"/>
                <w:color w:val="auto"/>
                <w:sz w:val="18"/>
                <w:szCs w:val="18"/>
              </w:rPr>
            </w:pPr>
          </w:p>
        </w:tc>
        <w:tc>
          <w:tcPr>
            <w:tcW w:w="582" w:type="pct"/>
            <w:vAlign w:val="center"/>
          </w:tcPr>
          <w:p w14:paraId="2E072784">
            <w:pPr>
              <w:spacing w:after="0" w:line="240" w:lineRule="auto"/>
              <w:jc w:val="center"/>
              <w:rPr>
                <w:rFonts w:hint="eastAsia" w:ascii="仿宋_GB2312" w:hAnsi="仿宋_GB2312" w:eastAsia="仿宋_GB2312" w:cs="仿宋_GB2312"/>
                <w:color w:val="auto"/>
                <w:sz w:val="18"/>
                <w:szCs w:val="18"/>
              </w:rPr>
            </w:pPr>
          </w:p>
        </w:tc>
        <w:tc>
          <w:tcPr>
            <w:tcW w:w="582" w:type="pct"/>
            <w:vAlign w:val="center"/>
          </w:tcPr>
          <w:p w14:paraId="34A5A58E">
            <w:pPr>
              <w:spacing w:after="0" w:line="240" w:lineRule="auto"/>
              <w:jc w:val="center"/>
              <w:rPr>
                <w:rFonts w:hint="eastAsia" w:ascii="仿宋_GB2312" w:hAnsi="仿宋_GB2312" w:eastAsia="仿宋_GB2312" w:cs="仿宋_GB2312"/>
                <w:color w:val="auto"/>
                <w:sz w:val="18"/>
                <w:szCs w:val="18"/>
              </w:rPr>
            </w:pPr>
          </w:p>
        </w:tc>
        <w:tc>
          <w:tcPr>
            <w:tcW w:w="582" w:type="pct"/>
            <w:vAlign w:val="center"/>
          </w:tcPr>
          <w:p w14:paraId="0C25A75E">
            <w:pPr>
              <w:spacing w:after="0" w:line="240" w:lineRule="auto"/>
              <w:jc w:val="center"/>
              <w:rPr>
                <w:rFonts w:hint="eastAsia" w:ascii="仿宋_GB2312" w:hAnsi="仿宋_GB2312" w:eastAsia="仿宋_GB2312" w:cs="仿宋_GB2312"/>
                <w:color w:val="auto"/>
                <w:sz w:val="18"/>
                <w:szCs w:val="18"/>
              </w:rPr>
            </w:pPr>
          </w:p>
        </w:tc>
        <w:tc>
          <w:tcPr>
            <w:tcW w:w="584" w:type="pct"/>
            <w:vAlign w:val="center"/>
          </w:tcPr>
          <w:p w14:paraId="27048CCD">
            <w:pPr>
              <w:spacing w:after="0" w:line="240" w:lineRule="auto"/>
              <w:jc w:val="center"/>
              <w:rPr>
                <w:rFonts w:hint="eastAsia" w:ascii="仿宋_GB2312" w:hAnsi="仿宋_GB2312" w:eastAsia="仿宋_GB2312" w:cs="仿宋_GB2312"/>
                <w:color w:val="auto"/>
                <w:sz w:val="18"/>
                <w:szCs w:val="18"/>
              </w:rPr>
            </w:pPr>
          </w:p>
        </w:tc>
      </w:tr>
      <w:tr w14:paraId="64EA5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0D3BE77D">
            <w:pPr>
              <w:spacing w:after="0" w:line="240" w:lineRule="auto"/>
              <w:jc w:val="center"/>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毕业设计</w:t>
            </w:r>
          </w:p>
        </w:tc>
        <w:tc>
          <w:tcPr>
            <w:tcW w:w="646" w:type="pct"/>
            <w:vAlign w:val="center"/>
          </w:tcPr>
          <w:p w14:paraId="5237C0E2">
            <w:pPr>
              <w:spacing w:after="0" w:line="240" w:lineRule="auto"/>
              <w:jc w:val="center"/>
              <w:rPr>
                <w:rFonts w:hint="eastAsia" w:ascii="仿宋_GB2312" w:hAnsi="仿宋_GB2312" w:eastAsia="仿宋_GB2312" w:cs="仿宋_GB2312"/>
                <w:sz w:val="18"/>
                <w:szCs w:val="18"/>
                <w:lang w:val="en-US" w:eastAsia="zh-CN"/>
              </w:rPr>
            </w:pPr>
          </w:p>
        </w:tc>
        <w:tc>
          <w:tcPr>
            <w:tcW w:w="582" w:type="pct"/>
            <w:vAlign w:val="center"/>
          </w:tcPr>
          <w:p w14:paraId="5FE4AA58">
            <w:pPr>
              <w:spacing w:after="0" w:line="240" w:lineRule="auto"/>
              <w:jc w:val="center"/>
              <w:rPr>
                <w:rFonts w:hint="eastAsia" w:ascii="仿宋_GB2312" w:hAnsi="仿宋_GB2312" w:eastAsia="仿宋_GB2312" w:cs="仿宋_GB2312"/>
                <w:color w:val="auto"/>
                <w:sz w:val="18"/>
                <w:szCs w:val="18"/>
              </w:rPr>
            </w:pPr>
          </w:p>
        </w:tc>
        <w:tc>
          <w:tcPr>
            <w:tcW w:w="582" w:type="pct"/>
            <w:vAlign w:val="center"/>
          </w:tcPr>
          <w:p w14:paraId="2CDCA1CB">
            <w:pPr>
              <w:spacing w:after="0" w:line="240" w:lineRule="auto"/>
              <w:jc w:val="center"/>
              <w:rPr>
                <w:rFonts w:hint="eastAsia" w:ascii="仿宋_GB2312" w:hAnsi="仿宋_GB2312" w:eastAsia="仿宋_GB2312" w:cs="仿宋_GB2312"/>
                <w:color w:val="auto"/>
                <w:sz w:val="18"/>
                <w:szCs w:val="18"/>
              </w:rPr>
            </w:pPr>
          </w:p>
        </w:tc>
        <w:tc>
          <w:tcPr>
            <w:tcW w:w="582" w:type="pct"/>
            <w:vAlign w:val="center"/>
          </w:tcPr>
          <w:p w14:paraId="3F1C970D">
            <w:pPr>
              <w:spacing w:after="0" w:line="240" w:lineRule="auto"/>
              <w:jc w:val="center"/>
              <w:rPr>
                <w:rFonts w:hint="eastAsia" w:ascii="仿宋_GB2312" w:hAnsi="仿宋_GB2312" w:eastAsia="仿宋_GB2312" w:cs="仿宋_GB2312"/>
                <w:color w:val="auto"/>
                <w:sz w:val="18"/>
                <w:szCs w:val="18"/>
              </w:rPr>
            </w:pPr>
          </w:p>
        </w:tc>
        <w:tc>
          <w:tcPr>
            <w:tcW w:w="582" w:type="pct"/>
            <w:vAlign w:val="center"/>
          </w:tcPr>
          <w:p w14:paraId="7D2D7DF4">
            <w:pPr>
              <w:spacing w:after="0" w:line="240" w:lineRule="auto"/>
              <w:jc w:val="center"/>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lang w:val="en-US" w:eastAsia="zh-CN"/>
              </w:rPr>
              <w:t>1-18</w:t>
            </w:r>
          </w:p>
        </w:tc>
        <w:tc>
          <w:tcPr>
            <w:tcW w:w="584" w:type="pct"/>
            <w:vAlign w:val="center"/>
          </w:tcPr>
          <w:p w14:paraId="4B010136">
            <w:pPr>
              <w:spacing w:after="0" w:line="240" w:lineRule="auto"/>
              <w:jc w:val="center"/>
              <w:rPr>
                <w:rFonts w:hint="eastAsia" w:ascii="仿宋_GB2312" w:hAnsi="仿宋_GB2312" w:eastAsia="仿宋_GB2312" w:cs="仿宋_GB2312"/>
                <w:color w:val="auto"/>
                <w:sz w:val="18"/>
                <w:szCs w:val="18"/>
              </w:rPr>
            </w:pPr>
          </w:p>
        </w:tc>
      </w:tr>
      <w:tr w14:paraId="6CE54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32DB93BD">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岗位实习</w:t>
            </w:r>
          </w:p>
        </w:tc>
        <w:tc>
          <w:tcPr>
            <w:tcW w:w="646" w:type="pct"/>
            <w:vAlign w:val="center"/>
          </w:tcPr>
          <w:p w14:paraId="1C027357">
            <w:pPr>
              <w:spacing w:after="0" w:line="240" w:lineRule="auto"/>
              <w:jc w:val="center"/>
              <w:rPr>
                <w:rFonts w:hint="eastAsia" w:ascii="仿宋_GB2312" w:hAnsi="仿宋_GB2312" w:eastAsia="仿宋_GB2312" w:cs="仿宋_GB2312"/>
                <w:sz w:val="18"/>
                <w:szCs w:val="18"/>
              </w:rPr>
            </w:pPr>
          </w:p>
        </w:tc>
        <w:tc>
          <w:tcPr>
            <w:tcW w:w="582" w:type="pct"/>
            <w:vAlign w:val="center"/>
          </w:tcPr>
          <w:p w14:paraId="3AA0E3D8">
            <w:pPr>
              <w:spacing w:after="0" w:line="240" w:lineRule="auto"/>
              <w:jc w:val="center"/>
              <w:rPr>
                <w:rFonts w:hint="eastAsia" w:ascii="仿宋_GB2312" w:hAnsi="仿宋_GB2312" w:eastAsia="仿宋_GB2312" w:cs="仿宋_GB2312"/>
                <w:color w:val="auto"/>
                <w:sz w:val="18"/>
                <w:szCs w:val="18"/>
              </w:rPr>
            </w:pPr>
          </w:p>
        </w:tc>
        <w:tc>
          <w:tcPr>
            <w:tcW w:w="582" w:type="pct"/>
            <w:vAlign w:val="center"/>
          </w:tcPr>
          <w:p w14:paraId="7B5721C3">
            <w:pPr>
              <w:spacing w:after="0" w:line="240" w:lineRule="auto"/>
              <w:jc w:val="center"/>
              <w:rPr>
                <w:rFonts w:hint="eastAsia" w:ascii="仿宋_GB2312" w:hAnsi="仿宋_GB2312" w:eastAsia="仿宋_GB2312" w:cs="仿宋_GB2312"/>
                <w:color w:val="auto"/>
                <w:sz w:val="18"/>
                <w:szCs w:val="18"/>
              </w:rPr>
            </w:pPr>
          </w:p>
        </w:tc>
        <w:tc>
          <w:tcPr>
            <w:tcW w:w="582" w:type="pct"/>
            <w:vAlign w:val="center"/>
          </w:tcPr>
          <w:p w14:paraId="79144970">
            <w:pPr>
              <w:spacing w:after="0" w:line="240" w:lineRule="auto"/>
              <w:jc w:val="center"/>
              <w:rPr>
                <w:rFonts w:hint="eastAsia" w:ascii="仿宋_GB2312" w:hAnsi="仿宋_GB2312" w:eastAsia="仿宋_GB2312" w:cs="仿宋_GB2312"/>
                <w:color w:val="auto"/>
                <w:sz w:val="18"/>
                <w:szCs w:val="18"/>
              </w:rPr>
            </w:pPr>
          </w:p>
        </w:tc>
        <w:tc>
          <w:tcPr>
            <w:tcW w:w="582" w:type="pct"/>
            <w:vAlign w:val="center"/>
          </w:tcPr>
          <w:p w14:paraId="42074777">
            <w:pPr>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1-20</w:t>
            </w:r>
          </w:p>
        </w:tc>
        <w:tc>
          <w:tcPr>
            <w:tcW w:w="584" w:type="pct"/>
            <w:vAlign w:val="center"/>
          </w:tcPr>
          <w:p w14:paraId="715AE46F">
            <w:pPr>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1-18</w:t>
            </w:r>
          </w:p>
        </w:tc>
      </w:tr>
      <w:tr w14:paraId="43D32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1D6B9026">
            <w:pPr>
              <w:spacing w:after="0" w:line="240" w:lineRule="auto"/>
              <w:jc w:val="center"/>
              <w:rPr>
                <w:rFonts w:hint="eastAsia" w:ascii="仿宋_GB2312" w:hAnsi="仿宋_GB2312" w:eastAsia="仿宋_GB2312" w:cs="仿宋_GB2312"/>
                <w:b w:val="0"/>
                <w:bCs w:val="0"/>
                <w:color w:val="000000"/>
                <w:sz w:val="24"/>
                <w:szCs w:val="24"/>
                <w:highlight w:val="green"/>
                <w:lang w:val="en-US" w:eastAsia="zh-CN"/>
              </w:rPr>
            </w:pPr>
            <w:r>
              <w:rPr>
                <w:rFonts w:hint="eastAsia" w:ascii="仿宋_GB2312" w:hAnsi="仿宋_GB2312" w:eastAsia="仿宋_GB2312" w:cs="仿宋_GB2312"/>
                <w:b w:val="0"/>
                <w:bCs w:val="0"/>
                <w:color w:val="000000"/>
                <w:sz w:val="24"/>
                <w:szCs w:val="24"/>
                <w:highlight w:val="none"/>
                <w:lang w:val="en-US" w:eastAsia="zh-CN"/>
              </w:rPr>
              <w:t>社会实践</w:t>
            </w:r>
          </w:p>
        </w:tc>
        <w:tc>
          <w:tcPr>
            <w:tcW w:w="646" w:type="pct"/>
            <w:vAlign w:val="center"/>
          </w:tcPr>
          <w:p w14:paraId="3D045D49">
            <w:pPr>
              <w:spacing w:after="0" w:line="240" w:lineRule="auto"/>
              <w:jc w:val="center"/>
              <w:rPr>
                <w:rFonts w:hint="eastAsia" w:ascii="仿宋_GB2312" w:hAnsi="仿宋_GB2312" w:eastAsia="仿宋_GB2312" w:cs="仿宋_GB2312"/>
                <w:sz w:val="18"/>
                <w:szCs w:val="18"/>
                <w:highlight w:val="green"/>
              </w:rPr>
            </w:pPr>
            <w:r>
              <w:rPr>
                <w:rFonts w:hint="eastAsia" w:ascii="仿宋_GB2312" w:hAnsi="仿宋_GB2312" w:eastAsia="仿宋_GB2312" w:cs="仿宋_GB2312"/>
                <w:color w:val="auto"/>
                <w:sz w:val="18"/>
                <w:szCs w:val="18"/>
                <w:lang w:val="en-US" w:eastAsia="zh-CN"/>
              </w:rPr>
              <w:t>1-20</w:t>
            </w:r>
          </w:p>
        </w:tc>
        <w:tc>
          <w:tcPr>
            <w:tcW w:w="582" w:type="pct"/>
            <w:vAlign w:val="center"/>
          </w:tcPr>
          <w:p w14:paraId="6440062F">
            <w:pPr>
              <w:spacing w:after="0" w:line="240" w:lineRule="auto"/>
              <w:jc w:val="center"/>
              <w:rPr>
                <w:rFonts w:hint="eastAsia" w:ascii="仿宋_GB2312" w:hAnsi="仿宋_GB2312" w:eastAsia="仿宋_GB2312" w:cs="仿宋_GB2312"/>
                <w:color w:val="auto"/>
                <w:sz w:val="18"/>
                <w:szCs w:val="18"/>
                <w:highlight w:val="green"/>
              </w:rPr>
            </w:pPr>
            <w:r>
              <w:rPr>
                <w:rFonts w:hint="eastAsia" w:ascii="仿宋_GB2312" w:hAnsi="仿宋_GB2312" w:eastAsia="仿宋_GB2312" w:cs="仿宋_GB2312"/>
                <w:color w:val="auto"/>
                <w:sz w:val="18"/>
                <w:szCs w:val="18"/>
                <w:lang w:val="en-US" w:eastAsia="zh-CN"/>
              </w:rPr>
              <w:t>1-20</w:t>
            </w:r>
          </w:p>
        </w:tc>
        <w:tc>
          <w:tcPr>
            <w:tcW w:w="582" w:type="pct"/>
            <w:vAlign w:val="center"/>
          </w:tcPr>
          <w:p w14:paraId="6EBABD5E">
            <w:pPr>
              <w:spacing w:after="0" w:line="240" w:lineRule="auto"/>
              <w:jc w:val="center"/>
              <w:rPr>
                <w:rFonts w:hint="eastAsia" w:ascii="仿宋_GB2312" w:hAnsi="仿宋_GB2312" w:eastAsia="仿宋_GB2312" w:cs="仿宋_GB2312"/>
                <w:color w:val="auto"/>
                <w:sz w:val="18"/>
                <w:szCs w:val="18"/>
                <w:highlight w:val="green"/>
              </w:rPr>
            </w:pPr>
            <w:r>
              <w:rPr>
                <w:rFonts w:hint="eastAsia" w:ascii="仿宋_GB2312" w:hAnsi="仿宋_GB2312" w:eastAsia="仿宋_GB2312" w:cs="仿宋_GB2312"/>
                <w:color w:val="auto"/>
                <w:sz w:val="18"/>
                <w:szCs w:val="18"/>
                <w:lang w:val="en-US" w:eastAsia="zh-CN"/>
              </w:rPr>
              <w:t>1-20</w:t>
            </w:r>
          </w:p>
        </w:tc>
        <w:tc>
          <w:tcPr>
            <w:tcW w:w="582" w:type="pct"/>
            <w:vAlign w:val="center"/>
          </w:tcPr>
          <w:p w14:paraId="188351FE">
            <w:pPr>
              <w:spacing w:after="0" w:line="240" w:lineRule="auto"/>
              <w:jc w:val="center"/>
              <w:rPr>
                <w:rFonts w:hint="eastAsia" w:ascii="仿宋_GB2312" w:hAnsi="仿宋_GB2312" w:eastAsia="仿宋_GB2312" w:cs="仿宋_GB2312"/>
                <w:color w:val="auto"/>
                <w:sz w:val="18"/>
                <w:szCs w:val="18"/>
                <w:highlight w:val="green"/>
              </w:rPr>
            </w:pPr>
            <w:r>
              <w:rPr>
                <w:rFonts w:hint="eastAsia" w:ascii="仿宋_GB2312" w:hAnsi="仿宋_GB2312" w:eastAsia="仿宋_GB2312" w:cs="仿宋_GB2312"/>
                <w:color w:val="auto"/>
                <w:sz w:val="18"/>
                <w:szCs w:val="18"/>
                <w:lang w:val="en-US" w:eastAsia="zh-CN"/>
              </w:rPr>
              <w:t>1-20</w:t>
            </w:r>
          </w:p>
        </w:tc>
        <w:tc>
          <w:tcPr>
            <w:tcW w:w="582" w:type="pct"/>
            <w:vAlign w:val="center"/>
          </w:tcPr>
          <w:p w14:paraId="048B3AFF">
            <w:pPr>
              <w:spacing w:after="0" w:line="240" w:lineRule="auto"/>
              <w:jc w:val="center"/>
              <w:rPr>
                <w:rFonts w:hint="eastAsia" w:ascii="仿宋_GB2312" w:hAnsi="仿宋_GB2312" w:eastAsia="仿宋_GB2312" w:cs="仿宋_GB2312"/>
                <w:color w:val="auto"/>
                <w:sz w:val="18"/>
                <w:szCs w:val="18"/>
                <w:highlight w:val="green"/>
                <w:lang w:val="en-US" w:eastAsia="zh-CN"/>
              </w:rPr>
            </w:pPr>
            <w:r>
              <w:rPr>
                <w:rFonts w:hint="eastAsia" w:ascii="仿宋_GB2312" w:hAnsi="仿宋_GB2312" w:eastAsia="仿宋_GB2312" w:cs="仿宋_GB2312"/>
                <w:color w:val="auto"/>
                <w:sz w:val="18"/>
                <w:szCs w:val="18"/>
                <w:lang w:val="en-US" w:eastAsia="zh-CN"/>
              </w:rPr>
              <w:t>1-20</w:t>
            </w:r>
          </w:p>
        </w:tc>
        <w:tc>
          <w:tcPr>
            <w:tcW w:w="584" w:type="pct"/>
            <w:vAlign w:val="center"/>
          </w:tcPr>
          <w:p w14:paraId="5B43A0E4">
            <w:pPr>
              <w:spacing w:after="0" w:line="240" w:lineRule="auto"/>
              <w:jc w:val="center"/>
              <w:rPr>
                <w:rFonts w:hint="eastAsia" w:ascii="仿宋_GB2312" w:hAnsi="仿宋_GB2312" w:eastAsia="仿宋_GB2312" w:cs="仿宋_GB2312"/>
                <w:color w:val="auto"/>
                <w:sz w:val="18"/>
                <w:szCs w:val="18"/>
                <w:highlight w:val="green"/>
                <w:lang w:val="en-US" w:eastAsia="zh-CN"/>
              </w:rPr>
            </w:pPr>
            <w:r>
              <w:rPr>
                <w:rFonts w:hint="eastAsia" w:ascii="仿宋_GB2312" w:hAnsi="仿宋_GB2312" w:eastAsia="仿宋_GB2312" w:cs="仿宋_GB2312"/>
                <w:color w:val="auto"/>
                <w:sz w:val="18"/>
                <w:szCs w:val="18"/>
                <w:lang w:val="en-US" w:eastAsia="zh-CN"/>
              </w:rPr>
              <w:t>1-20</w:t>
            </w:r>
          </w:p>
        </w:tc>
      </w:tr>
      <w:tr w14:paraId="69DB2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7752CF65">
            <w:pPr>
              <w:spacing w:after="0" w:line="240" w:lineRule="auto"/>
              <w:jc w:val="center"/>
              <w:rPr>
                <w:rFonts w:hint="eastAsia"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毕业教育</w:t>
            </w:r>
          </w:p>
        </w:tc>
        <w:tc>
          <w:tcPr>
            <w:tcW w:w="646" w:type="pct"/>
            <w:vAlign w:val="center"/>
          </w:tcPr>
          <w:p w14:paraId="462F0A1C">
            <w:pPr>
              <w:spacing w:after="0" w:line="240" w:lineRule="auto"/>
              <w:jc w:val="center"/>
              <w:rPr>
                <w:rFonts w:hint="eastAsia" w:ascii="仿宋_GB2312" w:hAnsi="仿宋_GB2312" w:eastAsia="仿宋_GB2312" w:cs="仿宋_GB2312"/>
                <w:sz w:val="18"/>
                <w:szCs w:val="18"/>
              </w:rPr>
            </w:pPr>
          </w:p>
        </w:tc>
        <w:tc>
          <w:tcPr>
            <w:tcW w:w="582" w:type="pct"/>
            <w:vAlign w:val="center"/>
          </w:tcPr>
          <w:p w14:paraId="7D170AAB">
            <w:pPr>
              <w:spacing w:after="0" w:line="240" w:lineRule="auto"/>
              <w:jc w:val="center"/>
              <w:rPr>
                <w:rFonts w:hint="eastAsia" w:ascii="仿宋_GB2312" w:hAnsi="仿宋_GB2312" w:eastAsia="仿宋_GB2312" w:cs="仿宋_GB2312"/>
                <w:color w:val="auto"/>
                <w:sz w:val="18"/>
                <w:szCs w:val="18"/>
              </w:rPr>
            </w:pPr>
          </w:p>
        </w:tc>
        <w:tc>
          <w:tcPr>
            <w:tcW w:w="582" w:type="pct"/>
            <w:vAlign w:val="center"/>
          </w:tcPr>
          <w:p w14:paraId="7EF8592B">
            <w:pPr>
              <w:spacing w:after="0" w:line="240" w:lineRule="auto"/>
              <w:jc w:val="center"/>
              <w:rPr>
                <w:rFonts w:hint="eastAsia" w:ascii="仿宋_GB2312" w:hAnsi="仿宋_GB2312" w:eastAsia="仿宋_GB2312" w:cs="仿宋_GB2312"/>
                <w:color w:val="auto"/>
                <w:sz w:val="18"/>
                <w:szCs w:val="18"/>
              </w:rPr>
            </w:pPr>
          </w:p>
        </w:tc>
        <w:tc>
          <w:tcPr>
            <w:tcW w:w="582" w:type="pct"/>
            <w:vAlign w:val="center"/>
          </w:tcPr>
          <w:p w14:paraId="687A589D">
            <w:pPr>
              <w:spacing w:after="0" w:line="240" w:lineRule="auto"/>
              <w:jc w:val="center"/>
              <w:rPr>
                <w:rFonts w:hint="eastAsia" w:ascii="仿宋_GB2312" w:hAnsi="仿宋_GB2312" w:eastAsia="仿宋_GB2312" w:cs="仿宋_GB2312"/>
                <w:color w:val="auto"/>
                <w:sz w:val="18"/>
                <w:szCs w:val="18"/>
              </w:rPr>
            </w:pPr>
          </w:p>
        </w:tc>
        <w:tc>
          <w:tcPr>
            <w:tcW w:w="582" w:type="pct"/>
            <w:vAlign w:val="center"/>
          </w:tcPr>
          <w:p w14:paraId="24727742">
            <w:pPr>
              <w:spacing w:after="0" w:line="240" w:lineRule="auto"/>
              <w:jc w:val="center"/>
              <w:rPr>
                <w:rFonts w:hint="eastAsia" w:ascii="仿宋_GB2312" w:hAnsi="仿宋_GB2312" w:eastAsia="仿宋_GB2312" w:cs="仿宋_GB2312"/>
                <w:color w:val="auto"/>
                <w:sz w:val="18"/>
                <w:szCs w:val="18"/>
                <w:lang w:val="en-US" w:eastAsia="zh-CN"/>
              </w:rPr>
            </w:pPr>
          </w:p>
        </w:tc>
        <w:tc>
          <w:tcPr>
            <w:tcW w:w="584" w:type="pct"/>
            <w:vAlign w:val="center"/>
          </w:tcPr>
          <w:p w14:paraId="09F6A6C2">
            <w:pPr>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18-19</w:t>
            </w:r>
          </w:p>
        </w:tc>
      </w:tr>
      <w:tr w14:paraId="4F88C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4768C4AD">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学期教学总周数</w:t>
            </w:r>
          </w:p>
        </w:tc>
        <w:tc>
          <w:tcPr>
            <w:tcW w:w="646" w:type="pct"/>
            <w:vAlign w:val="center"/>
          </w:tcPr>
          <w:p w14:paraId="6DFEB6EE">
            <w:pPr>
              <w:spacing w:after="0" w:line="24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18"/>
                <w:szCs w:val="18"/>
                <w:lang w:val="en-US" w:eastAsia="zh-CN"/>
              </w:rPr>
              <w:t>20</w:t>
            </w:r>
            <w:r>
              <w:rPr>
                <w:rFonts w:hint="eastAsia" w:ascii="仿宋_GB2312" w:hAnsi="仿宋_GB2312" w:eastAsia="仿宋_GB2312" w:cs="仿宋_GB2312"/>
                <w:sz w:val="24"/>
                <w:szCs w:val="24"/>
                <w:lang w:val="en-US" w:eastAsia="zh-CN"/>
              </w:rPr>
              <w:t>周</w:t>
            </w:r>
          </w:p>
        </w:tc>
        <w:tc>
          <w:tcPr>
            <w:tcW w:w="582" w:type="pct"/>
            <w:vAlign w:val="center"/>
          </w:tcPr>
          <w:p w14:paraId="57D1C47C">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18"/>
                <w:szCs w:val="18"/>
                <w:lang w:val="en-US" w:eastAsia="zh-CN"/>
              </w:rPr>
              <w:t>20</w:t>
            </w:r>
            <w:r>
              <w:rPr>
                <w:rFonts w:hint="eastAsia" w:ascii="仿宋_GB2312" w:hAnsi="仿宋_GB2312" w:eastAsia="仿宋_GB2312" w:cs="仿宋_GB2312"/>
                <w:sz w:val="24"/>
                <w:szCs w:val="24"/>
                <w:lang w:val="en-US" w:eastAsia="zh-CN"/>
              </w:rPr>
              <w:t>周</w:t>
            </w:r>
          </w:p>
        </w:tc>
        <w:tc>
          <w:tcPr>
            <w:tcW w:w="582" w:type="pct"/>
            <w:vAlign w:val="center"/>
          </w:tcPr>
          <w:p w14:paraId="47DD45B4">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18"/>
                <w:szCs w:val="18"/>
                <w:lang w:val="en-US" w:eastAsia="zh-CN"/>
              </w:rPr>
              <w:t>20</w:t>
            </w:r>
            <w:r>
              <w:rPr>
                <w:rFonts w:hint="eastAsia" w:ascii="仿宋_GB2312" w:hAnsi="仿宋_GB2312" w:eastAsia="仿宋_GB2312" w:cs="仿宋_GB2312"/>
                <w:sz w:val="24"/>
                <w:szCs w:val="24"/>
                <w:lang w:val="en-US" w:eastAsia="zh-CN"/>
              </w:rPr>
              <w:t>周</w:t>
            </w:r>
          </w:p>
        </w:tc>
        <w:tc>
          <w:tcPr>
            <w:tcW w:w="582" w:type="pct"/>
            <w:vAlign w:val="center"/>
          </w:tcPr>
          <w:p w14:paraId="2075C09A">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18"/>
                <w:szCs w:val="18"/>
                <w:lang w:val="en-US" w:eastAsia="zh-CN"/>
              </w:rPr>
              <w:t>20</w:t>
            </w:r>
            <w:r>
              <w:rPr>
                <w:rFonts w:hint="eastAsia" w:ascii="仿宋_GB2312" w:hAnsi="仿宋_GB2312" w:eastAsia="仿宋_GB2312" w:cs="仿宋_GB2312"/>
                <w:sz w:val="24"/>
                <w:szCs w:val="24"/>
                <w:lang w:val="en-US" w:eastAsia="zh-CN"/>
              </w:rPr>
              <w:t>周</w:t>
            </w:r>
          </w:p>
        </w:tc>
        <w:tc>
          <w:tcPr>
            <w:tcW w:w="582" w:type="pct"/>
            <w:vAlign w:val="center"/>
          </w:tcPr>
          <w:p w14:paraId="54FB0BF0">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18"/>
                <w:szCs w:val="18"/>
                <w:lang w:val="en-US" w:eastAsia="zh-CN"/>
              </w:rPr>
              <w:t>20</w:t>
            </w:r>
            <w:r>
              <w:rPr>
                <w:rFonts w:hint="eastAsia" w:ascii="仿宋_GB2312" w:hAnsi="仿宋_GB2312" w:eastAsia="仿宋_GB2312" w:cs="仿宋_GB2312"/>
                <w:sz w:val="24"/>
                <w:szCs w:val="24"/>
                <w:lang w:val="en-US" w:eastAsia="zh-CN"/>
              </w:rPr>
              <w:t>周</w:t>
            </w:r>
          </w:p>
        </w:tc>
        <w:tc>
          <w:tcPr>
            <w:tcW w:w="584" w:type="pct"/>
            <w:vAlign w:val="center"/>
          </w:tcPr>
          <w:p w14:paraId="2BF05572">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18"/>
                <w:szCs w:val="18"/>
                <w:lang w:val="en-US" w:eastAsia="zh-CN"/>
              </w:rPr>
              <w:t>20</w:t>
            </w:r>
            <w:r>
              <w:rPr>
                <w:rFonts w:hint="eastAsia" w:ascii="仿宋_GB2312" w:hAnsi="仿宋_GB2312" w:eastAsia="仿宋_GB2312" w:cs="仿宋_GB2312"/>
                <w:sz w:val="24"/>
                <w:szCs w:val="24"/>
                <w:lang w:val="en-US" w:eastAsia="zh-CN"/>
              </w:rPr>
              <w:t>周</w:t>
            </w:r>
          </w:p>
        </w:tc>
      </w:tr>
    </w:tbl>
    <w:p w14:paraId="580A3BF8">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bCs/>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bCs/>
          <w:color w:val="auto"/>
          <w:sz w:val="32"/>
          <w:szCs w:val="32"/>
        </w:rPr>
        <w:t>课程结构与学时、学分分配</w:t>
      </w:r>
    </w:p>
    <w:p w14:paraId="6EDED8B4">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Cs/>
          <w:color w:val="auto"/>
          <w:sz w:val="32"/>
          <w:szCs w:val="32"/>
        </w:rPr>
        <w:t>本专业教学总学时为</w:t>
      </w:r>
      <w:r>
        <w:rPr>
          <w:rFonts w:hint="eastAsia" w:ascii="仿宋_GB2312" w:hAnsi="仿宋_GB2312" w:eastAsia="仿宋_GB2312" w:cs="仿宋_GB2312"/>
          <w:color w:val="auto"/>
          <w:spacing w:val="-2"/>
          <w:sz w:val="32"/>
          <w:szCs w:val="32"/>
          <w:lang w:val="en-US" w:eastAsia="zh-CN"/>
        </w:rPr>
        <w:t>2802</w:t>
      </w:r>
      <w:r>
        <w:rPr>
          <w:rFonts w:hint="eastAsia" w:ascii="仿宋_GB2312" w:hAnsi="仿宋_GB2312" w:eastAsia="仿宋_GB2312" w:cs="仿宋_GB2312"/>
          <w:bCs/>
          <w:color w:val="auto"/>
          <w:sz w:val="32"/>
          <w:szCs w:val="32"/>
        </w:rPr>
        <w:t>学时。其中理论教学</w:t>
      </w:r>
      <w:r>
        <w:rPr>
          <w:rFonts w:hint="eastAsia" w:ascii="仿宋_GB2312" w:hAnsi="仿宋_GB2312" w:eastAsia="仿宋_GB2312" w:cs="仿宋_GB2312"/>
          <w:color w:val="auto"/>
          <w:spacing w:val="-2"/>
          <w:sz w:val="32"/>
          <w:szCs w:val="32"/>
          <w:lang w:val="en-US" w:eastAsia="zh-CN"/>
        </w:rPr>
        <w:t>1376</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49.11</w:t>
      </w:r>
      <w:r>
        <w:rPr>
          <w:rFonts w:hint="eastAsia" w:ascii="仿宋_GB2312" w:hAnsi="仿宋_GB2312" w:eastAsia="仿宋_GB2312" w:cs="仿宋_GB2312"/>
          <w:bCs/>
          <w:color w:val="auto"/>
          <w:sz w:val="32"/>
          <w:szCs w:val="32"/>
        </w:rPr>
        <w:t>%；实践教学</w:t>
      </w:r>
      <w:r>
        <w:rPr>
          <w:rFonts w:hint="eastAsia" w:ascii="仿宋_GB2312" w:hAnsi="仿宋_GB2312" w:eastAsia="仿宋_GB2312" w:cs="仿宋_GB2312"/>
          <w:color w:val="auto"/>
          <w:spacing w:val="-2"/>
          <w:sz w:val="32"/>
          <w:szCs w:val="32"/>
          <w:lang w:val="en-US" w:eastAsia="zh-CN"/>
        </w:rPr>
        <w:t>1426</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50.89</w:t>
      </w:r>
      <w:r>
        <w:rPr>
          <w:rFonts w:hint="eastAsia" w:ascii="仿宋_GB2312" w:hAnsi="仿宋_GB2312" w:eastAsia="仿宋_GB2312" w:cs="仿宋_GB2312"/>
          <w:bCs/>
          <w:color w:val="auto"/>
          <w:sz w:val="32"/>
          <w:szCs w:val="32"/>
        </w:rPr>
        <w:t>%，其中岗位</w:t>
      </w:r>
      <w:r>
        <w:rPr>
          <w:rFonts w:hint="eastAsia" w:ascii="仿宋_GB2312" w:hAnsi="仿宋_GB2312" w:eastAsia="仿宋_GB2312" w:cs="仿宋_GB2312"/>
          <w:color w:val="auto"/>
          <w:spacing w:val="-2"/>
          <w:sz w:val="32"/>
          <w:szCs w:val="32"/>
          <w:lang w:val="en-US" w:eastAsia="zh-CN"/>
        </w:rPr>
        <w:t>实习时间累计一般为6个月。</w:t>
      </w:r>
      <w:r>
        <w:rPr>
          <w:rFonts w:hint="eastAsia" w:ascii="仿宋_GB2312" w:hAnsi="仿宋_GB2312" w:eastAsia="仿宋_GB2312" w:cs="仿宋_GB2312"/>
          <w:bCs/>
          <w:color w:val="auto"/>
          <w:sz w:val="32"/>
          <w:szCs w:val="32"/>
        </w:rPr>
        <w:t>公共基础课</w:t>
      </w:r>
      <w:r>
        <w:rPr>
          <w:rFonts w:hint="eastAsia" w:ascii="仿宋_GB2312" w:hAnsi="仿宋_GB2312" w:eastAsia="仿宋_GB2312" w:cs="仿宋_GB2312"/>
          <w:color w:val="auto"/>
          <w:spacing w:val="-2"/>
          <w:sz w:val="32"/>
          <w:szCs w:val="32"/>
          <w:lang w:val="en-US" w:eastAsia="zh-CN"/>
        </w:rPr>
        <w:t>922</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32.91</w:t>
      </w:r>
      <w:r>
        <w:rPr>
          <w:rFonts w:hint="eastAsia" w:ascii="仿宋_GB2312" w:hAnsi="仿宋_GB2312" w:eastAsia="仿宋_GB2312" w:cs="仿宋_GB2312"/>
          <w:bCs/>
          <w:color w:val="auto"/>
          <w:sz w:val="32"/>
          <w:szCs w:val="32"/>
        </w:rPr>
        <w:t>%；选修课</w:t>
      </w:r>
      <w:r>
        <w:rPr>
          <w:rFonts w:hint="eastAsia" w:ascii="仿宋_GB2312" w:hAnsi="仿宋_GB2312" w:eastAsia="仿宋_GB2312" w:cs="仿宋_GB2312"/>
          <w:bCs/>
          <w:color w:val="auto"/>
          <w:sz w:val="32"/>
          <w:szCs w:val="32"/>
          <w:lang w:val="en-US" w:eastAsia="zh-CN"/>
        </w:rPr>
        <w:t>308</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10.99</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color w:val="auto"/>
          <w:sz w:val="32"/>
          <w:szCs w:val="32"/>
        </w:rPr>
        <w:t>。</w:t>
      </w:r>
    </w:p>
    <w:p w14:paraId="12D03CEA">
      <w:pPr>
        <w:keepNext w:val="0"/>
        <w:keepLines w:val="0"/>
        <w:pageBreakBefore w:val="0"/>
        <w:widowControl w:val="0"/>
        <w:kinsoku/>
        <w:wordWrap/>
        <w:overflowPunct/>
        <w:topLinePunct w:val="0"/>
        <w:autoSpaceDE/>
        <w:autoSpaceDN/>
        <w:bidi w:val="0"/>
        <w:adjustRightInd/>
        <w:snapToGrid/>
        <w:spacing w:after="0" w:line="520" w:lineRule="exact"/>
        <w:jc w:val="center"/>
        <w:textAlignment w:val="auto"/>
        <w:rPr>
          <w:rFonts w:hint="eastAsia" w:ascii="仿宋_GB2312" w:hAnsi="仿宋_GB2312" w:eastAsia="仿宋_GB2312" w:cs="仿宋_GB2312"/>
          <w:color w:val="auto"/>
          <w:spacing w:val="-2"/>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 xml:space="preserve">9 </w:t>
      </w:r>
      <w:r>
        <w:rPr>
          <w:rFonts w:hint="eastAsia" w:ascii="仿宋_GB2312" w:hAnsi="仿宋_GB2312" w:eastAsia="仿宋_GB2312" w:cs="仿宋_GB2312"/>
          <w:color w:val="auto"/>
          <w:spacing w:val="-2"/>
          <w:sz w:val="32"/>
          <w:szCs w:val="32"/>
        </w:rPr>
        <w:t>课程学时、学分分配表</w:t>
      </w:r>
    </w:p>
    <w:tbl>
      <w:tblPr>
        <w:tblStyle w:val="7"/>
        <w:tblW w:w="1062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46"/>
        <w:gridCol w:w="1935"/>
        <w:gridCol w:w="1280"/>
        <w:gridCol w:w="718"/>
        <w:gridCol w:w="1118"/>
        <w:gridCol w:w="896"/>
        <w:gridCol w:w="759"/>
        <w:gridCol w:w="1261"/>
        <w:gridCol w:w="750"/>
        <w:gridCol w:w="1264"/>
      </w:tblGrid>
      <w:tr w14:paraId="4989C9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258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D0D3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课程类别</w:t>
            </w:r>
          </w:p>
        </w:tc>
        <w:tc>
          <w:tcPr>
            <w:tcW w:w="12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585C8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课程性质</w:t>
            </w:r>
          </w:p>
        </w:tc>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238F7">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学分</w:t>
            </w:r>
          </w:p>
        </w:tc>
        <w:tc>
          <w:tcPr>
            <w:tcW w:w="11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C6E27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占专业总学分比例</w:t>
            </w:r>
          </w:p>
        </w:tc>
        <w:tc>
          <w:tcPr>
            <w:tcW w:w="493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8FF73">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                         学时</w:t>
            </w:r>
          </w:p>
        </w:tc>
      </w:tr>
      <w:tr w14:paraId="09FD0D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25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9628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12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E88FB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7E8E4">
            <w:pPr>
              <w:keepNext w:val="0"/>
              <w:keepLines w:val="0"/>
              <w:pageBreakBefore w:val="0"/>
              <w:widowControl/>
              <w:kinsoku/>
              <w:wordWrap/>
              <w:overflowPunct/>
              <w:topLinePunct w:val="0"/>
              <w:autoSpaceDE/>
              <w:autoSpaceDN/>
              <w:bidi w:val="0"/>
              <w:adjustRightInd/>
              <w:snapToGrid/>
              <w:spacing w:after="0" w:line="300" w:lineRule="exact"/>
              <w:rPr>
                <w:rFonts w:hint="eastAsia" w:ascii="仿宋_GB2312" w:hAnsi="仿宋_GB2312" w:eastAsia="仿宋_GB2312" w:cs="仿宋_GB2312"/>
                <w:i w:val="0"/>
                <w:iCs w:val="0"/>
                <w:color w:val="000000"/>
                <w:sz w:val="24"/>
                <w:szCs w:val="24"/>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5AD68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89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0A1AD">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合计</w:t>
            </w: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DEED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理论教学</w:t>
            </w:r>
          </w:p>
        </w:tc>
        <w:tc>
          <w:tcPr>
            <w:tcW w:w="201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32AD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实践教学</w:t>
            </w:r>
          </w:p>
        </w:tc>
      </w:tr>
      <w:tr w14:paraId="5FCAF3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25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9E61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12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FBA1D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56CA6">
            <w:pPr>
              <w:keepNext w:val="0"/>
              <w:keepLines w:val="0"/>
              <w:pageBreakBefore w:val="0"/>
              <w:widowControl/>
              <w:kinsoku/>
              <w:wordWrap/>
              <w:overflowPunct/>
              <w:topLinePunct w:val="0"/>
              <w:autoSpaceDE/>
              <w:autoSpaceDN/>
              <w:bidi w:val="0"/>
              <w:adjustRightInd/>
              <w:snapToGrid/>
              <w:spacing w:after="0" w:line="300" w:lineRule="exact"/>
              <w:rPr>
                <w:rFonts w:hint="eastAsia" w:ascii="仿宋_GB2312" w:hAnsi="仿宋_GB2312" w:eastAsia="仿宋_GB2312" w:cs="仿宋_GB2312"/>
                <w:i w:val="0"/>
                <w:iCs w:val="0"/>
                <w:color w:val="000000"/>
                <w:sz w:val="24"/>
                <w:szCs w:val="24"/>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07671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89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FB130">
            <w:pPr>
              <w:keepNext w:val="0"/>
              <w:keepLines w:val="0"/>
              <w:pageBreakBefore w:val="0"/>
              <w:widowControl/>
              <w:kinsoku/>
              <w:wordWrap/>
              <w:overflowPunct/>
              <w:topLinePunct w:val="0"/>
              <w:autoSpaceDE/>
              <w:autoSpaceDN/>
              <w:bidi w:val="0"/>
              <w:adjustRightInd/>
              <w:snapToGrid/>
              <w:spacing w:after="0" w:line="300" w:lineRule="exact"/>
              <w:rPr>
                <w:rFonts w:hint="eastAsia" w:ascii="仿宋_GB2312" w:hAnsi="仿宋_GB2312" w:eastAsia="仿宋_GB2312" w:cs="仿宋_GB2312"/>
                <w:i w:val="0"/>
                <w:iCs w:val="0"/>
                <w:color w:val="000000"/>
                <w:sz w:val="24"/>
                <w:szCs w:val="24"/>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FD244">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学时</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02377">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占专业总学时比例（%）</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360ED">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学时</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82185">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占专业总学时比例（%）</w:t>
            </w:r>
          </w:p>
        </w:tc>
      </w:tr>
      <w:tr w14:paraId="76927E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258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B58F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公共基础课</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F7FA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D0147">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BB0E1">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28.19%</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48AB3">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794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019A9">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454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B1E03">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16.20%</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391C2">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340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B7CCE">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12.13%</w:t>
            </w:r>
          </w:p>
        </w:tc>
      </w:tr>
      <w:tr w14:paraId="43AE8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25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C933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B2C4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FE11C9">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E4CB2">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5.37%</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1580F">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128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77CC4">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3E4DE">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2.86%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5EE16">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3E7C1">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1.71%</w:t>
            </w:r>
          </w:p>
        </w:tc>
      </w:tr>
      <w:tr w14:paraId="3E2758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25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FF1A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DCDE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40ADA">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2A5E2">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33.56%</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E67BC">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922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E10E2">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534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FF1AB">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19.06%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21D3C">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388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547D4">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13.85%</w:t>
            </w:r>
          </w:p>
        </w:tc>
      </w:tr>
      <w:tr w14:paraId="548F48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646" w:type="dxa"/>
            <w:vMerge w:val="restart"/>
            <w:tcBorders>
              <w:top w:val="single" w:color="000000" w:sz="4" w:space="0"/>
              <w:left w:val="single" w:color="000000" w:sz="4" w:space="0"/>
              <w:right w:val="single" w:color="000000" w:sz="4" w:space="0"/>
            </w:tcBorders>
            <w:shd w:val="clear" w:color="auto" w:fill="auto"/>
            <w:vAlign w:val="center"/>
          </w:tcPr>
          <w:p w14:paraId="6D467ED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专业课</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5D5B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专业基础课</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F83B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1D2BE">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8D28D">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26.85%</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FABFC">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720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76B7F">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408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A5855">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14.56%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710C5">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312</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08E03">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11.13%</w:t>
            </w:r>
          </w:p>
        </w:tc>
      </w:tr>
      <w:tr w14:paraId="6F92FD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646" w:type="dxa"/>
            <w:vMerge w:val="continue"/>
            <w:tcBorders>
              <w:left w:val="single" w:color="000000" w:sz="4" w:space="0"/>
              <w:right w:val="single" w:color="000000" w:sz="4" w:space="0"/>
            </w:tcBorders>
            <w:shd w:val="clear" w:color="auto" w:fill="auto"/>
            <w:vAlign w:val="center"/>
          </w:tcPr>
          <w:p w14:paraId="056B79A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D3D6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专业核心课</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93F0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B5822">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26</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DCD12">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17.45%</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5A0FE">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468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33A8C">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284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9A23C">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10.14%</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0723D">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184</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D9352">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6.57%</w:t>
            </w:r>
          </w:p>
        </w:tc>
      </w:tr>
      <w:tr w14:paraId="138E28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646" w:type="dxa"/>
            <w:vMerge w:val="continue"/>
            <w:tcBorders>
              <w:left w:val="single" w:color="000000" w:sz="4" w:space="0"/>
              <w:right w:val="single" w:color="000000" w:sz="4" w:space="0"/>
            </w:tcBorders>
            <w:shd w:val="clear" w:color="auto" w:fill="auto"/>
            <w:vAlign w:val="center"/>
          </w:tcPr>
          <w:p w14:paraId="4EE483C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C6BF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专业拓展课</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6D0C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E6193">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9CF3D">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6.71%</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56674">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180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6F4F3">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5D1B1">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4.64%</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2216A">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A1DFB">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1.78%</w:t>
            </w:r>
          </w:p>
        </w:tc>
      </w:tr>
      <w:tr w14:paraId="3EC2AD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646" w:type="dxa"/>
            <w:vMerge w:val="continue"/>
            <w:tcBorders>
              <w:left w:val="single" w:color="000000" w:sz="4" w:space="0"/>
              <w:bottom w:val="single" w:color="000000" w:sz="4" w:space="0"/>
              <w:right w:val="single" w:color="000000" w:sz="4" w:space="0"/>
            </w:tcBorders>
            <w:shd w:val="clear" w:color="auto" w:fill="auto"/>
            <w:vAlign w:val="center"/>
          </w:tcPr>
          <w:p w14:paraId="6A1A996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935" w:type="dxa"/>
            <w:tcBorders>
              <w:top w:val="single" w:color="000000" w:sz="4" w:space="0"/>
              <w:left w:val="single" w:color="auto" w:sz="4" w:space="0"/>
              <w:bottom w:val="single" w:color="000000" w:sz="4" w:space="0"/>
              <w:right w:val="single" w:color="000000" w:sz="4" w:space="0"/>
            </w:tcBorders>
            <w:shd w:val="clear" w:color="auto" w:fill="auto"/>
            <w:vAlign w:val="center"/>
          </w:tcPr>
          <w:p w14:paraId="56DEA2C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rPr>
              <w:t>实践</w:t>
            </w:r>
            <w:r>
              <w:rPr>
                <w:rFonts w:hint="eastAsia" w:ascii="仿宋_GB2312" w:hAnsi="仿宋_GB2312" w:eastAsia="仿宋_GB2312" w:cs="仿宋_GB2312"/>
                <w:i w:val="0"/>
                <w:iCs w:val="0"/>
                <w:color w:val="000000"/>
                <w:sz w:val="24"/>
                <w:szCs w:val="24"/>
                <w:u w:val="none"/>
                <w:lang w:val="en-US" w:eastAsia="zh-CN"/>
              </w:rPr>
              <w:t>性</w:t>
            </w:r>
            <w:r>
              <w:rPr>
                <w:rFonts w:hint="eastAsia" w:ascii="仿宋_GB2312" w:hAnsi="仿宋_GB2312" w:eastAsia="仿宋_GB2312" w:cs="仿宋_GB2312"/>
                <w:i w:val="0"/>
                <w:iCs w:val="0"/>
                <w:color w:val="000000"/>
                <w:sz w:val="24"/>
                <w:szCs w:val="24"/>
                <w:u w:val="none"/>
              </w:rPr>
              <w:t>教学环节</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2E6F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979D0">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23</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FFC4C">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15.44%</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EB0CD">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512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3E56A">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63D58">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0.71%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ECC34">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492</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95754">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17.56%</w:t>
            </w:r>
          </w:p>
        </w:tc>
      </w:tr>
      <w:tr w14:paraId="375224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38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93346A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65BA7">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99</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3D5F6">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66.44%</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823CD">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1880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14F41">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842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852EA">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30.05%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D6739">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1038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351DD">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37.04%</w:t>
            </w:r>
          </w:p>
        </w:tc>
      </w:tr>
      <w:tr w14:paraId="78C54B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386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E4B0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合计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549EA">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149</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2D233">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100%</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33554">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2802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DB192">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1376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4965B">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49.11%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F0F9D">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1426</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6C8F9">
            <w:pPr>
              <w:keepNext w:val="0"/>
              <w:keepLines w:val="0"/>
              <w:pageBreakBefore w:val="0"/>
              <w:kinsoku/>
              <w:wordWrap/>
              <w:overflowPunct/>
              <w:topLinePunct w:val="0"/>
              <w:autoSpaceDE/>
              <w:autoSpaceDN/>
              <w:bidi w:val="0"/>
              <w:adjustRightInd/>
              <w:snapToGrid/>
              <w:spacing w:after="0" w:line="3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50.89%</w:t>
            </w:r>
          </w:p>
        </w:tc>
      </w:tr>
    </w:tbl>
    <w:p w14:paraId="42C2DE12">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教学计划进程</w:t>
      </w:r>
    </w:p>
    <w:p w14:paraId="2C87C502">
      <w:pPr>
        <w:pStyle w:val="6"/>
        <w:keepNext w:val="0"/>
        <w:keepLines w:val="0"/>
        <w:pageBreakBefore w:val="0"/>
        <w:shd w:val="clear" w:color="auto" w:fill="FFFFFF"/>
        <w:kinsoku/>
        <w:wordWrap/>
        <w:topLinePunct w:val="0"/>
        <w:autoSpaceDE/>
        <w:autoSpaceDN/>
        <w:bidi w:val="0"/>
        <w:snapToGrid/>
        <w:spacing w:before="0" w:beforeAutospacing="0" w:afterAutospacing="0" w:line="520" w:lineRule="exact"/>
        <w:jc w:val="center"/>
        <w:textAlignment w:val="auto"/>
        <w:rPr>
          <w:rFonts w:hint="eastAsia" w:ascii="楷体" w:hAnsi="楷体" w:eastAsia="楷体" w:cs="楷体"/>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 xml:space="preserve">10 </w:t>
      </w:r>
      <w:r>
        <w:rPr>
          <w:rFonts w:hint="eastAsia" w:ascii="仿宋_GB2312" w:hAnsi="仿宋_GB2312" w:eastAsia="仿宋_GB2312" w:cs="仿宋_GB2312"/>
          <w:color w:val="auto"/>
          <w:sz w:val="32"/>
          <w:szCs w:val="32"/>
          <w:shd w:val="clear" w:color="auto" w:fill="FFFFFF"/>
          <w:lang w:bidi="ar"/>
        </w:rPr>
        <w:t>教学计划进程安排表</w:t>
      </w:r>
    </w:p>
    <w:tbl>
      <w:tblPr>
        <w:tblStyle w:val="7"/>
        <w:tblW w:w="574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323"/>
        <w:gridCol w:w="382"/>
        <w:gridCol w:w="391"/>
        <w:gridCol w:w="500"/>
        <w:gridCol w:w="1238"/>
        <w:gridCol w:w="2150"/>
        <w:gridCol w:w="712"/>
        <w:gridCol w:w="700"/>
        <w:gridCol w:w="725"/>
        <w:gridCol w:w="713"/>
        <w:gridCol w:w="375"/>
        <w:gridCol w:w="350"/>
        <w:gridCol w:w="350"/>
        <w:gridCol w:w="350"/>
        <w:gridCol w:w="450"/>
        <w:gridCol w:w="338"/>
        <w:gridCol w:w="633"/>
      </w:tblGrid>
      <w:tr w14:paraId="1CCA9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1096" w:type="dxa"/>
            <w:gridSpan w:val="3"/>
            <w:vMerge w:val="restart"/>
            <w:shd w:val="clear" w:color="auto" w:fill="auto"/>
            <w:vAlign w:val="center"/>
          </w:tcPr>
          <w:p w14:paraId="7ECF72C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bookmarkStart w:id="16" w:name="OLE_LINK3"/>
            <w:r>
              <w:rPr>
                <w:rFonts w:hint="eastAsia" w:ascii="仿宋_GB2312" w:hAnsi="仿宋_GB2312" w:eastAsia="仿宋_GB2312" w:cs="仿宋_GB2312"/>
                <w:i w:val="0"/>
                <w:color w:val="000000"/>
                <w:kern w:val="0"/>
                <w:sz w:val="20"/>
                <w:szCs w:val="20"/>
                <w:u w:val="none"/>
                <w:lang w:val="en-US" w:eastAsia="zh-CN" w:bidi="ar"/>
              </w:rPr>
              <w:t>课程类型</w:t>
            </w:r>
          </w:p>
        </w:tc>
        <w:tc>
          <w:tcPr>
            <w:tcW w:w="500" w:type="dxa"/>
            <w:vMerge w:val="restart"/>
            <w:shd w:val="clear" w:color="auto" w:fill="auto"/>
            <w:vAlign w:val="center"/>
          </w:tcPr>
          <w:p w14:paraId="631E483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序号</w:t>
            </w:r>
          </w:p>
        </w:tc>
        <w:tc>
          <w:tcPr>
            <w:tcW w:w="1238" w:type="dxa"/>
            <w:vMerge w:val="restart"/>
            <w:shd w:val="clear" w:color="auto" w:fill="auto"/>
            <w:vAlign w:val="center"/>
          </w:tcPr>
          <w:p w14:paraId="07E623F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课程代码</w:t>
            </w:r>
          </w:p>
        </w:tc>
        <w:tc>
          <w:tcPr>
            <w:tcW w:w="2150" w:type="dxa"/>
            <w:vMerge w:val="restart"/>
            <w:shd w:val="clear" w:color="auto" w:fill="auto"/>
            <w:vAlign w:val="center"/>
          </w:tcPr>
          <w:p w14:paraId="32EB992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课程名称</w:t>
            </w:r>
          </w:p>
        </w:tc>
        <w:tc>
          <w:tcPr>
            <w:tcW w:w="712" w:type="dxa"/>
            <w:vMerge w:val="restart"/>
            <w:shd w:val="clear" w:color="auto" w:fill="auto"/>
            <w:vAlign w:val="center"/>
          </w:tcPr>
          <w:p w14:paraId="02F0A0F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学分</w:t>
            </w:r>
          </w:p>
        </w:tc>
        <w:tc>
          <w:tcPr>
            <w:tcW w:w="2138" w:type="dxa"/>
            <w:gridSpan w:val="3"/>
            <w:vMerge w:val="restart"/>
            <w:shd w:val="clear" w:color="auto" w:fill="auto"/>
            <w:vAlign w:val="center"/>
          </w:tcPr>
          <w:p w14:paraId="0DB5F61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教学学时数</w:t>
            </w:r>
          </w:p>
        </w:tc>
        <w:tc>
          <w:tcPr>
            <w:tcW w:w="2213" w:type="dxa"/>
            <w:gridSpan w:val="6"/>
            <w:vMerge w:val="restart"/>
            <w:shd w:val="clear" w:color="auto" w:fill="auto"/>
            <w:vAlign w:val="center"/>
          </w:tcPr>
          <w:p w14:paraId="759313D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开课学期和周学时</w:t>
            </w:r>
          </w:p>
        </w:tc>
        <w:tc>
          <w:tcPr>
            <w:tcW w:w="633" w:type="dxa"/>
            <w:vMerge w:val="restart"/>
            <w:shd w:val="clear" w:color="auto" w:fill="auto"/>
            <w:vAlign w:val="center"/>
          </w:tcPr>
          <w:p w14:paraId="29590DB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考核类型</w:t>
            </w:r>
          </w:p>
        </w:tc>
      </w:tr>
      <w:tr w14:paraId="6D220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1096" w:type="dxa"/>
            <w:gridSpan w:val="3"/>
            <w:vMerge w:val="continue"/>
            <w:shd w:val="clear" w:color="auto" w:fill="auto"/>
            <w:vAlign w:val="center"/>
          </w:tcPr>
          <w:p w14:paraId="06AE174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vMerge w:val="continue"/>
            <w:shd w:val="clear" w:color="auto" w:fill="auto"/>
            <w:vAlign w:val="center"/>
          </w:tcPr>
          <w:p w14:paraId="3B9485A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1238" w:type="dxa"/>
            <w:vMerge w:val="continue"/>
            <w:shd w:val="clear" w:color="auto" w:fill="auto"/>
            <w:vAlign w:val="center"/>
          </w:tcPr>
          <w:p w14:paraId="318393A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150" w:type="dxa"/>
            <w:vMerge w:val="continue"/>
            <w:shd w:val="clear" w:color="auto" w:fill="auto"/>
            <w:vAlign w:val="center"/>
          </w:tcPr>
          <w:p w14:paraId="629CBE8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712" w:type="dxa"/>
            <w:vMerge w:val="continue"/>
            <w:shd w:val="clear" w:color="auto" w:fill="auto"/>
            <w:vAlign w:val="center"/>
          </w:tcPr>
          <w:p w14:paraId="5108832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138" w:type="dxa"/>
            <w:gridSpan w:val="3"/>
            <w:vMerge w:val="continue"/>
            <w:shd w:val="clear" w:color="auto" w:fill="auto"/>
            <w:vAlign w:val="center"/>
          </w:tcPr>
          <w:p w14:paraId="4D62FAB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213" w:type="dxa"/>
            <w:gridSpan w:val="6"/>
            <w:vMerge w:val="continue"/>
            <w:shd w:val="clear" w:color="auto" w:fill="auto"/>
            <w:vAlign w:val="center"/>
          </w:tcPr>
          <w:p w14:paraId="7069632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vMerge w:val="continue"/>
            <w:shd w:val="clear" w:color="auto" w:fill="auto"/>
            <w:vAlign w:val="center"/>
          </w:tcPr>
          <w:p w14:paraId="0CB68F2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r>
      <w:tr w14:paraId="17F20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1096" w:type="dxa"/>
            <w:gridSpan w:val="3"/>
            <w:vMerge w:val="continue"/>
            <w:shd w:val="clear" w:color="auto" w:fill="auto"/>
            <w:vAlign w:val="center"/>
          </w:tcPr>
          <w:p w14:paraId="6EF3B08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vMerge w:val="continue"/>
            <w:shd w:val="clear" w:color="auto" w:fill="auto"/>
            <w:vAlign w:val="center"/>
          </w:tcPr>
          <w:p w14:paraId="25F3357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1238" w:type="dxa"/>
            <w:vMerge w:val="continue"/>
            <w:shd w:val="clear" w:color="auto" w:fill="auto"/>
            <w:vAlign w:val="center"/>
          </w:tcPr>
          <w:p w14:paraId="7625F0D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150" w:type="dxa"/>
            <w:vMerge w:val="continue"/>
            <w:shd w:val="clear" w:color="auto" w:fill="auto"/>
            <w:vAlign w:val="center"/>
          </w:tcPr>
          <w:p w14:paraId="556D46B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712" w:type="dxa"/>
            <w:vMerge w:val="continue"/>
            <w:shd w:val="clear" w:color="auto" w:fill="auto"/>
            <w:vAlign w:val="center"/>
          </w:tcPr>
          <w:p w14:paraId="4C82EFD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700" w:type="dxa"/>
            <w:shd w:val="clear" w:color="auto" w:fill="auto"/>
            <w:vAlign w:val="center"/>
          </w:tcPr>
          <w:p w14:paraId="5CA788C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合计</w:t>
            </w:r>
          </w:p>
        </w:tc>
        <w:tc>
          <w:tcPr>
            <w:tcW w:w="725" w:type="dxa"/>
            <w:shd w:val="clear" w:color="auto" w:fill="auto"/>
            <w:vAlign w:val="center"/>
          </w:tcPr>
          <w:p w14:paraId="5E7D776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理论学时</w:t>
            </w:r>
          </w:p>
        </w:tc>
        <w:tc>
          <w:tcPr>
            <w:tcW w:w="713" w:type="dxa"/>
            <w:shd w:val="clear" w:color="auto" w:fill="auto"/>
            <w:vAlign w:val="center"/>
          </w:tcPr>
          <w:p w14:paraId="777BE00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实践学时</w:t>
            </w:r>
          </w:p>
        </w:tc>
        <w:tc>
          <w:tcPr>
            <w:tcW w:w="375" w:type="dxa"/>
            <w:shd w:val="clear" w:color="auto" w:fill="auto"/>
            <w:vAlign w:val="center"/>
          </w:tcPr>
          <w:p w14:paraId="7182605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一</w:t>
            </w:r>
          </w:p>
        </w:tc>
        <w:tc>
          <w:tcPr>
            <w:tcW w:w="350" w:type="dxa"/>
            <w:shd w:val="clear" w:color="auto" w:fill="auto"/>
            <w:vAlign w:val="center"/>
          </w:tcPr>
          <w:p w14:paraId="1A0C663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二</w:t>
            </w:r>
          </w:p>
        </w:tc>
        <w:tc>
          <w:tcPr>
            <w:tcW w:w="350" w:type="dxa"/>
            <w:shd w:val="clear" w:color="auto" w:fill="auto"/>
            <w:vAlign w:val="center"/>
          </w:tcPr>
          <w:p w14:paraId="073B1F0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三</w:t>
            </w:r>
          </w:p>
        </w:tc>
        <w:tc>
          <w:tcPr>
            <w:tcW w:w="350" w:type="dxa"/>
            <w:shd w:val="clear" w:color="auto" w:fill="auto"/>
            <w:vAlign w:val="center"/>
          </w:tcPr>
          <w:p w14:paraId="5B844DA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四</w:t>
            </w:r>
          </w:p>
        </w:tc>
        <w:tc>
          <w:tcPr>
            <w:tcW w:w="450" w:type="dxa"/>
            <w:shd w:val="clear" w:color="auto" w:fill="auto"/>
            <w:vAlign w:val="center"/>
          </w:tcPr>
          <w:p w14:paraId="58AFC6F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五</w:t>
            </w:r>
          </w:p>
        </w:tc>
        <w:tc>
          <w:tcPr>
            <w:tcW w:w="338" w:type="dxa"/>
            <w:shd w:val="clear" w:color="auto" w:fill="auto"/>
            <w:vAlign w:val="center"/>
          </w:tcPr>
          <w:p w14:paraId="2A364D8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六</w:t>
            </w:r>
          </w:p>
        </w:tc>
        <w:tc>
          <w:tcPr>
            <w:tcW w:w="633" w:type="dxa"/>
            <w:shd w:val="clear" w:color="auto" w:fill="auto"/>
            <w:vAlign w:val="center"/>
          </w:tcPr>
          <w:p w14:paraId="6BFE9C4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r>
      <w:tr w14:paraId="639D9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705" w:type="dxa"/>
            <w:gridSpan w:val="2"/>
            <w:vMerge w:val="restart"/>
            <w:shd w:val="clear" w:color="auto" w:fill="auto"/>
            <w:vAlign w:val="center"/>
          </w:tcPr>
          <w:p w14:paraId="000ECF4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公共基础课</w:t>
            </w:r>
          </w:p>
        </w:tc>
        <w:tc>
          <w:tcPr>
            <w:tcW w:w="391" w:type="dxa"/>
            <w:vMerge w:val="restart"/>
            <w:shd w:val="clear" w:color="auto" w:fill="auto"/>
            <w:vAlign w:val="center"/>
          </w:tcPr>
          <w:p w14:paraId="3A32C4D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必修</w:t>
            </w:r>
          </w:p>
        </w:tc>
        <w:tc>
          <w:tcPr>
            <w:tcW w:w="500" w:type="dxa"/>
            <w:shd w:val="clear" w:color="auto" w:fill="auto"/>
            <w:vAlign w:val="center"/>
          </w:tcPr>
          <w:p w14:paraId="4AAF36C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w:t>
            </w:r>
          </w:p>
        </w:tc>
        <w:tc>
          <w:tcPr>
            <w:tcW w:w="1238" w:type="dxa"/>
            <w:shd w:val="clear" w:color="auto" w:fill="auto"/>
            <w:vAlign w:val="center"/>
          </w:tcPr>
          <w:p w14:paraId="47E34DB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1B410101101</w:t>
            </w:r>
          </w:p>
        </w:tc>
        <w:tc>
          <w:tcPr>
            <w:tcW w:w="2150" w:type="dxa"/>
            <w:shd w:val="clear" w:color="auto" w:fill="auto"/>
            <w:vAlign w:val="center"/>
          </w:tcPr>
          <w:p w14:paraId="5E38137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思想道德与法治</w:t>
            </w:r>
          </w:p>
        </w:tc>
        <w:tc>
          <w:tcPr>
            <w:tcW w:w="712" w:type="dxa"/>
            <w:shd w:val="clear" w:color="auto" w:fill="auto"/>
            <w:vAlign w:val="center"/>
          </w:tcPr>
          <w:p w14:paraId="796B42A0">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sz w:val="18"/>
                <w:szCs w:val="18"/>
                <w:lang w:val="en-US" w:eastAsia="zh-CN"/>
              </w:rPr>
              <w:t>3</w:t>
            </w:r>
          </w:p>
        </w:tc>
        <w:tc>
          <w:tcPr>
            <w:tcW w:w="700" w:type="dxa"/>
            <w:shd w:val="clear" w:color="auto" w:fill="auto"/>
            <w:vAlign w:val="center"/>
          </w:tcPr>
          <w:p w14:paraId="3C290881">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48</w:t>
            </w:r>
          </w:p>
        </w:tc>
        <w:tc>
          <w:tcPr>
            <w:tcW w:w="725" w:type="dxa"/>
            <w:shd w:val="clear" w:color="auto" w:fill="auto"/>
            <w:vAlign w:val="center"/>
          </w:tcPr>
          <w:p w14:paraId="37988515">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36</w:t>
            </w:r>
          </w:p>
        </w:tc>
        <w:tc>
          <w:tcPr>
            <w:tcW w:w="713" w:type="dxa"/>
            <w:shd w:val="clear" w:color="auto" w:fill="auto"/>
            <w:vAlign w:val="center"/>
          </w:tcPr>
          <w:p w14:paraId="418DCA50">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12</w:t>
            </w:r>
          </w:p>
        </w:tc>
        <w:tc>
          <w:tcPr>
            <w:tcW w:w="375" w:type="dxa"/>
            <w:shd w:val="clear" w:color="auto" w:fill="auto"/>
            <w:vAlign w:val="center"/>
          </w:tcPr>
          <w:p w14:paraId="78646DDD">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w:t>
            </w:r>
          </w:p>
        </w:tc>
        <w:tc>
          <w:tcPr>
            <w:tcW w:w="350" w:type="dxa"/>
            <w:shd w:val="clear" w:color="auto" w:fill="auto"/>
            <w:vAlign w:val="center"/>
          </w:tcPr>
          <w:p w14:paraId="4D4057F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sz w:val="18"/>
                <w:szCs w:val="18"/>
                <w:lang w:val="en-US" w:eastAsia="zh-CN"/>
              </w:rPr>
            </w:pPr>
          </w:p>
        </w:tc>
        <w:tc>
          <w:tcPr>
            <w:tcW w:w="350" w:type="dxa"/>
            <w:shd w:val="clear" w:color="auto" w:fill="auto"/>
            <w:vAlign w:val="center"/>
          </w:tcPr>
          <w:p w14:paraId="1AB3B96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0" w:type="dxa"/>
            <w:shd w:val="clear" w:color="auto" w:fill="auto"/>
            <w:vAlign w:val="center"/>
          </w:tcPr>
          <w:p w14:paraId="40E528C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50" w:type="dxa"/>
            <w:shd w:val="clear" w:color="auto" w:fill="auto"/>
            <w:vAlign w:val="center"/>
          </w:tcPr>
          <w:p w14:paraId="1943945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8" w:type="dxa"/>
            <w:shd w:val="clear" w:color="auto" w:fill="auto"/>
            <w:vAlign w:val="center"/>
          </w:tcPr>
          <w:p w14:paraId="5971FA2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6595FFB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1FF87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705" w:type="dxa"/>
            <w:gridSpan w:val="2"/>
            <w:vMerge w:val="continue"/>
            <w:shd w:val="clear" w:color="auto" w:fill="auto"/>
            <w:vAlign w:val="center"/>
          </w:tcPr>
          <w:p w14:paraId="47D9D59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vAlign w:val="center"/>
          </w:tcPr>
          <w:p w14:paraId="61C2F27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vAlign w:val="center"/>
          </w:tcPr>
          <w:p w14:paraId="5589DEA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1238" w:type="dxa"/>
            <w:shd w:val="clear" w:color="auto" w:fill="auto"/>
            <w:vAlign w:val="center"/>
          </w:tcPr>
          <w:p w14:paraId="00BAD75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1A410101102</w:t>
            </w:r>
          </w:p>
        </w:tc>
        <w:tc>
          <w:tcPr>
            <w:tcW w:w="2150" w:type="dxa"/>
            <w:shd w:val="clear" w:color="auto" w:fill="auto"/>
            <w:vAlign w:val="center"/>
          </w:tcPr>
          <w:p w14:paraId="7BBF0CE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形势与政策</w:t>
            </w:r>
          </w:p>
        </w:tc>
        <w:tc>
          <w:tcPr>
            <w:tcW w:w="712" w:type="dxa"/>
            <w:shd w:val="clear" w:color="auto" w:fill="auto"/>
            <w:vAlign w:val="center"/>
          </w:tcPr>
          <w:p w14:paraId="14D2DBDE">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w:t>
            </w:r>
          </w:p>
        </w:tc>
        <w:tc>
          <w:tcPr>
            <w:tcW w:w="700" w:type="dxa"/>
            <w:shd w:val="clear" w:color="auto" w:fill="auto"/>
            <w:vAlign w:val="center"/>
          </w:tcPr>
          <w:p w14:paraId="07A5455A">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32</w:t>
            </w:r>
          </w:p>
        </w:tc>
        <w:tc>
          <w:tcPr>
            <w:tcW w:w="725" w:type="dxa"/>
            <w:shd w:val="clear" w:color="auto" w:fill="auto"/>
            <w:vAlign w:val="center"/>
          </w:tcPr>
          <w:p w14:paraId="3A02DA61">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32</w:t>
            </w:r>
          </w:p>
        </w:tc>
        <w:tc>
          <w:tcPr>
            <w:tcW w:w="713" w:type="dxa"/>
            <w:shd w:val="clear" w:color="auto" w:fill="auto"/>
            <w:vAlign w:val="center"/>
          </w:tcPr>
          <w:p w14:paraId="67A4FA58">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0</w:t>
            </w:r>
          </w:p>
        </w:tc>
        <w:tc>
          <w:tcPr>
            <w:tcW w:w="2213" w:type="dxa"/>
            <w:gridSpan w:val="6"/>
            <w:shd w:val="clear" w:color="auto" w:fill="auto"/>
            <w:vAlign w:val="center"/>
          </w:tcPr>
          <w:p w14:paraId="43ECAFA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sz w:val="18"/>
                <w:szCs w:val="18"/>
                <w:lang w:val="en-US" w:eastAsia="zh-CN"/>
              </w:rPr>
              <w:t>1</w:t>
            </w:r>
            <w:r>
              <w:rPr>
                <w:rFonts w:hint="eastAsia" w:ascii="仿宋_GB2312" w:hAnsi="仿宋_GB2312" w:eastAsia="仿宋_GB2312" w:cs="仿宋_GB2312"/>
                <w:i w:val="0"/>
                <w:color w:val="000000"/>
                <w:kern w:val="0"/>
                <w:sz w:val="20"/>
                <w:szCs w:val="20"/>
                <w:u w:val="none"/>
                <w:lang w:val="en-US" w:eastAsia="zh-CN" w:bidi="ar"/>
              </w:rPr>
              <w:t>到</w:t>
            </w:r>
            <w:r>
              <w:rPr>
                <w:rFonts w:hint="eastAsia" w:ascii="仿宋_GB2312" w:hAnsi="仿宋_GB2312" w:eastAsia="仿宋_GB2312" w:cs="仿宋_GB2312"/>
                <w:sz w:val="18"/>
                <w:szCs w:val="18"/>
                <w:lang w:val="en-US" w:eastAsia="zh-CN"/>
              </w:rPr>
              <w:t>4</w:t>
            </w:r>
            <w:r>
              <w:rPr>
                <w:rFonts w:hint="eastAsia" w:ascii="仿宋_GB2312" w:hAnsi="仿宋_GB2312" w:eastAsia="仿宋_GB2312" w:cs="仿宋_GB2312"/>
                <w:i w:val="0"/>
                <w:color w:val="000000"/>
                <w:kern w:val="0"/>
                <w:sz w:val="20"/>
                <w:szCs w:val="20"/>
                <w:u w:val="none"/>
                <w:lang w:val="en-US" w:eastAsia="zh-CN" w:bidi="ar"/>
              </w:rPr>
              <w:t>学期开课，每学期</w:t>
            </w:r>
            <w:r>
              <w:rPr>
                <w:rFonts w:hint="eastAsia" w:ascii="仿宋_GB2312" w:hAnsi="仿宋_GB2312" w:eastAsia="仿宋_GB2312" w:cs="仿宋_GB2312"/>
                <w:sz w:val="18"/>
                <w:szCs w:val="18"/>
                <w:lang w:val="en-US" w:eastAsia="zh-CN"/>
              </w:rPr>
              <w:t>8</w:t>
            </w:r>
            <w:r>
              <w:rPr>
                <w:rFonts w:hint="eastAsia" w:ascii="仿宋_GB2312" w:hAnsi="仿宋_GB2312" w:eastAsia="仿宋_GB2312" w:cs="仿宋_GB2312"/>
                <w:i w:val="0"/>
                <w:color w:val="000000"/>
                <w:kern w:val="0"/>
                <w:sz w:val="20"/>
                <w:szCs w:val="20"/>
                <w:u w:val="none"/>
                <w:lang w:val="en-US" w:eastAsia="zh-CN" w:bidi="ar"/>
              </w:rPr>
              <w:t>学时。</w:t>
            </w:r>
          </w:p>
        </w:tc>
        <w:tc>
          <w:tcPr>
            <w:tcW w:w="633" w:type="dxa"/>
            <w:shd w:val="clear" w:color="auto" w:fill="auto"/>
            <w:vAlign w:val="center"/>
          </w:tcPr>
          <w:p w14:paraId="74D936B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21761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5" w:type="dxa"/>
            <w:gridSpan w:val="2"/>
            <w:vMerge w:val="continue"/>
            <w:shd w:val="clear" w:color="auto" w:fill="auto"/>
            <w:vAlign w:val="center"/>
          </w:tcPr>
          <w:p w14:paraId="55DE18E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vAlign w:val="center"/>
          </w:tcPr>
          <w:p w14:paraId="0290205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vAlign w:val="center"/>
          </w:tcPr>
          <w:p w14:paraId="48873C2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w:t>
            </w:r>
          </w:p>
        </w:tc>
        <w:tc>
          <w:tcPr>
            <w:tcW w:w="1238" w:type="dxa"/>
            <w:shd w:val="clear" w:color="auto" w:fill="auto"/>
            <w:vAlign w:val="center"/>
          </w:tcPr>
          <w:p w14:paraId="3A6FE06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1A410101103</w:t>
            </w:r>
          </w:p>
        </w:tc>
        <w:tc>
          <w:tcPr>
            <w:tcW w:w="2150" w:type="dxa"/>
            <w:shd w:val="clear" w:color="auto" w:fill="auto"/>
            <w:vAlign w:val="center"/>
          </w:tcPr>
          <w:p w14:paraId="79B3570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国家安全教育</w:t>
            </w:r>
          </w:p>
        </w:tc>
        <w:tc>
          <w:tcPr>
            <w:tcW w:w="712" w:type="dxa"/>
            <w:shd w:val="clear" w:color="auto" w:fill="auto"/>
            <w:vAlign w:val="center"/>
          </w:tcPr>
          <w:p w14:paraId="7E2BC6F0">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w:t>
            </w:r>
          </w:p>
        </w:tc>
        <w:tc>
          <w:tcPr>
            <w:tcW w:w="700" w:type="dxa"/>
            <w:shd w:val="clear" w:color="auto" w:fill="auto"/>
            <w:vAlign w:val="center"/>
          </w:tcPr>
          <w:p w14:paraId="1FDDD52B">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16</w:t>
            </w:r>
          </w:p>
        </w:tc>
        <w:tc>
          <w:tcPr>
            <w:tcW w:w="725" w:type="dxa"/>
            <w:shd w:val="clear" w:color="auto" w:fill="auto"/>
            <w:vAlign w:val="center"/>
          </w:tcPr>
          <w:p w14:paraId="2C214EBA">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16</w:t>
            </w:r>
          </w:p>
        </w:tc>
        <w:tc>
          <w:tcPr>
            <w:tcW w:w="713" w:type="dxa"/>
            <w:shd w:val="clear" w:color="auto" w:fill="auto"/>
            <w:vAlign w:val="center"/>
          </w:tcPr>
          <w:p w14:paraId="2E9029A4">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0</w:t>
            </w:r>
          </w:p>
        </w:tc>
        <w:tc>
          <w:tcPr>
            <w:tcW w:w="375" w:type="dxa"/>
            <w:shd w:val="clear" w:color="auto" w:fill="auto"/>
            <w:vAlign w:val="center"/>
          </w:tcPr>
          <w:p w14:paraId="03D6330C">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w:t>
            </w:r>
          </w:p>
        </w:tc>
        <w:tc>
          <w:tcPr>
            <w:tcW w:w="350" w:type="dxa"/>
            <w:shd w:val="clear" w:color="auto" w:fill="auto"/>
            <w:vAlign w:val="center"/>
          </w:tcPr>
          <w:p w14:paraId="0F8F134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0" w:type="dxa"/>
            <w:shd w:val="clear" w:color="auto" w:fill="auto"/>
            <w:vAlign w:val="center"/>
          </w:tcPr>
          <w:p w14:paraId="6BB2FE1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0" w:type="dxa"/>
            <w:shd w:val="clear" w:color="auto" w:fill="auto"/>
            <w:vAlign w:val="center"/>
          </w:tcPr>
          <w:p w14:paraId="1BB7927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50" w:type="dxa"/>
            <w:shd w:val="clear" w:color="auto" w:fill="auto"/>
            <w:vAlign w:val="center"/>
          </w:tcPr>
          <w:p w14:paraId="3A68D01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8" w:type="dxa"/>
            <w:shd w:val="clear" w:color="auto" w:fill="auto"/>
            <w:vAlign w:val="center"/>
          </w:tcPr>
          <w:p w14:paraId="4D15081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79CB4EC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76ECB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705" w:type="dxa"/>
            <w:gridSpan w:val="2"/>
            <w:vMerge w:val="continue"/>
            <w:shd w:val="clear" w:color="auto" w:fill="auto"/>
            <w:vAlign w:val="center"/>
          </w:tcPr>
          <w:p w14:paraId="18FA405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vAlign w:val="center"/>
          </w:tcPr>
          <w:p w14:paraId="78D0D1F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vAlign w:val="center"/>
          </w:tcPr>
          <w:p w14:paraId="5DB0A40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w:t>
            </w:r>
          </w:p>
        </w:tc>
        <w:tc>
          <w:tcPr>
            <w:tcW w:w="1238" w:type="dxa"/>
            <w:shd w:val="clear" w:color="auto" w:fill="auto"/>
            <w:vAlign w:val="center"/>
          </w:tcPr>
          <w:p w14:paraId="44272DB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1A410101104</w:t>
            </w:r>
          </w:p>
        </w:tc>
        <w:tc>
          <w:tcPr>
            <w:tcW w:w="2150" w:type="dxa"/>
            <w:shd w:val="clear" w:color="auto" w:fill="auto"/>
            <w:vAlign w:val="center"/>
          </w:tcPr>
          <w:p w14:paraId="1A109B8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军事理论</w:t>
            </w:r>
          </w:p>
        </w:tc>
        <w:tc>
          <w:tcPr>
            <w:tcW w:w="712" w:type="dxa"/>
            <w:shd w:val="clear" w:color="auto" w:fill="auto"/>
            <w:vAlign w:val="center"/>
          </w:tcPr>
          <w:p w14:paraId="764AFBF2">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w:t>
            </w:r>
          </w:p>
        </w:tc>
        <w:tc>
          <w:tcPr>
            <w:tcW w:w="700" w:type="dxa"/>
            <w:shd w:val="clear" w:color="auto" w:fill="auto"/>
            <w:vAlign w:val="center"/>
          </w:tcPr>
          <w:p w14:paraId="01F12FA0">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36</w:t>
            </w:r>
          </w:p>
        </w:tc>
        <w:tc>
          <w:tcPr>
            <w:tcW w:w="725" w:type="dxa"/>
            <w:shd w:val="clear" w:color="auto" w:fill="auto"/>
            <w:vAlign w:val="center"/>
          </w:tcPr>
          <w:p w14:paraId="2CF380A2">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36</w:t>
            </w:r>
          </w:p>
        </w:tc>
        <w:tc>
          <w:tcPr>
            <w:tcW w:w="713" w:type="dxa"/>
            <w:shd w:val="clear" w:color="auto" w:fill="auto"/>
            <w:vAlign w:val="center"/>
          </w:tcPr>
          <w:p w14:paraId="27ADC8C5">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0</w:t>
            </w:r>
          </w:p>
        </w:tc>
        <w:tc>
          <w:tcPr>
            <w:tcW w:w="375" w:type="dxa"/>
            <w:shd w:val="clear" w:color="auto" w:fill="auto"/>
            <w:vAlign w:val="center"/>
          </w:tcPr>
          <w:p w14:paraId="55EF9C23">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sz w:val="18"/>
                <w:szCs w:val="18"/>
                <w:lang w:val="en-US" w:eastAsia="zh-CN"/>
              </w:rPr>
              <w:t>2</w:t>
            </w:r>
          </w:p>
        </w:tc>
        <w:tc>
          <w:tcPr>
            <w:tcW w:w="350" w:type="dxa"/>
            <w:shd w:val="clear" w:color="auto" w:fill="auto"/>
            <w:vAlign w:val="center"/>
          </w:tcPr>
          <w:p w14:paraId="40D31EC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0" w:type="dxa"/>
            <w:shd w:val="clear" w:color="auto" w:fill="auto"/>
            <w:vAlign w:val="center"/>
          </w:tcPr>
          <w:p w14:paraId="68F9CA9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0" w:type="dxa"/>
            <w:shd w:val="clear" w:color="auto" w:fill="auto"/>
            <w:vAlign w:val="center"/>
          </w:tcPr>
          <w:p w14:paraId="79BDD9D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50" w:type="dxa"/>
            <w:shd w:val="clear" w:color="auto" w:fill="auto"/>
            <w:vAlign w:val="center"/>
          </w:tcPr>
          <w:p w14:paraId="4B7D158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8" w:type="dxa"/>
            <w:shd w:val="clear" w:color="auto" w:fill="auto"/>
            <w:vAlign w:val="center"/>
          </w:tcPr>
          <w:p w14:paraId="425DF0A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5DB8457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19480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5" w:type="dxa"/>
            <w:gridSpan w:val="2"/>
            <w:vMerge w:val="continue"/>
            <w:shd w:val="clear" w:color="auto" w:fill="auto"/>
            <w:vAlign w:val="center"/>
          </w:tcPr>
          <w:p w14:paraId="3433204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vAlign w:val="center"/>
          </w:tcPr>
          <w:p w14:paraId="23F29C9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vAlign w:val="center"/>
          </w:tcPr>
          <w:p w14:paraId="0540393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5</w:t>
            </w:r>
          </w:p>
        </w:tc>
        <w:tc>
          <w:tcPr>
            <w:tcW w:w="1238" w:type="dxa"/>
            <w:shd w:val="clear" w:color="auto" w:fill="auto"/>
            <w:vAlign w:val="center"/>
          </w:tcPr>
          <w:p w14:paraId="40DC1A3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1C410101105</w:t>
            </w:r>
          </w:p>
        </w:tc>
        <w:tc>
          <w:tcPr>
            <w:tcW w:w="2150" w:type="dxa"/>
            <w:shd w:val="clear" w:color="auto" w:fill="auto"/>
            <w:vAlign w:val="center"/>
          </w:tcPr>
          <w:p w14:paraId="5AC6DB5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军训</w:t>
            </w:r>
          </w:p>
        </w:tc>
        <w:tc>
          <w:tcPr>
            <w:tcW w:w="712" w:type="dxa"/>
            <w:shd w:val="clear" w:color="auto" w:fill="auto"/>
            <w:vAlign w:val="center"/>
          </w:tcPr>
          <w:p w14:paraId="051358E7">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w:t>
            </w:r>
          </w:p>
        </w:tc>
        <w:tc>
          <w:tcPr>
            <w:tcW w:w="700" w:type="dxa"/>
            <w:shd w:val="clear" w:color="auto" w:fill="auto"/>
            <w:vAlign w:val="center"/>
          </w:tcPr>
          <w:p w14:paraId="4DE32F61">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112</w:t>
            </w:r>
          </w:p>
        </w:tc>
        <w:tc>
          <w:tcPr>
            <w:tcW w:w="725" w:type="dxa"/>
            <w:shd w:val="clear" w:color="auto" w:fill="auto"/>
            <w:vAlign w:val="center"/>
          </w:tcPr>
          <w:p w14:paraId="72FBD54D">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0</w:t>
            </w:r>
          </w:p>
        </w:tc>
        <w:tc>
          <w:tcPr>
            <w:tcW w:w="713" w:type="dxa"/>
            <w:shd w:val="clear" w:color="auto" w:fill="auto"/>
            <w:vAlign w:val="center"/>
          </w:tcPr>
          <w:p w14:paraId="7D4D14FA">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112</w:t>
            </w:r>
          </w:p>
        </w:tc>
        <w:tc>
          <w:tcPr>
            <w:tcW w:w="2213" w:type="dxa"/>
            <w:gridSpan w:val="6"/>
            <w:shd w:val="clear" w:color="auto" w:fill="auto"/>
            <w:vAlign w:val="center"/>
          </w:tcPr>
          <w:p w14:paraId="7B5C352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第</w:t>
            </w:r>
            <w:r>
              <w:rPr>
                <w:rFonts w:hint="eastAsia" w:ascii="仿宋_GB2312" w:hAnsi="仿宋_GB2312" w:eastAsia="仿宋_GB2312" w:cs="仿宋_GB2312"/>
                <w:sz w:val="18"/>
                <w:szCs w:val="18"/>
                <w:lang w:val="en-US" w:eastAsia="zh-CN"/>
              </w:rPr>
              <w:t>1</w:t>
            </w:r>
            <w:r>
              <w:rPr>
                <w:rFonts w:hint="eastAsia" w:ascii="仿宋_GB2312" w:hAnsi="仿宋_GB2312" w:eastAsia="仿宋_GB2312" w:cs="仿宋_GB2312"/>
                <w:i w:val="0"/>
                <w:color w:val="000000"/>
                <w:kern w:val="0"/>
                <w:sz w:val="20"/>
                <w:szCs w:val="20"/>
                <w:u w:val="none"/>
                <w:lang w:val="en-US" w:eastAsia="zh-CN" w:bidi="ar"/>
              </w:rPr>
              <w:t>学期，实际训练时间不少于</w:t>
            </w:r>
            <w:r>
              <w:rPr>
                <w:rFonts w:hint="eastAsia" w:ascii="仿宋_GB2312" w:hAnsi="仿宋_GB2312" w:eastAsia="仿宋_GB2312" w:cs="仿宋_GB2312"/>
                <w:sz w:val="18"/>
                <w:szCs w:val="18"/>
                <w:lang w:val="en-US" w:eastAsia="zh-CN"/>
              </w:rPr>
              <w:t>14</w:t>
            </w:r>
            <w:r>
              <w:rPr>
                <w:rFonts w:hint="eastAsia" w:ascii="仿宋_GB2312" w:hAnsi="仿宋_GB2312" w:eastAsia="仿宋_GB2312" w:cs="仿宋_GB2312"/>
                <w:i w:val="0"/>
                <w:color w:val="000000"/>
                <w:kern w:val="0"/>
                <w:sz w:val="20"/>
                <w:szCs w:val="20"/>
                <w:u w:val="none"/>
                <w:lang w:val="en-US" w:eastAsia="zh-CN" w:bidi="ar"/>
              </w:rPr>
              <w:t>天</w:t>
            </w:r>
          </w:p>
        </w:tc>
        <w:tc>
          <w:tcPr>
            <w:tcW w:w="633" w:type="dxa"/>
            <w:shd w:val="clear" w:color="auto" w:fill="auto"/>
            <w:vAlign w:val="center"/>
          </w:tcPr>
          <w:p w14:paraId="6D0A761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5E3D6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5" w:type="dxa"/>
            <w:gridSpan w:val="2"/>
            <w:vMerge w:val="continue"/>
            <w:shd w:val="clear" w:color="auto" w:fill="auto"/>
            <w:vAlign w:val="center"/>
          </w:tcPr>
          <w:p w14:paraId="2825BBA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vAlign w:val="center"/>
          </w:tcPr>
          <w:p w14:paraId="2E3A1E9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vAlign w:val="center"/>
          </w:tcPr>
          <w:p w14:paraId="5D1AE8C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w:t>
            </w:r>
          </w:p>
        </w:tc>
        <w:tc>
          <w:tcPr>
            <w:tcW w:w="1238" w:type="dxa"/>
            <w:shd w:val="clear" w:color="auto" w:fill="auto"/>
            <w:vAlign w:val="center"/>
          </w:tcPr>
          <w:p w14:paraId="665D4DC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1B410101106</w:t>
            </w:r>
          </w:p>
        </w:tc>
        <w:tc>
          <w:tcPr>
            <w:tcW w:w="2150" w:type="dxa"/>
            <w:shd w:val="clear" w:color="auto" w:fill="auto"/>
            <w:vAlign w:val="center"/>
          </w:tcPr>
          <w:p w14:paraId="251631C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计算机基础</w:t>
            </w:r>
          </w:p>
        </w:tc>
        <w:tc>
          <w:tcPr>
            <w:tcW w:w="712" w:type="dxa"/>
            <w:shd w:val="clear" w:color="auto" w:fill="auto"/>
            <w:vAlign w:val="center"/>
          </w:tcPr>
          <w:p w14:paraId="0BA7B828">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w:t>
            </w:r>
          </w:p>
        </w:tc>
        <w:tc>
          <w:tcPr>
            <w:tcW w:w="700" w:type="dxa"/>
            <w:shd w:val="clear" w:color="auto" w:fill="auto"/>
            <w:vAlign w:val="center"/>
          </w:tcPr>
          <w:p w14:paraId="2AABF011">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64</w:t>
            </w:r>
          </w:p>
        </w:tc>
        <w:tc>
          <w:tcPr>
            <w:tcW w:w="725" w:type="dxa"/>
            <w:shd w:val="clear" w:color="auto" w:fill="auto"/>
            <w:vAlign w:val="center"/>
          </w:tcPr>
          <w:p w14:paraId="12060AF5">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32</w:t>
            </w:r>
          </w:p>
        </w:tc>
        <w:tc>
          <w:tcPr>
            <w:tcW w:w="713" w:type="dxa"/>
            <w:shd w:val="clear" w:color="auto" w:fill="auto"/>
            <w:vAlign w:val="center"/>
          </w:tcPr>
          <w:p w14:paraId="7F1CCD60">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32</w:t>
            </w:r>
          </w:p>
        </w:tc>
        <w:tc>
          <w:tcPr>
            <w:tcW w:w="375" w:type="dxa"/>
            <w:shd w:val="clear" w:color="auto" w:fill="auto"/>
            <w:vAlign w:val="center"/>
          </w:tcPr>
          <w:p w14:paraId="6B3500BD">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w:t>
            </w:r>
          </w:p>
        </w:tc>
        <w:tc>
          <w:tcPr>
            <w:tcW w:w="350" w:type="dxa"/>
            <w:shd w:val="clear" w:color="auto" w:fill="auto"/>
            <w:vAlign w:val="center"/>
          </w:tcPr>
          <w:p w14:paraId="6780597F">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vAlign w:val="center"/>
          </w:tcPr>
          <w:p w14:paraId="2F14AC0B">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vAlign w:val="center"/>
          </w:tcPr>
          <w:p w14:paraId="4FD7432B">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450" w:type="dxa"/>
            <w:shd w:val="clear" w:color="auto" w:fill="auto"/>
            <w:vAlign w:val="center"/>
          </w:tcPr>
          <w:p w14:paraId="39DF41A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8" w:type="dxa"/>
            <w:shd w:val="clear" w:color="auto" w:fill="auto"/>
            <w:vAlign w:val="center"/>
          </w:tcPr>
          <w:p w14:paraId="6E7CBA6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303C37F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4A4EC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5" w:type="dxa"/>
            <w:gridSpan w:val="2"/>
            <w:vMerge w:val="continue"/>
            <w:shd w:val="clear" w:color="auto" w:fill="auto"/>
            <w:vAlign w:val="center"/>
          </w:tcPr>
          <w:p w14:paraId="5546248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vAlign w:val="center"/>
          </w:tcPr>
          <w:p w14:paraId="7CF7A09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vAlign w:val="center"/>
          </w:tcPr>
          <w:p w14:paraId="1BC90DB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7</w:t>
            </w:r>
          </w:p>
        </w:tc>
        <w:tc>
          <w:tcPr>
            <w:tcW w:w="1238" w:type="dxa"/>
            <w:shd w:val="clear" w:color="auto" w:fill="auto"/>
            <w:vAlign w:val="center"/>
          </w:tcPr>
          <w:p w14:paraId="1FBE41A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1B410101107</w:t>
            </w:r>
          </w:p>
        </w:tc>
        <w:tc>
          <w:tcPr>
            <w:tcW w:w="2150" w:type="dxa"/>
            <w:shd w:val="clear" w:color="auto" w:fill="auto"/>
            <w:vAlign w:val="center"/>
          </w:tcPr>
          <w:p w14:paraId="52CB3FC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高数</w:t>
            </w:r>
          </w:p>
        </w:tc>
        <w:tc>
          <w:tcPr>
            <w:tcW w:w="712" w:type="dxa"/>
            <w:shd w:val="clear" w:color="auto" w:fill="auto"/>
            <w:vAlign w:val="center"/>
          </w:tcPr>
          <w:p w14:paraId="3737976B">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w:t>
            </w:r>
          </w:p>
        </w:tc>
        <w:tc>
          <w:tcPr>
            <w:tcW w:w="700" w:type="dxa"/>
            <w:shd w:val="clear" w:color="auto" w:fill="auto"/>
            <w:vAlign w:val="center"/>
          </w:tcPr>
          <w:p w14:paraId="22F26507">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64</w:t>
            </w:r>
          </w:p>
        </w:tc>
        <w:tc>
          <w:tcPr>
            <w:tcW w:w="725" w:type="dxa"/>
            <w:shd w:val="clear" w:color="auto" w:fill="auto"/>
            <w:vAlign w:val="center"/>
          </w:tcPr>
          <w:p w14:paraId="56269A4C">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64</w:t>
            </w:r>
          </w:p>
        </w:tc>
        <w:tc>
          <w:tcPr>
            <w:tcW w:w="713" w:type="dxa"/>
            <w:shd w:val="clear" w:color="auto" w:fill="auto"/>
            <w:vAlign w:val="center"/>
          </w:tcPr>
          <w:p w14:paraId="466FD6F9">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0</w:t>
            </w:r>
          </w:p>
        </w:tc>
        <w:tc>
          <w:tcPr>
            <w:tcW w:w="375" w:type="dxa"/>
            <w:shd w:val="clear" w:color="auto" w:fill="auto"/>
            <w:noWrap/>
            <w:vAlign w:val="center"/>
          </w:tcPr>
          <w:p w14:paraId="525BEFF6">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w:t>
            </w:r>
          </w:p>
        </w:tc>
        <w:tc>
          <w:tcPr>
            <w:tcW w:w="350" w:type="dxa"/>
            <w:shd w:val="clear" w:color="auto" w:fill="auto"/>
            <w:noWrap/>
            <w:vAlign w:val="center"/>
          </w:tcPr>
          <w:p w14:paraId="21D65CDD">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w:t>
            </w:r>
          </w:p>
        </w:tc>
        <w:tc>
          <w:tcPr>
            <w:tcW w:w="350" w:type="dxa"/>
            <w:shd w:val="clear" w:color="auto" w:fill="auto"/>
            <w:noWrap/>
            <w:vAlign w:val="center"/>
          </w:tcPr>
          <w:p w14:paraId="5604FE33">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noWrap/>
            <w:vAlign w:val="center"/>
          </w:tcPr>
          <w:p w14:paraId="1860F023">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450" w:type="dxa"/>
            <w:shd w:val="clear" w:color="auto" w:fill="auto"/>
            <w:noWrap/>
            <w:vAlign w:val="center"/>
          </w:tcPr>
          <w:p w14:paraId="6086D67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8" w:type="dxa"/>
            <w:shd w:val="clear" w:color="auto" w:fill="auto"/>
            <w:noWrap/>
            <w:vAlign w:val="center"/>
          </w:tcPr>
          <w:p w14:paraId="405861F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2B78A7A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6B22B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705" w:type="dxa"/>
            <w:gridSpan w:val="2"/>
            <w:vMerge w:val="continue"/>
            <w:shd w:val="clear" w:color="auto" w:fill="auto"/>
            <w:vAlign w:val="center"/>
          </w:tcPr>
          <w:p w14:paraId="4BF68D0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vAlign w:val="center"/>
          </w:tcPr>
          <w:p w14:paraId="51B3066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vAlign w:val="center"/>
          </w:tcPr>
          <w:p w14:paraId="5DC5C73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8</w:t>
            </w:r>
          </w:p>
        </w:tc>
        <w:tc>
          <w:tcPr>
            <w:tcW w:w="1238" w:type="dxa"/>
            <w:shd w:val="clear" w:color="auto" w:fill="auto"/>
            <w:vAlign w:val="center"/>
          </w:tcPr>
          <w:p w14:paraId="7FCF12D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1B410101108</w:t>
            </w:r>
          </w:p>
        </w:tc>
        <w:tc>
          <w:tcPr>
            <w:tcW w:w="2150" w:type="dxa"/>
            <w:shd w:val="clear" w:color="auto" w:fill="auto"/>
            <w:vAlign w:val="center"/>
          </w:tcPr>
          <w:p w14:paraId="0D16867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大学英语</w:t>
            </w:r>
          </w:p>
        </w:tc>
        <w:tc>
          <w:tcPr>
            <w:tcW w:w="712" w:type="dxa"/>
            <w:shd w:val="clear" w:color="auto" w:fill="auto"/>
            <w:vAlign w:val="center"/>
          </w:tcPr>
          <w:p w14:paraId="162DEAC7">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8</w:t>
            </w:r>
          </w:p>
        </w:tc>
        <w:tc>
          <w:tcPr>
            <w:tcW w:w="700" w:type="dxa"/>
            <w:shd w:val="clear" w:color="auto" w:fill="auto"/>
            <w:vAlign w:val="center"/>
          </w:tcPr>
          <w:p w14:paraId="132518F1">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128</w:t>
            </w:r>
          </w:p>
        </w:tc>
        <w:tc>
          <w:tcPr>
            <w:tcW w:w="725" w:type="dxa"/>
            <w:shd w:val="clear" w:color="auto" w:fill="auto"/>
            <w:vAlign w:val="center"/>
          </w:tcPr>
          <w:p w14:paraId="1C58CA18">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104</w:t>
            </w:r>
          </w:p>
        </w:tc>
        <w:tc>
          <w:tcPr>
            <w:tcW w:w="713" w:type="dxa"/>
            <w:shd w:val="clear" w:color="auto" w:fill="auto"/>
            <w:vAlign w:val="center"/>
          </w:tcPr>
          <w:p w14:paraId="625FC7D4">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24</w:t>
            </w:r>
          </w:p>
        </w:tc>
        <w:tc>
          <w:tcPr>
            <w:tcW w:w="375" w:type="dxa"/>
            <w:shd w:val="clear" w:color="auto" w:fill="auto"/>
            <w:vAlign w:val="center"/>
          </w:tcPr>
          <w:p w14:paraId="3B106072">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w:t>
            </w:r>
          </w:p>
        </w:tc>
        <w:tc>
          <w:tcPr>
            <w:tcW w:w="350" w:type="dxa"/>
            <w:shd w:val="clear" w:color="auto" w:fill="auto"/>
            <w:vAlign w:val="center"/>
          </w:tcPr>
          <w:p w14:paraId="09F0710D">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w:t>
            </w:r>
          </w:p>
        </w:tc>
        <w:tc>
          <w:tcPr>
            <w:tcW w:w="350" w:type="dxa"/>
            <w:shd w:val="clear" w:color="auto" w:fill="auto"/>
            <w:vAlign w:val="center"/>
          </w:tcPr>
          <w:p w14:paraId="7D4CD03B">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vAlign w:val="center"/>
          </w:tcPr>
          <w:p w14:paraId="676C76F1">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450" w:type="dxa"/>
            <w:shd w:val="clear" w:color="auto" w:fill="auto"/>
            <w:vAlign w:val="center"/>
          </w:tcPr>
          <w:p w14:paraId="47137FE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8" w:type="dxa"/>
            <w:shd w:val="clear" w:color="auto" w:fill="auto"/>
            <w:vAlign w:val="center"/>
          </w:tcPr>
          <w:p w14:paraId="140614E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1539911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691A2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705" w:type="dxa"/>
            <w:gridSpan w:val="2"/>
            <w:vMerge w:val="continue"/>
            <w:shd w:val="clear" w:color="auto" w:fill="auto"/>
            <w:vAlign w:val="center"/>
          </w:tcPr>
          <w:p w14:paraId="398D732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vAlign w:val="center"/>
          </w:tcPr>
          <w:p w14:paraId="4537C0F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vAlign w:val="center"/>
          </w:tcPr>
          <w:p w14:paraId="04DFBAE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9</w:t>
            </w:r>
          </w:p>
        </w:tc>
        <w:tc>
          <w:tcPr>
            <w:tcW w:w="1238" w:type="dxa"/>
            <w:shd w:val="clear" w:color="auto" w:fill="auto"/>
            <w:vAlign w:val="center"/>
          </w:tcPr>
          <w:p w14:paraId="2218915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1C410101109</w:t>
            </w:r>
          </w:p>
        </w:tc>
        <w:tc>
          <w:tcPr>
            <w:tcW w:w="2150" w:type="dxa"/>
            <w:shd w:val="clear" w:color="auto" w:fill="auto"/>
            <w:vAlign w:val="center"/>
          </w:tcPr>
          <w:p w14:paraId="7320688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大学体育</w:t>
            </w:r>
          </w:p>
        </w:tc>
        <w:tc>
          <w:tcPr>
            <w:tcW w:w="712" w:type="dxa"/>
            <w:shd w:val="clear" w:color="auto" w:fill="auto"/>
            <w:vAlign w:val="center"/>
          </w:tcPr>
          <w:p w14:paraId="33A78F50">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6</w:t>
            </w:r>
          </w:p>
        </w:tc>
        <w:tc>
          <w:tcPr>
            <w:tcW w:w="700" w:type="dxa"/>
            <w:shd w:val="clear" w:color="auto" w:fill="auto"/>
            <w:vAlign w:val="center"/>
          </w:tcPr>
          <w:p w14:paraId="2A7AE945">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108</w:t>
            </w:r>
          </w:p>
        </w:tc>
        <w:tc>
          <w:tcPr>
            <w:tcW w:w="725" w:type="dxa"/>
            <w:shd w:val="clear" w:color="auto" w:fill="auto"/>
            <w:vAlign w:val="center"/>
          </w:tcPr>
          <w:p w14:paraId="525241D2">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0</w:t>
            </w:r>
          </w:p>
        </w:tc>
        <w:tc>
          <w:tcPr>
            <w:tcW w:w="713" w:type="dxa"/>
            <w:shd w:val="clear" w:color="auto" w:fill="auto"/>
            <w:vAlign w:val="center"/>
          </w:tcPr>
          <w:p w14:paraId="5D7B2A3E">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108</w:t>
            </w:r>
          </w:p>
        </w:tc>
        <w:tc>
          <w:tcPr>
            <w:tcW w:w="375" w:type="dxa"/>
            <w:shd w:val="clear" w:color="auto" w:fill="auto"/>
            <w:vAlign w:val="center"/>
          </w:tcPr>
          <w:p w14:paraId="157BE5BE">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w:t>
            </w:r>
          </w:p>
        </w:tc>
        <w:tc>
          <w:tcPr>
            <w:tcW w:w="350" w:type="dxa"/>
            <w:shd w:val="clear" w:color="auto" w:fill="auto"/>
            <w:vAlign w:val="center"/>
          </w:tcPr>
          <w:p w14:paraId="3F4F78C4">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w:t>
            </w:r>
          </w:p>
        </w:tc>
        <w:tc>
          <w:tcPr>
            <w:tcW w:w="350" w:type="dxa"/>
            <w:shd w:val="clear" w:color="auto" w:fill="auto"/>
            <w:vAlign w:val="center"/>
          </w:tcPr>
          <w:p w14:paraId="27F6BF6F">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w:t>
            </w:r>
          </w:p>
        </w:tc>
        <w:tc>
          <w:tcPr>
            <w:tcW w:w="350" w:type="dxa"/>
            <w:shd w:val="clear" w:color="auto" w:fill="auto"/>
            <w:noWrap/>
            <w:vAlign w:val="center"/>
          </w:tcPr>
          <w:p w14:paraId="046C863E">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450" w:type="dxa"/>
            <w:shd w:val="clear" w:color="auto" w:fill="auto"/>
            <w:vAlign w:val="center"/>
          </w:tcPr>
          <w:p w14:paraId="740EB32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8" w:type="dxa"/>
            <w:shd w:val="clear" w:color="auto" w:fill="auto"/>
            <w:vAlign w:val="center"/>
          </w:tcPr>
          <w:p w14:paraId="77B10B3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5FC4B59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51C40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5" w:type="dxa"/>
            <w:gridSpan w:val="2"/>
            <w:vMerge w:val="continue"/>
            <w:shd w:val="clear" w:color="auto" w:fill="auto"/>
            <w:vAlign w:val="center"/>
          </w:tcPr>
          <w:p w14:paraId="558C96A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vAlign w:val="center"/>
          </w:tcPr>
          <w:p w14:paraId="650C8EB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vAlign w:val="center"/>
          </w:tcPr>
          <w:p w14:paraId="6C6D807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10</w:t>
            </w:r>
          </w:p>
        </w:tc>
        <w:tc>
          <w:tcPr>
            <w:tcW w:w="1238" w:type="dxa"/>
            <w:shd w:val="clear" w:color="auto" w:fill="auto"/>
            <w:vAlign w:val="center"/>
          </w:tcPr>
          <w:p w14:paraId="15AB053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1B410101110</w:t>
            </w:r>
          </w:p>
        </w:tc>
        <w:tc>
          <w:tcPr>
            <w:tcW w:w="2150" w:type="dxa"/>
            <w:shd w:val="clear" w:color="auto" w:fill="auto"/>
            <w:vAlign w:val="center"/>
          </w:tcPr>
          <w:p w14:paraId="390D57E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大学生职业发展与就业指导</w:t>
            </w:r>
          </w:p>
        </w:tc>
        <w:tc>
          <w:tcPr>
            <w:tcW w:w="712" w:type="dxa"/>
            <w:shd w:val="clear" w:color="auto" w:fill="auto"/>
            <w:vAlign w:val="center"/>
          </w:tcPr>
          <w:p w14:paraId="14329E3C">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w:t>
            </w:r>
          </w:p>
        </w:tc>
        <w:tc>
          <w:tcPr>
            <w:tcW w:w="700" w:type="dxa"/>
            <w:shd w:val="clear" w:color="auto" w:fill="auto"/>
            <w:vAlign w:val="center"/>
          </w:tcPr>
          <w:p w14:paraId="04440B70">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38</w:t>
            </w:r>
          </w:p>
        </w:tc>
        <w:tc>
          <w:tcPr>
            <w:tcW w:w="725" w:type="dxa"/>
            <w:shd w:val="clear" w:color="auto" w:fill="auto"/>
            <w:vAlign w:val="center"/>
          </w:tcPr>
          <w:p w14:paraId="5749BD76">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26</w:t>
            </w:r>
          </w:p>
        </w:tc>
        <w:tc>
          <w:tcPr>
            <w:tcW w:w="713" w:type="dxa"/>
            <w:shd w:val="clear" w:color="auto" w:fill="auto"/>
            <w:vAlign w:val="center"/>
          </w:tcPr>
          <w:p w14:paraId="05DAB8F3">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12</w:t>
            </w:r>
          </w:p>
        </w:tc>
        <w:tc>
          <w:tcPr>
            <w:tcW w:w="375" w:type="dxa"/>
            <w:shd w:val="clear" w:color="auto" w:fill="auto"/>
            <w:vAlign w:val="center"/>
          </w:tcPr>
          <w:p w14:paraId="3C9A4825">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w:t>
            </w:r>
          </w:p>
        </w:tc>
        <w:tc>
          <w:tcPr>
            <w:tcW w:w="350" w:type="dxa"/>
            <w:shd w:val="clear" w:color="auto" w:fill="auto"/>
            <w:vAlign w:val="center"/>
          </w:tcPr>
          <w:p w14:paraId="11FDED1A">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vAlign w:val="center"/>
          </w:tcPr>
          <w:p w14:paraId="02CFF5E0">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w:t>
            </w:r>
          </w:p>
        </w:tc>
        <w:tc>
          <w:tcPr>
            <w:tcW w:w="350" w:type="dxa"/>
            <w:shd w:val="clear" w:color="auto" w:fill="auto"/>
            <w:vAlign w:val="center"/>
          </w:tcPr>
          <w:p w14:paraId="5E1AD617">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450" w:type="dxa"/>
            <w:shd w:val="clear" w:color="auto" w:fill="auto"/>
            <w:vAlign w:val="center"/>
          </w:tcPr>
          <w:p w14:paraId="02BA705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8" w:type="dxa"/>
            <w:shd w:val="clear" w:color="auto" w:fill="auto"/>
            <w:vAlign w:val="center"/>
          </w:tcPr>
          <w:p w14:paraId="16B4FAB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253467B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0DD04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705" w:type="dxa"/>
            <w:gridSpan w:val="2"/>
            <w:vMerge w:val="continue"/>
            <w:shd w:val="clear" w:color="auto" w:fill="auto"/>
            <w:vAlign w:val="center"/>
          </w:tcPr>
          <w:p w14:paraId="2DC1FA1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vAlign w:val="center"/>
          </w:tcPr>
          <w:p w14:paraId="28A6A58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vAlign w:val="center"/>
          </w:tcPr>
          <w:p w14:paraId="5F630AB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11</w:t>
            </w:r>
          </w:p>
        </w:tc>
        <w:tc>
          <w:tcPr>
            <w:tcW w:w="1238" w:type="dxa"/>
            <w:shd w:val="clear" w:color="auto" w:fill="auto"/>
            <w:vAlign w:val="center"/>
          </w:tcPr>
          <w:p w14:paraId="54B0EB3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1B410101111</w:t>
            </w:r>
          </w:p>
        </w:tc>
        <w:tc>
          <w:tcPr>
            <w:tcW w:w="2150" w:type="dxa"/>
            <w:shd w:val="clear" w:color="auto" w:fill="auto"/>
            <w:vAlign w:val="center"/>
          </w:tcPr>
          <w:p w14:paraId="1123421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大学生心理健康教育</w:t>
            </w:r>
          </w:p>
        </w:tc>
        <w:tc>
          <w:tcPr>
            <w:tcW w:w="712" w:type="dxa"/>
            <w:shd w:val="clear" w:color="auto" w:fill="auto"/>
            <w:vAlign w:val="center"/>
          </w:tcPr>
          <w:p w14:paraId="6E84A10E">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w:t>
            </w:r>
          </w:p>
        </w:tc>
        <w:tc>
          <w:tcPr>
            <w:tcW w:w="700" w:type="dxa"/>
            <w:shd w:val="clear" w:color="auto" w:fill="auto"/>
            <w:vAlign w:val="center"/>
          </w:tcPr>
          <w:p w14:paraId="0FBB51EB">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32</w:t>
            </w:r>
          </w:p>
        </w:tc>
        <w:tc>
          <w:tcPr>
            <w:tcW w:w="725" w:type="dxa"/>
            <w:shd w:val="clear" w:color="auto" w:fill="auto"/>
            <w:vAlign w:val="center"/>
          </w:tcPr>
          <w:p w14:paraId="27B1A24C">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20</w:t>
            </w:r>
          </w:p>
        </w:tc>
        <w:tc>
          <w:tcPr>
            <w:tcW w:w="713" w:type="dxa"/>
            <w:shd w:val="clear" w:color="auto" w:fill="auto"/>
            <w:vAlign w:val="center"/>
          </w:tcPr>
          <w:p w14:paraId="064116CF">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12</w:t>
            </w:r>
          </w:p>
        </w:tc>
        <w:tc>
          <w:tcPr>
            <w:tcW w:w="375" w:type="dxa"/>
            <w:shd w:val="clear" w:color="auto" w:fill="auto"/>
            <w:vAlign w:val="center"/>
          </w:tcPr>
          <w:p w14:paraId="78596F36">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vAlign w:val="center"/>
          </w:tcPr>
          <w:p w14:paraId="5ABD2F42">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w:t>
            </w:r>
          </w:p>
        </w:tc>
        <w:tc>
          <w:tcPr>
            <w:tcW w:w="350" w:type="dxa"/>
            <w:shd w:val="clear" w:color="auto" w:fill="auto"/>
            <w:vAlign w:val="center"/>
          </w:tcPr>
          <w:p w14:paraId="13D9BED1">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vAlign w:val="center"/>
          </w:tcPr>
          <w:p w14:paraId="43E0DE1F">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450" w:type="dxa"/>
            <w:shd w:val="clear" w:color="auto" w:fill="auto"/>
            <w:vAlign w:val="center"/>
          </w:tcPr>
          <w:p w14:paraId="5C75378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8" w:type="dxa"/>
            <w:shd w:val="clear" w:color="auto" w:fill="auto"/>
            <w:vAlign w:val="center"/>
          </w:tcPr>
          <w:p w14:paraId="0D80927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75D1CC5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0746D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5" w:type="dxa"/>
            <w:gridSpan w:val="2"/>
            <w:vMerge w:val="continue"/>
            <w:shd w:val="clear" w:color="auto" w:fill="auto"/>
            <w:vAlign w:val="center"/>
          </w:tcPr>
          <w:p w14:paraId="316D5F7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vAlign w:val="center"/>
          </w:tcPr>
          <w:p w14:paraId="035505B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vAlign w:val="center"/>
          </w:tcPr>
          <w:p w14:paraId="5F4097D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12</w:t>
            </w:r>
          </w:p>
        </w:tc>
        <w:tc>
          <w:tcPr>
            <w:tcW w:w="1238" w:type="dxa"/>
            <w:shd w:val="clear" w:color="auto" w:fill="auto"/>
            <w:vAlign w:val="center"/>
          </w:tcPr>
          <w:p w14:paraId="752CABA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1C410101112</w:t>
            </w:r>
          </w:p>
        </w:tc>
        <w:tc>
          <w:tcPr>
            <w:tcW w:w="2150" w:type="dxa"/>
            <w:shd w:val="clear" w:color="auto" w:fill="auto"/>
            <w:vAlign w:val="center"/>
          </w:tcPr>
          <w:p w14:paraId="77283A7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劳动教育</w:t>
            </w:r>
          </w:p>
        </w:tc>
        <w:tc>
          <w:tcPr>
            <w:tcW w:w="712" w:type="dxa"/>
            <w:shd w:val="clear" w:color="auto" w:fill="auto"/>
            <w:vAlign w:val="center"/>
          </w:tcPr>
          <w:p w14:paraId="577BA980">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w:t>
            </w:r>
          </w:p>
        </w:tc>
        <w:tc>
          <w:tcPr>
            <w:tcW w:w="700" w:type="dxa"/>
            <w:shd w:val="clear" w:color="auto" w:fill="auto"/>
            <w:vAlign w:val="center"/>
          </w:tcPr>
          <w:p w14:paraId="40CCAE4A">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16</w:t>
            </w:r>
          </w:p>
        </w:tc>
        <w:tc>
          <w:tcPr>
            <w:tcW w:w="725" w:type="dxa"/>
            <w:shd w:val="clear" w:color="auto" w:fill="auto"/>
            <w:vAlign w:val="center"/>
          </w:tcPr>
          <w:p w14:paraId="11725144">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0</w:t>
            </w:r>
          </w:p>
        </w:tc>
        <w:tc>
          <w:tcPr>
            <w:tcW w:w="713" w:type="dxa"/>
            <w:shd w:val="clear" w:color="auto" w:fill="auto"/>
            <w:vAlign w:val="center"/>
          </w:tcPr>
          <w:p w14:paraId="5A0F9390">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16</w:t>
            </w:r>
          </w:p>
        </w:tc>
        <w:tc>
          <w:tcPr>
            <w:tcW w:w="375" w:type="dxa"/>
            <w:shd w:val="clear" w:color="auto" w:fill="auto"/>
            <w:vAlign w:val="center"/>
          </w:tcPr>
          <w:p w14:paraId="4BBEB49E">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w:t>
            </w:r>
          </w:p>
        </w:tc>
        <w:tc>
          <w:tcPr>
            <w:tcW w:w="350" w:type="dxa"/>
            <w:shd w:val="clear" w:color="auto" w:fill="auto"/>
            <w:vAlign w:val="center"/>
          </w:tcPr>
          <w:p w14:paraId="03477602">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noWrap/>
            <w:vAlign w:val="center"/>
          </w:tcPr>
          <w:p w14:paraId="4CB9C7DB">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vAlign w:val="center"/>
          </w:tcPr>
          <w:p w14:paraId="082F6AE5">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450" w:type="dxa"/>
            <w:shd w:val="clear" w:color="auto" w:fill="auto"/>
            <w:vAlign w:val="center"/>
          </w:tcPr>
          <w:p w14:paraId="073EA51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8" w:type="dxa"/>
            <w:shd w:val="clear" w:color="auto" w:fill="auto"/>
            <w:vAlign w:val="center"/>
          </w:tcPr>
          <w:p w14:paraId="6E7F48B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3700399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7B58B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705" w:type="dxa"/>
            <w:gridSpan w:val="2"/>
            <w:vMerge w:val="continue"/>
            <w:shd w:val="clear" w:color="auto" w:fill="auto"/>
            <w:vAlign w:val="center"/>
          </w:tcPr>
          <w:p w14:paraId="0AB4FDB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vAlign w:val="center"/>
          </w:tcPr>
          <w:p w14:paraId="0F24F72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vAlign w:val="center"/>
          </w:tcPr>
          <w:p w14:paraId="78A7BF4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13</w:t>
            </w:r>
          </w:p>
        </w:tc>
        <w:tc>
          <w:tcPr>
            <w:tcW w:w="1238" w:type="dxa"/>
            <w:shd w:val="clear" w:color="auto" w:fill="auto"/>
            <w:vAlign w:val="center"/>
          </w:tcPr>
          <w:p w14:paraId="12B5D35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1B410101113</w:t>
            </w:r>
          </w:p>
        </w:tc>
        <w:tc>
          <w:tcPr>
            <w:tcW w:w="2150" w:type="dxa"/>
            <w:shd w:val="clear" w:color="auto" w:fill="auto"/>
            <w:vAlign w:val="center"/>
          </w:tcPr>
          <w:p w14:paraId="0BA815E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毛泽东思想和中国特色社会主义理论体系概论</w:t>
            </w:r>
          </w:p>
        </w:tc>
        <w:tc>
          <w:tcPr>
            <w:tcW w:w="712" w:type="dxa"/>
            <w:shd w:val="clear" w:color="auto" w:fill="auto"/>
            <w:vAlign w:val="center"/>
          </w:tcPr>
          <w:p w14:paraId="7C7F5082">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w:t>
            </w:r>
          </w:p>
        </w:tc>
        <w:tc>
          <w:tcPr>
            <w:tcW w:w="700" w:type="dxa"/>
            <w:shd w:val="clear" w:color="auto" w:fill="auto"/>
            <w:vAlign w:val="center"/>
          </w:tcPr>
          <w:p w14:paraId="785A0BA3">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32</w:t>
            </w:r>
          </w:p>
        </w:tc>
        <w:tc>
          <w:tcPr>
            <w:tcW w:w="725" w:type="dxa"/>
            <w:shd w:val="clear" w:color="auto" w:fill="auto"/>
            <w:vAlign w:val="center"/>
          </w:tcPr>
          <w:p w14:paraId="620A72CE">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28</w:t>
            </w:r>
          </w:p>
        </w:tc>
        <w:tc>
          <w:tcPr>
            <w:tcW w:w="713" w:type="dxa"/>
            <w:shd w:val="clear" w:color="auto" w:fill="auto"/>
            <w:vAlign w:val="center"/>
          </w:tcPr>
          <w:p w14:paraId="75920AD9">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w:t>
            </w:r>
          </w:p>
        </w:tc>
        <w:tc>
          <w:tcPr>
            <w:tcW w:w="375" w:type="dxa"/>
            <w:shd w:val="clear" w:color="auto" w:fill="auto"/>
            <w:vAlign w:val="center"/>
          </w:tcPr>
          <w:p w14:paraId="2E077F21">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vAlign w:val="center"/>
          </w:tcPr>
          <w:p w14:paraId="580CD084">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vAlign w:val="center"/>
          </w:tcPr>
          <w:p w14:paraId="6C1FE88A">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w:t>
            </w:r>
          </w:p>
        </w:tc>
        <w:tc>
          <w:tcPr>
            <w:tcW w:w="350" w:type="dxa"/>
            <w:shd w:val="clear" w:color="auto" w:fill="auto"/>
            <w:vAlign w:val="center"/>
          </w:tcPr>
          <w:p w14:paraId="309315BF">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450" w:type="dxa"/>
            <w:shd w:val="clear" w:color="auto" w:fill="auto"/>
            <w:vAlign w:val="center"/>
          </w:tcPr>
          <w:p w14:paraId="5593A7B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8" w:type="dxa"/>
            <w:shd w:val="clear" w:color="auto" w:fill="auto"/>
            <w:vAlign w:val="center"/>
          </w:tcPr>
          <w:p w14:paraId="6F500FC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0D5E559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7082A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705" w:type="dxa"/>
            <w:gridSpan w:val="2"/>
            <w:vMerge w:val="continue"/>
            <w:shd w:val="clear" w:color="auto" w:fill="auto"/>
            <w:vAlign w:val="center"/>
          </w:tcPr>
          <w:p w14:paraId="3785075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vAlign w:val="center"/>
          </w:tcPr>
          <w:p w14:paraId="70DFB8C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vAlign w:val="center"/>
          </w:tcPr>
          <w:p w14:paraId="4B98ABC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default"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14</w:t>
            </w:r>
          </w:p>
        </w:tc>
        <w:tc>
          <w:tcPr>
            <w:tcW w:w="1238" w:type="dxa"/>
            <w:shd w:val="clear" w:color="auto" w:fill="auto"/>
            <w:vAlign w:val="center"/>
          </w:tcPr>
          <w:p w14:paraId="51F6ECE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1B410101114</w:t>
            </w:r>
          </w:p>
        </w:tc>
        <w:tc>
          <w:tcPr>
            <w:tcW w:w="2150" w:type="dxa"/>
            <w:shd w:val="clear" w:color="auto" w:fill="auto"/>
            <w:vAlign w:val="center"/>
          </w:tcPr>
          <w:p w14:paraId="35E2B36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创新创业教育</w:t>
            </w:r>
          </w:p>
        </w:tc>
        <w:tc>
          <w:tcPr>
            <w:tcW w:w="712" w:type="dxa"/>
            <w:shd w:val="clear" w:color="auto" w:fill="auto"/>
            <w:vAlign w:val="center"/>
          </w:tcPr>
          <w:p w14:paraId="489C5BCD">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w:t>
            </w:r>
          </w:p>
        </w:tc>
        <w:tc>
          <w:tcPr>
            <w:tcW w:w="700" w:type="dxa"/>
            <w:shd w:val="clear" w:color="auto" w:fill="auto"/>
            <w:vAlign w:val="center"/>
          </w:tcPr>
          <w:p w14:paraId="7DF1C3BE">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16</w:t>
            </w:r>
          </w:p>
        </w:tc>
        <w:tc>
          <w:tcPr>
            <w:tcW w:w="725" w:type="dxa"/>
            <w:shd w:val="clear" w:color="auto" w:fill="auto"/>
            <w:vAlign w:val="center"/>
          </w:tcPr>
          <w:p w14:paraId="693EFA06">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12</w:t>
            </w:r>
          </w:p>
        </w:tc>
        <w:tc>
          <w:tcPr>
            <w:tcW w:w="713" w:type="dxa"/>
            <w:shd w:val="clear" w:color="auto" w:fill="auto"/>
            <w:vAlign w:val="center"/>
          </w:tcPr>
          <w:p w14:paraId="59458538">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w:t>
            </w:r>
          </w:p>
        </w:tc>
        <w:tc>
          <w:tcPr>
            <w:tcW w:w="375" w:type="dxa"/>
            <w:shd w:val="clear" w:color="auto" w:fill="auto"/>
            <w:vAlign w:val="center"/>
          </w:tcPr>
          <w:p w14:paraId="03A11077">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w:t>
            </w:r>
          </w:p>
        </w:tc>
        <w:tc>
          <w:tcPr>
            <w:tcW w:w="350" w:type="dxa"/>
            <w:shd w:val="clear" w:color="auto" w:fill="auto"/>
            <w:vAlign w:val="center"/>
          </w:tcPr>
          <w:p w14:paraId="2FA6636C">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vAlign w:val="center"/>
          </w:tcPr>
          <w:p w14:paraId="0DAFB891">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vAlign w:val="center"/>
          </w:tcPr>
          <w:p w14:paraId="46F53ED6">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450" w:type="dxa"/>
            <w:shd w:val="clear" w:color="auto" w:fill="auto"/>
            <w:vAlign w:val="center"/>
          </w:tcPr>
          <w:p w14:paraId="494D110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8" w:type="dxa"/>
            <w:shd w:val="clear" w:color="auto" w:fill="auto"/>
            <w:vAlign w:val="center"/>
          </w:tcPr>
          <w:p w14:paraId="78DBC3C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7CDA8B2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3E07F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705" w:type="dxa"/>
            <w:gridSpan w:val="2"/>
            <w:vMerge w:val="continue"/>
            <w:shd w:val="clear" w:color="auto" w:fill="auto"/>
            <w:vAlign w:val="center"/>
          </w:tcPr>
          <w:p w14:paraId="3CE15E5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vAlign w:val="center"/>
          </w:tcPr>
          <w:p w14:paraId="64B5392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vAlign w:val="center"/>
          </w:tcPr>
          <w:p w14:paraId="2ECBCA7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default"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15</w:t>
            </w:r>
          </w:p>
        </w:tc>
        <w:tc>
          <w:tcPr>
            <w:tcW w:w="1238" w:type="dxa"/>
            <w:shd w:val="clear" w:color="auto" w:fill="auto"/>
            <w:vAlign w:val="center"/>
          </w:tcPr>
          <w:p w14:paraId="25CD3CB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1B410101115</w:t>
            </w:r>
          </w:p>
        </w:tc>
        <w:tc>
          <w:tcPr>
            <w:tcW w:w="2150" w:type="dxa"/>
            <w:shd w:val="clear" w:color="auto" w:fill="auto"/>
            <w:vAlign w:val="center"/>
          </w:tcPr>
          <w:p w14:paraId="7443ECD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习近平新时代中国特色社会主义思想概论</w:t>
            </w:r>
          </w:p>
        </w:tc>
        <w:tc>
          <w:tcPr>
            <w:tcW w:w="712" w:type="dxa"/>
            <w:shd w:val="clear" w:color="auto" w:fill="auto"/>
            <w:vAlign w:val="center"/>
          </w:tcPr>
          <w:p w14:paraId="18740BAF">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3</w:t>
            </w:r>
          </w:p>
        </w:tc>
        <w:tc>
          <w:tcPr>
            <w:tcW w:w="700" w:type="dxa"/>
            <w:shd w:val="clear" w:color="auto" w:fill="auto"/>
            <w:vAlign w:val="center"/>
          </w:tcPr>
          <w:p w14:paraId="1DC58183">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52</w:t>
            </w:r>
          </w:p>
        </w:tc>
        <w:tc>
          <w:tcPr>
            <w:tcW w:w="725" w:type="dxa"/>
            <w:shd w:val="clear" w:color="auto" w:fill="auto"/>
            <w:vAlign w:val="center"/>
          </w:tcPr>
          <w:p w14:paraId="59576F88">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48</w:t>
            </w:r>
          </w:p>
        </w:tc>
        <w:tc>
          <w:tcPr>
            <w:tcW w:w="713" w:type="dxa"/>
            <w:shd w:val="clear" w:color="auto" w:fill="auto"/>
            <w:vAlign w:val="center"/>
          </w:tcPr>
          <w:p w14:paraId="4D3E21B4">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w:t>
            </w:r>
          </w:p>
        </w:tc>
        <w:tc>
          <w:tcPr>
            <w:tcW w:w="375" w:type="dxa"/>
            <w:shd w:val="clear" w:color="auto" w:fill="auto"/>
            <w:vAlign w:val="center"/>
          </w:tcPr>
          <w:p w14:paraId="1D485914">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color w:val="000000"/>
                <w:kern w:val="0"/>
                <w:sz w:val="20"/>
                <w:szCs w:val="20"/>
                <w:u w:val="none"/>
                <w:lang w:val="en-US" w:eastAsia="zh-CN" w:bidi="ar"/>
              </w:rPr>
            </w:pPr>
          </w:p>
        </w:tc>
        <w:tc>
          <w:tcPr>
            <w:tcW w:w="350" w:type="dxa"/>
            <w:shd w:val="clear" w:color="auto" w:fill="auto"/>
            <w:vAlign w:val="center"/>
          </w:tcPr>
          <w:p w14:paraId="220E6D21">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color w:val="000000"/>
                <w:kern w:val="0"/>
                <w:sz w:val="20"/>
                <w:szCs w:val="20"/>
                <w:u w:val="none"/>
                <w:lang w:val="en-US" w:eastAsia="zh-CN" w:bidi="ar"/>
              </w:rPr>
            </w:pPr>
          </w:p>
        </w:tc>
        <w:tc>
          <w:tcPr>
            <w:tcW w:w="350" w:type="dxa"/>
            <w:shd w:val="clear" w:color="auto" w:fill="auto"/>
            <w:noWrap/>
            <w:vAlign w:val="center"/>
          </w:tcPr>
          <w:p w14:paraId="66102C99">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color w:val="000000"/>
                <w:kern w:val="0"/>
                <w:sz w:val="20"/>
                <w:szCs w:val="20"/>
                <w:u w:val="none"/>
                <w:lang w:val="en-US" w:eastAsia="zh-CN" w:bidi="ar"/>
              </w:rPr>
            </w:pPr>
          </w:p>
        </w:tc>
        <w:tc>
          <w:tcPr>
            <w:tcW w:w="350" w:type="dxa"/>
            <w:shd w:val="clear" w:color="auto" w:fill="auto"/>
            <w:vAlign w:val="center"/>
          </w:tcPr>
          <w:p w14:paraId="0B350F8C">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sz w:val="18"/>
                <w:szCs w:val="18"/>
                <w:lang w:val="en-US" w:eastAsia="zh-CN"/>
              </w:rPr>
              <w:t>4</w:t>
            </w:r>
          </w:p>
        </w:tc>
        <w:tc>
          <w:tcPr>
            <w:tcW w:w="450" w:type="dxa"/>
            <w:shd w:val="clear" w:color="auto" w:fill="auto"/>
            <w:vAlign w:val="center"/>
          </w:tcPr>
          <w:p w14:paraId="5651F99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8" w:type="dxa"/>
            <w:shd w:val="clear" w:color="auto" w:fill="auto"/>
            <w:vAlign w:val="center"/>
          </w:tcPr>
          <w:p w14:paraId="6D77272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3960269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49F09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5" w:type="dxa"/>
            <w:gridSpan w:val="2"/>
            <w:vMerge w:val="continue"/>
            <w:shd w:val="clear" w:color="auto" w:fill="auto"/>
            <w:vAlign w:val="center"/>
          </w:tcPr>
          <w:p w14:paraId="4ABE7CE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restart"/>
            <w:shd w:val="clear" w:color="auto" w:fill="auto"/>
            <w:vAlign w:val="center"/>
          </w:tcPr>
          <w:p w14:paraId="2B06213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选修</w:t>
            </w:r>
          </w:p>
        </w:tc>
        <w:tc>
          <w:tcPr>
            <w:tcW w:w="500" w:type="dxa"/>
            <w:shd w:val="clear" w:color="auto" w:fill="auto"/>
            <w:vAlign w:val="center"/>
          </w:tcPr>
          <w:p w14:paraId="7596AF3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w:t>
            </w:r>
          </w:p>
        </w:tc>
        <w:tc>
          <w:tcPr>
            <w:tcW w:w="1238" w:type="dxa"/>
            <w:shd w:val="clear" w:color="auto" w:fill="auto"/>
            <w:vAlign w:val="center"/>
          </w:tcPr>
          <w:p w14:paraId="40F4FA3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1B410101201</w:t>
            </w:r>
          </w:p>
        </w:tc>
        <w:tc>
          <w:tcPr>
            <w:tcW w:w="2150" w:type="dxa"/>
            <w:shd w:val="clear" w:color="auto" w:fill="auto"/>
            <w:vAlign w:val="center"/>
          </w:tcPr>
          <w:p w14:paraId="3ED378A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中国民俗剪纸技法</w:t>
            </w:r>
          </w:p>
        </w:tc>
        <w:tc>
          <w:tcPr>
            <w:tcW w:w="712" w:type="dxa"/>
            <w:shd w:val="clear" w:color="auto" w:fill="auto"/>
            <w:vAlign w:val="center"/>
          </w:tcPr>
          <w:p w14:paraId="259E3335">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w:t>
            </w:r>
          </w:p>
        </w:tc>
        <w:tc>
          <w:tcPr>
            <w:tcW w:w="700" w:type="dxa"/>
            <w:shd w:val="clear" w:color="auto" w:fill="auto"/>
            <w:vAlign w:val="center"/>
          </w:tcPr>
          <w:p w14:paraId="555C284C">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32</w:t>
            </w:r>
          </w:p>
        </w:tc>
        <w:tc>
          <w:tcPr>
            <w:tcW w:w="725" w:type="dxa"/>
            <w:shd w:val="clear" w:color="auto" w:fill="auto"/>
            <w:vAlign w:val="center"/>
          </w:tcPr>
          <w:p w14:paraId="192AE025">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8</w:t>
            </w:r>
          </w:p>
        </w:tc>
        <w:tc>
          <w:tcPr>
            <w:tcW w:w="713" w:type="dxa"/>
            <w:shd w:val="clear" w:color="auto" w:fill="auto"/>
            <w:vAlign w:val="center"/>
          </w:tcPr>
          <w:p w14:paraId="5AF645E0">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24</w:t>
            </w:r>
          </w:p>
        </w:tc>
        <w:tc>
          <w:tcPr>
            <w:tcW w:w="2213" w:type="dxa"/>
            <w:gridSpan w:val="6"/>
            <w:vMerge w:val="restart"/>
            <w:shd w:val="clear" w:color="auto" w:fill="auto"/>
            <w:vAlign w:val="center"/>
          </w:tcPr>
          <w:p w14:paraId="5A5A02E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 xml:space="preserve">公共选修课最低学分要求为 </w:t>
            </w:r>
            <w:r>
              <w:rPr>
                <w:rFonts w:hint="eastAsia" w:ascii="仿宋_GB2312" w:hAnsi="仿宋_GB2312" w:eastAsia="仿宋_GB2312" w:cs="仿宋_GB2312"/>
                <w:sz w:val="18"/>
                <w:szCs w:val="18"/>
                <w:lang w:val="en-US" w:eastAsia="zh-CN"/>
              </w:rPr>
              <w:t>8</w:t>
            </w:r>
            <w:r>
              <w:rPr>
                <w:rFonts w:hint="eastAsia" w:ascii="仿宋_GB2312" w:hAnsi="仿宋_GB2312" w:eastAsia="仿宋_GB2312" w:cs="仿宋_GB2312"/>
                <w:i w:val="0"/>
                <w:color w:val="000000"/>
                <w:kern w:val="0"/>
                <w:sz w:val="20"/>
                <w:szCs w:val="20"/>
                <w:u w:val="none"/>
                <w:lang w:val="en-US" w:eastAsia="zh-CN" w:bidi="ar"/>
              </w:rPr>
              <w:t>学分，其中要求</w:t>
            </w:r>
            <w:r>
              <w:rPr>
                <w:rFonts w:hint="eastAsia" w:ascii="仿宋_GB2312" w:hAnsi="仿宋_GB2312" w:eastAsia="仿宋_GB2312" w:cs="仿宋_GB2312"/>
                <w:sz w:val="18"/>
                <w:szCs w:val="18"/>
                <w:lang w:val="en-US" w:eastAsia="zh-CN"/>
              </w:rPr>
              <w:t>2</w:t>
            </w:r>
            <w:r>
              <w:rPr>
                <w:rFonts w:hint="eastAsia" w:ascii="仿宋_GB2312" w:hAnsi="仿宋_GB2312" w:eastAsia="仿宋_GB2312" w:cs="仿宋_GB2312"/>
                <w:i w:val="0"/>
                <w:color w:val="000000"/>
                <w:kern w:val="0"/>
                <w:sz w:val="20"/>
                <w:szCs w:val="20"/>
                <w:u w:val="none"/>
                <w:lang w:val="en-US" w:eastAsia="zh-CN" w:bidi="ar"/>
              </w:rPr>
              <w:t>个学分为思政选修课学分。</w:t>
            </w:r>
          </w:p>
        </w:tc>
        <w:tc>
          <w:tcPr>
            <w:tcW w:w="633" w:type="dxa"/>
            <w:shd w:val="clear" w:color="auto" w:fill="auto"/>
            <w:vAlign w:val="center"/>
          </w:tcPr>
          <w:p w14:paraId="687D4C6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31D61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5" w:type="dxa"/>
            <w:gridSpan w:val="2"/>
            <w:vMerge w:val="continue"/>
            <w:shd w:val="clear" w:color="auto" w:fill="auto"/>
            <w:vAlign w:val="center"/>
          </w:tcPr>
          <w:p w14:paraId="7E63311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vAlign w:val="center"/>
          </w:tcPr>
          <w:p w14:paraId="564E02D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vAlign w:val="center"/>
          </w:tcPr>
          <w:p w14:paraId="7FC0863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1238" w:type="dxa"/>
            <w:shd w:val="clear" w:color="auto" w:fill="auto"/>
            <w:vAlign w:val="center"/>
          </w:tcPr>
          <w:p w14:paraId="25F6FD6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1B410101202</w:t>
            </w:r>
          </w:p>
        </w:tc>
        <w:tc>
          <w:tcPr>
            <w:tcW w:w="2150" w:type="dxa"/>
            <w:shd w:val="clear" w:color="auto" w:fill="auto"/>
            <w:vAlign w:val="center"/>
          </w:tcPr>
          <w:p w14:paraId="159E056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影视与鉴赏</w:t>
            </w:r>
          </w:p>
        </w:tc>
        <w:tc>
          <w:tcPr>
            <w:tcW w:w="712" w:type="dxa"/>
            <w:shd w:val="clear" w:color="auto" w:fill="auto"/>
            <w:vAlign w:val="center"/>
          </w:tcPr>
          <w:p w14:paraId="7159C86E">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w:t>
            </w:r>
          </w:p>
        </w:tc>
        <w:tc>
          <w:tcPr>
            <w:tcW w:w="700" w:type="dxa"/>
            <w:shd w:val="clear" w:color="auto" w:fill="auto"/>
            <w:vAlign w:val="center"/>
          </w:tcPr>
          <w:p w14:paraId="14FE6E8E">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32</w:t>
            </w:r>
          </w:p>
        </w:tc>
        <w:tc>
          <w:tcPr>
            <w:tcW w:w="725" w:type="dxa"/>
            <w:shd w:val="clear" w:color="auto" w:fill="auto"/>
            <w:vAlign w:val="center"/>
          </w:tcPr>
          <w:p w14:paraId="276FDAC4">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8</w:t>
            </w:r>
          </w:p>
        </w:tc>
        <w:tc>
          <w:tcPr>
            <w:tcW w:w="713" w:type="dxa"/>
            <w:shd w:val="clear" w:color="auto" w:fill="auto"/>
            <w:vAlign w:val="center"/>
          </w:tcPr>
          <w:p w14:paraId="43D5309C">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24</w:t>
            </w:r>
          </w:p>
        </w:tc>
        <w:tc>
          <w:tcPr>
            <w:tcW w:w="2213" w:type="dxa"/>
            <w:gridSpan w:val="6"/>
            <w:vMerge w:val="continue"/>
            <w:shd w:val="clear" w:color="auto" w:fill="auto"/>
            <w:vAlign w:val="center"/>
          </w:tcPr>
          <w:p w14:paraId="3C20BB7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348DF63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3D302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5" w:type="dxa"/>
            <w:gridSpan w:val="2"/>
            <w:vMerge w:val="continue"/>
            <w:shd w:val="clear" w:color="auto" w:fill="auto"/>
            <w:vAlign w:val="center"/>
          </w:tcPr>
          <w:p w14:paraId="47AA0AC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vAlign w:val="center"/>
          </w:tcPr>
          <w:p w14:paraId="1B8FAC2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vAlign w:val="center"/>
          </w:tcPr>
          <w:p w14:paraId="08128E3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w:t>
            </w:r>
          </w:p>
        </w:tc>
        <w:tc>
          <w:tcPr>
            <w:tcW w:w="1238" w:type="dxa"/>
            <w:shd w:val="clear" w:color="auto" w:fill="auto"/>
            <w:vAlign w:val="center"/>
          </w:tcPr>
          <w:p w14:paraId="7CE1005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1B410101203</w:t>
            </w:r>
          </w:p>
        </w:tc>
        <w:tc>
          <w:tcPr>
            <w:tcW w:w="2150" w:type="dxa"/>
            <w:shd w:val="clear" w:color="auto" w:fill="auto"/>
            <w:vAlign w:val="center"/>
          </w:tcPr>
          <w:p w14:paraId="41657D5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中华优秀传统文化</w:t>
            </w:r>
          </w:p>
        </w:tc>
        <w:tc>
          <w:tcPr>
            <w:tcW w:w="712" w:type="dxa"/>
            <w:shd w:val="clear" w:color="auto" w:fill="auto"/>
            <w:vAlign w:val="center"/>
          </w:tcPr>
          <w:p w14:paraId="51ABC8CB">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w:t>
            </w:r>
          </w:p>
        </w:tc>
        <w:tc>
          <w:tcPr>
            <w:tcW w:w="700" w:type="dxa"/>
            <w:shd w:val="clear" w:color="auto" w:fill="auto"/>
            <w:vAlign w:val="center"/>
          </w:tcPr>
          <w:p w14:paraId="503CDB38">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32</w:t>
            </w:r>
          </w:p>
        </w:tc>
        <w:tc>
          <w:tcPr>
            <w:tcW w:w="725" w:type="dxa"/>
            <w:shd w:val="clear" w:color="auto" w:fill="auto"/>
            <w:vAlign w:val="center"/>
          </w:tcPr>
          <w:p w14:paraId="3A2A009C">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32</w:t>
            </w:r>
          </w:p>
        </w:tc>
        <w:tc>
          <w:tcPr>
            <w:tcW w:w="713" w:type="dxa"/>
            <w:shd w:val="clear" w:color="auto" w:fill="auto"/>
            <w:vAlign w:val="center"/>
          </w:tcPr>
          <w:p w14:paraId="7B2ECEC5">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0</w:t>
            </w:r>
          </w:p>
        </w:tc>
        <w:tc>
          <w:tcPr>
            <w:tcW w:w="2213" w:type="dxa"/>
            <w:gridSpan w:val="6"/>
            <w:vMerge w:val="continue"/>
            <w:shd w:val="clear" w:color="auto" w:fill="auto"/>
            <w:vAlign w:val="center"/>
          </w:tcPr>
          <w:p w14:paraId="485745B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3555441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3C746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705" w:type="dxa"/>
            <w:gridSpan w:val="2"/>
            <w:vMerge w:val="continue"/>
            <w:shd w:val="clear" w:color="auto" w:fill="auto"/>
            <w:vAlign w:val="center"/>
          </w:tcPr>
          <w:p w14:paraId="71A0C7C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vAlign w:val="center"/>
          </w:tcPr>
          <w:p w14:paraId="204C6BC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vAlign w:val="center"/>
          </w:tcPr>
          <w:p w14:paraId="3853B6C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w:t>
            </w:r>
          </w:p>
        </w:tc>
        <w:tc>
          <w:tcPr>
            <w:tcW w:w="1238" w:type="dxa"/>
            <w:shd w:val="clear" w:color="auto" w:fill="auto"/>
            <w:vAlign w:val="center"/>
          </w:tcPr>
          <w:p w14:paraId="3644DDC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1B410101204</w:t>
            </w:r>
          </w:p>
        </w:tc>
        <w:tc>
          <w:tcPr>
            <w:tcW w:w="2150" w:type="dxa"/>
            <w:shd w:val="clear" w:color="auto" w:fill="auto"/>
            <w:vAlign w:val="center"/>
          </w:tcPr>
          <w:p w14:paraId="1795071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中国共产党简史</w:t>
            </w:r>
          </w:p>
        </w:tc>
        <w:tc>
          <w:tcPr>
            <w:tcW w:w="712" w:type="dxa"/>
            <w:shd w:val="clear" w:color="auto" w:fill="auto"/>
            <w:vAlign w:val="center"/>
          </w:tcPr>
          <w:p w14:paraId="20749950">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w:t>
            </w:r>
          </w:p>
        </w:tc>
        <w:tc>
          <w:tcPr>
            <w:tcW w:w="700" w:type="dxa"/>
            <w:shd w:val="clear" w:color="auto" w:fill="auto"/>
            <w:vAlign w:val="center"/>
          </w:tcPr>
          <w:p w14:paraId="3A5E366A">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32</w:t>
            </w:r>
          </w:p>
        </w:tc>
        <w:tc>
          <w:tcPr>
            <w:tcW w:w="725" w:type="dxa"/>
            <w:shd w:val="clear" w:color="auto" w:fill="auto"/>
            <w:vAlign w:val="center"/>
          </w:tcPr>
          <w:p w14:paraId="545FBD06">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32</w:t>
            </w:r>
          </w:p>
        </w:tc>
        <w:tc>
          <w:tcPr>
            <w:tcW w:w="713" w:type="dxa"/>
            <w:shd w:val="clear" w:color="auto" w:fill="auto"/>
            <w:vAlign w:val="center"/>
          </w:tcPr>
          <w:p w14:paraId="2579AB84">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0</w:t>
            </w:r>
          </w:p>
        </w:tc>
        <w:tc>
          <w:tcPr>
            <w:tcW w:w="2213" w:type="dxa"/>
            <w:gridSpan w:val="6"/>
            <w:vMerge w:val="continue"/>
            <w:shd w:val="clear" w:color="auto" w:fill="auto"/>
            <w:vAlign w:val="center"/>
          </w:tcPr>
          <w:p w14:paraId="7354CCF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5175DFE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6616E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5" w:type="dxa"/>
            <w:gridSpan w:val="2"/>
            <w:vMerge w:val="continue"/>
            <w:shd w:val="clear" w:color="auto" w:fill="auto"/>
            <w:vAlign w:val="center"/>
          </w:tcPr>
          <w:p w14:paraId="3D310BB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vAlign w:val="center"/>
          </w:tcPr>
          <w:p w14:paraId="08A807A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vAlign w:val="center"/>
          </w:tcPr>
          <w:p w14:paraId="4B5D010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5</w:t>
            </w:r>
          </w:p>
        </w:tc>
        <w:tc>
          <w:tcPr>
            <w:tcW w:w="1238" w:type="dxa"/>
            <w:shd w:val="clear" w:color="auto" w:fill="auto"/>
            <w:vAlign w:val="center"/>
          </w:tcPr>
          <w:p w14:paraId="1884D99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1B410101205</w:t>
            </w:r>
          </w:p>
        </w:tc>
        <w:tc>
          <w:tcPr>
            <w:tcW w:w="2150" w:type="dxa"/>
            <w:shd w:val="clear" w:color="auto" w:fill="auto"/>
            <w:vAlign w:val="center"/>
          </w:tcPr>
          <w:p w14:paraId="58DDE3B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改革开放简史</w:t>
            </w:r>
          </w:p>
        </w:tc>
        <w:tc>
          <w:tcPr>
            <w:tcW w:w="712" w:type="dxa"/>
            <w:shd w:val="clear" w:color="auto" w:fill="auto"/>
            <w:vAlign w:val="center"/>
          </w:tcPr>
          <w:p w14:paraId="037BA452">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w:t>
            </w:r>
          </w:p>
        </w:tc>
        <w:tc>
          <w:tcPr>
            <w:tcW w:w="700" w:type="dxa"/>
            <w:shd w:val="clear" w:color="auto" w:fill="auto"/>
            <w:vAlign w:val="center"/>
          </w:tcPr>
          <w:p w14:paraId="7287FCBE">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32</w:t>
            </w:r>
          </w:p>
        </w:tc>
        <w:tc>
          <w:tcPr>
            <w:tcW w:w="725" w:type="dxa"/>
            <w:shd w:val="clear" w:color="auto" w:fill="auto"/>
            <w:vAlign w:val="center"/>
          </w:tcPr>
          <w:p w14:paraId="685ABC9E">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32</w:t>
            </w:r>
          </w:p>
        </w:tc>
        <w:tc>
          <w:tcPr>
            <w:tcW w:w="713" w:type="dxa"/>
            <w:shd w:val="clear" w:color="auto" w:fill="auto"/>
            <w:vAlign w:val="center"/>
          </w:tcPr>
          <w:p w14:paraId="14148A31">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0</w:t>
            </w:r>
          </w:p>
        </w:tc>
        <w:tc>
          <w:tcPr>
            <w:tcW w:w="2213" w:type="dxa"/>
            <w:gridSpan w:val="6"/>
            <w:vMerge w:val="continue"/>
            <w:shd w:val="clear" w:color="auto" w:fill="auto"/>
            <w:vAlign w:val="center"/>
          </w:tcPr>
          <w:p w14:paraId="4D9467C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0C667BF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5381C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705" w:type="dxa"/>
            <w:gridSpan w:val="2"/>
            <w:vMerge w:val="continue"/>
            <w:shd w:val="clear" w:color="auto" w:fill="auto"/>
            <w:vAlign w:val="center"/>
          </w:tcPr>
          <w:p w14:paraId="12DCE45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vAlign w:val="center"/>
          </w:tcPr>
          <w:p w14:paraId="02AF371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vAlign w:val="center"/>
          </w:tcPr>
          <w:p w14:paraId="46FB330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w:t>
            </w:r>
          </w:p>
        </w:tc>
        <w:tc>
          <w:tcPr>
            <w:tcW w:w="1238" w:type="dxa"/>
            <w:shd w:val="clear" w:color="auto" w:fill="auto"/>
            <w:vAlign w:val="center"/>
          </w:tcPr>
          <w:p w14:paraId="4970E2E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1B410101206</w:t>
            </w:r>
          </w:p>
        </w:tc>
        <w:tc>
          <w:tcPr>
            <w:tcW w:w="2150" w:type="dxa"/>
            <w:shd w:val="clear" w:color="auto" w:fill="auto"/>
            <w:vAlign w:val="center"/>
          </w:tcPr>
          <w:p w14:paraId="0E68A1D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中华人民共和国简史</w:t>
            </w:r>
          </w:p>
        </w:tc>
        <w:tc>
          <w:tcPr>
            <w:tcW w:w="712" w:type="dxa"/>
            <w:shd w:val="clear" w:color="auto" w:fill="auto"/>
            <w:vAlign w:val="center"/>
          </w:tcPr>
          <w:p w14:paraId="6EA86DD0">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w:t>
            </w:r>
          </w:p>
        </w:tc>
        <w:tc>
          <w:tcPr>
            <w:tcW w:w="700" w:type="dxa"/>
            <w:shd w:val="clear" w:color="auto" w:fill="auto"/>
            <w:vAlign w:val="center"/>
          </w:tcPr>
          <w:p w14:paraId="7EF46907">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32</w:t>
            </w:r>
          </w:p>
        </w:tc>
        <w:tc>
          <w:tcPr>
            <w:tcW w:w="725" w:type="dxa"/>
            <w:shd w:val="clear" w:color="auto" w:fill="auto"/>
            <w:vAlign w:val="center"/>
          </w:tcPr>
          <w:p w14:paraId="5B22A746">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32</w:t>
            </w:r>
          </w:p>
        </w:tc>
        <w:tc>
          <w:tcPr>
            <w:tcW w:w="713" w:type="dxa"/>
            <w:shd w:val="clear" w:color="auto" w:fill="auto"/>
            <w:vAlign w:val="center"/>
          </w:tcPr>
          <w:p w14:paraId="5B909AE1">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0</w:t>
            </w:r>
          </w:p>
        </w:tc>
        <w:tc>
          <w:tcPr>
            <w:tcW w:w="2213" w:type="dxa"/>
            <w:gridSpan w:val="6"/>
            <w:vMerge w:val="continue"/>
            <w:shd w:val="clear" w:color="auto" w:fill="auto"/>
            <w:vAlign w:val="center"/>
          </w:tcPr>
          <w:p w14:paraId="062F9D0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1688692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5398C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705" w:type="dxa"/>
            <w:gridSpan w:val="2"/>
            <w:vMerge w:val="continue"/>
            <w:shd w:val="clear" w:color="auto" w:fill="auto"/>
            <w:vAlign w:val="center"/>
          </w:tcPr>
          <w:p w14:paraId="1ED26D3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vAlign w:val="center"/>
          </w:tcPr>
          <w:p w14:paraId="0B47F7E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vAlign w:val="center"/>
          </w:tcPr>
          <w:p w14:paraId="3912BFB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7</w:t>
            </w:r>
          </w:p>
        </w:tc>
        <w:tc>
          <w:tcPr>
            <w:tcW w:w="1238" w:type="dxa"/>
            <w:shd w:val="clear" w:color="auto" w:fill="auto"/>
            <w:vAlign w:val="center"/>
          </w:tcPr>
          <w:p w14:paraId="5052FC2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1B410101207</w:t>
            </w:r>
          </w:p>
        </w:tc>
        <w:tc>
          <w:tcPr>
            <w:tcW w:w="2150" w:type="dxa"/>
            <w:shd w:val="clear" w:color="auto" w:fill="auto"/>
            <w:vAlign w:val="center"/>
          </w:tcPr>
          <w:p w14:paraId="1C8452D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社会主义发展简史</w:t>
            </w:r>
          </w:p>
        </w:tc>
        <w:tc>
          <w:tcPr>
            <w:tcW w:w="712" w:type="dxa"/>
            <w:shd w:val="clear" w:color="auto" w:fill="auto"/>
            <w:vAlign w:val="center"/>
          </w:tcPr>
          <w:p w14:paraId="3D93D00C">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w:t>
            </w:r>
          </w:p>
        </w:tc>
        <w:tc>
          <w:tcPr>
            <w:tcW w:w="700" w:type="dxa"/>
            <w:shd w:val="clear" w:color="auto" w:fill="auto"/>
            <w:vAlign w:val="center"/>
          </w:tcPr>
          <w:p w14:paraId="2C9DFB06">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32</w:t>
            </w:r>
          </w:p>
        </w:tc>
        <w:tc>
          <w:tcPr>
            <w:tcW w:w="725" w:type="dxa"/>
            <w:shd w:val="clear" w:color="auto" w:fill="auto"/>
            <w:vAlign w:val="center"/>
          </w:tcPr>
          <w:p w14:paraId="34EA19CE">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32</w:t>
            </w:r>
          </w:p>
        </w:tc>
        <w:tc>
          <w:tcPr>
            <w:tcW w:w="713" w:type="dxa"/>
            <w:shd w:val="clear" w:color="auto" w:fill="auto"/>
            <w:vAlign w:val="center"/>
          </w:tcPr>
          <w:p w14:paraId="7BA163B3">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0</w:t>
            </w:r>
          </w:p>
        </w:tc>
        <w:tc>
          <w:tcPr>
            <w:tcW w:w="2213" w:type="dxa"/>
            <w:gridSpan w:val="6"/>
            <w:vMerge w:val="continue"/>
            <w:shd w:val="clear" w:color="auto" w:fill="auto"/>
            <w:vAlign w:val="center"/>
          </w:tcPr>
          <w:p w14:paraId="3EE049A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6949B5D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5A7DA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5" w:type="dxa"/>
            <w:gridSpan w:val="2"/>
            <w:vMerge w:val="continue"/>
            <w:shd w:val="clear" w:color="auto" w:fill="auto"/>
            <w:vAlign w:val="center"/>
          </w:tcPr>
          <w:p w14:paraId="2DDA159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vAlign w:val="center"/>
          </w:tcPr>
          <w:p w14:paraId="58A875E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vAlign w:val="center"/>
          </w:tcPr>
          <w:p w14:paraId="67FA733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8</w:t>
            </w:r>
          </w:p>
        </w:tc>
        <w:tc>
          <w:tcPr>
            <w:tcW w:w="1238" w:type="dxa"/>
            <w:shd w:val="clear" w:color="auto" w:fill="auto"/>
            <w:vAlign w:val="center"/>
          </w:tcPr>
          <w:p w14:paraId="7625080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1B410101208</w:t>
            </w:r>
          </w:p>
        </w:tc>
        <w:tc>
          <w:tcPr>
            <w:tcW w:w="2150" w:type="dxa"/>
            <w:shd w:val="clear" w:color="auto" w:fill="auto"/>
            <w:vAlign w:val="center"/>
          </w:tcPr>
          <w:p w14:paraId="33BC252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中华民族共同体概论</w:t>
            </w:r>
          </w:p>
        </w:tc>
        <w:tc>
          <w:tcPr>
            <w:tcW w:w="712" w:type="dxa"/>
            <w:shd w:val="clear" w:color="auto" w:fill="auto"/>
            <w:vAlign w:val="center"/>
          </w:tcPr>
          <w:p w14:paraId="0F9159AC">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w:t>
            </w:r>
          </w:p>
        </w:tc>
        <w:tc>
          <w:tcPr>
            <w:tcW w:w="700" w:type="dxa"/>
            <w:shd w:val="clear" w:color="auto" w:fill="auto"/>
            <w:vAlign w:val="center"/>
          </w:tcPr>
          <w:p w14:paraId="3360B356">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32</w:t>
            </w:r>
          </w:p>
        </w:tc>
        <w:tc>
          <w:tcPr>
            <w:tcW w:w="725" w:type="dxa"/>
            <w:shd w:val="clear" w:color="auto" w:fill="auto"/>
            <w:vAlign w:val="center"/>
          </w:tcPr>
          <w:p w14:paraId="72747794">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32</w:t>
            </w:r>
          </w:p>
        </w:tc>
        <w:tc>
          <w:tcPr>
            <w:tcW w:w="713" w:type="dxa"/>
            <w:shd w:val="clear" w:color="auto" w:fill="auto"/>
            <w:vAlign w:val="center"/>
          </w:tcPr>
          <w:p w14:paraId="10FF08EA">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0</w:t>
            </w:r>
          </w:p>
        </w:tc>
        <w:tc>
          <w:tcPr>
            <w:tcW w:w="2213" w:type="dxa"/>
            <w:gridSpan w:val="6"/>
            <w:vMerge w:val="continue"/>
            <w:shd w:val="clear" w:color="auto" w:fill="auto"/>
            <w:vAlign w:val="center"/>
          </w:tcPr>
          <w:p w14:paraId="0AFBF20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4B60416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185B1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5" w:type="dxa"/>
            <w:gridSpan w:val="2"/>
            <w:vMerge w:val="continue"/>
            <w:shd w:val="clear" w:color="auto" w:fill="auto"/>
            <w:vAlign w:val="center"/>
          </w:tcPr>
          <w:p w14:paraId="5921D23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vAlign w:val="center"/>
          </w:tcPr>
          <w:p w14:paraId="263C701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vAlign w:val="center"/>
          </w:tcPr>
          <w:p w14:paraId="1C86CD6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9</w:t>
            </w:r>
          </w:p>
        </w:tc>
        <w:tc>
          <w:tcPr>
            <w:tcW w:w="1238" w:type="dxa"/>
            <w:shd w:val="clear" w:color="auto" w:fill="auto"/>
            <w:vAlign w:val="center"/>
          </w:tcPr>
          <w:p w14:paraId="4BA4E4B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1B410101210</w:t>
            </w:r>
          </w:p>
        </w:tc>
        <w:tc>
          <w:tcPr>
            <w:tcW w:w="2150" w:type="dxa"/>
            <w:shd w:val="clear" w:color="auto" w:fill="auto"/>
            <w:vAlign w:val="center"/>
          </w:tcPr>
          <w:p w14:paraId="02B68EF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语文</w:t>
            </w:r>
          </w:p>
        </w:tc>
        <w:tc>
          <w:tcPr>
            <w:tcW w:w="712" w:type="dxa"/>
            <w:shd w:val="clear" w:color="auto" w:fill="auto"/>
            <w:vAlign w:val="center"/>
          </w:tcPr>
          <w:p w14:paraId="3E13FC1C">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w:t>
            </w:r>
          </w:p>
        </w:tc>
        <w:tc>
          <w:tcPr>
            <w:tcW w:w="700" w:type="dxa"/>
            <w:shd w:val="clear" w:color="auto" w:fill="auto"/>
            <w:vAlign w:val="center"/>
          </w:tcPr>
          <w:p w14:paraId="15245F77">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32</w:t>
            </w:r>
          </w:p>
        </w:tc>
        <w:tc>
          <w:tcPr>
            <w:tcW w:w="725" w:type="dxa"/>
            <w:shd w:val="clear" w:color="auto" w:fill="auto"/>
            <w:vAlign w:val="center"/>
          </w:tcPr>
          <w:p w14:paraId="693F19B5">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32</w:t>
            </w:r>
          </w:p>
        </w:tc>
        <w:tc>
          <w:tcPr>
            <w:tcW w:w="713" w:type="dxa"/>
            <w:shd w:val="clear" w:color="auto" w:fill="auto"/>
            <w:vAlign w:val="center"/>
          </w:tcPr>
          <w:p w14:paraId="3EC02BAB">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0</w:t>
            </w:r>
          </w:p>
        </w:tc>
        <w:tc>
          <w:tcPr>
            <w:tcW w:w="2213" w:type="dxa"/>
            <w:gridSpan w:val="6"/>
            <w:vMerge w:val="continue"/>
            <w:shd w:val="clear" w:color="auto" w:fill="auto"/>
            <w:vAlign w:val="center"/>
          </w:tcPr>
          <w:p w14:paraId="4D3E57B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23B7340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53A8D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705" w:type="dxa"/>
            <w:gridSpan w:val="2"/>
            <w:vMerge w:val="continue"/>
            <w:shd w:val="clear" w:color="auto" w:fill="auto"/>
            <w:vAlign w:val="center"/>
          </w:tcPr>
          <w:p w14:paraId="488FDDE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vAlign w:val="center"/>
          </w:tcPr>
          <w:p w14:paraId="116FE8B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vAlign w:val="center"/>
          </w:tcPr>
          <w:p w14:paraId="44F6C61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default"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10</w:t>
            </w:r>
          </w:p>
        </w:tc>
        <w:tc>
          <w:tcPr>
            <w:tcW w:w="1238" w:type="dxa"/>
            <w:shd w:val="clear" w:color="auto" w:fill="auto"/>
            <w:vAlign w:val="center"/>
          </w:tcPr>
          <w:p w14:paraId="3BFB227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1B410101211</w:t>
            </w:r>
          </w:p>
        </w:tc>
        <w:tc>
          <w:tcPr>
            <w:tcW w:w="2150" w:type="dxa"/>
            <w:shd w:val="clear" w:color="auto" w:fill="auto"/>
            <w:vAlign w:val="center"/>
          </w:tcPr>
          <w:p w14:paraId="3531BC9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物理</w:t>
            </w:r>
          </w:p>
        </w:tc>
        <w:tc>
          <w:tcPr>
            <w:tcW w:w="712" w:type="dxa"/>
            <w:shd w:val="clear" w:color="auto" w:fill="auto"/>
            <w:vAlign w:val="center"/>
          </w:tcPr>
          <w:p w14:paraId="709B2374">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w:t>
            </w:r>
          </w:p>
        </w:tc>
        <w:tc>
          <w:tcPr>
            <w:tcW w:w="700" w:type="dxa"/>
            <w:shd w:val="clear" w:color="auto" w:fill="auto"/>
            <w:vAlign w:val="center"/>
          </w:tcPr>
          <w:p w14:paraId="3FC69C31">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32</w:t>
            </w:r>
          </w:p>
        </w:tc>
        <w:tc>
          <w:tcPr>
            <w:tcW w:w="725" w:type="dxa"/>
            <w:shd w:val="clear" w:color="auto" w:fill="auto"/>
            <w:vAlign w:val="center"/>
          </w:tcPr>
          <w:p w14:paraId="53FD5DBF">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32</w:t>
            </w:r>
          </w:p>
        </w:tc>
        <w:tc>
          <w:tcPr>
            <w:tcW w:w="713" w:type="dxa"/>
            <w:shd w:val="clear" w:color="auto" w:fill="auto"/>
            <w:vAlign w:val="center"/>
          </w:tcPr>
          <w:p w14:paraId="6328C153">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0</w:t>
            </w:r>
          </w:p>
        </w:tc>
        <w:tc>
          <w:tcPr>
            <w:tcW w:w="2213" w:type="dxa"/>
            <w:gridSpan w:val="6"/>
            <w:vMerge w:val="continue"/>
            <w:shd w:val="clear" w:color="auto" w:fill="auto"/>
            <w:vAlign w:val="center"/>
          </w:tcPr>
          <w:p w14:paraId="6DA7EC1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6F33689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51E20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705" w:type="dxa"/>
            <w:gridSpan w:val="2"/>
            <w:vMerge w:val="continue"/>
            <w:shd w:val="clear" w:color="auto" w:fill="auto"/>
            <w:vAlign w:val="center"/>
          </w:tcPr>
          <w:p w14:paraId="40F7BF2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vAlign w:val="center"/>
          </w:tcPr>
          <w:p w14:paraId="6EBE825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vAlign w:val="center"/>
          </w:tcPr>
          <w:p w14:paraId="711147F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default"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11</w:t>
            </w:r>
          </w:p>
        </w:tc>
        <w:tc>
          <w:tcPr>
            <w:tcW w:w="1238" w:type="dxa"/>
            <w:shd w:val="clear" w:color="auto" w:fill="auto"/>
            <w:vAlign w:val="center"/>
          </w:tcPr>
          <w:p w14:paraId="04D2865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1B410101212</w:t>
            </w:r>
          </w:p>
        </w:tc>
        <w:tc>
          <w:tcPr>
            <w:tcW w:w="2150" w:type="dxa"/>
            <w:shd w:val="clear" w:color="auto" w:fill="auto"/>
            <w:vAlign w:val="center"/>
          </w:tcPr>
          <w:p w14:paraId="4A3AD33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化学</w:t>
            </w:r>
          </w:p>
        </w:tc>
        <w:tc>
          <w:tcPr>
            <w:tcW w:w="712" w:type="dxa"/>
            <w:shd w:val="clear" w:color="auto" w:fill="auto"/>
            <w:vAlign w:val="center"/>
          </w:tcPr>
          <w:p w14:paraId="6E45DB11">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w:t>
            </w:r>
          </w:p>
        </w:tc>
        <w:tc>
          <w:tcPr>
            <w:tcW w:w="700" w:type="dxa"/>
            <w:shd w:val="clear" w:color="auto" w:fill="auto"/>
            <w:vAlign w:val="center"/>
          </w:tcPr>
          <w:p w14:paraId="4E14FD8B">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32</w:t>
            </w:r>
          </w:p>
        </w:tc>
        <w:tc>
          <w:tcPr>
            <w:tcW w:w="725" w:type="dxa"/>
            <w:shd w:val="clear" w:color="auto" w:fill="auto"/>
            <w:vAlign w:val="center"/>
          </w:tcPr>
          <w:p w14:paraId="03F5884C">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32</w:t>
            </w:r>
          </w:p>
        </w:tc>
        <w:tc>
          <w:tcPr>
            <w:tcW w:w="713" w:type="dxa"/>
            <w:shd w:val="clear" w:color="auto" w:fill="auto"/>
            <w:vAlign w:val="center"/>
          </w:tcPr>
          <w:p w14:paraId="09FFFD7F">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0</w:t>
            </w:r>
          </w:p>
        </w:tc>
        <w:tc>
          <w:tcPr>
            <w:tcW w:w="2213" w:type="dxa"/>
            <w:gridSpan w:val="6"/>
            <w:vMerge w:val="continue"/>
            <w:shd w:val="clear" w:color="auto" w:fill="auto"/>
            <w:vAlign w:val="center"/>
          </w:tcPr>
          <w:p w14:paraId="35DE28A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6037CC0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3E267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5" w:type="dxa"/>
            <w:gridSpan w:val="2"/>
            <w:vMerge w:val="continue"/>
            <w:shd w:val="clear" w:color="auto" w:fill="auto"/>
            <w:vAlign w:val="center"/>
          </w:tcPr>
          <w:p w14:paraId="6AABA94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279" w:type="dxa"/>
            <w:gridSpan w:val="4"/>
            <w:shd w:val="clear" w:color="auto" w:fill="auto"/>
            <w:vAlign w:val="center"/>
          </w:tcPr>
          <w:p w14:paraId="329BD0B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公共必修课程学分、学时小计</w:t>
            </w:r>
          </w:p>
        </w:tc>
        <w:tc>
          <w:tcPr>
            <w:tcW w:w="712" w:type="dxa"/>
            <w:shd w:val="clear" w:color="auto" w:fill="auto"/>
            <w:vAlign w:val="center"/>
          </w:tcPr>
          <w:p w14:paraId="5147EE69">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42</w:t>
            </w:r>
          </w:p>
        </w:tc>
        <w:tc>
          <w:tcPr>
            <w:tcW w:w="700" w:type="dxa"/>
            <w:shd w:val="clear" w:color="auto" w:fill="auto"/>
            <w:vAlign w:val="center"/>
          </w:tcPr>
          <w:p w14:paraId="56F036A1">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794</w:t>
            </w:r>
          </w:p>
        </w:tc>
        <w:tc>
          <w:tcPr>
            <w:tcW w:w="725" w:type="dxa"/>
            <w:shd w:val="clear" w:color="auto" w:fill="auto"/>
            <w:vAlign w:val="center"/>
          </w:tcPr>
          <w:p w14:paraId="7C427333">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454</w:t>
            </w:r>
          </w:p>
        </w:tc>
        <w:tc>
          <w:tcPr>
            <w:tcW w:w="713" w:type="dxa"/>
            <w:shd w:val="clear" w:color="auto" w:fill="auto"/>
            <w:vAlign w:val="center"/>
          </w:tcPr>
          <w:p w14:paraId="2B748C71">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340</w:t>
            </w:r>
          </w:p>
        </w:tc>
        <w:tc>
          <w:tcPr>
            <w:tcW w:w="375" w:type="dxa"/>
            <w:shd w:val="clear" w:color="auto" w:fill="auto"/>
            <w:vAlign w:val="center"/>
          </w:tcPr>
          <w:p w14:paraId="78DB6D2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0" w:type="dxa"/>
            <w:shd w:val="clear" w:color="auto" w:fill="auto"/>
            <w:vAlign w:val="center"/>
          </w:tcPr>
          <w:p w14:paraId="4214A8E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0" w:type="dxa"/>
            <w:shd w:val="clear" w:color="auto" w:fill="auto"/>
            <w:vAlign w:val="center"/>
          </w:tcPr>
          <w:p w14:paraId="04E058B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0" w:type="dxa"/>
            <w:shd w:val="clear" w:color="auto" w:fill="auto"/>
            <w:vAlign w:val="center"/>
          </w:tcPr>
          <w:p w14:paraId="3B322C6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50" w:type="dxa"/>
            <w:shd w:val="clear" w:color="auto" w:fill="auto"/>
            <w:vAlign w:val="center"/>
          </w:tcPr>
          <w:p w14:paraId="3761115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8" w:type="dxa"/>
            <w:shd w:val="clear" w:color="auto" w:fill="auto"/>
            <w:noWrap/>
            <w:vAlign w:val="center"/>
          </w:tcPr>
          <w:p w14:paraId="5C193DA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noWrap/>
            <w:vAlign w:val="center"/>
          </w:tcPr>
          <w:p w14:paraId="2C2969F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r>
      <w:tr w14:paraId="7EF82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705" w:type="dxa"/>
            <w:gridSpan w:val="2"/>
            <w:vMerge w:val="continue"/>
            <w:shd w:val="clear" w:color="auto" w:fill="auto"/>
            <w:vAlign w:val="center"/>
          </w:tcPr>
          <w:p w14:paraId="20FEEA7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279" w:type="dxa"/>
            <w:gridSpan w:val="4"/>
            <w:shd w:val="clear" w:color="auto" w:fill="auto"/>
            <w:vAlign w:val="center"/>
          </w:tcPr>
          <w:p w14:paraId="5011463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公共必修课程学分、学时占比</w:t>
            </w:r>
          </w:p>
        </w:tc>
        <w:tc>
          <w:tcPr>
            <w:tcW w:w="712" w:type="dxa"/>
            <w:shd w:val="clear" w:color="auto" w:fill="auto"/>
            <w:vAlign w:val="center"/>
          </w:tcPr>
          <w:p w14:paraId="63EED259">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pacing w:val="-28"/>
                <w:sz w:val="18"/>
                <w:szCs w:val="18"/>
                <w:lang w:val="en-US" w:eastAsia="zh-CN"/>
              </w:rPr>
            </w:pPr>
            <w:r>
              <w:rPr>
                <w:rFonts w:hint="eastAsia" w:ascii="仿宋_GB2312" w:hAnsi="仿宋_GB2312" w:eastAsia="仿宋_GB2312" w:cs="仿宋_GB2312"/>
                <w:sz w:val="18"/>
                <w:szCs w:val="18"/>
                <w:lang w:val="en-US" w:eastAsia="zh-CN"/>
              </w:rPr>
              <w:t>28.19%</w:t>
            </w:r>
          </w:p>
        </w:tc>
        <w:tc>
          <w:tcPr>
            <w:tcW w:w="700" w:type="dxa"/>
            <w:shd w:val="clear" w:color="auto" w:fill="auto"/>
            <w:vAlign w:val="center"/>
          </w:tcPr>
          <w:p w14:paraId="2BBBC74C">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pacing w:val="-28"/>
                <w:w w:val="90"/>
                <w:sz w:val="18"/>
                <w:szCs w:val="18"/>
                <w:lang w:val="en-US" w:eastAsia="zh-CN"/>
              </w:rPr>
            </w:pPr>
            <w:r>
              <w:rPr>
                <w:rFonts w:hint="eastAsia" w:ascii="仿宋_GB2312" w:hAnsi="仿宋_GB2312" w:eastAsia="仿宋_GB2312" w:cs="仿宋_GB2312"/>
                <w:w w:val="80"/>
                <w:sz w:val="18"/>
                <w:szCs w:val="18"/>
                <w:lang w:val="en-US" w:eastAsia="zh-CN"/>
              </w:rPr>
              <w:t>28.34%</w:t>
            </w:r>
          </w:p>
        </w:tc>
        <w:tc>
          <w:tcPr>
            <w:tcW w:w="725" w:type="dxa"/>
            <w:shd w:val="clear" w:color="auto" w:fill="auto"/>
            <w:vAlign w:val="center"/>
          </w:tcPr>
          <w:p w14:paraId="4F6D1F54">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pacing w:val="-28"/>
                <w:w w:val="90"/>
                <w:sz w:val="18"/>
                <w:szCs w:val="18"/>
                <w:lang w:val="en-US" w:eastAsia="zh-CN"/>
              </w:rPr>
            </w:pPr>
            <w:r>
              <w:rPr>
                <w:rFonts w:hint="eastAsia" w:ascii="仿宋_GB2312" w:hAnsi="仿宋_GB2312" w:eastAsia="仿宋_GB2312" w:cs="仿宋_GB2312"/>
                <w:w w:val="90"/>
                <w:sz w:val="18"/>
                <w:szCs w:val="18"/>
                <w:lang w:val="en-US" w:eastAsia="zh-CN"/>
              </w:rPr>
              <w:t>16.20%</w:t>
            </w:r>
          </w:p>
        </w:tc>
        <w:tc>
          <w:tcPr>
            <w:tcW w:w="713" w:type="dxa"/>
            <w:shd w:val="clear" w:color="auto" w:fill="auto"/>
            <w:vAlign w:val="center"/>
          </w:tcPr>
          <w:p w14:paraId="2B6253DF">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pacing w:val="-28"/>
                <w:w w:val="90"/>
                <w:sz w:val="18"/>
                <w:szCs w:val="18"/>
                <w:lang w:val="en-US" w:eastAsia="zh-CN"/>
              </w:rPr>
            </w:pPr>
            <w:r>
              <w:rPr>
                <w:rFonts w:hint="eastAsia" w:ascii="仿宋_GB2312" w:hAnsi="仿宋_GB2312" w:eastAsia="仿宋_GB2312" w:cs="仿宋_GB2312"/>
                <w:w w:val="90"/>
                <w:sz w:val="18"/>
                <w:szCs w:val="18"/>
                <w:lang w:val="en-US" w:eastAsia="zh-CN"/>
              </w:rPr>
              <w:t>12.13%</w:t>
            </w:r>
          </w:p>
        </w:tc>
        <w:tc>
          <w:tcPr>
            <w:tcW w:w="375" w:type="dxa"/>
            <w:shd w:val="clear" w:color="auto" w:fill="auto"/>
            <w:vAlign w:val="center"/>
          </w:tcPr>
          <w:p w14:paraId="77E1C95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0" w:type="dxa"/>
            <w:shd w:val="clear" w:color="auto" w:fill="auto"/>
            <w:vAlign w:val="center"/>
          </w:tcPr>
          <w:p w14:paraId="56F3497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0" w:type="dxa"/>
            <w:shd w:val="clear" w:color="auto" w:fill="auto"/>
            <w:vAlign w:val="center"/>
          </w:tcPr>
          <w:p w14:paraId="2CD7BB6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0" w:type="dxa"/>
            <w:shd w:val="clear" w:color="auto" w:fill="auto"/>
            <w:vAlign w:val="center"/>
          </w:tcPr>
          <w:p w14:paraId="77D3BA8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50" w:type="dxa"/>
            <w:shd w:val="clear" w:color="auto" w:fill="auto"/>
            <w:noWrap/>
            <w:vAlign w:val="center"/>
          </w:tcPr>
          <w:p w14:paraId="0AAC810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8" w:type="dxa"/>
            <w:shd w:val="clear" w:color="auto" w:fill="auto"/>
            <w:noWrap/>
            <w:vAlign w:val="center"/>
          </w:tcPr>
          <w:p w14:paraId="1148A7C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noWrap/>
            <w:vAlign w:val="center"/>
          </w:tcPr>
          <w:p w14:paraId="3E9C85E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r>
      <w:tr w14:paraId="4ECFB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5" w:type="dxa"/>
            <w:gridSpan w:val="2"/>
            <w:vMerge w:val="continue"/>
            <w:shd w:val="clear" w:color="auto" w:fill="auto"/>
            <w:vAlign w:val="center"/>
          </w:tcPr>
          <w:p w14:paraId="50B2F23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279" w:type="dxa"/>
            <w:gridSpan w:val="4"/>
            <w:shd w:val="clear" w:color="auto" w:fill="auto"/>
            <w:noWrap/>
            <w:vAlign w:val="center"/>
          </w:tcPr>
          <w:p w14:paraId="28C44BA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公共选修课程学分、学时小计</w:t>
            </w:r>
          </w:p>
        </w:tc>
        <w:tc>
          <w:tcPr>
            <w:tcW w:w="712" w:type="dxa"/>
            <w:shd w:val="clear" w:color="auto" w:fill="auto"/>
            <w:vAlign w:val="center"/>
          </w:tcPr>
          <w:p w14:paraId="43C32AD4">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8</w:t>
            </w:r>
          </w:p>
        </w:tc>
        <w:tc>
          <w:tcPr>
            <w:tcW w:w="700" w:type="dxa"/>
            <w:shd w:val="clear" w:color="auto" w:fill="auto"/>
            <w:vAlign w:val="center"/>
          </w:tcPr>
          <w:p w14:paraId="6ECABD27">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128</w:t>
            </w:r>
          </w:p>
        </w:tc>
        <w:tc>
          <w:tcPr>
            <w:tcW w:w="725" w:type="dxa"/>
            <w:shd w:val="clear" w:color="auto" w:fill="auto"/>
            <w:vAlign w:val="center"/>
          </w:tcPr>
          <w:p w14:paraId="6B7013FC">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80</w:t>
            </w:r>
          </w:p>
        </w:tc>
        <w:tc>
          <w:tcPr>
            <w:tcW w:w="713" w:type="dxa"/>
            <w:shd w:val="clear" w:color="auto" w:fill="auto"/>
            <w:vAlign w:val="center"/>
          </w:tcPr>
          <w:p w14:paraId="1A70B57E">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48</w:t>
            </w:r>
          </w:p>
        </w:tc>
        <w:tc>
          <w:tcPr>
            <w:tcW w:w="375" w:type="dxa"/>
            <w:shd w:val="clear" w:color="auto" w:fill="auto"/>
            <w:noWrap/>
            <w:vAlign w:val="center"/>
          </w:tcPr>
          <w:p w14:paraId="1554C22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0" w:type="dxa"/>
            <w:shd w:val="clear" w:color="auto" w:fill="auto"/>
            <w:noWrap/>
            <w:vAlign w:val="center"/>
          </w:tcPr>
          <w:p w14:paraId="3BB7699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0" w:type="dxa"/>
            <w:shd w:val="clear" w:color="auto" w:fill="auto"/>
            <w:noWrap/>
            <w:vAlign w:val="center"/>
          </w:tcPr>
          <w:p w14:paraId="35575C2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0" w:type="dxa"/>
            <w:shd w:val="clear" w:color="auto" w:fill="auto"/>
            <w:noWrap/>
            <w:vAlign w:val="center"/>
          </w:tcPr>
          <w:p w14:paraId="1F6195C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50" w:type="dxa"/>
            <w:shd w:val="clear" w:color="auto" w:fill="auto"/>
            <w:noWrap/>
            <w:vAlign w:val="center"/>
          </w:tcPr>
          <w:p w14:paraId="1B009F1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8" w:type="dxa"/>
            <w:shd w:val="clear" w:color="auto" w:fill="auto"/>
            <w:noWrap/>
            <w:vAlign w:val="center"/>
          </w:tcPr>
          <w:p w14:paraId="455B93E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7FAB7EC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r>
      <w:tr w14:paraId="282B0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5" w:type="dxa"/>
            <w:gridSpan w:val="2"/>
            <w:vMerge w:val="continue"/>
            <w:shd w:val="clear" w:color="auto" w:fill="auto"/>
            <w:vAlign w:val="center"/>
          </w:tcPr>
          <w:p w14:paraId="2DC0BDC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279" w:type="dxa"/>
            <w:gridSpan w:val="4"/>
            <w:shd w:val="clear" w:color="auto" w:fill="auto"/>
            <w:noWrap/>
            <w:vAlign w:val="center"/>
          </w:tcPr>
          <w:p w14:paraId="1A747F5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公共选修课程学分、学时占比</w:t>
            </w:r>
          </w:p>
        </w:tc>
        <w:tc>
          <w:tcPr>
            <w:tcW w:w="712" w:type="dxa"/>
            <w:shd w:val="clear" w:color="auto" w:fill="auto"/>
            <w:vAlign w:val="center"/>
          </w:tcPr>
          <w:p w14:paraId="4EF4A7C3">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pacing w:val="-28"/>
                <w:sz w:val="18"/>
                <w:szCs w:val="18"/>
                <w:lang w:val="en-US" w:eastAsia="zh-CN"/>
              </w:rPr>
            </w:pPr>
            <w:r>
              <w:rPr>
                <w:rFonts w:hint="eastAsia" w:ascii="仿宋_GB2312" w:hAnsi="仿宋_GB2312" w:eastAsia="仿宋_GB2312" w:cs="仿宋_GB2312"/>
                <w:sz w:val="18"/>
                <w:szCs w:val="18"/>
                <w:lang w:val="en-US" w:eastAsia="zh-CN"/>
              </w:rPr>
              <w:t>5.37%</w:t>
            </w:r>
          </w:p>
        </w:tc>
        <w:tc>
          <w:tcPr>
            <w:tcW w:w="700" w:type="dxa"/>
            <w:shd w:val="clear" w:color="auto" w:fill="auto"/>
            <w:vAlign w:val="center"/>
          </w:tcPr>
          <w:p w14:paraId="201FF7D2">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pacing w:val="-28"/>
                <w:sz w:val="18"/>
                <w:szCs w:val="18"/>
                <w:lang w:val="en-US" w:eastAsia="zh-CN"/>
              </w:rPr>
            </w:pPr>
            <w:r>
              <w:rPr>
                <w:rFonts w:hint="eastAsia" w:ascii="仿宋_GB2312" w:hAnsi="仿宋_GB2312" w:eastAsia="仿宋_GB2312" w:cs="仿宋_GB2312"/>
                <w:sz w:val="18"/>
                <w:szCs w:val="18"/>
                <w:lang w:val="en-US" w:eastAsia="zh-CN"/>
              </w:rPr>
              <w:t>4.57%</w:t>
            </w:r>
          </w:p>
        </w:tc>
        <w:tc>
          <w:tcPr>
            <w:tcW w:w="725" w:type="dxa"/>
            <w:shd w:val="clear" w:color="auto" w:fill="auto"/>
            <w:vAlign w:val="center"/>
          </w:tcPr>
          <w:p w14:paraId="3D8E36BB">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pacing w:val="-28"/>
                <w:sz w:val="18"/>
                <w:szCs w:val="18"/>
                <w:lang w:val="en-US" w:eastAsia="zh-CN"/>
              </w:rPr>
            </w:pPr>
            <w:r>
              <w:rPr>
                <w:rFonts w:hint="eastAsia" w:ascii="仿宋_GB2312" w:hAnsi="仿宋_GB2312" w:eastAsia="仿宋_GB2312" w:cs="仿宋_GB2312"/>
                <w:sz w:val="18"/>
                <w:szCs w:val="18"/>
                <w:lang w:val="en-US" w:eastAsia="zh-CN"/>
              </w:rPr>
              <w:t>2.86%</w:t>
            </w:r>
          </w:p>
        </w:tc>
        <w:tc>
          <w:tcPr>
            <w:tcW w:w="713" w:type="dxa"/>
            <w:shd w:val="clear" w:color="auto" w:fill="auto"/>
            <w:vAlign w:val="center"/>
          </w:tcPr>
          <w:p w14:paraId="073B42FE">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pacing w:val="-28"/>
                <w:sz w:val="18"/>
                <w:szCs w:val="18"/>
                <w:lang w:val="en-US" w:eastAsia="zh-CN"/>
              </w:rPr>
            </w:pPr>
            <w:r>
              <w:rPr>
                <w:rFonts w:hint="eastAsia" w:ascii="仿宋_GB2312" w:hAnsi="仿宋_GB2312" w:eastAsia="仿宋_GB2312" w:cs="仿宋_GB2312"/>
                <w:sz w:val="18"/>
                <w:szCs w:val="18"/>
                <w:lang w:val="en-US" w:eastAsia="zh-CN"/>
              </w:rPr>
              <w:t>1.71%</w:t>
            </w:r>
          </w:p>
        </w:tc>
        <w:tc>
          <w:tcPr>
            <w:tcW w:w="375" w:type="dxa"/>
            <w:shd w:val="clear" w:color="auto" w:fill="auto"/>
            <w:noWrap/>
            <w:vAlign w:val="center"/>
          </w:tcPr>
          <w:p w14:paraId="4F754B4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0" w:type="dxa"/>
            <w:shd w:val="clear" w:color="auto" w:fill="auto"/>
            <w:noWrap/>
            <w:vAlign w:val="center"/>
          </w:tcPr>
          <w:p w14:paraId="6EB13B5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0" w:type="dxa"/>
            <w:shd w:val="clear" w:color="auto" w:fill="auto"/>
            <w:noWrap/>
            <w:vAlign w:val="center"/>
          </w:tcPr>
          <w:p w14:paraId="314050C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0" w:type="dxa"/>
            <w:shd w:val="clear" w:color="auto" w:fill="auto"/>
            <w:noWrap/>
            <w:vAlign w:val="center"/>
          </w:tcPr>
          <w:p w14:paraId="0E1E881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50" w:type="dxa"/>
            <w:shd w:val="clear" w:color="auto" w:fill="auto"/>
            <w:noWrap/>
            <w:vAlign w:val="center"/>
          </w:tcPr>
          <w:p w14:paraId="35B011E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8" w:type="dxa"/>
            <w:shd w:val="clear" w:color="auto" w:fill="auto"/>
            <w:noWrap/>
            <w:vAlign w:val="center"/>
          </w:tcPr>
          <w:p w14:paraId="149BCC0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59657D1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r>
      <w:tr w14:paraId="6DFB3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3" w:type="dxa"/>
            <w:vMerge w:val="restart"/>
            <w:shd w:val="clear" w:color="auto" w:fill="auto"/>
            <w:vAlign w:val="center"/>
          </w:tcPr>
          <w:p w14:paraId="72AF637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专业课</w:t>
            </w:r>
          </w:p>
        </w:tc>
        <w:tc>
          <w:tcPr>
            <w:tcW w:w="382" w:type="dxa"/>
            <w:vMerge w:val="restart"/>
            <w:shd w:val="clear" w:color="auto" w:fill="auto"/>
            <w:vAlign w:val="center"/>
          </w:tcPr>
          <w:p w14:paraId="3778663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专业基础课</w:t>
            </w:r>
          </w:p>
        </w:tc>
        <w:tc>
          <w:tcPr>
            <w:tcW w:w="391" w:type="dxa"/>
            <w:vMerge w:val="restart"/>
            <w:shd w:val="clear" w:color="auto" w:fill="auto"/>
            <w:noWrap/>
            <w:vAlign w:val="center"/>
          </w:tcPr>
          <w:p w14:paraId="455DB58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必修</w:t>
            </w:r>
          </w:p>
        </w:tc>
        <w:tc>
          <w:tcPr>
            <w:tcW w:w="500" w:type="dxa"/>
            <w:shd w:val="clear" w:color="auto" w:fill="auto"/>
            <w:noWrap/>
            <w:vAlign w:val="center"/>
          </w:tcPr>
          <w:p w14:paraId="3290AA4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w:t>
            </w:r>
          </w:p>
        </w:tc>
        <w:tc>
          <w:tcPr>
            <w:tcW w:w="1238" w:type="dxa"/>
            <w:shd w:val="clear" w:color="auto" w:fill="auto"/>
            <w:noWrap/>
            <w:vAlign w:val="center"/>
          </w:tcPr>
          <w:p w14:paraId="691901B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6B500606301</w:t>
            </w:r>
          </w:p>
        </w:tc>
        <w:tc>
          <w:tcPr>
            <w:tcW w:w="2150" w:type="dxa"/>
            <w:shd w:val="clear" w:color="auto" w:fill="auto"/>
            <w:vAlign w:val="center"/>
          </w:tcPr>
          <w:p w14:paraId="4C76460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电工基础</w:t>
            </w:r>
          </w:p>
        </w:tc>
        <w:tc>
          <w:tcPr>
            <w:tcW w:w="712" w:type="dxa"/>
            <w:shd w:val="clear" w:color="auto" w:fill="auto"/>
            <w:vAlign w:val="center"/>
          </w:tcPr>
          <w:p w14:paraId="21423AD1">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w:t>
            </w:r>
          </w:p>
        </w:tc>
        <w:tc>
          <w:tcPr>
            <w:tcW w:w="700" w:type="dxa"/>
            <w:shd w:val="clear" w:color="auto" w:fill="auto"/>
            <w:noWrap/>
            <w:vAlign w:val="center"/>
          </w:tcPr>
          <w:p w14:paraId="72362E70">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72</w:t>
            </w:r>
          </w:p>
        </w:tc>
        <w:tc>
          <w:tcPr>
            <w:tcW w:w="725" w:type="dxa"/>
            <w:shd w:val="clear" w:color="auto" w:fill="auto"/>
            <w:noWrap/>
            <w:vAlign w:val="center"/>
          </w:tcPr>
          <w:p w14:paraId="08B956B3">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44</w:t>
            </w:r>
          </w:p>
        </w:tc>
        <w:tc>
          <w:tcPr>
            <w:tcW w:w="713" w:type="dxa"/>
            <w:shd w:val="clear" w:color="auto" w:fill="auto"/>
            <w:noWrap/>
            <w:vAlign w:val="center"/>
          </w:tcPr>
          <w:p w14:paraId="18B4AF0B">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28</w:t>
            </w:r>
          </w:p>
        </w:tc>
        <w:tc>
          <w:tcPr>
            <w:tcW w:w="375" w:type="dxa"/>
            <w:shd w:val="clear" w:color="auto" w:fill="auto"/>
            <w:noWrap/>
            <w:vAlign w:val="center"/>
          </w:tcPr>
          <w:p w14:paraId="6E35B554">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w:t>
            </w:r>
          </w:p>
        </w:tc>
        <w:tc>
          <w:tcPr>
            <w:tcW w:w="350" w:type="dxa"/>
            <w:shd w:val="clear" w:color="auto" w:fill="auto"/>
            <w:noWrap/>
            <w:vAlign w:val="center"/>
          </w:tcPr>
          <w:p w14:paraId="6247144A">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noWrap/>
            <w:vAlign w:val="center"/>
          </w:tcPr>
          <w:p w14:paraId="02269165">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noWrap/>
            <w:vAlign w:val="center"/>
          </w:tcPr>
          <w:p w14:paraId="354A4205">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450" w:type="dxa"/>
            <w:shd w:val="clear" w:color="auto" w:fill="auto"/>
            <w:noWrap/>
            <w:vAlign w:val="center"/>
          </w:tcPr>
          <w:p w14:paraId="27AE6F0E">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38" w:type="dxa"/>
            <w:shd w:val="clear" w:color="auto" w:fill="auto"/>
            <w:noWrap/>
            <w:vAlign w:val="center"/>
          </w:tcPr>
          <w:p w14:paraId="6BBAE02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4D7E2C0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0F6CF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6922831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shd w:val="clear" w:color="auto" w:fill="auto"/>
            <w:vAlign w:val="center"/>
          </w:tcPr>
          <w:p w14:paraId="577309C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noWrap/>
            <w:vAlign w:val="center"/>
          </w:tcPr>
          <w:p w14:paraId="18CE41E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noWrap/>
            <w:vAlign w:val="center"/>
          </w:tcPr>
          <w:p w14:paraId="305D15E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1238" w:type="dxa"/>
            <w:shd w:val="clear" w:color="auto" w:fill="auto"/>
            <w:noWrap/>
            <w:vAlign w:val="center"/>
          </w:tcPr>
          <w:p w14:paraId="0667C96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6B500113301</w:t>
            </w:r>
          </w:p>
        </w:tc>
        <w:tc>
          <w:tcPr>
            <w:tcW w:w="2150" w:type="dxa"/>
            <w:shd w:val="clear" w:color="auto" w:fill="auto"/>
            <w:vAlign w:val="center"/>
          </w:tcPr>
          <w:p w14:paraId="1B6F844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交通运输概论</w:t>
            </w:r>
          </w:p>
        </w:tc>
        <w:tc>
          <w:tcPr>
            <w:tcW w:w="712" w:type="dxa"/>
            <w:shd w:val="clear" w:color="auto" w:fill="auto"/>
            <w:vAlign w:val="center"/>
          </w:tcPr>
          <w:p w14:paraId="179625A0">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w:t>
            </w:r>
          </w:p>
        </w:tc>
        <w:tc>
          <w:tcPr>
            <w:tcW w:w="700" w:type="dxa"/>
            <w:shd w:val="clear" w:color="auto" w:fill="auto"/>
            <w:noWrap/>
            <w:vAlign w:val="center"/>
          </w:tcPr>
          <w:p w14:paraId="156B2031">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72</w:t>
            </w:r>
          </w:p>
        </w:tc>
        <w:tc>
          <w:tcPr>
            <w:tcW w:w="725" w:type="dxa"/>
            <w:shd w:val="clear" w:color="auto" w:fill="auto"/>
            <w:noWrap/>
            <w:vAlign w:val="center"/>
          </w:tcPr>
          <w:p w14:paraId="5621852D">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44</w:t>
            </w:r>
          </w:p>
        </w:tc>
        <w:tc>
          <w:tcPr>
            <w:tcW w:w="713" w:type="dxa"/>
            <w:shd w:val="clear" w:color="auto" w:fill="auto"/>
            <w:noWrap/>
            <w:vAlign w:val="center"/>
          </w:tcPr>
          <w:p w14:paraId="0EE5705C">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28</w:t>
            </w:r>
          </w:p>
        </w:tc>
        <w:tc>
          <w:tcPr>
            <w:tcW w:w="375" w:type="dxa"/>
            <w:shd w:val="clear" w:color="auto" w:fill="auto"/>
            <w:noWrap/>
            <w:vAlign w:val="center"/>
          </w:tcPr>
          <w:p w14:paraId="422A89B0">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w:t>
            </w:r>
          </w:p>
        </w:tc>
        <w:tc>
          <w:tcPr>
            <w:tcW w:w="350" w:type="dxa"/>
            <w:shd w:val="clear" w:color="auto" w:fill="auto"/>
            <w:noWrap/>
            <w:vAlign w:val="center"/>
          </w:tcPr>
          <w:p w14:paraId="616B9421">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noWrap/>
            <w:vAlign w:val="center"/>
          </w:tcPr>
          <w:p w14:paraId="6F520536">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noWrap/>
            <w:vAlign w:val="center"/>
          </w:tcPr>
          <w:p w14:paraId="4CC6079D">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450" w:type="dxa"/>
            <w:shd w:val="clear" w:color="auto" w:fill="auto"/>
            <w:noWrap/>
            <w:vAlign w:val="center"/>
          </w:tcPr>
          <w:p w14:paraId="11E01661">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38" w:type="dxa"/>
            <w:shd w:val="clear" w:color="auto" w:fill="auto"/>
            <w:noWrap/>
            <w:vAlign w:val="center"/>
          </w:tcPr>
          <w:p w14:paraId="5A85789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7B9B36C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43ADB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43ADD28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shd w:val="clear" w:color="auto" w:fill="auto"/>
            <w:vAlign w:val="center"/>
          </w:tcPr>
          <w:p w14:paraId="3484CA4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noWrap/>
            <w:vAlign w:val="center"/>
          </w:tcPr>
          <w:p w14:paraId="22DF814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noWrap/>
            <w:vAlign w:val="center"/>
          </w:tcPr>
          <w:p w14:paraId="494216D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w:t>
            </w:r>
          </w:p>
        </w:tc>
        <w:tc>
          <w:tcPr>
            <w:tcW w:w="1238" w:type="dxa"/>
            <w:shd w:val="clear" w:color="auto" w:fill="auto"/>
            <w:noWrap/>
            <w:vAlign w:val="center"/>
          </w:tcPr>
          <w:p w14:paraId="7C37122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6B500606303</w:t>
            </w:r>
          </w:p>
        </w:tc>
        <w:tc>
          <w:tcPr>
            <w:tcW w:w="2150" w:type="dxa"/>
            <w:shd w:val="clear" w:color="auto" w:fill="auto"/>
            <w:vAlign w:val="center"/>
          </w:tcPr>
          <w:p w14:paraId="69E6430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形体训练</w:t>
            </w:r>
          </w:p>
        </w:tc>
        <w:tc>
          <w:tcPr>
            <w:tcW w:w="712" w:type="dxa"/>
            <w:shd w:val="clear" w:color="auto" w:fill="auto"/>
            <w:vAlign w:val="center"/>
          </w:tcPr>
          <w:p w14:paraId="02DAE433">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w:t>
            </w:r>
          </w:p>
        </w:tc>
        <w:tc>
          <w:tcPr>
            <w:tcW w:w="700" w:type="dxa"/>
            <w:shd w:val="clear" w:color="auto" w:fill="auto"/>
            <w:noWrap/>
            <w:vAlign w:val="center"/>
          </w:tcPr>
          <w:p w14:paraId="41642AE7">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72</w:t>
            </w:r>
          </w:p>
        </w:tc>
        <w:tc>
          <w:tcPr>
            <w:tcW w:w="725" w:type="dxa"/>
            <w:shd w:val="clear" w:color="auto" w:fill="auto"/>
            <w:noWrap/>
            <w:vAlign w:val="center"/>
          </w:tcPr>
          <w:p w14:paraId="7BF1F3A9">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28</w:t>
            </w:r>
          </w:p>
        </w:tc>
        <w:tc>
          <w:tcPr>
            <w:tcW w:w="713" w:type="dxa"/>
            <w:shd w:val="clear" w:color="auto" w:fill="auto"/>
            <w:noWrap/>
            <w:vAlign w:val="center"/>
          </w:tcPr>
          <w:p w14:paraId="24CF6494">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44</w:t>
            </w:r>
          </w:p>
        </w:tc>
        <w:tc>
          <w:tcPr>
            <w:tcW w:w="375" w:type="dxa"/>
            <w:shd w:val="clear" w:color="auto" w:fill="auto"/>
            <w:noWrap/>
            <w:vAlign w:val="center"/>
          </w:tcPr>
          <w:p w14:paraId="2904724E">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w:t>
            </w:r>
          </w:p>
        </w:tc>
        <w:tc>
          <w:tcPr>
            <w:tcW w:w="350" w:type="dxa"/>
            <w:shd w:val="clear" w:color="auto" w:fill="auto"/>
            <w:noWrap/>
            <w:vAlign w:val="center"/>
          </w:tcPr>
          <w:p w14:paraId="59A8CF1D">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noWrap/>
            <w:vAlign w:val="center"/>
          </w:tcPr>
          <w:p w14:paraId="410A42D9">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noWrap/>
            <w:vAlign w:val="center"/>
          </w:tcPr>
          <w:p w14:paraId="4B782D63">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450" w:type="dxa"/>
            <w:shd w:val="clear" w:color="auto" w:fill="auto"/>
            <w:noWrap/>
            <w:vAlign w:val="center"/>
          </w:tcPr>
          <w:p w14:paraId="3A2FD078">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38" w:type="dxa"/>
            <w:shd w:val="clear" w:color="auto" w:fill="auto"/>
            <w:noWrap/>
            <w:vAlign w:val="center"/>
          </w:tcPr>
          <w:p w14:paraId="233EB21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7A22A77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3A6F4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26B4188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shd w:val="clear" w:color="auto" w:fill="auto"/>
            <w:vAlign w:val="center"/>
          </w:tcPr>
          <w:p w14:paraId="5E6DF62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noWrap/>
            <w:vAlign w:val="center"/>
          </w:tcPr>
          <w:p w14:paraId="22D61BC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noWrap/>
            <w:vAlign w:val="center"/>
          </w:tcPr>
          <w:p w14:paraId="2A6ADB0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w:t>
            </w:r>
          </w:p>
        </w:tc>
        <w:tc>
          <w:tcPr>
            <w:tcW w:w="1238" w:type="dxa"/>
            <w:shd w:val="clear" w:color="auto" w:fill="auto"/>
            <w:noWrap/>
            <w:vAlign w:val="center"/>
          </w:tcPr>
          <w:p w14:paraId="2BB0CD7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6B500606304</w:t>
            </w:r>
          </w:p>
        </w:tc>
        <w:tc>
          <w:tcPr>
            <w:tcW w:w="2150" w:type="dxa"/>
            <w:shd w:val="clear" w:color="auto" w:fill="auto"/>
            <w:vAlign w:val="center"/>
          </w:tcPr>
          <w:p w14:paraId="5714479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pacing w:val="-17"/>
                <w:kern w:val="0"/>
                <w:sz w:val="20"/>
                <w:szCs w:val="20"/>
                <w:u w:val="none"/>
                <w:lang w:val="en-US" w:eastAsia="zh-CN" w:bidi="ar"/>
              </w:rPr>
            </w:pPr>
            <w:r>
              <w:rPr>
                <w:rFonts w:hint="eastAsia" w:ascii="仿宋_GB2312" w:hAnsi="仿宋_GB2312" w:eastAsia="仿宋_GB2312" w:cs="仿宋_GB2312"/>
                <w:i w:val="0"/>
                <w:color w:val="000000"/>
                <w:spacing w:val="-17"/>
                <w:kern w:val="0"/>
                <w:sz w:val="20"/>
                <w:szCs w:val="20"/>
                <w:u w:val="none"/>
                <w:lang w:val="en-US" w:eastAsia="zh-CN" w:bidi="ar"/>
              </w:rPr>
              <w:t>城市轨道交通车辆基础</w:t>
            </w:r>
          </w:p>
        </w:tc>
        <w:tc>
          <w:tcPr>
            <w:tcW w:w="712" w:type="dxa"/>
            <w:shd w:val="clear" w:color="auto" w:fill="auto"/>
            <w:vAlign w:val="center"/>
          </w:tcPr>
          <w:p w14:paraId="1D43BD55">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w:t>
            </w:r>
          </w:p>
        </w:tc>
        <w:tc>
          <w:tcPr>
            <w:tcW w:w="700" w:type="dxa"/>
            <w:shd w:val="clear" w:color="auto" w:fill="auto"/>
            <w:noWrap/>
            <w:vAlign w:val="center"/>
          </w:tcPr>
          <w:p w14:paraId="6DC2BA79">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72</w:t>
            </w:r>
          </w:p>
        </w:tc>
        <w:tc>
          <w:tcPr>
            <w:tcW w:w="725" w:type="dxa"/>
            <w:shd w:val="clear" w:color="auto" w:fill="auto"/>
            <w:noWrap/>
            <w:vAlign w:val="center"/>
          </w:tcPr>
          <w:p w14:paraId="37A3D379">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44</w:t>
            </w:r>
          </w:p>
        </w:tc>
        <w:tc>
          <w:tcPr>
            <w:tcW w:w="713" w:type="dxa"/>
            <w:shd w:val="clear" w:color="auto" w:fill="auto"/>
            <w:noWrap/>
            <w:vAlign w:val="center"/>
          </w:tcPr>
          <w:p w14:paraId="4EA949E3">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28</w:t>
            </w:r>
          </w:p>
        </w:tc>
        <w:tc>
          <w:tcPr>
            <w:tcW w:w="375" w:type="dxa"/>
            <w:shd w:val="clear" w:color="auto" w:fill="auto"/>
            <w:noWrap/>
            <w:vAlign w:val="center"/>
          </w:tcPr>
          <w:p w14:paraId="084C8224">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noWrap/>
            <w:vAlign w:val="center"/>
          </w:tcPr>
          <w:p w14:paraId="306FD906">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w:t>
            </w:r>
          </w:p>
        </w:tc>
        <w:tc>
          <w:tcPr>
            <w:tcW w:w="350" w:type="dxa"/>
            <w:shd w:val="clear" w:color="auto" w:fill="auto"/>
            <w:noWrap/>
            <w:vAlign w:val="center"/>
          </w:tcPr>
          <w:p w14:paraId="6AE3A68E">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noWrap/>
            <w:vAlign w:val="center"/>
          </w:tcPr>
          <w:p w14:paraId="47358DA3">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450" w:type="dxa"/>
            <w:shd w:val="clear" w:color="auto" w:fill="auto"/>
            <w:noWrap/>
            <w:vAlign w:val="center"/>
          </w:tcPr>
          <w:p w14:paraId="12952467">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38" w:type="dxa"/>
            <w:shd w:val="clear" w:color="auto" w:fill="auto"/>
            <w:noWrap/>
            <w:vAlign w:val="center"/>
          </w:tcPr>
          <w:p w14:paraId="3EED02A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1C7AF2E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0281A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8" w:hRule="atLeast"/>
          <w:jc w:val="center"/>
        </w:trPr>
        <w:tc>
          <w:tcPr>
            <w:tcW w:w="323" w:type="dxa"/>
            <w:vMerge w:val="continue"/>
            <w:shd w:val="clear" w:color="auto" w:fill="auto"/>
            <w:vAlign w:val="center"/>
          </w:tcPr>
          <w:p w14:paraId="4A210D8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shd w:val="clear" w:color="auto" w:fill="auto"/>
            <w:vAlign w:val="center"/>
          </w:tcPr>
          <w:p w14:paraId="04E8E4E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noWrap/>
            <w:vAlign w:val="center"/>
          </w:tcPr>
          <w:p w14:paraId="2B46F84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noWrap/>
            <w:vAlign w:val="center"/>
          </w:tcPr>
          <w:p w14:paraId="21BE51E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5</w:t>
            </w:r>
          </w:p>
        </w:tc>
        <w:tc>
          <w:tcPr>
            <w:tcW w:w="1238" w:type="dxa"/>
            <w:shd w:val="clear" w:color="auto" w:fill="auto"/>
            <w:noWrap/>
            <w:vAlign w:val="center"/>
          </w:tcPr>
          <w:p w14:paraId="1537818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6B500606305</w:t>
            </w:r>
          </w:p>
        </w:tc>
        <w:tc>
          <w:tcPr>
            <w:tcW w:w="2150" w:type="dxa"/>
            <w:shd w:val="clear" w:color="auto" w:fill="auto"/>
            <w:vAlign w:val="center"/>
          </w:tcPr>
          <w:p w14:paraId="533F293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pacing w:val="-17"/>
                <w:kern w:val="0"/>
                <w:sz w:val="20"/>
                <w:szCs w:val="20"/>
                <w:u w:val="none"/>
                <w:lang w:val="en-US" w:eastAsia="zh-CN" w:bidi="ar"/>
              </w:rPr>
            </w:pPr>
            <w:r>
              <w:rPr>
                <w:rFonts w:hint="eastAsia" w:ascii="仿宋_GB2312" w:hAnsi="仿宋_GB2312" w:eastAsia="仿宋_GB2312" w:cs="仿宋_GB2312"/>
                <w:i w:val="0"/>
                <w:color w:val="000000"/>
                <w:spacing w:val="-17"/>
                <w:kern w:val="0"/>
                <w:sz w:val="20"/>
                <w:szCs w:val="20"/>
                <w:u w:val="none"/>
                <w:lang w:val="en-US" w:eastAsia="zh-CN" w:bidi="ar"/>
              </w:rPr>
              <w:t>城市轨道交通服务礼仪</w:t>
            </w:r>
          </w:p>
        </w:tc>
        <w:tc>
          <w:tcPr>
            <w:tcW w:w="712" w:type="dxa"/>
            <w:shd w:val="clear" w:color="auto" w:fill="auto"/>
            <w:vAlign w:val="center"/>
          </w:tcPr>
          <w:p w14:paraId="14374306">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w:t>
            </w:r>
          </w:p>
        </w:tc>
        <w:tc>
          <w:tcPr>
            <w:tcW w:w="700" w:type="dxa"/>
            <w:shd w:val="clear" w:color="auto" w:fill="auto"/>
            <w:noWrap/>
            <w:vAlign w:val="center"/>
          </w:tcPr>
          <w:p w14:paraId="22BDB947">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72</w:t>
            </w:r>
          </w:p>
        </w:tc>
        <w:tc>
          <w:tcPr>
            <w:tcW w:w="725" w:type="dxa"/>
            <w:shd w:val="clear" w:color="auto" w:fill="auto"/>
            <w:noWrap/>
            <w:vAlign w:val="center"/>
          </w:tcPr>
          <w:p w14:paraId="5660D029">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28</w:t>
            </w:r>
          </w:p>
        </w:tc>
        <w:tc>
          <w:tcPr>
            <w:tcW w:w="713" w:type="dxa"/>
            <w:shd w:val="clear" w:color="auto" w:fill="auto"/>
            <w:noWrap/>
            <w:vAlign w:val="center"/>
          </w:tcPr>
          <w:p w14:paraId="0F93457B">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44</w:t>
            </w:r>
          </w:p>
        </w:tc>
        <w:tc>
          <w:tcPr>
            <w:tcW w:w="375" w:type="dxa"/>
            <w:shd w:val="clear" w:color="auto" w:fill="auto"/>
            <w:noWrap/>
            <w:vAlign w:val="center"/>
          </w:tcPr>
          <w:p w14:paraId="71E69186">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noWrap/>
            <w:vAlign w:val="center"/>
          </w:tcPr>
          <w:p w14:paraId="1A4E0D98">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w:t>
            </w:r>
          </w:p>
        </w:tc>
        <w:tc>
          <w:tcPr>
            <w:tcW w:w="350" w:type="dxa"/>
            <w:shd w:val="clear" w:color="auto" w:fill="auto"/>
            <w:noWrap/>
            <w:vAlign w:val="center"/>
          </w:tcPr>
          <w:p w14:paraId="44DDE396">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noWrap/>
            <w:vAlign w:val="center"/>
          </w:tcPr>
          <w:p w14:paraId="6270889B">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450" w:type="dxa"/>
            <w:shd w:val="clear" w:color="auto" w:fill="auto"/>
            <w:noWrap/>
            <w:vAlign w:val="center"/>
          </w:tcPr>
          <w:p w14:paraId="33DEEB73">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38" w:type="dxa"/>
            <w:shd w:val="clear" w:color="auto" w:fill="auto"/>
            <w:noWrap/>
            <w:vAlign w:val="center"/>
          </w:tcPr>
          <w:p w14:paraId="6D7002A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557C939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47E04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4C931A8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shd w:val="clear" w:color="auto" w:fill="auto"/>
            <w:vAlign w:val="center"/>
          </w:tcPr>
          <w:p w14:paraId="24F0090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noWrap/>
            <w:vAlign w:val="center"/>
          </w:tcPr>
          <w:p w14:paraId="499BF19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noWrap/>
            <w:vAlign w:val="center"/>
          </w:tcPr>
          <w:p w14:paraId="4E2D296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w:t>
            </w:r>
          </w:p>
        </w:tc>
        <w:tc>
          <w:tcPr>
            <w:tcW w:w="1238" w:type="dxa"/>
            <w:shd w:val="clear" w:color="auto" w:fill="auto"/>
            <w:noWrap/>
            <w:vAlign w:val="center"/>
          </w:tcPr>
          <w:p w14:paraId="2447920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6B500606306</w:t>
            </w:r>
          </w:p>
        </w:tc>
        <w:tc>
          <w:tcPr>
            <w:tcW w:w="2150" w:type="dxa"/>
            <w:shd w:val="clear" w:color="auto" w:fill="auto"/>
            <w:vAlign w:val="center"/>
          </w:tcPr>
          <w:p w14:paraId="053D866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spacing w:val="-17"/>
                <w:kern w:val="0"/>
                <w:sz w:val="20"/>
                <w:szCs w:val="20"/>
                <w:u w:val="none"/>
                <w:lang w:val="en-US" w:eastAsia="zh-CN" w:bidi="ar"/>
              </w:rPr>
              <w:t>城市轨道交通通信与信号</w:t>
            </w:r>
          </w:p>
        </w:tc>
        <w:tc>
          <w:tcPr>
            <w:tcW w:w="712" w:type="dxa"/>
            <w:shd w:val="clear" w:color="auto" w:fill="auto"/>
            <w:vAlign w:val="center"/>
          </w:tcPr>
          <w:p w14:paraId="1AFB0724">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w:t>
            </w:r>
          </w:p>
        </w:tc>
        <w:tc>
          <w:tcPr>
            <w:tcW w:w="700" w:type="dxa"/>
            <w:shd w:val="clear" w:color="auto" w:fill="auto"/>
            <w:noWrap/>
            <w:vAlign w:val="center"/>
          </w:tcPr>
          <w:p w14:paraId="0A7A5037">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72</w:t>
            </w:r>
          </w:p>
        </w:tc>
        <w:tc>
          <w:tcPr>
            <w:tcW w:w="725" w:type="dxa"/>
            <w:shd w:val="clear" w:color="auto" w:fill="auto"/>
            <w:noWrap/>
            <w:vAlign w:val="center"/>
          </w:tcPr>
          <w:p w14:paraId="174C2F1F">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44</w:t>
            </w:r>
          </w:p>
        </w:tc>
        <w:tc>
          <w:tcPr>
            <w:tcW w:w="713" w:type="dxa"/>
            <w:shd w:val="clear" w:color="auto" w:fill="auto"/>
            <w:noWrap/>
            <w:vAlign w:val="center"/>
          </w:tcPr>
          <w:p w14:paraId="77AA3DD4">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28</w:t>
            </w:r>
          </w:p>
        </w:tc>
        <w:tc>
          <w:tcPr>
            <w:tcW w:w="375" w:type="dxa"/>
            <w:shd w:val="clear" w:color="auto" w:fill="auto"/>
            <w:noWrap/>
            <w:vAlign w:val="center"/>
          </w:tcPr>
          <w:p w14:paraId="053E6801">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noWrap/>
            <w:vAlign w:val="center"/>
          </w:tcPr>
          <w:p w14:paraId="13023689">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noWrap/>
            <w:vAlign w:val="center"/>
          </w:tcPr>
          <w:p w14:paraId="496C0C70">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w:t>
            </w:r>
          </w:p>
        </w:tc>
        <w:tc>
          <w:tcPr>
            <w:tcW w:w="350" w:type="dxa"/>
            <w:shd w:val="clear" w:color="auto" w:fill="auto"/>
            <w:noWrap/>
            <w:vAlign w:val="center"/>
          </w:tcPr>
          <w:p w14:paraId="33FFADCB">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450" w:type="dxa"/>
            <w:shd w:val="clear" w:color="auto" w:fill="auto"/>
            <w:noWrap/>
            <w:vAlign w:val="center"/>
          </w:tcPr>
          <w:p w14:paraId="6324E49F">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38" w:type="dxa"/>
            <w:shd w:val="clear" w:color="auto" w:fill="auto"/>
            <w:noWrap/>
            <w:vAlign w:val="center"/>
          </w:tcPr>
          <w:p w14:paraId="23D4620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21A4785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70A8F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10A40D7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shd w:val="clear" w:color="auto" w:fill="auto"/>
            <w:vAlign w:val="center"/>
          </w:tcPr>
          <w:p w14:paraId="7CDCA97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noWrap/>
            <w:vAlign w:val="center"/>
          </w:tcPr>
          <w:p w14:paraId="005B5BB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noWrap/>
            <w:vAlign w:val="center"/>
          </w:tcPr>
          <w:p w14:paraId="056B737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7</w:t>
            </w:r>
          </w:p>
        </w:tc>
        <w:tc>
          <w:tcPr>
            <w:tcW w:w="1238" w:type="dxa"/>
            <w:shd w:val="clear" w:color="auto" w:fill="auto"/>
            <w:noWrap/>
            <w:vAlign w:val="center"/>
          </w:tcPr>
          <w:p w14:paraId="7E362D6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6B500606307</w:t>
            </w:r>
          </w:p>
        </w:tc>
        <w:tc>
          <w:tcPr>
            <w:tcW w:w="2150" w:type="dxa"/>
            <w:shd w:val="clear" w:color="auto" w:fill="auto"/>
            <w:vAlign w:val="center"/>
          </w:tcPr>
          <w:p w14:paraId="1E67AA3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u w:val="none"/>
                <w:lang w:val="en-US" w:eastAsia="zh-CN" w:bidi="ar"/>
              </w:rPr>
              <w:t>城市轨道交通客运服务英语</w:t>
            </w:r>
          </w:p>
        </w:tc>
        <w:tc>
          <w:tcPr>
            <w:tcW w:w="712" w:type="dxa"/>
            <w:shd w:val="clear" w:color="auto" w:fill="auto"/>
            <w:vAlign w:val="center"/>
          </w:tcPr>
          <w:p w14:paraId="74EC2538">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w:t>
            </w:r>
          </w:p>
        </w:tc>
        <w:tc>
          <w:tcPr>
            <w:tcW w:w="700" w:type="dxa"/>
            <w:shd w:val="clear" w:color="auto" w:fill="auto"/>
            <w:noWrap/>
            <w:vAlign w:val="center"/>
          </w:tcPr>
          <w:p w14:paraId="39D4FDBE">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72</w:t>
            </w:r>
          </w:p>
        </w:tc>
        <w:tc>
          <w:tcPr>
            <w:tcW w:w="725" w:type="dxa"/>
            <w:shd w:val="clear" w:color="auto" w:fill="auto"/>
            <w:noWrap/>
            <w:vAlign w:val="center"/>
          </w:tcPr>
          <w:p w14:paraId="5DCD88D2">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44</w:t>
            </w:r>
          </w:p>
        </w:tc>
        <w:tc>
          <w:tcPr>
            <w:tcW w:w="713" w:type="dxa"/>
            <w:shd w:val="clear" w:color="auto" w:fill="auto"/>
            <w:noWrap/>
            <w:vAlign w:val="center"/>
          </w:tcPr>
          <w:p w14:paraId="11BC4AD9">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28</w:t>
            </w:r>
          </w:p>
        </w:tc>
        <w:tc>
          <w:tcPr>
            <w:tcW w:w="375" w:type="dxa"/>
            <w:shd w:val="clear" w:color="auto" w:fill="auto"/>
            <w:noWrap/>
            <w:vAlign w:val="center"/>
          </w:tcPr>
          <w:p w14:paraId="6CA15709">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noWrap/>
            <w:vAlign w:val="center"/>
          </w:tcPr>
          <w:p w14:paraId="78B055EE">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noWrap/>
            <w:vAlign w:val="center"/>
          </w:tcPr>
          <w:p w14:paraId="2F03DCC0">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w:t>
            </w:r>
          </w:p>
        </w:tc>
        <w:tc>
          <w:tcPr>
            <w:tcW w:w="350" w:type="dxa"/>
            <w:shd w:val="clear" w:color="auto" w:fill="auto"/>
            <w:noWrap/>
            <w:vAlign w:val="center"/>
          </w:tcPr>
          <w:p w14:paraId="591F02B9">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450" w:type="dxa"/>
            <w:shd w:val="clear" w:color="auto" w:fill="auto"/>
            <w:noWrap/>
            <w:vAlign w:val="center"/>
          </w:tcPr>
          <w:p w14:paraId="03F5BF93">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38" w:type="dxa"/>
            <w:shd w:val="clear" w:color="auto" w:fill="auto"/>
            <w:noWrap/>
            <w:vAlign w:val="center"/>
          </w:tcPr>
          <w:p w14:paraId="7F5A79D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0704D8A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7CE70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4C09A8E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shd w:val="clear" w:color="auto" w:fill="auto"/>
            <w:vAlign w:val="center"/>
          </w:tcPr>
          <w:p w14:paraId="7F99963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noWrap/>
            <w:vAlign w:val="center"/>
          </w:tcPr>
          <w:p w14:paraId="7EED90D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noWrap/>
            <w:vAlign w:val="center"/>
          </w:tcPr>
          <w:p w14:paraId="2055137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8</w:t>
            </w:r>
          </w:p>
        </w:tc>
        <w:tc>
          <w:tcPr>
            <w:tcW w:w="1238" w:type="dxa"/>
            <w:shd w:val="clear" w:color="auto" w:fill="auto"/>
            <w:noWrap/>
            <w:vAlign w:val="center"/>
          </w:tcPr>
          <w:p w14:paraId="768E7DE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6B500606308</w:t>
            </w:r>
          </w:p>
        </w:tc>
        <w:tc>
          <w:tcPr>
            <w:tcW w:w="2150" w:type="dxa"/>
            <w:shd w:val="clear" w:color="auto" w:fill="auto"/>
            <w:vAlign w:val="center"/>
          </w:tcPr>
          <w:p w14:paraId="0EB9D9B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轨道交通安全检查</w:t>
            </w:r>
          </w:p>
        </w:tc>
        <w:tc>
          <w:tcPr>
            <w:tcW w:w="712" w:type="dxa"/>
            <w:shd w:val="clear" w:color="auto" w:fill="auto"/>
            <w:vAlign w:val="center"/>
          </w:tcPr>
          <w:p w14:paraId="6D02C605">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w:t>
            </w:r>
          </w:p>
        </w:tc>
        <w:tc>
          <w:tcPr>
            <w:tcW w:w="700" w:type="dxa"/>
            <w:shd w:val="clear" w:color="auto" w:fill="auto"/>
            <w:noWrap/>
            <w:vAlign w:val="center"/>
          </w:tcPr>
          <w:p w14:paraId="0BA3C9AA">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72</w:t>
            </w:r>
          </w:p>
        </w:tc>
        <w:tc>
          <w:tcPr>
            <w:tcW w:w="725" w:type="dxa"/>
            <w:shd w:val="clear" w:color="auto" w:fill="auto"/>
            <w:noWrap/>
            <w:vAlign w:val="center"/>
          </w:tcPr>
          <w:p w14:paraId="12FD3C72">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44</w:t>
            </w:r>
          </w:p>
        </w:tc>
        <w:tc>
          <w:tcPr>
            <w:tcW w:w="713" w:type="dxa"/>
            <w:shd w:val="clear" w:color="auto" w:fill="auto"/>
            <w:noWrap/>
            <w:vAlign w:val="center"/>
          </w:tcPr>
          <w:p w14:paraId="6169D473">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28</w:t>
            </w:r>
          </w:p>
        </w:tc>
        <w:tc>
          <w:tcPr>
            <w:tcW w:w="375" w:type="dxa"/>
            <w:shd w:val="clear" w:color="auto" w:fill="auto"/>
            <w:noWrap/>
            <w:vAlign w:val="center"/>
          </w:tcPr>
          <w:p w14:paraId="25943A9F">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noWrap/>
            <w:vAlign w:val="center"/>
          </w:tcPr>
          <w:p w14:paraId="5B4942F3">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noWrap/>
            <w:vAlign w:val="center"/>
          </w:tcPr>
          <w:p w14:paraId="2DA8B6F7">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3</w:t>
            </w:r>
          </w:p>
        </w:tc>
        <w:tc>
          <w:tcPr>
            <w:tcW w:w="350" w:type="dxa"/>
            <w:shd w:val="clear" w:color="auto" w:fill="auto"/>
            <w:noWrap/>
            <w:vAlign w:val="center"/>
          </w:tcPr>
          <w:p w14:paraId="747E3F26">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450" w:type="dxa"/>
            <w:shd w:val="clear" w:color="auto" w:fill="auto"/>
            <w:noWrap/>
            <w:vAlign w:val="center"/>
          </w:tcPr>
          <w:p w14:paraId="2DEDEA77">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38" w:type="dxa"/>
            <w:shd w:val="clear" w:color="auto" w:fill="auto"/>
            <w:noWrap/>
            <w:vAlign w:val="center"/>
          </w:tcPr>
          <w:p w14:paraId="0DD4D32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5804525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64D81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5EFB125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shd w:val="clear" w:color="auto" w:fill="auto"/>
            <w:vAlign w:val="center"/>
          </w:tcPr>
          <w:p w14:paraId="6EBC6AD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noWrap/>
            <w:vAlign w:val="center"/>
          </w:tcPr>
          <w:p w14:paraId="4BA47CE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noWrap/>
            <w:vAlign w:val="center"/>
          </w:tcPr>
          <w:p w14:paraId="25AF8FB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default"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9</w:t>
            </w:r>
          </w:p>
        </w:tc>
        <w:tc>
          <w:tcPr>
            <w:tcW w:w="1238" w:type="dxa"/>
            <w:shd w:val="clear" w:color="auto" w:fill="auto"/>
            <w:noWrap/>
            <w:vAlign w:val="center"/>
          </w:tcPr>
          <w:p w14:paraId="38AF8BE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6B500606309</w:t>
            </w:r>
          </w:p>
        </w:tc>
        <w:tc>
          <w:tcPr>
            <w:tcW w:w="2150" w:type="dxa"/>
            <w:shd w:val="clear" w:color="auto" w:fill="auto"/>
            <w:vAlign w:val="center"/>
          </w:tcPr>
          <w:p w14:paraId="7E17F71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u w:val="none"/>
                <w:lang w:val="en-US" w:eastAsia="zh-CN" w:bidi="ar"/>
              </w:rPr>
              <w:t>城市轨道交通员工职业素养</w:t>
            </w:r>
          </w:p>
        </w:tc>
        <w:tc>
          <w:tcPr>
            <w:tcW w:w="712" w:type="dxa"/>
            <w:shd w:val="clear" w:color="auto" w:fill="auto"/>
            <w:vAlign w:val="center"/>
          </w:tcPr>
          <w:p w14:paraId="128EAFE0">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w:t>
            </w:r>
          </w:p>
        </w:tc>
        <w:tc>
          <w:tcPr>
            <w:tcW w:w="700" w:type="dxa"/>
            <w:shd w:val="clear" w:color="auto" w:fill="auto"/>
            <w:noWrap/>
            <w:vAlign w:val="center"/>
          </w:tcPr>
          <w:p w14:paraId="7C250D4D">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72</w:t>
            </w:r>
          </w:p>
        </w:tc>
        <w:tc>
          <w:tcPr>
            <w:tcW w:w="725" w:type="dxa"/>
            <w:shd w:val="clear" w:color="auto" w:fill="auto"/>
            <w:noWrap/>
            <w:vAlign w:val="center"/>
          </w:tcPr>
          <w:p w14:paraId="298A618F">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44</w:t>
            </w:r>
          </w:p>
        </w:tc>
        <w:tc>
          <w:tcPr>
            <w:tcW w:w="713" w:type="dxa"/>
            <w:shd w:val="clear" w:color="auto" w:fill="auto"/>
            <w:noWrap/>
            <w:vAlign w:val="center"/>
          </w:tcPr>
          <w:p w14:paraId="42B98D60">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28</w:t>
            </w:r>
          </w:p>
        </w:tc>
        <w:tc>
          <w:tcPr>
            <w:tcW w:w="375" w:type="dxa"/>
            <w:shd w:val="clear" w:color="auto" w:fill="auto"/>
            <w:noWrap/>
            <w:vAlign w:val="center"/>
          </w:tcPr>
          <w:p w14:paraId="66C62B67">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noWrap/>
            <w:vAlign w:val="center"/>
          </w:tcPr>
          <w:p w14:paraId="16440E28">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noWrap/>
            <w:vAlign w:val="center"/>
          </w:tcPr>
          <w:p w14:paraId="61D8EEAC">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noWrap/>
            <w:vAlign w:val="center"/>
          </w:tcPr>
          <w:p w14:paraId="3F4BFD46">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w:t>
            </w:r>
          </w:p>
        </w:tc>
        <w:tc>
          <w:tcPr>
            <w:tcW w:w="450" w:type="dxa"/>
            <w:shd w:val="clear" w:color="auto" w:fill="auto"/>
            <w:noWrap/>
            <w:vAlign w:val="center"/>
          </w:tcPr>
          <w:p w14:paraId="66E20463">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38" w:type="dxa"/>
            <w:shd w:val="clear" w:color="auto" w:fill="auto"/>
            <w:noWrap/>
            <w:vAlign w:val="center"/>
          </w:tcPr>
          <w:p w14:paraId="3E37655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1843FC0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41880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0DA2502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shd w:val="clear" w:color="auto" w:fill="auto"/>
            <w:vAlign w:val="center"/>
          </w:tcPr>
          <w:p w14:paraId="6A82F0A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noWrap/>
            <w:vAlign w:val="center"/>
          </w:tcPr>
          <w:p w14:paraId="6645B20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noWrap/>
            <w:vAlign w:val="center"/>
          </w:tcPr>
          <w:p w14:paraId="79E76DD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default"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10</w:t>
            </w:r>
          </w:p>
        </w:tc>
        <w:tc>
          <w:tcPr>
            <w:tcW w:w="1238" w:type="dxa"/>
            <w:shd w:val="clear" w:color="auto" w:fill="auto"/>
            <w:noWrap/>
            <w:vAlign w:val="center"/>
          </w:tcPr>
          <w:p w14:paraId="6F796A1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6B500606310</w:t>
            </w:r>
          </w:p>
        </w:tc>
        <w:tc>
          <w:tcPr>
            <w:tcW w:w="2150" w:type="dxa"/>
            <w:shd w:val="clear" w:color="auto" w:fill="auto"/>
            <w:vAlign w:val="center"/>
          </w:tcPr>
          <w:p w14:paraId="6B1B7BE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spacing w:val="-17"/>
                <w:kern w:val="0"/>
                <w:sz w:val="20"/>
                <w:szCs w:val="20"/>
                <w:u w:val="none"/>
                <w:lang w:val="en-US" w:eastAsia="zh-CN" w:bidi="ar"/>
              </w:rPr>
              <w:t>城市轨道交通线路与站场</w:t>
            </w:r>
          </w:p>
        </w:tc>
        <w:tc>
          <w:tcPr>
            <w:tcW w:w="712" w:type="dxa"/>
            <w:shd w:val="clear" w:color="auto" w:fill="auto"/>
            <w:vAlign w:val="center"/>
          </w:tcPr>
          <w:p w14:paraId="58BAE247">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w:t>
            </w:r>
          </w:p>
        </w:tc>
        <w:tc>
          <w:tcPr>
            <w:tcW w:w="700" w:type="dxa"/>
            <w:shd w:val="clear" w:color="auto" w:fill="auto"/>
            <w:noWrap/>
            <w:vAlign w:val="center"/>
          </w:tcPr>
          <w:p w14:paraId="34865E1C">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72</w:t>
            </w:r>
          </w:p>
        </w:tc>
        <w:tc>
          <w:tcPr>
            <w:tcW w:w="725" w:type="dxa"/>
            <w:shd w:val="clear" w:color="auto" w:fill="auto"/>
            <w:noWrap/>
            <w:vAlign w:val="center"/>
          </w:tcPr>
          <w:p w14:paraId="13B7BE85">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44</w:t>
            </w:r>
          </w:p>
        </w:tc>
        <w:tc>
          <w:tcPr>
            <w:tcW w:w="713" w:type="dxa"/>
            <w:shd w:val="clear" w:color="auto" w:fill="auto"/>
            <w:noWrap/>
            <w:vAlign w:val="center"/>
          </w:tcPr>
          <w:p w14:paraId="7E0BBC94">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28</w:t>
            </w:r>
          </w:p>
        </w:tc>
        <w:tc>
          <w:tcPr>
            <w:tcW w:w="375" w:type="dxa"/>
            <w:shd w:val="clear" w:color="auto" w:fill="auto"/>
            <w:noWrap/>
            <w:vAlign w:val="center"/>
          </w:tcPr>
          <w:p w14:paraId="0BBA2C74">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noWrap/>
            <w:vAlign w:val="center"/>
          </w:tcPr>
          <w:p w14:paraId="08E1813E">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noWrap/>
            <w:vAlign w:val="center"/>
          </w:tcPr>
          <w:p w14:paraId="1784FDF4">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noWrap/>
            <w:vAlign w:val="center"/>
          </w:tcPr>
          <w:p w14:paraId="757E0A19">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w:t>
            </w:r>
          </w:p>
        </w:tc>
        <w:tc>
          <w:tcPr>
            <w:tcW w:w="450" w:type="dxa"/>
            <w:shd w:val="clear" w:color="auto" w:fill="auto"/>
            <w:noWrap/>
            <w:vAlign w:val="center"/>
          </w:tcPr>
          <w:p w14:paraId="69C7AF9D">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38" w:type="dxa"/>
            <w:shd w:val="clear" w:color="auto" w:fill="auto"/>
            <w:noWrap/>
            <w:vAlign w:val="center"/>
          </w:tcPr>
          <w:p w14:paraId="6B4C354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45C6F59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5E9E7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36011BD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restart"/>
            <w:shd w:val="clear" w:color="auto" w:fill="auto"/>
            <w:vAlign w:val="center"/>
          </w:tcPr>
          <w:p w14:paraId="77DA051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专业核心课</w:t>
            </w:r>
          </w:p>
        </w:tc>
        <w:tc>
          <w:tcPr>
            <w:tcW w:w="391" w:type="dxa"/>
            <w:vMerge w:val="restart"/>
            <w:shd w:val="clear" w:color="auto" w:fill="auto"/>
            <w:noWrap/>
            <w:vAlign w:val="center"/>
          </w:tcPr>
          <w:p w14:paraId="6E4CC02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必修</w:t>
            </w:r>
          </w:p>
        </w:tc>
        <w:tc>
          <w:tcPr>
            <w:tcW w:w="500" w:type="dxa"/>
            <w:shd w:val="clear" w:color="auto" w:fill="auto"/>
            <w:noWrap/>
            <w:vAlign w:val="center"/>
          </w:tcPr>
          <w:p w14:paraId="40E2A5B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w:t>
            </w:r>
          </w:p>
        </w:tc>
        <w:tc>
          <w:tcPr>
            <w:tcW w:w="1238" w:type="dxa"/>
            <w:shd w:val="clear" w:color="auto" w:fill="auto"/>
            <w:noWrap/>
            <w:vAlign w:val="center"/>
          </w:tcPr>
          <w:p w14:paraId="62ED625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6B500606401</w:t>
            </w:r>
          </w:p>
        </w:tc>
        <w:tc>
          <w:tcPr>
            <w:tcW w:w="2150" w:type="dxa"/>
            <w:shd w:val="clear" w:color="auto" w:fill="auto"/>
            <w:vAlign w:val="center"/>
          </w:tcPr>
          <w:p w14:paraId="0232214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pacing w:val="-17"/>
                <w:kern w:val="0"/>
                <w:sz w:val="20"/>
                <w:szCs w:val="20"/>
                <w:u w:val="none"/>
                <w:lang w:val="en-US" w:eastAsia="zh-CN" w:bidi="ar"/>
              </w:rPr>
            </w:pPr>
            <w:r>
              <w:rPr>
                <w:rFonts w:hint="eastAsia" w:ascii="仿宋_GB2312" w:hAnsi="仿宋_GB2312" w:eastAsia="仿宋_GB2312" w:cs="仿宋_GB2312"/>
                <w:i w:val="0"/>
                <w:color w:val="000000"/>
                <w:spacing w:val="-23"/>
                <w:kern w:val="0"/>
                <w:sz w:val="20"/>
                <w:szCs w:val="20"/>
                <w:u w:val="none"/>
                <w:lang w:val="en-US" w:eastAsia="zh-CN" w:bidi="ar"/>
              </w:rPr>
              <w:t>城市轨道交通机电设备运用</w:t>
            </w:r>
          </w:p>
        </w:tc>
        <w:tc>
          <w:tcPr>
            <w:tcW w:w="712" w:type="dxa"/>
            <w:shd w:val="clear" w:color="auto" w:fill="auto"/>
            <w:vAlign w:val="center"/>
          </w:tcPr>
          <w:p w14:paraId="4E2CAE3D">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6</w:t>
            </w:r>
          </w:p>
        </w:tc>
        <w:tc>
          <w:tcPr>
            <w:tcW w:w="700" w:type="dxa"/>
            <w:shd w:val="clear" w:color="auto" w:fill="auto"/>
            <w:noWrap/>
            <w:vAlign w:val="center"/>
          </w:tcPr>
          <w:p w14:paraId="7ACA2218">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108</w:t>
            </w:r>
          </w:p>
        </w:tc>
        <w:tc>
          <w:tcPr>
            <w:tcW w:w="725" w:type="dxa"/>
            <w:shd w:val="clear" w:color="auto" w:fill="auto"/>
            <w:noWrap/>
            <w:vAlign w:val="center"/>
          </w:tcPr>
          <w:p w14:paraId="6A22D007">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64</w:t>
            </w:r>
          </w:p>
        </w:tc>
        <w:tc>
          <w:tcPr>
            <w:tcW w:w="713" w:type="dxa"/>
            <w:shd w:val="clear" w:color="auto" w:fill="auto"/>
            <w:noWrap/>
            <w:vAlign w:val="center"/>
          </w:tcPr>
          <w:p w14:paraId="4E7D205D">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44</w:t>
            </w:r>
          </w:p>
        </w:tc>
        <w:tc>
          <w:tcPr>
            <w:tcW w:w="375" w:type="dxa"/>
            <w:shd w:val="clear" w:color="auto" w:fill="auto"/>
            <w:noWrap/>
            <w:vAlign w:val="center"/>
          </w:tcPr>
          <w:p w14:paraId="3CB8BEE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w:t>
            </w:r>
          </w:p>
        </w:tc>
        <w:tc>
          <w:tcPr>
            <w:tcW w:w="350" w:type="dxa"/>
            <w:shd w:val="clear" w:color="auto" w:fill="auto"/>
            <w:noWrap/>
            <w:vAlign w:val="center"/>
          </w:tcPr>
          <w:p w14:paraId="7862159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0" w:type="dxa"/>
            <w:shd w:val="clear" w:color="auto" w:fill="auto"/>
            <w:noWrap/>
            <w:vAlign w:val="center"/>
          </w:tcPr>
          <w:p w14:paraId="0446A52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0" w:type="dxa"/>
            <w:shd w:val="clear" w:color="auto" w:fill="auto"/>
            <w:noWrap/>
            <w:vAlign w:val="center"/>
          </w:tcPr>
          <w:p w14:paraId="3D4FE1B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50" w:type="dxa"/>
            <w:shd w:val="clear" w:color="auto" w:fill="auto"/>
            <w:noWrap/>
            <w:vAlign w:val="center"/>
          </w:tcPr>
          <w:p w14:paraId="080F205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8" w:type="dxa"/>
            <w:shd w:val="clear" w:color="auto" w:fill="auto"/>
            <w:noWrap/>
            <w:vAlign w:val="center"/>
          </w:tcPr>
          <w:p w14:paraId="64A6F27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04BC733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3BDE1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6039FEB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shd w:val="clear" w:color="auto" w:fill="auto"/>
            <w:vAlign w:val="center"/>
          </w:tcPr>
          <w:p w14:paraId="46CCBFA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noWrap/>
            <w:vAlign w:val="center"/>
          </w:tcPr>
          <w:p w14:paraId="40B0411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noWrap/>
            <w:vAlign w:val="center"/>
          </w:tcPr>
          <w:p w14:paraId="6663868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1238" w:type="dxa"/>
            <w:shd w:val="clear" w:color="auto" w:fill="auto"/>
            <w:noWrap/>
            <w:vAlign w:val="center"/>
          </w:tcPr>
          <w:p w14:paraId="33D9647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6B500606402</w:t>
            </w:r>
          </w:p>
        </w:tc>
        <w:tc>
          <w:tcPr>
            <w:tcW w:w="2150" w:type="dxa"/>
            <w:shd w:val="clear" w:color="auto" w:fill="auto"/>
            <w:vAlign w:val="center"/>
          </w:tcPr>
          <w:p w14:paraId="692E426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pacing w:val="-17"/>
                <w:kern w:val="0"/>
                <w:sz w:val="20"/>
                <w:szCs w:val="20"/>
                <w:u w:val="none"/>
                <w:lang w:val="en-US" w:eastAsia="zh-CN" w:bidi="ar"/>
              </w:rPr>
            </w:pPr>
            <w:r>
              <w:rPr>
                <w:rFonts w:hint="eastAsia" w:ascii="仿宋_GB2312" w:hAnsi="仿宋_GB2312" w:eastAsia="仿宋_GB2312" w:cs="仿宋_GB2312"/>
                <w:i w:val="0"/>
                <w:color w:val="000000"/>
                <w:spacing w:val="-17"/>
                <w:kern w:val="0"/>
                <w:sz w:val="20"/>
                <w:szCs w:val="20"/>
                <w:u w:val="none"/>
                <w:lang w:val="en-US" w:eastAsia="zh-CN" w:bidi="ar"/>
              </w:rPr>
              <w:t>城市轨道交通客运服务</w:t>
            </w:r>
          </w:p>
        </w:tc>
        <w:tc>
          <w:tcPr>
            <w:tcW w:w="712" w:type="dxa"/>
            <w:shd w:val="clear" w:color="auto" w:fill="auto"/>
            <w:vAlign w:val="center"/>
          </w:tcPr>
          <w:p w14:paraId="39505A52">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w:t>
            </w:r>
          </w:p>
        </w:tc>
        <w:tc>
          <w:tcPr>
            <w:tcW w:w="700" w:type="dxa"/>
            <w:shd w:val="clear" w:color="auto" w:fill="auto"/>
            <w:noWrap/>
            <w:vAlign w:val="center"/>
          </w:tcPr>
          <w:p w14:paraId="71B15D32">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72</w:t>
            </w:r>
          </w:p>
        </w:tc>
        <w:tc>
          <w:tcPr>
            <w:tcW w:w="725" w:type="dxa"/>
            <w:shd w:val="clear" w:color="auto" w:fill="auto"/>
            <w:noWrap/>
            <w:vAlign w:val="center"/>
          </w:tcPr>
          <w:p w14:paraId="54CD8CAC">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44</w:t>
            </w:r>
          </w:p>
        </w:tc>
        <w:tc>
          <w:tcPr>
            <w:tcW w:w="713" w:type="dxa"/>
            <w:shd w:val="clear" w:color="auto" w:fill="auto"/>
            <w:noWrap/>
            <w:vAlign w:val="center"/>
          </w:tcPr>
          <w:p w14:paraId="392D01E9">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28</w:t>
            </w:r>
          </w:p>
        </w:tc>
        <w:tc>
          <w:tcPr>
            <w:tcW w:w="375" w:type="dxa"/>
            <w:shd w:val="clear" w:color="auto" w:fill="auto"/>
            <w:noWrap/>
            <w:vAlign w:val="center"/>
          </w:tcPr>
          <w:p w14:paraId="0A7ADC8D">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noWrap/>
            <w:vAlign w:val="center"/>
          </w:tcPr>
          <w:p w14:paraId="4065D679">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w:t>
            </w:r>
          </w:p>
        </w:tc>
        <w:tc>
          <w:tcPr>
            <w:tcW w:w="350" w:type="dxa"/>
            <w:shd w:val="clear" w:color="auto" w:fill="auto"/>
            <w:noWrap/>
            <w:vAlign w:val="center"/>
          </w:tcPr>
          <w:p w14:paraId="0543B2FA">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noWrap/>
            <w:vAlign w:val="center"/>
          </w:tcPr>
          <w:p w14:paraId="6DC49319">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450" w:type="dxa"/>
            <w:shd w:val="clear" w:color="auto" w:fill="auto"/>
            <w:noWrap/>
            <w:vAlign w:val="center"/>
          </w:tcPr>
          <w:p w14:paraId="07A2275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8" w:type="dxa"/>
            <w:shd w:val="clear" w:color="auto" w:fill="auto"/>
            <w:noWrap/>
            <w:vAlign w:val="center"/>
          </w:tcPr>
          <w:p w14:paraId="1309F92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2ED61B7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495C0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032B721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shd w:val="clear" w:color="auto" w:fill="auto"/>
            <w:vAlign w:val="center"/>
          </w:tcPr>
          <w:p w14:paraId="334BAF4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noWrap/>
            <w:vAlign w:val="center"/>
          </w:tcPr>
          <w:p w14:paraId="36F327F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noWrap/>
            <w:vAlign w:val="center"/>
          </w:tcPr>
          <w:p w14:paraId="7511EF9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w:t>
            </w:r>
          </w:p>
        </w:tc>
        <w:tc>
          <w:tcPr>
            <w:tcW w:w="1238" w:type="dxa"/>
            <w:shd w:val="clear" w:color="auto" w:fill="auto"/>
            <w:noWrap/>
            <w:vAlign w:val="center"/>
          </w:tcPr>
          <w:p w14:paraId="3D70093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6B500606403</w:t>
            </w:r>
          </w:p>
        </w:tc>
        <w:tc>
          <w:tcPr>
            <w:tcW w:w="2150" w:type="dxa"/>
            <w:shd w:val="clear" w:color="auto" w:fill="auto"/>
            <w:vAlign w:val="center"/>
          </w:tcPr>
          <w:p w14:paraId="41EDC75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pacing w:val="-17"/>
                <w:kern w:val="0"/>
                <w:sz w:val="20"/>
                <w:szCs w:val="20"/>
                <w:u w:val="none"/>
                <w:lang w:val="en-US" w:eastAsia="zh-CN" w:bidi="ar"/>
              </w:rPr>
            </w:pPr>
            <w:r>
              <w:rPr>
                <w:rFonts w:hint="eastAsia" w:ascii="仿宋_GB2312" w:hAnsi="仿宋_GB2312" w:eastAsia="仿宋_GB2312" w:cs="仿宋_GB2312"/>
                <w:i w:val="0"/>
                <w:color w:val="000000"/>
                <w:spacing w:val="-17"/>
                <w:kern w:val="0"/>
                <w:sz w:val="20"/>
                <w:szCs w:val="20"/>
                <w:u w:val="none"/>
                <w:lang w:val="en-US" w:eastAsia="zh-CN" w:bidi="ar"/>
              </w:rPr>
              <w:t>城市轨道交通客运组织</w:t>
            </w:r>
          </w:p>
        </w:tc>
        <w:tc>
          <w:tcPr>
            <w:tcW w:w="712" w:type="dxa"/>
            <w:shd w:val="clear" w:color="auto" w:fill="auto"/>
            <w:vAlign w:val="center"/>
          </w:tcPr>
          <w:p w14:paraId="2F723EAA">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w:t>
            </w:r>
          </w:p>
        </w:tc>
        <w:tc>
          <w:tcPr>
            <w:tcW w:w="700" w:type="dxa"/>
            <w:shd w:val="clear" w:color="auto" w:fill="auto"/>
            <w:noWrap/>
            <w:vAlign w:val="center"/>
          </w:tcPr>
          <w:p w14:paraId="6B71876D">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72</w:t>
            </w:r>
          </w:p>
        </w:tc>
        <w:tc>
          <w:tcPr>
            <w:tcW w:w="725" w:type="dxa"/>
            <w:shd w:val="clear" w:color="auto" w:fill="auto"/>
            <w:noWrap/>
            <w:vAlign w:val="center"/>
          </w:tcPr>
          <w:p w14:paraId="12BA4269">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44</w:t>
            </w:r>
          </w:p>
        </w:tc>
        <w:tc>
          <w:tcPr>
            <w:tcW w:w="713" w:type="dxa"/>
            <w:shd w:val="clear" w:color="auto" w:fill="auto"/>
            <w:noWrap/>
            <w:vAlign w:val="center"/>
          </w:tcPr>
          <w:p w14:paraId="42D5E55F">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28</w:t>
            </w:r>
          </w:p>
        </w:tc>
        <w:tc>
          <w:tcPr>
            <w:tcW w:w="375" w:type="dxa"/>
            <w:shd w:val="clear" w:color="auto" w:fill="auto"/>
            <w:noWrap/>
            <w:vAlign w:val="center"/>
          </w:tcPr>
          <w:p w14:paraId="6B0DACEC">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noWrap/>
            <w:vAlign w:val="center"/>
          </w:tcPr>
          <w:p w14:paraId="7793821A">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noWrap/>
            <w:vAlign w:val="center"/>
          </w:tcPr>
          <w:p w14:paraId="0DE75599">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w:t>
            </w:r>
          </w:p>
        </w:tc>
        <w:tc>
          <w:tcPr>
            <w:tcW w:w="350" w:type="dxa"/>
            <w:shd w:val="clear" w:color="auto" w:fill="auto"/>
            <w:noWrap/>
            <w:vAlign w:val="center"/>
          </w:tcPr>
          <w:p w14:paraId="723DD74B">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450" w:type="dxa"/>
            <w:shd w:val="clear" w:color="auto" w:fill="auto"/>
            <w:noWrap/>
            <w:vAlign w:val="center"/>
          </w:tcPr>
          <w:p w14:paraId="230E6B3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8" w:type="dxa"/>
            <w:shd w:val="clear" w:color="auto" w:fill="auto"/>
            <w:noWrap/>
            <w:vAlign w:val="center"/>
          </w:tcPr>
          <w:p w14:paraId="5B4DB4D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532D669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06650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65FA710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shd w:val="clear" w:color="auto" w:fill="auto"/>
            <w:vAlign w:val="center"/>
          </w:tcPr>
          <w:p w14:paraId="57FF458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noWrap/>
            <w:vAlign w:val="center"/>
          </w:tcPr>
          <w:p w14:paraId="37ED7E4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noWrap/>
            <w:vAlign w:val="center"/>
          </w:tcPr>
          <w:p w14:paraId="5EB8944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w:t>
            </w:r>
          </w:p>
        </w:tc>
        <w:tc>
          <w:tcPr>
            <w:tcW w:w="1238" w:type="dxa"/>
            <w:shd w:val="clear" w:color="auto" w:fill="auto"/>
            <w:noWrap/>
            <w:vAlign w:val="center"/>
          </w:tcPr>
          <w:p w14:paraId="694F036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6B500606404</w:t>
            </w:r>
          </w:p>
        </w:tc>
        <w:tc>
          <w:tcPr>
            <w:tcW w:w="2150" w:type="dxa"/>
            <w:shd w:val="clear" w:color="auto" w:fill="auto"/>
            <w:vAlign w:val="center"/>
          </w:tcPr>
          <w:p w14:paraId="0216EF8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pacing w:val="-17"/>
                <w:kern w:val="0"/>
                <w:sz w:val="20"/>
                <w:szCs w:val="20"/>
                <w:u w:val="none"/>
                <w:lang w:val="en-US" w:eastAsia="zh-CN" w:bidi="ar"/>
              </w:rPr>
            </w:pPr>
            <w:r>
              <w:rPr>
                <w:rFonts w:hint="eastAsia" w:ascii="仿宋_GB2312" w:hAnsi="仿宋_GB2312" w:eastAsia="仿宋_GB2312" w:cs="仿宋_GB2312"/>
                <w:i w:val="0"/>
                <w:color w:val="000000"/>
                <w:spacing w:val="-17"/>
                <w:kern w:val="0"/>
                <w:sz w:val="20"/>
                <w:szCs w:val="20"/>
                <w:u w:val="none"/>
                <w:lang w:val="en-US" w:eastAsia="zh-CN" w:bidi="ar"/>
              </w:rPr>
              <w:t>城市轨道交通行车组织</w:t>
            </w:r>
          </w:p>
        </w:tc>
        <w:tc>
          <w:tcPr>
            <w:tcW w:w="712" w:type="dxa"/>
            <w:shd w:val="clear" w:color="auto" w:fill="auto"/>
            <w:vAlign w:val="center"/>
          </w:tcPr>
          <w:p w14:paraId="447B8943">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w:t>
            </w:r>
          </w:p>
        </w:tc>
        <w:tc>
          <w:tcPr>
            <w:tcW w:w="700" w:type="dxa"/>
            <w:shd w:val="clear" w:color="auto" w:fill="auto"/>
            <w:noWrap/>
            <w:vAlign w:val="center"/>
          </w:tcPr>
          <w:p w14:paraId="19CDF430">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72</w:t>
            </w:r>
          </w:p>
        </w:tc>
        <w:tc>
          <w:tcPr>
            <w:tcW w:w="725" w:type="dxa"/>
            <w:shd w:val="clear" w:color="auto" w:fill="auto"/>
            <w:noWrap/>
            <w:vAlign w:val="center"/>
          </w:tcPr>
          <w:p w14:paraId="260A2DF3">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44</w:t>
            </w:r>
          </w:p>
        </w:tc>
        <w:tc>
          <w:tcPr>
            <w:tcW w:w="713" w:type="dxa"/>
            <w:shd w:val="clear" w:color="auto" w:fill="auto"/>
            <w:noWrap/>
            <w:vAlign w:val="center"/>
          </w:tcPr>
          <w:p w14:paraId="2C49CA1D">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28</w:t>
            </w:r>
          </w:p>
        </w:tc>
        <w:tc>
          <w:tcPr>
            <w:tcW w:w="375" w:type="dxa"/>
            <w:shd w:val="clear" w:color="auto" w:fill="auto"/>
            <w:noWrap/>
            <w:vAlign w:val="center"/>
          </w:tcPr>
          <w:p w14:paraId="1097FADB">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noWrap/>
            <w:vAlign w:val="center"/>
          </w:tcPr>
          <w:p w14:paraId="74C94170">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noWrap/>
            <w:vAlign w:val="center"/>
          </w:tcPr>
          <w:p w14:paraId="393D5D18">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w:t>
            </w:r>
          </w:p>
        </w:tc>
        <w:tc>
          <w:tcPr>
            <w:tcW w:w="350" w:type="dxa"/>
            <w:shd w:val="clear" w:color="auto" w:fill="auto"/>
            <w:noWrap/>
            <w:vAlign w:val="center"/>
          </w:tcPr>
          <w:p w14:paraId="7AB81EF4">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450" w:type="dxa"/>
            <w:shd w:val="clear" w:color="auto" w:fill="auto"/>
            <w:noWrap/>
            <w:vAlign w:val="center"/>
          </w:tcPr>
          <w:p w14:paraId="366CCEA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8" w:type="dxa"/>
            <w:shd w:val="clear" w:color="auto" w:fill="auto"/>
            <w:noWrap/>
            <w:vAlign w:val="center"/>
          </w:tcPr>
          <w:p w14:paraId="22BF6A0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52B23D6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589F8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2F44B68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shd w:val="clear" w:color="auto" w:fill="auto"/>
            <w:vAlign w:val="center"/>
          </w:tcPr>
          <w:p w14:paraId="6AA7E55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noWrap/>
            <w:vAlign w:val="center"/>
          </w:tcPr>
          <w:p w14:paraId="43502BF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noWrap/>
            <w:vAlign w:val="center"/>
          </w:tcPr>
          <w:p w14:paraId="4235411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5</w:t>
            </w:r>
          </w:p>
        </w:tc>
        <w:tc>
          <w:tcPr>
            <w:tcW w:w="1238" w:type="dxa"/>
            <w:shd w:val="clear" w:color="auto" w:fill="auto"/>
            <w:noWrap/>
            <w:vAlign w:val="center"/>
          </w:tcPr>
          <w:p w14:paraId="4FEC48A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6B500606405</w:t>
            </w:r>
          </w:p>
        </w:tc>
        <w:tc>
          <w:tcPr>
            <w:tcW w:w="2150" w:type="dxa"/>
            <w:shd w:val="clear" w:color="auto" w:fill="auto"/>
            <w:vAlign w:val="center"/>
          </w:tcPr>
          <w:p w14:paraId="7CB5FAF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pacing w:val="-17"/>
                <w:kern w:val="0"/>
                <w:sz w:val="20"/>
                <w:szCs w:val="20"/>
                <w:u w:val="none"/>
                <w:lang w:val="en-US" w:eastAsia="zh-CN" w:bidi="ar"/>
              </w:rPr>
            </w:pPr>
            <w:r>
              <w:rPr>
                <w:rFonts w:hint="eastAsia" w:ascii="仿宋_GB2312" w:hAnsi="仿宋_GB2312" w:eastAsia="仿宋_GB2312" w:cs="仿宋_GB2312"/>
                <w:i w:val="0"/>
                <w:color w:val="000000"/>
                <w:spacing w:val="-17"/>
                <w:kern w:val="0"/>
                <w:sz w:val="20"/>
                <w:szCs w:val="20"/>
                <w:u w:val="none"/>
                <w:lang w:val="en-US" w:eastAsia="zh-CN" w:bidi="ar"/>
              </w:rPr>
              <w:t>城市轨道交通票务管理</w:t>
            </w:r>
          </w:p>
        </w:tc>
        <w:tc>
          <w:tcPr>
            <w:tcW w:w="712" w:type="dxa"/>
            <w:shd w:val="clear" w:color="auto" w:fill="auto"/>
            <w:vAlign w:val="center"/>
          </w:tcPr>
          <w:p w14:paraId="24EB8B71">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w:t>
            </w:r>
          </w:p>
        </w:tc>
        <w:tc>
          <w:tcPr>
            <w:tcW w:w="700" w:type="dxa"/>
            <w:shd w:val="clear" w:color="auto" w:fill="auto"/>
            <w:noWrap/>
            <w:vAlign w:val="center"/>
          </w:tcPr>
          <w:p w14:paraId="1FBF71A3">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72</w:t>
            </w:r>
          </w:p>
        </w:tc>
        <w:tc>
          <w:tcPr>
            <w:tcW w:w="725" w:type="dxa"/>
            <w:shd w:val="clear" w:color="auto" w:fill="auto"/>
            <w:noWrap/>
            <w:vAlign w:val="center"/>
          </w:tcPr>
          <w:p w14:paraId="3B7EDC13">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44</w:t>
            </w:r>
          </w:p>
        </w:tc>
        <w:tc>
          <w:tcPr>
            <w:tcW w:w="713" w:type="dxa"/>
            <w:shd w:val="clear" w:color="auto" w:fill="auto"/>
            <w:noWrap/>
            <w:vAlign w:val="center"/>
          </w:tcPr>
          <w:p w14:paraId="5A0AF64A">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28</w:t>
            </w:r>
          </w:p>
        </w:tc>
        <w:tc>
          <w:tcPr>
            <w:tcW w:w="375" w:type="dxa"/>
            <w:shd w:val="clear" w:color="auto" w:fill="auto"/>
            <w:noWrap/>
            <w:vAlign w:val="center"/>
          </w:tcPr>
          <w:p w14:paraId="119FB150">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noWrap/>
            <w:vAlign w:val="center"/>
          </w:tcPr>
          <w:p w14:paraId="187647D8">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noWrap/>
            <w:vAlign w:val="center"/>
          </w:tcPr>
          <w:p w14:paraId="1D99CD63">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noWrap/>
            <w:vAlign w:val="center"/>
          </w:tcPr>
          <w:p w14:paraId="2BA964E2">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w:t>
            </w:r>
          </w:p>
        </w:tc>
        <w:tc>
          <w:tcPr>
            <w:tcW w:w="450" w:type="dxa"/>
            <w:shd w:val="clear" w:color="auto" w:fill="auto"/>
            <w:noWrap/>
            <w:vAlign w:val="center"/>
          </w:tcPr>
          <w:p w14:paraId="2A9AA4E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8" w:type="dxa"/>
            <w:shd w:val="clear" w:color="auto" w:fill="auto"/>
            <w:noWrap/>
            <w:vAlign w:val="center"/>
          </w:tcPr>
          <w:p w14:paraId="7D54D26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7E9263D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0560B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0022A20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shd w:val="clear" w:color="auto" w:fill="auto"/>
            <w:vAlign w:val="center"/>
          </w:tcPr>
          <w:p w14:paraId="5D0D6A1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noWrap/>
            <w:vAlign w:val="center"/>
          </w:tcPr>
          <w:p w14:paraId="098F2F0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noWrap/>
            <w:vAlign w:val="center"/>
          </w:tcPr>
          <w:p w14:paraId="71F0A8F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w:t>
            </w:r>
          </w:p>
        </w:tc>
        <w:tc>
          <w:tcPr>
            <w:tcW w:w="1238" w:type="dxa"/>
            <w:shd w:val="clear" w:color="auto" w:fill="auto"/>
            <w:noWrap/>
            <w:vAlign w:val="center"/>
          </w:tcPr>
          <w:p w14:paraId="4A84708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6B500606406</w:t>
            </w:r>
          </w:p>
        </w:tc>
        <w:tc>
          <w:tcPr>
            <w:tcW w:w="2150" w:type="dxa"/>
            <w:shd w:val="clear" w:color="auto" w:fill="auto"/>
            <w:vAlign w:val="center"/>
          </w:tcPr>
          <w:p w14:paraId="769F2B3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pacing w:val="-17"/>
                <w:kern w:val="0"/>
                <w:sz w:val="20"/>
                <w:szCs w:val="20"/>
                <w:u w:val="none"/>
                <w:lang w:val="en-US" w:eastAsia="zh-CN" w:bidi="ar"/>
              </w:rPr>
            </w:pPr>
            <w:r>
              <w:rPr>
                <w:rFonts w:hint="eastAsia" w:ascii="仿宋_GB2312" w:hAnsi="仿宋_GB2312" w:eastAsia="仿宋_GB2312" w:cs="仿宋_GB2312"/>
                <w:i w:val="0"/>
                <w:color w:val="000000"/>
                <w:spacing w:val="-17"/>
                <w:kern w:val="0"/>
                <w:sz w:val="20"/>
                <w:szCs w:val="20"/>
                <w:u w:val="none"/>
                <w:lang w:val="en-US" w:eastAsia="zh-CN" w:bidi="ar"/>
              </w:rPr>
              <w:t>城市轨道交通应急处置</w:t>
            </w:r>
          </w:p>
        </w:tc>
        <w:tc>
          <w:tcPr>
            <w:tcW w:w="712" w:type="dxa"/>
            <w:shd w:val="clear" w:color="auto" w:fill="auto"/>
            <w:vAlign w:val="center"/>
          </w:tcPr>
          <w:p w14:paraId="4C09A8D6">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w:t>
            </w:r>
          </w:p>
        </w:tc>
        <w:tc>
          <w:tcPr>
            <w:tcW w:w="700" w:type="dxa"/>
            <w:shd w:val="clear" w:color="auto" w:fill="auto"/>
            <w:noWrap/>
            <w:vAlign w:val="center"/>
          </w:tcPr>
          <w:p w14:paraId="004BBAF4">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72</w:t>
            </w:r>
          </w:p>
        </w:tc>
        <w:tc>
          <w:tcPr>
            <w:tcW w:w="725" w:type="dxa"/>
            <w:shd w:val="clear" w:color="auto" w:fill="auto"/>
            <w:vAlign w:val="center"/>
          </w:tcPr>
          <w:p w14:paraId="5CF4AD6B">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44</w:t>
            </w:r>
          </w:p>
        </w:tc>
        <w:tc>
          <w:tcPr>
            <w:tcW w:w="713" w:type="dxa"/>
            <w:shd w:val="clear" w:color="auto" w:fill="auto"/>
            <w:vAlign w:val="center"/>
          </w:tcPr>
          <w:p w14:paraId="687CB751">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28</w:t>
            </w:r>
          </w:p>
        </w:tc>
        <w:tc>
          <w:tcPr>
            <w:tcW w:w="375" w:type="dxa"/>
            <w:shd w:val="clear" w:color="auto" w:fill="auto"/>
            <w:noWrap/>
            <w:vAlign w:val="center"/>
          </w:tcPr>
          <w:p w14:paraId="15A51490">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noWrap/>
            <w:vAlign w:val="center"/>
          </w:tcPr>
          <w:p w14:paraId="30F1A74C">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noWrap/>
            <w:vAlign w:val="center"/>
          </w:tcPr>
          <w:p w14:paraId="1BD56E6B">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p>
        </w:tc>
        <w:tc>
          <w:tcPr>
            <w:tcW w:w="350" w:type="dxa"/>
            <w:shd w:val="clear" w:color="auto" w:fill="auto"/>
            <w:noWrap/>
            <w:vAlign w:val="center"/>
          </w:tcPr>
          <w:p w14:paraId="2886AE73">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w:t>
            </w:r>
          </w:p>
        </w:tc>
        <w:tc>
          <w:tcPr>
            <w:tcW w:w="450" w:type="dxa"/>
            <w:shd w:val="clear" w:color="auto" w:fill="auto"/>
            <w:noWrap/>
            <w:vAlign w:val="center"/>
          </w:tcPr>
          <w:p w14:paraId="5D576E8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8" w:type="dxa"/>
            <w:shd w:val="clear" w:color="auto" w:fill="auto"/>
            <w:noWrap/>
            <w:vAlign w:val="center"/>
          </w:tcPr>
          <w:p w14:paraId="585372F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5F4B13E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7B949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7F80362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restart"/>
            <w:shd w:val="clear" w:color="auto" w:fill="auto"/>
            <w:vAlign w:val="center"/>
          </w:tcPr>
          <w:p w14:paraId="499E371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专业拓展课</w:t>
            </w:r>
          </w:p>
        </w:tc>
        <w:tc>
          <w:tcPr>
            <w:tcW w:w="391" w:type="dxa"/>
            <w:vMerge w:val="restart"/>
            <w:shd w:val="clear" w:color="auto" w:fill="auto"/>
            <w:vAlign w:val="center"/>
          </w:tcPr>
          <w:p w14:paraId="7DBB08C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选修</w:t>
            </w:r>
          </w:p>
        </w:tc>
        <w:tc>
          <w:tcPr>
            <w:tcW w:w="500" w:type="dxa"/>
            <w:shd w:val="clear" w:color="auto" w:fill="auto"/>
            <w:noWrap/>
            <w:vAlign w:val="center"/>
          </w:tcPr>
          <w:p w14:paraId="1193A1E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w:t>
            </w:r>
          </w:p>
        </w:tc>
        <w:tc>
          <w:tcPr>
            <w:tcW w:w="1238" w:type="dxa"/>
            <w:shd w:val="clear" w:color="auto" w:fill="auto"/>
            <w:noWrap/>
            <w:vAlign w:val="center"/>
          </w:tcPr>
          <w:p w14:paraId="0C0BA1B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6B500606501</w:t>
            </w:r>
          </w:p>
        </w:tc>
        <w:tc>
          <w:tcPr>
            <w:tcW w:w="2150" w:type="dxa"/>
            <w:shd w:val="clear" w:color="auto" w:fill="auto"/>
            <w:vAlign w:val="center"/>
          </w:tcPr>
          <w:p w14:paraId="4626C1E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pacing w:val="-17"/>
                <w:kern w:val="0"/>
                <w:sz w:val="20"/>
                <w:szCs w:val="20"/>
                <w:u w:val="none"/>
                <w:lang w:val="en-US" w:eastAsia="zh-CN" w:bidi="ar"/>
              </w:rPr>
            </w:pPr>
            <w:r>
              <w:rPr>
                <w:rFonts w:hint="eastAsia" w:ascii="仿宋_GB2312" w:hAnsi="仿宋_GB2312" w:eastAsia="仿宋_GB2312" w:cs="仿宋_GB2312"/>
                <w:i w:val="0"/>
                <w:color w:val="000000"/>
                <w:spacing w:val="-17"/>
                <w:kern w:val="0"/>
                <w:sz w:val="20"/>
                <w:szCs w:val="20"/>
                <w:u w:val="none"/>
                <w:lang w:val="en-US" w:eastAsia="zh-CN" w:bidi="ar"/>
              </w:rPr>
              <w:t>城市轨道交通调度指挥</w:t>
            </w:r>
          </w:p>
        </w:tc>
        <w:tc>
          <w:tcPr>
            <w:tcW w:w="712" w:type="dxa"/>
            <w:shd w:val="clear" w:color="auto" w:fill="auto"/>
            <w:vAlign w:val="center"/>
          </w:tcPr>
          <w:p w14:paraId="4A0F9E47">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3</w:t>
            </w:r>
          </w:p>
        </w:tc>
        <w:tc>
          <w:tcPr>
            <w:tcW w:w="700" w:type="dxa"/>
            <w:shd w:val="clear" w:color="auto" w:fill="auto"/>
            <w:vAlign w:val="center"/>
          </w:tcPr>
          <w:p w14:paraId="0C8581D1">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54</w:t>
            </w:r>
          </w:p>
        </w:tc>
        <w:tc>
          <w:tcPr>
            <w:tcW w:w="725" w:type="dxa"/>
            <w:shd w:val="clear" w:color="auto" w:fill="auto"/>
            <w:vAlign w:val="center"/>
          </w:tcPr>
          <w:p w14:paraId="3A9F7EC2">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27</w:t>
            </w:r>
          </w:p>
        </w:tc>
        <w:tc>
          <w:tcPr>
            <w:tcW w:w="713" w:type="dxa"/>
            <w:shd w:val="clear" w:color="auto" w:fill="auto"/>
            <w:vAlign w:val="center"/>
          </w:tcPr>
          <w:p w14:paraId="2C148EAA">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27</w:t>
            </w:r>
          </w:p>
        </w:tc>
        <w:tc>
          <w:tcPr>
            <w:tcW w:w="2213" w:type="dxa"/>
            <w:gridSpan w:val="6"/>
            <w:vMerge w:val="restart"/>
            <w:shd w:val="clear" w:color="auto" w:fill="auto"/>
            <w:noWrap/>
            <w:vAlign w:val="center"/>
          </w:tcPr>
          <w:p w14:paraId="6F6DF54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专业拓展课最低学分要求为</w:t>
            </w:r>
            <w:r>
              <w:rPr>
                <w:rFonts w:hint="eastAsia" w:ascii="仿宋_GB2312" w:hAnsi="仿宋_GB2312" w:eastAsia="仿宋_GB2312" w:cs="仿宋_GB2312"/>
                <w:i w:val="0"/>
                <w:color w:val="000000"/>
                <w:kern w:val="0"/>
                <w:sz w:val="18"/>
                <w:szCs w:val="18"/>
                <w:u w:val="none"/>
                <w:lang w:val="en-US" w:eastAsia="zh-CN" w:bidi="ar"/>
              </w:rPr>
              <w:t>15</w:t>
            </w:r>
            <w:r>
              <w:rPr>
                <w:rFonts w:hint="eastAsia" w:ascii="仿宋_GB2312" w:hAnsi="仿宋_GB2312" w:eastAsia="仿宋_GB2312" w:cs="仿宋_GB2312"/>
                <w:i w:val="0"/>
                <w:color w:val="000000"/>
                <w:kern w:val="0"/>
                <w:sz w:val="20"/>
                <w:szCs w:val="20"/>
                <w:u w:val="none"/>
                <w:lang w:val="en-US" w:eastAsia="zh-CN" w:bidi="ar"/>
              </w:rPr>
              <w:t>学分</w:t>
            </w:r>
          </w:p>
        </w:tc>
        <w:tc>
          <w:tcPr>
            <w:tcW w:w="633" w:type="dxa"/>
            <w:shd w:val="clear" w:color="auto" w:fill="auto"/>
            <w:noWrap/>
            <w:vAlign w:val="center"/>
          </w:tcPr>
          <w:p w14:paraId="5D9011A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4B3CA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13B2937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shd w:val="clear" w:color="auto" w:fill="auto"/>
            <w:vAlign w:val="center"/>
          </w:tcPr>
          <w:p w14:paraId="7BB026A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vAlign w:val="center"/>
          </w:tcPr>
          <w:p w14:paraId="58ED7C5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noWrap/>
            <w:vAlign w:val="center"/>
          </w:tcPr>
          <w:p w14:paraId="7458D8B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1238" w:type="dxa"/>
            <w:shd w:val="clear" w:color="auto" w:fill="auto"/>
            <w:noWrap/>
            <w:vAlign w:val="center"/>
          </w:tcPr>
          <w:p w14:paraId="1E48118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6B500606502</w:t>
            </w:r>
          </w:p>
        </w:tc>
        <w:tc>
          <w:tcPr>
            <w:tcW w:w="2150" w:type="dxa"/>
            <w:shd w:val="clear" w:color="auto" w:fill="auto"/>
            <w:vAlign w:val="center"/>
          </w:tcPr>
          <w:p w14:paraId="55C1FBC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pacing w:val="-17"/>
                <w:kern w:val="0"/>
                <w:sz w:val="20"/>
                <w:szCs w:val="20"/>
                <w:u w:val="none"/>
                <w:lang w:val="en-US" w:eastAsia="zh-CN" w:bidi="ar"/>
              </w:rPr>
            </w:pPr>
            <w:r>
              <w:rPr>
                <w:rFonts w:hint="eastAsia" w:ascii="仿宋_GB2312" w:hAnsi="仿宋_GB2312" w:eastAsia="仿宋_GB2312" w:cs="仿宋_GB2312"/>
                <w:i w:val="0"/>
                <w:color w:val="000000"/>
                <w:spacing w:val="-17"/>
                <w:kern w:val="0"/>
                <w:sz w:val="20"/>
                <w:szCs w:val="20"/>
                <w:u w:val="none"/>
                <w:lang w:val="en-US" w:eastAsia="zh-CN" w:bidi="ar"/>
              </w:rPr>
              <w:t>城市轨道交通班组管理</w:t>
            </w:r>
          </w:p>
        </w:tc>
        <w:tc>
          <w:tcPr>
            <w:tcW w:w="712" w:type="dxa"/>
            <w:shd w:val="clear" w:color="auto" w:fill="auto"/>
            <w:vAlign w:val="center"/>
          </w:tcPr>
          <w:p w14:paraId="3394685C">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3</w:t>
            </w:r>
          </w:p>
        </w:tc>
        <w:tc>
          <w:tcPr>
            <w:tcW w:w="700" w:type="dxa"/>
            <w:shd w:val="clear" w:color="auto" w:fill="auto"/>
            <w:vAlign w:val="center"/>
          </w:tcPr>
          <w:p w14:paraId="4B445E4C">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54</w:t>
            </w:r>
          </w:p>
        </w:tc>
        <w:tc>
          <w:tcPr>
            <w:tcW w:w="725" w:type="dxa"/>
            <w:shd w:val="clear" w:color="auto" w:fill="auto"/>
            <w:vAlign w:val="center"/>
          </w:tcPr>
          <w:p w14:paraId="587CF956">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27</w:t>
            </w:r>
          </w:p>
        </w:tc>
        <w:tc>
          <w:tcPr>
            <w:tcW w:w="713" w:type="dxa"/>
            <w:shd w:val="clear" w:color="auto" w:fill="auto"/>
            <w:vAlign w:val="center"/>
          </w:tcPr>
          <w:p w14:paraId="56EE27D3">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27</w:t>
            </w:r>
          </w:p>
        </w:tc>
        <w:tc>
          <w:tcPr>
            <w:tcW w:w="2213" w:type="dxa"/>
            <w:gridSpan w:val="6"/>
            <w:vMerge w:val="continue"/>
            <w:shd w:val="clear" w:color="auto" w:fill="auto"/>
            <w:noWrap/>
            <w:vAlign w:val="center"/>
          </w:tcPr>
          <w:p w14:paraId="11B51AA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noWrap/>
            <w:vAlign w:val="center"/>
          </w:tcPr>
          <w:p w14:paraId="2E7C58F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4340E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357CD9C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bookmarkStart w:id="17" w:name="_GoBack" w:colFirst="5" w:colLast="5"/>
          </w:p>
        </w:tc>
        <w:tc>
          <w:tcPr>
            <w:tcW w:w="382" w:type="dxa"/>
            <w:vMerge w:val="continue"/>
            <w:shd w:val="clear" w:color="auto" w:fill="auto"/>
            <w:vAlign w:val="center"/>
          </w:tcPr>
          <w:p w14:paraId="578F51E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vAlign w:val="center"/>
          </w:tcPr>
          <w:p w14:paraId="551DDAF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noWrap/>
            <w:vAlign w:val="center"/>
          </w:tcPr>
          <w:p w14:paraId="091A5AF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3</w:t>
            </w:r>
          </w:p>
        </w:tc>
        <w:tc>
          <w:tcPr>
            <w:tcW w:w="1238" w:type="dxa"/>
            <w:shd w:val="clear" w:color="auto" w:fill="auto"/>
            <w:noWrap/>
            <w:vAlign w:val="center"/>
          </w:tcPr>
          <w:p w14:paraId="0F5F718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6B500606503</w:t>
            </w:r>
          </w:p>
        </w:tc>
        <w:tc>
          <w:tcPr>
            <w:tcW w:w="2150" w:type="dxa"/>
            <w:shd w:val="clear" w:color="auto" w:fill="auto"/>
            <w:vAlign w:val="center"/>
          </w:tcPr>
          <w:p w14:paraId="3DF4059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pacing w:val="-23"/>
                <w:kern w:val="0"/>
                <w:sz w:val="20"/>
                <w:szCs w:val="20"/>
                <w:u w:val="none"/>
                <w:lang w:val="en-US" w:eastAsia="zh-CN" w:bidi="ar"/>
              </w:rPr>
            </w:pPr>
            <w:r>
              <w:rPr>
                <w:rFonts w:hint="eastAsia" w:ascii="仿宋_GB2312" w:hAnsi="仿宋_GB2312" w:eastAsia="仿宋_GB2312" w:cs="仿宋_GB2312"/>
                <w:i w:val="0"/>
                <w:color w:val="000000"/>
                <w:spacing w:val="-23"/>
                <w:kern w:val="0"/>
                <w:sz w:val="20"/>
                <w:szCs w:val="20"/>
                <w:u w:val="none"/>
                <w:lang w:val="en-US" w:eastAsia="zh-CN" w:bidi="ar"/>
              </w:rPr>
              <w:t>城市轨道交通客运服务手语</w:t>
            </w:r>
          </w:p>
        </w:tc>
        <w:tc>
          <w:tcPr>
            <w:tcW w:w="712" w:type="dxa"/>
            <w:shd w:val="clear" w:color="auto" w:fill="auto"/>
            <w:vAlign w:val="center"/>
          </w:tcPr>
          <w:p w14:paraId="58ED5565">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3</w:t>
            </w:r>
          </w:p>
        </w:tc>
        <w:tc>
          <w:tcPr>
            <w:tcW w:w="700" w:type="dxa"/>
            <w:shd w:val="clear" w:color="auto" w:fill="auto"/>
            <w:vAlign w:val="center"/>
          </w:tcPr>
          <w:p w14:paraId="696D5E75">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54</w:t>
            </w:r>
          </w:p>
        </w:tc>
        <w:tc>
          <w:tcPr>
            <w:tcW w:w="725" w:type="dxa"/>
            <w:shd w:val="clear" w:color="auto" w:fill="auto"/>
            <w:vAlign w:val="center"/>
          </w:tcPr>
          <w:p w14:paraId="188A7DC5">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27</w:t>
            </w:r>
          </w:p>
        </w:tc>
        <w:tc>
          <w:tcPr>
            <w:tcW w:w="713" w:type="dxa"/>
            <w:shd w:val="clear" w:color="auto" w:fill="auto"/>
            <w:vAlign w:val="center"/>
          </w:tcPr>
          <w:p w14:paraId="68FD87C8">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27</w:t>
            </w:r>
          </w:p>
        </w:tc>
        <w:tc>
          <w:tcPr>
            <w:tcW w:w="2213" w:type="dxa"/>
            <w:gridSpan w:val="6"/>
            <w:vMerge w:val="continue"/>
            <w:shd w:val="clear" w:color="auto" w:fill="auto"/>
            <w:noWrap/>
            <w:vAlign w:val="center"/>
          </w:tcPr>
          <w:p w14:paraId="66CB306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noWrap/>
            <w:vAlign w:val="center"/>
          </w:tcPr>
          <w:p w14:paraId="79B2646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11DA1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5966616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shd w:val="clear" w:color="auto" w:fill="auto"/>
            <w:vAlign w:val="center"/>
          </w:tcPr>
          <w:p w14:paraId="2FF82C6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vAlign w:val="center"/>
          </w:tcPr>
          <w:p w14:paraId="7F719E0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noWrap/>
            <w:vAlign w:val="center"/>
          </w:tcPr>
          <w:p w14:paraId="7DF53A3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4</w:t>
            </w:r>
          </w:p>
        </w:tc>
        <w:tc>
          <w:tcPr>
            <w:tcW w:w="1238" w:type="dxa"/>
            <w:shd w:val="clear" w:color="auto" w:fill="auto"/>
            <w:noWrap/>
            <w:vAlign w:val="center"/>
          </w:tcPr>
          <w:p w14:paraId="5C5305E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6B500606504</w:t>
            </w:r>
          </w:p>
        </w:tc>
        <w:tc>
          <w:tcPr>
            <w:tcW w:w="2150" w:type="dxa"/>
            <w:shd w:val="clear" w:color="auto" w:fill="auto"/>
            <w:vAlign w:val="center"/>
          </w:tcPr>
          <w:p w14:paraId="5BFB8DF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pacing w:val="-23"/>
                <w:kern w:val="0"/>
                <w:sz w:val="20"/>
                <w:szCs w:val="20"/>
                <w:u w:val="none"/>
                <w:lang w:val="en-US" w:eastAsia="zh-CN" w:bidi="ar"/>
              </w:rPr>
            </w:pPr>
            <w:r>
              <w:rPr>
                <w:rFonts w:hint="eastAsia" w:ascii="仿宋_GB2312" w:hAnsi="仿宋_GB2312" w:eastAsia="仿宋_GB2312" w:cs="仿宋_GB2312"/>
                <w:i w:val="0"/>
                <w:color w:val="000000"/>
                <w:spacing w:val="-23"/>
                <w:kern w:val="0"/>
                <w:sz w:val="20"/>
                <w:szCs w:val="20"/>
                <w:u w:val="none"/>
                <w:lang w:val="en-US" w:eastAsia="zh-CN" w:bidi="ar"/>
              </w:rPr>
              <w:t>城市轨道交通列车驾驶实务</w:t>
            </w:r>
          </w:p>
        </w:tc>
        <w:tc>
          <w:tcPr>
            <w:tcW w:w="712" w:type="dxa"/>
            <w:shd w:val="clear" w:color="auto" w:fill="auto"/>
            <w:vAlign w:val="center"/>
          </w:tcPr>
          <w:p w14:paraId="548D3D4E">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3</w:t>
            </w:r>
          </w:p>
        </w:tc>
        <w:tc>
          <w:tcPr>
            <w:tcW w:w="700" w:type="dxa"/>
            <w:shd w:val="clear" w:color="auto" w:fill="auto"/>
            <w:vAlign w:val="center"/>
          </w:tcPr>
          <w:p w14:paraId="5104EC00">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54</w:t>
            </w:r>
          </w:p>
        </w:tc>
        <w:tc>
          <w:tcPr>
            <w:tcW w:w="725" w:type="dxa"/>
            <w:shd w:val="clear" w:color="auto" w:fill="auto"/>
            <w:vAlign w:val="center"/>
          </w:tcPr>
          <w:p w14:paraId="07CA3310">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27</w:t>
            </w:r>
          </w:p>
        </w:tc>
        <w:tc>
          <w:tcPr>
            <w:tcW w:w="713" w:type="dxa"/>
            <w:shd w:val="clear" w:color="auto" w:fill="auto"/>
            <w:vAlign w:val="center"/>
          </w:tcPr>
          <w:p w14:paraId="60B6BEFB">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27</w:t>
            </w:r>
          </w:p>
        </w:tc>
        <w:tc>
          <w:tcPr>
            <w:tcW w:w="2213" w:type="dxa"/>
            <w:gridSpan w:val="6"/>
            <w:vMerge w:val="continue"/>
            <w:shd w:val="clear" w:color="auto" w:fill="auto"/>
            <w:noWrap/>
            <w:vAlign w:val="center"/>
          </w:tcPr>
          <w:p w14:paraId="3BF0DBC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noWrap/>
            <w:vAlign w:val="center"/>
          </w:tcPr>
          <w:p w14:paraId="0776979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bookmarkEnd w:id="17"/>
      <w:tr w14:paraId="261F6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4F1AA83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shd w:val="clear" w:color="auto" w:fill="auto"/>
            <w:vAlign w:val="center"/>
          </w:tcPr>
          <w:p w14:paraId="76B375A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vAlign w:val="center"/>
          </w:tcPr>
          <w:p w14:paraId="3C3F8CA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noWrap/>
            <w:vAlign w:val="center"/>
          </w:tcPr>
          <w:p w14:paraId="7F42491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5</w:t>
            </w:r>
          </w:p>
        </w:tc>
        <w:tc>
          <w:tcPr>
            <w:tcW w:w="1238" w:type="dxa"/>
            <w:shd w:val="clear" w:color="auto" w:fill="auto"/>
            <w:noWrap/>
            <w:vAlign w:val="center"/>
          </w:tcPr>
          <w:p w14:paraId="62818E7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6B500606505</w:t>
            </w:r>
          </w:p>
        </w:tc>
        <w:tc>
          <w:tcPr>
            <w:tcW w:w="2150" w:type="dxa"/>
            <w:shd w:val="clear" w:color="auto" w:fill="auto"/>
            <w:vAlign w:val="center"/>
          </w:tcPr>
          <w:p w14:paraId="1ECEE2A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智能综合监控系统</w:t>
            </w:r>
          </w:p>
        </w:tc>
        <w:tc>
          <w:tcPr>
            <w:tcW w:w="712" w:type="dxa"/>
            <w:shd w:val="clear" w:color="auto" w:fill="auto"/>
            <w:vAlign w:val="center"/>
          </w:tcPr>
          <w:p w14:paraId="48C2714D">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3</w:t>
            </w:r>
          </w:p>
        </w:tc>
        <w:tc>
          <w:tcPr>
            <w:tcW w:w="700" w:type="dxa"/>
            <w:shd w:val="clear" w:color="auto" w:fill="auto"/>
            <w:vAlign w:val="center"/>
          </w:tcPr>
          <w:p w14:paraId="285EBA33">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54</w:t>
            </w:r>
          </w:p>
        </w:tc>
        <w:tc>
          <w:tcPr>
            <w:tcW w:w="725" w:type="dxa"/>
            <w:shd w:val="clear" w:color="auto" w:fill="auto"/>
            <w:vAlign w:val="center"/>
          </w:tcPr>
          <w:p w14:paraId="015B47FB">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27</w:t>
            </w:r>
          </w:p>
        </w:tc>
        <w:tc>
          <w:tcPr>
            <w:tcW w:w="713" w:type="dxa"/>
            <w:shd w:val="clear" w:color="auto" w:fill="auto"/>
            <w:vAlign w:val="center"/>
          </w:tcPr>
          <w:p w14:paraId="5AF26F79">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27</w:t>
            </w:r>
          </w:p>
        </w:tc>
        <w:tc>
          <w:tcPr>
            <w:tcW w:w="2213" w:type="dxa"/>
            <w:gridSpan w:val="6"/>
            <w:vMerge w:val="continue"/>
            <w:shd w:val="clear" w:color="auto" w:fill="auto"/>
            <w:noWrap/>
            <w:vAlign w:val="center"/>
          </w:tcPr>
          <w:p w14:paraId="1542FC0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noWrap/>
            <w:vAlign w:val="center"/>
          </w:tcPr>
          <w:p w14:paraId="666612B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62F5D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331C78E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shd w:val="clear" w:color="auto" w:fill="auto"/>
            <w:vAlign w:val="center"/>
          </w:tcPr>
          <w:p w14:paraId="6BB8F53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vAlign w:val="center"/>
          </w:tcPr>
          <w:p w14:paraId="278EEC6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noWrap/>
            <w:vAlign w:val="center"/>
          </w:tcPr>
          <w:p w14:paraId="1468C71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w:t>
            </w:r>
          </w:p>
        </w:tc>
        <w:tc>
          <w:tcPr>
            <w:tcW w:w="1238" w:type="dxa"/>
            <w:shd w:val="clear" w:color="auto" w:fill="auto"/>
            <w:noWrap/>
            <w:vAlign w:val="center"/>
          </w:tcPr>
          <w:p w14:paraId="52E7580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6B500606506</w:t>
            </w:r>
          </w:p>
        </w:tc>
        <w:tc>
          <w:tcPr>
            <w:tcW w:w="2150" w:type="dxa"/>
            <w:shd w:val="clear" w:color="auto" w:fill="auto"/>
            <w:vAlign w:val="center"/>
          </w:tcPr>
          <w:p w14:paraId="1289E66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智慧城轨运营管理</w:t>
            </w:r>
          </w:p>
        </w:tc>
        <w:tc>
          <w:tcPr>
            <w:tcW w:w="712" w:type="dxa"/>
            <w:shd w:val="clear" w:color="auto" w:fill="auto"/>
            <w:vAlign w:val="center"/>
          </w:tcPr>
          <w:p w14:paraId="51A366BF">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3</w:t>
            </w:r>
          </w:p>
        </w:tc>
        <w:tc>
          <w:tcPr>
            <w:tcW w:w="700" w:type="dxa"/>
            <w:shd w:val="clear" w:color="auto" w:fill="auto"/>
            <w:vAlign w:val="center"/>
          </w:tcPr>
          <w:p w14:paraId="61DCD736">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54</w:t>
            </w:r>
          </w:p>
        </w:tc>
        <w:tc>
          <w:tcPr>
            <w:tcW w:w="725" w:type="dxa"/>
            <w:shd w:val="clear" w:color="auto" w:fill="auto"/>
            <w:vAlign w:val="center"/>
          </w:tcPr>
          <w:p w14:paraId="47BE1651">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27</w:t>
            </w:r>
          </w:p>
        </w:tc>
        <w:tc>
          <w:tcPr>
            <w:tcW w:w="713" w:type="dxa"/>
            <w:shd w:val="clear" w:color="auto" w:fill="auto"/>
            <w:vAlign w:val="center"/>
          </w:tcPr>
          <w:p w14:paraId="5593820E">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27</w:t>
            </w:r>
          </w:p>
        </w:tc>
        <w:tc>
          <w:tcPr>
            <w:tcW w:w="2213" w:type="dxa"/>
            <w:gridSpan w:val="6"/>
            <w:vMerge w:val="continue"/>
            <w:shd w:val="clear" w:color="auto" w:fill="auto"/>
            <w:noWrap/>
            <w:vAlign w:val="center"/>
          </w:tcPr>
          <w:p w14:paraId="245201F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noWrap/>
            <w:vAlign w:val="center"/>
          </w:tcPr>
          <w:p w14:paraId="353630C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345E2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49A5C22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shd w:val="clear" w:color="auto" w:fill="auto"/>
            <w:vAlign w:val="center"/>
          </w:tcPr>
          <w:p w14:paraId="3366AE1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vAlign w:val="center"/>
          </w:tcPr>
          <w:p w14:paraId="2F715CE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noWrap/>
            <w:vAlign w:val="center"/>
          </w:tcPr>
          <w:p w14:paraId="3EA46C8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7</w:t>
            </w:r>
          </w:p>
        </w:tc>
        <w:tc>
          <w:tcPr>
            <w:tcW w:w="1238" w:type="dxa"/>
            <w:shd w:val="clear" w:color="auto" w:fill="auto"/>
            <w:noWrap/>
            <w:vAlign w:val="center"/>
          </w:tcPr>
          <w:p w14:paraId="48EEA9B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6B500606507</w:t>
            </w:r>
          </w:p>
        </w:tc>
        <w:tc>
          <w:tcPr>
            <w:tcW w:w="2150" w:type="dxa"/>
            <w:shd w:val="clear" w:color="auto" w:fill="auto"/>
            <w:vAlign w:val="center"/>
          </w:tcPr>
          <w:p w14:paraId="2DB0B82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卫生防疫与急救技能</w:t>
            </w:r>
          </w:p>
        </w:tc>
        <w:tc>
          <w:tcPr>
            <w:tcW w:w="712" w:type="dxa"/>
            <w:shd w:val="clear" w:color="auto" w:fill="auto"/>
            <w:vAlign w:val="center"/>
          </w:tcPr>
          <w:p w14:paraId="1AB4ABC4">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3</w:t>
            </w:r>
          </w:p>
        </w:tc>
        <w:tc>
          <w:tcPr>
            <w:tcW w:w="700" w:type="dxa"/>
            <w:shd w:val="clear" w:color="auto" w:fill="auto"/>
            <w:vAlign w:val="center"/>
          </w:tcPr>
          <w:p w14:paraId="5AC0385C">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54</w:t>
            </w:r>
          </w:p>
        </w:tc>
        <w:tc>
          <w:tcPr>
            <w:tcW w:w="725" w:type="dxa"/>
            <w:shd w:val="clear" w:color="auto" w:fill="auto"/>
            <w:vAlign w:val="center"/>
          </w:tcPr>
          <w:p w14:paraId="52EB7E25">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27</w:t>
            </w:r>
          </w:p>
        </w:tc>
        <w:tc>
          <w:tcPr>
            <w:tcW w:w="713" w:type="dxa"/>
            <w:shd w:val="clear" w:color="auto" w:fill="auto"/>
            <w:vAlign w:val="center"/>
          </w:tcPr>
          <w:p w14:paraId="224EE228">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27</w:t>
            </w:r>
          </w:p>
        </w:tc>
        <w:tc>
          <w:tcPr>
            <w:tcW w:w="2213" w:type="dxa"/>
            <w:gridSpan w:val="6"/>
            <w:vMerge w:val="continue"/>
            <w:shd w:val="clear" w:color="auto" w:fill="auto"/>
            <w:noWrap/>
            <w:vAlign w:val="center"/>
          </w:tcPr>
          <w:p w14:paraId="66C1C93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noWrap/>
            <w:vAlign w:val="center"/>
          </w:tcPr>
          <w:p w14:paraId="4DD0539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270ED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704D41E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shd w:val="clear" w:color="auto" w:fill="auto"/>
            <w:vAlign w:val="center"/>
          </w:tcPr>
          <w:p w14:paraId="4893024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vAlign w:val="center"/>
          </w:tcPr>
          <w:p w14:paraId="4670ECD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noWrap/>
            <w:vAlign w:val="center"/>
          </w:tcPr>
          <w:p w14:paraId="72E1F93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8</w:t>
            </w:r>
          </w:p>
        </w:tc>
        <w:tc>
          <w:tcPr>
            <w:tcW w:w="1238" w:type="dxa"/>
            <w:shd w:val="clear" w:color="auto" w:fill="auto"/>
            <w:noWrap/>
            <w:vAlign w:val="center"/>
          </w:tcPr>
          <w:p w14:paraId="61C2BCE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6B500606508</w:t>
            </w:r>
          </w:p>
        </w:tc>
        <w:tc>
          <w:tcPr>
            <w:tcW w:w="2150" w:type="dxa"/>
            <w:shd w:val="clear" w:color="auto" w:fill="auto"/>
            <w:vAlign w:val="center"/>
          </w:tcPr>
          <w:p w14:paraId="3DB6408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工程制图</w:t>
            </w:r>
          </w:p>
        </w:tc>
        <w:tc>
          <w:tcPr>
            <w:tcW w:w="712" w:type="dxa"/>
            <w:shd w:val="clear" w:color="auto" w:fill="auto"/>
            <w:noWrap/>
            <w:vAlign w:val="center"/>
          </w:tcPr>
          <w:p w14:paraId="5F57A636">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3</w:t>
            </w:r>
          </w:p>
        </w:tc>
        <w:tc>
          <w:tcPr>
            <w:tcW w:w="700" w:type="dxa"/>
            <w:shd w:val="clear" w:color="auto" w:fill="auto"/>
            <w:noWrap/>
            <w:vAlign w:val="center"/>
          </w:tcPr>
          <w:p w14:paraId="53A602A7">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54</w:t>
            </w:r>
          </w:p>
        </w:tc>
        <w:tc>
          <w:tcPr>
            <w:tcW w:w="725" w:type="dxa"/>
            <w:shd w:val="clear" w:color="auto" w:fill="auto"/>
            <w:noWrap/>
            <w:vAlign w:val="center"/>
          </w:tcPr>
          <w:p w14:paraId="4CA8E028">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27</w:t>
            </w:r>
          </w:p>
        </w:tc>
        <w:tc>
          <w:tcPr>
            <w:tcW w:w="713" w:type="dxa"/>
            <w:shd w:val="clear" w:color="auto" w:fill="auto"/>
            <w:noWrap/>
            <w:vAlign w:val="center"/>
          </w:tcPr>
          <w:p w14:paraId="05763B52">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27</w:t>
            </w:r>
          </w:p>
        </w:tc>
        <w:tc>
          <w:tcPr>
            <w:tcW w:w="2213" w:type="dxa"/>
            <w:gridSpan w:val="6"/>
            <w:vMerge w:val="continue"/>
            <w:shd w:val="clear" w:color="auto" w:fill="auto"/>
            <w:noWrap/>
            <w:vAlign w:val="center"/>
          </w:tcPr>
          <w:p w14:paraId="46AA292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6D4AFB9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3E732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5" w:hRule="atLeast"/>
          <w:jc w:val="center"/>
        </w:trPr>
        <w:tc>
          <w:tcPr>
            <w:tcW w:w="323" w:type="dxa"/>
            <w:vMerge w:val="continue"/>
            <w:shd w:val="clear" w:color="auto" w:fill="auto"/>
            <w:vAlign w:val="center"/>
          </w:tcPr>
          <w:p w14:paraId="056E70A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restart"/>
            <w:shd w:val="clear" w:color="auto" w:fill="auto"/>
            <w:vAlign w:val="center"/>
          </w:tcPr>
          <w:p w14:paraId="3E4B5925">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实践</w:t>
            </w:r>
          </w:p>
          <w:p w14:paraId="4A64DB87">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性教学环节</w:t>
            </w:r>
          </w:p>
        </w:tc>
        <w:tc>
          <w:tcPr>
            <w:tcW w:w="391" w:type="dxa"/>
            <w:vMerge w:val="restart"/>
            <w:shd w:val="clear" w:color="auto" w:fill="auto"/>
            <w:vAlign w:val="center"/>
          </w:tcPr>
          <w:p w14:paraId="3483976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必修</w:t>
            </w:r>
          </w:p>
        </w:tc>
        <w:tc>
          <w:tcPr>
            <w:tcW w:w="500" w:type="dxa"/>
            <w:shd w:val="clear" w:color="auto" w:fill="auto"/>
            <w:noWrap/>
            <w:vAlign w:val="center"/>
          </w:tcPr>
          <w:p w14:paraId="4C397E6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w:t>
            </w:r>
          </w:p>
        </w:tc>
        <w:tc>
          <w:tcPr>
            <w:tcW w:w="1238" w:type="dxa"/>
            <w:shd w:val="clear" w:color="auto" w:fill="auto"/>
            <w:noWrap/>
            <w:vAlign w:val="center"/>
          </w:tcPr>
          <w:p w14:paraId="45E1D48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1B410101601</w:t>
            </w:r>
          </w:p>
        </w:tc>
        <w:tc>
          <w:tcPr>
            <w:tcW w:w="2150" w:type="dxa"/>
            <w:shd w:val="clear" w:color="auto" w:fill="auto"/>
            <w:vAlign w:val="center"/>
          </w:tcPr>
          <w:p w14:paraId="0A03CE9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毕业设计</w:t>
            </w:r>
          </w:p>
        </w:tc>
        <w:tc>
          <w:tcPr>
            <w:tcW w:w="712" w:type="dxa"/>
            <w:shd w:val="clear" w:color="auto" w:fill="auto"/>
            <w:noWrap/>
            <w:vAlign w:val="center"/>
          </w:tcPr>
          <w:p w14:paraId="617C6039">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5</w:t>
            </w:r>
          </w:p>
        </w:tc>
        <w:tc>
          <w:tcPr>
            <w:tcW w:w="700" w:type="dxa"/>
            <w:shd w:val="clear" w:color="auto" w:fill="auto"/>
            <w:noWrap/>
            <w:vAlign w:val="center"/>
          </w:tcPr>
          <w:p w14:paraId="19B47BC4">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80</w:t>
            </w:r>
          </w:p>
        </w:tc>
        <w:tc>
          <w:tcPr>
            <w:tcW w:w="725" w:type="dxa"/>
            <w:shd w:val="clear" w:color="auto" w:fill="auto"/>
            <w:noWrap/>
            <w:vAlign w:val="center"/>
          </w:tcPr>
          <w:p w14:paraId="707DF303">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20</w:t>
            </w:r>
          </w:p>
        </w:tc>
        <w:tc>
          <w:tcPr>
            <w:tcW w:w="713" w:type="dxa"/>
            <w:shd w:val="clear" w:color="auto" w:fill="auto"/>
            <w:noWrap/>
            <w:vAlign w:val="center"/>
          </w:tcPr>
          <w:p w14:paraId="2C09C4A0">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60</w:t>
            </w:r>
          </w:p>
        </w:tc>
        <w:tc>
          <w:tcPr>
            <w:tcW w:w="375" w:type="dxa"/>
            <w:shd w:val="clear" w:color="auto" w:fill="auto"/>
            <w:noWrap/>
            <w:vAlign w:val="center"/>
          </w:tcPr>
          <w:p w14:paraId="10F5B75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0" w:type="dxa"/>
            <w:shd w:val="clear" w:color="auto" w:fill="auto"/>
            <w:noWrap/>
            <w:vAlign w:val="center"/>
          </w:tcPr>
          <w:p w14:paraId="2D49B54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0" w:type="dxa"/>
            <w:shd w:val="clear" w:color="auto" w:fill="auto"/>
            <w:noWrap/>
            <w:vAlign w:val="center"/>
          </w:tcPr>
          <w:p w14:paraId="180FD35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0" w:type="dxa"/>
            <w:shd w:val="clear" w:color="auto" w:fill="auto"/>
            <w:noWrap/>
            <w:vAlign w:val="center"/>
          </w:tcPr>
          <w:p w14:paraId="6C26389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50" w:type="dxa"/>
            <w:shd w:val="clear" w:color="auto" w:fill="auto"/>
            <w:vAlign w:val="center"/>
          </w:tcPr>
          <w:p w14:paraId="2A75F74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sz w:val="18"/>
                <w:szCs w:val="18"/>
                <w:lang w:val="en-US" w:eastAsia="zh-CN"/>
              </w:rPr>
              <w:t>20</w:t>
            </w:r>
          </w:p>
        </w:tc>
        <w:tc>
          <w:tcPr>
            <w:tcW w:w="338" w:type="dxa"/>
            <w:shd w:val="clear" w:color="auto" w:fill="auto"/>
            <w:vAlign w:val="center"/>
          </w:tcPr>
          <w:p w14:paraId="3CF034E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2B49654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54455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3" w:type="dxa"/>
            <w:vMerge w:val="continue"/>
            <w:shd w:val="clear" w:color="auto" w:fill="auto"/>
            <w:vAlign w:val="center"/>
          </w:tcPr>
          <w:p w14:paraId="161DFB8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shd w:val="clear" w:color="auto" w:fill="auto"/>
            <w:vAlign w:val="center"/>
          </w:tcPr>
          <w:p w14:paraId="662EC77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91" w:type="dxa"/>
            <w:vMerge w:val="continue"/>
            <w:shd w:val="clear" w:color="auto" w:fill="auto"/>
            <w:vAlign w:val="center"/>
          </w:tcPr>
          <w:p w14:paraId="1FC1943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00" w:type="dxa"/>
            <w:shd w:val="clear" w:color="auto" w:fill="auto"/>
            <w:noWrap/>
            <w:vAlign w:val="center"/>
          </w:tcPr>
          <w:p w14:paraId="705CCF0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2</w:t>
            </w:r>
          </w:p>
        </w:tc>
        <w:tc>
          <w:tcPr>
            <w:tcW w:w="1238" w:type="dxa"/>
            <w:shd w:val="clear" w:color="auto" w:fill="auto"/>
            <w:noWrap/>
            <w:vAlign w:val="center"/>
          </w:tcPr>
          <w:p w14:paraId="29EA628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18"/>
                <w:szCs w:val="18"/>
                <w:u w:val="none"/>
                <w:lang w:val="en-US" w:eastAsia="zh-CN" w:bidi="ar"/>
              </w:rPr>
            </w:pPr>
            <w:r>
              <w:rPr>
                <w:rFonts w:hint="eastAsia" w:ascii="仿宋_GB2312" w:hAnsi="仿宋_GB2312" w:eastAsia="仿宋_GB2312" w:cs="仿宋_GB2312"/>
                <w:i w:val="0"/>
                <w:color w:val="000000"/>
                <w:kern w:val="0"/>
                <w:sz w:val="18"/>
                <w:szCs w:val="18"/>
                <w:u w:val="none"/>
                <w:lang w:val="en-US" w:eastAsia="zh-CN" w:bidi="ar"/>
              </w:rPr>
              <w:t>1C410101602</w:t>
            </w:r>
          </w:p>
        </w:tc>
        <w:tc>
          <w:tcPr>
            <w:tcW w:w="2150" w:type="dxa"/>
            <w:shd w:val="clear" w:color="auto" w:fill="auto"/>
            <w:vAlign w:val="center"/>
          </w:tcPr>
          <w:p w14:paraId="253B048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岗位实习</w:t>
            </w:r>
          </w:p>
        </w:tc>
        <w:tc>
          <w:tcPr>
            <w:tcW w:w="712" w:type="dxa"/>
            <w:shd w:val="clear" w:color="auto" w:fill="auto"/>
            <w:noWrap/>
            <w:vAlign w:val="center"/>
          </w:tcPr>
          <w:p w14:paraId="03A97EA4">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18</w:t>
            </w:r>
          </w:p>
        </w:tc>
        <w:tc>
          <w:tcPr>
            <w:tcW w:w="700" w:type="dxa"/>
            <w:shd w:val="clear" w:color="auto" w:fill="auto"/>
            <w:noWrap/>
            <w:vAlign w:val="center"/>
          </w:tcPr>
          <w:p w14:paraId="366F0363">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432</w:t>
            </w:r>
          </w:p>
        </w:tc>
        <w:tc>
          <w:tcPr>
            <w:tcW w:w="725" w:type="dxa"/>
            <w:shd w:val="clear" w:color="auto" w:fill="auto"/>
            <w:noWrap/>
            <w:vAlign w:val="center"/>
          </w:tcPr>
          <w:p w14:paraId="791C3239">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0</w:t>
            </w:r>
          </w:p>
        </w:tc>
        <w:tc>
          <w:tcPr>
            <w:tcW w:w="713" w:type="dxa"/>
            <w:shd w:val="clear" w:color="auto" w:fill="auto"/>
            <w:noWrap/>
            <w:vAlign w:val="center"/>
          </w:tcPr>
          <w:p w14:paraId="5B773371">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432</w:t>
            </w:r>
          </w:p>
        </w:tc>
        <w:tc>
          <w:tcPr>
            <w:tcW w:w="375" w:type="dxa"/>
            <w:shd w:val="clear" w:color="auto" w:fill="auto"/>
            <w:noWrap/>
            <w:vAlign w:val="center"/>
          </w:tcPr>
          <w:p w14:paraId="23DA592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0" w:type="dxa"/>
            <w:shd w:val="clear" w:color="auto" w:fill="auto"/>
            <w:noWrap/>
            <w:vAlign w:val="center"/>
          </w:tcPr>
          <w:p w14:paraId="1B4AAC3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0" w:type="dxa"/>
            <w:shd w:val="clear" w:color="auto" w:fill="auto"/>
            <w:noWrap/>
            <w:vAlign w:val="center"/>
          </w:tcPr>
          <w:p w14:paraId="75618E2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0" w:type="dxa"/>
            <w:shd w:val="clear" w:color="auto" w:fill="auto"/>
            <w:noWrap/>
            <w:vAlign w:val="center"/>
          </w:tcPr>
          <w:p w14:paraId="6F9ED54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50" w:type="dxa"/>
            <w:shd w:val="clear" w:color="auto" w:fill="auto"/>
            <w:vAlign w:val="center"/>
          </w:tcPr>
          <w:p w14:paraId="52A1EF5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8" w:type="dxa"/>
            <w:shd w:val="clear" w:color="auto" w:fill="auto"/>
            <w:vAlign w:val="center"/>
          </w:tcPr>
          <w:p w14:paraId="20FF3E9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noWrap/>
            <w:vAlign w:val="center"/>
          </w:tcPr>
          <w:p w14:paraId="0C8710B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5A96E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4984" w:type="dxa"/>
            <w:gridSpan w:val="6"/>
            <w:shd w:val="clear" w:color="auto" w:fill="auto"/>
            <w:vAlign w:val="bottom"/>
          </w:tcPr>
          <w:p w14:paraId="1F1D25E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专业必修课程学分、学时小计</w:t>
            </w:r>
          </w:p>
        </w:tc>
        <w:tc>
          <w:tcPr>
            <w:tcW w:w="712" w:type="dxa"/>
            <w:shd w:val="clear" w:color="auto" w:fill="auto"/>
            <w:vAlign w:val="center"/>
          </w:tcPr>
          <w:p w14:paraId="650F2B8D">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89</w:t>
            </w:r>
          </w:p>
        </w:tc>
        <w:tc>
          <w:tcPr>
            <w:tcW w:w="700" w:type="dxa"/>
            <w:shd w:val="clear" w:color="auto" w:fill="auto"/>
            <w:vAlign w:val="center"/>
          </w:tcPr>
          <w:p w14:paraId="0AA066B4">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1700</w:t>
            </w:r>
          </w:p>
        </w:tc>
        <w:tc>
          <w:tcPr>
            <w:tcW w:w="725" w:type="dxa"/>
            <w:shd w:val="clear" w:color="auto" w:fill="auto"/>
            <w:vAlign w:val="center"/>
          </w:tcPr>
          <w:p w14:paraId="3F4BC6E0">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712</w:t>
            </w:r>
          </w:p>
        </w:tc>
        <w:tc>
          <w:tcPr>
            <w:tcW w:w="713" w:type="dxa"/>
            <w:shd w:val="clear" w:color="auto" w:fill="auto"/>
            <w:vAlign w:val="center"/>
          </w:tcPr>
          <w:p w14:paraId="5E74B459">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988</w:t>
            </w:r>
          </w:p>
        </w:tc>
        <w:tc>
          <w:tcPr>
            <w:tcW w:w="375" w:type="dxa"/>
            <w:shd w:val="clear" w:color="auto" w:fill="auto"/>
            <w:vAlign w:val="center"/>
          </w:tcPr>
          <w:p w14:paraId="0861B5A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0" w:type="dxa"/>
            <w:shd w:val="clear" w:color="auto" w:fill="auto"/>
            <w:vAlign w:val="center"/>
          </w:tcPr>
          <w:p w14:paraId="6B08B74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0" w:type="dxa"/>
            <w:shd w:val="clear" w:color="auto" w:fill="auto"/>
            <w:vAlign w:val="center"/>
          </w:tcPr>
          <w:p w14:paraId="35C2C90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0" w:type="dxa"/>
            <w:shd w:val="clear" w:color="auto" w:fill="auto"/>
            <w:noWrap/>
            <w:vAlign w:val="center"/>
          </w:tcPr>
          <w:p w14:paraId="5B8D953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50" w:type="dxa"/>
            <w:shd w:val="clear" w:color="auto" w:fill="auto"/>
            <w:noWrap/>
            <w:vAlign w:val="center"/>
          </w:tcPr>
          <w:p w14:paraId="62E95D2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8" w:type="dxa"/>
            <w:shd w:val="clear" w:color="auto" w:fill="auto"/>
            <w:noWrap/>
            <w:vAlign w:val="center"/>
          </w:tcPr>
          <w:p w14:paraId="2DF5F89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noWrap/>
            <w:vAlign w:val="center"/>
          </w:tcPr>
          <w:p w14:paraId="24625FA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r>
      <w:tr w14:paraId="2FB83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4984" w:type="dxa"/>
            <w:gridSpan w:val="6"/>
            <w:shd w:val="clear" w:color="auto" w:fill="auto"/>
            <w:vAlign w:val="center"/>
          </w:tcPr>
          <w:p w14:paraId="48E8A54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专业必修课程学分、学时占比</w:t>
            </w:r>
          </w:p>
        </w:tc>
        <w:tc>
          <w:tcPr>
            <w:tcW w:w="712" w:type="dxa"/>
            <w:shd w:val="clear" w:color="auto" w:fill="auto"/>
            <w:vAlign w:val="center"/>
          </w:tcPr>
          <w:p w14:paraId="1E61BCED">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pacing w:val="-20"/>
                <w:sz w:val="18"/>
                <w:szCs w:val="18"/>
                <w:lang w:val="en-US" w:eastAsia="zh-CN"/>
              </w:rPr>
            </w:pPr>
            <w:r>
              <w:rPr>
                <w:rFonts w:hint="eastAsia" w:ascii="仿宋_GB2312" w:hAnsi="仿宋_GB2312" w:eastAsia="仿宋_GB2312" w:cs="仿宋_GB2312"/>
                <w:spacing w:val="-20"/>
                <w:sz w:val="18"/>
                <w:szCs w:val="18"/>
                <w:lang w:val="en-US" w:eastAsia="zh-CN"/>
              </w:rPr>
              <w:t>59.73%</w:t>
            </w:r>
          </w:p>
        </w:tc>
        <w:tc>
          <w:tcPr>
            <w:tcW w:w="700" w:type="dxa"/>
            <w:shd w:val="clear" w:color="auto" w:fill="auto"/>
            <w:vAlign w:val="center"/>
          </w:tcPr>
          <w:p w14:paraId="0D7851D5">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pacing w:val="-20"/>
                <w:sz w:val="18"/>
                <w:szCs w:val="18"/>
                <w:lang w:val="en-US" w:eastAsia="zh-CN"/>
              </w:rPr>
            </w:pPr>
            <w:r>
              <w:rPr>
                <w:rFonts w:hint="eastAsia" w:ascii="仿宋_GB2312" w:hAnsi="仿宋_GB2312" w:eastAsia="仿宋_GB2312" w:cs="仿宋_GB2312"/>
                <w:spacing w:val="-34"/>
                <w:sz w:val="18"/>
                <w:szCs w:val="18"/>
                <w:lang w:val="en-US" w:eastAsia="zh-CN"/>
              </w:rPr>
              <w:t>60.67%</w:t>
            </w:r>
          </w:p>
        </w:tc>
        <w:tc>
          <w:tcPr>
            <w:tcW w:w="725" w:type="dxa"/>
            <w:shd w:val="clear" w:color="auto" w:fill="auto"/>
            <w:vAlign w:val="center"/>
          </w:tcPr>
          <w:p w14:paraId="7E137CFF">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pacing w:val="-20"/>
                <w:sz w:val="18"/>
                <w:szCs w:val="18"/>
                <w:lang w:val="en-US" w:eastAsia="zh-CN"/>
              </w:rPr>
            </w:pPr>
            <w:r>
              <w:rPr>
                <w:rFonts w:hint="eastAsia" w:ascii="仿宋_GB2312" w:hAnsi="仿宋_GB2312" w:eastAsia="仿宋_GB2312" w:cs="仿宋_GB2312"/>
                <w:spacing w:val="-20"/>
                <w:sz w:val="18"/>
                <w:szCs w:val="18"/>
                <w:lang w:val="en-US" w:eastAsia="zh-CN"/>
              </w:rPr>
              <w:t>25.41%</w:t>
            </w:r>
          </w:p>
        </w:tc>
        <w:tc>
          <w:tcPr>
            <w:tcW w:w="713" w:type="dxa"/>
            <w:shd w:val="clear" w:color="auto" w:fill="auto"/>
            <w:vAlign w:val="center"/>
          </w:tcPr>
          <w:p w14:paraId="19B67F49">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pacing w:val="-20"/>
                <w:sz w:val="18"/>
                <w:szCs w:val="18"/>
                <w:lang w:val="en-US" w:eastAsia="zh-CN"/>
              </w:rPr>
            </w:pPr>
            <w:r>
              <w:rPr>
                <w:rFonts w:hint="eastAsia" w:ascii="仿宋_GB2312" w:hAnsi="仿宋_GB2312" w:eastAsia="仿宋_GB2312" w:cs="仿宋_GB2312"/>
                <w:spacing w:val="-20"/>
                <w:sz w:val="18"/>
                <w:szCs w:val="18"/>
                <w:lang w:val="en-US" w:eastAsia="zh-CN"/>
              </w:rPr>
              <w:t>35.26%</w:t>
            </w:r>
          </w:p>
        </w:tc>
        <w:tc>
          <w:tcPr>
            <w:tcW w:w="375" w:type="dxa"/>
            <w:shd w:val="clear" w:color="auto" w:fill="auto"/>
            <w:noWrap/>
            <w:vAlign w:val="center"/>
          </w:tcPr>
          <w:p w14:paraId="67BB93F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0" w:type="dxa"/>
            <w:shd w:val="clear" w:color="auto" w:fill="auto"/>
            <w:noWrap/>
            <w:vAlign w:val="center"/>
          </w:tcPr>
          <w:p w14:paraId="23EB6A5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0" w:type="dxa"/>
            <w:shd w:val="clear" w:color="auto" w:fill="auto"/>
            <w:noWrap/>
            <w:vAlign w:val="center"/>
          </w:tcPr>
          <w:p w14:paraId="6CF8448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0" w:type="dxa"/>
            <w:shd w:val="clear" w:color="auto" w:fill="auto"/>
            <w:noWrap/>
            <w:vAlign w:val="center"/>
          </w:tcPr>
          <w:p w14:paraId="3A28F00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50" w:type="dxa"/>
            <w:shd w:val="clear" w:color="auto" w:fill="auto"/>
            <w:noWrap/>
            <w:vAlign w:val="center"/>
          </w:tcPr>
          <w:p w14:paraId="749F939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8" w:type="dxa"/>
            <w:shd w:val="clear" w:color="auto" w:fill="auto"/>
            <w:noWrap/>
            <w:vAlign w:val="center"/>
          </w:tcPr>
          <w:p w14:paraId="393A315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noWrap/>
            <w:vAlign w:val="center"/>
          </w:tcPr>
          <w:p w14:paraId="47EF715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r>
      <w:tr w14:paraId="20292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4984" w:type="dxa"/>
            <w:gridSpan w:val="6"/>
            <w:shd w:val="clear" w:color="auto" w:fill="auto"/>
            <w:vAlign w:val="center"/>
          </w:tcPr>
          <w:p w14:paraId="7B582BC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专业拓展课程学分、学时小计</w:t>
            </w:r>
          </w:p>
        </w:tc>
        <w:tc>
          <w:tcPr>
            <w:tcW w:w="712" w:type="dxa"/>
            <w:shd w:val="clear" w:color="auto" w:fill="auto"/>
            <w:noWrap/>
            <w:vAlign w:val="center"/>
          </w:tcPr>
          <w:p w14:paraId="501C7890">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10</w:t>
            </w:r>
          </w:p>
        </w:tc>
        <w:tc>
          <w:tcPr>
            <w:tcW w:w="700" w:type="dxa"/>
            <w:shd w:val="clear" w:color="auto" w:fill="auto"/>
            <w:noWrap/>
            <w:vAlign w:val="center"/>
          </w:tcPr>
          <w:p w14:paraId="043607E3">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180</w:t>
            </w:r>
          </w:p>
        </w:tc>
        <w:tc>
          <w:tcPr>
            <w:tcW w:w="725" w:type="dxa"/>
            <w:shd w:val="clear" w:color="auto" w:fill="auto"/>
            <w:noWrap/>
            <w:vAlign w:val="center"/>
          </w:tcPr>
          <w:p w14:paraId="49546F20">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130</w:t>
            </w:r>
          </w:p>
        </w:tc>
        <w:tc>
          <w:tcPr>
            <w:tcW w:w="713" w:type="dxa"/>
            <w:shd w:val="clear" w:color="auto" w:fill="auto"/>
            <w:noWrap/>
            <w:vAlign w:val="center"/>
          </w:tcPr>
          <w:p w14:paraId="69AF9FFD">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50</w:t>
            </w:r>
          </w:p>
        </w:tc>
        <w:tc>
          <w:tcPr>
            <w:tcW w:w="375" w:type="dxa"/>
            <w:shd w:val="clear" w:color="auto" w:fill="auto"/>
            <w:noWrap/>
            <w:vAlign w:val="center"/>
          </w:tcPr>
          <w:p w14:paraId="216C27C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0" w:type="dxa"/>
            <w:shd w:val="clear" w:color="auto" w:fill="auto"/>
            <w:noWrap/>
            <w:vAlign w:val="center"/>
          </w:tcPr>
          <w:p w14:paraId="5C054A3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0" w:type="dxa"/>
            <w:shd w:val="clear" w:color="auto" w:fill="auto"/>
            <w:noWrap/>
            <w:vAlign w:val="center"/>
          </w:tcPr>
          <w:p w14:paraId="634AF21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0" w:type="dxa"/>
            <w:shd w:val="clear" w:color="auto" w:fill="auto"/>
            <w:noWrap/>
            <w:vAlign w:val="center"/>
          </w:tcPr>
          <w:p w14:paraId="6D6E80A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50" w:type="dxa"/>
            <w:shd w:val="clear" w:color="auto" w:fill="auto"/>
            <w:noWrap/>
            <w:vAlign w:val="center"/>
          </w:tcPr>
          <w:p w14:paraId="0A111BE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8" w:type="dxa"/>
            <w:shd w:val="clear" w:color="auto" w:fill="auto"/>
            <w:noWrap/>
            <w:vAlign w:val="center"/>
          </w:tcPr>
          <w:p w14:paraId="0CEF8A8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noWrap/>
            <w:vAlign w:val="center"/>
          </w:tcPr>
          <w:p w14:paraId="05AEF0E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r>
      <w:tr w14:paraId="14D52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84" w:type="dxa"/>
            <w:gridSpan w:val="6"/>
            <w:shd w:val="clear" w:color="auto" w:fill="auto"/>
            <w:vAlign w:val="center"/>
          </w:tcPr>
          <w:p w14:paraId="288601B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专业拓展课程学分、学时占比</w:t>
            </w:r>
          </w:p>
        </w:tc>
        <w:tc>
          <w:tcPr>
            <w:tcW w:w="712" w:type="dxa"/>
            <w:shd w:val="clear" w:color="auto" w:fill="auto"/>
            <w:noWrap/>
            <w:vAlign w:val="center"/>
          </w:tcPr>
          <w:p w14:paraId="4756E745">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pacing w:val="-20"/>
                <w:sz w:val="18"/>
                <w:szCs w:val="18"/>
                <w:lang w:val="en-US" w:eastAsia="zh-CN"/>
              </w:rPr>
            </w:pPr>
            <w:r>
              <w:rPr>
                <w:rFonts w:hint="eastAsia" w:ascii="仿宋_GB2312" w:hAnsi="仿宋_GB2312" w:eastAsia="仿宋_GB2312" w:cs="仿宋_GB2312"/>
                <w:spacing w:val="-20"/>
                <w:sz w:val="18"/>
                <w:szCs w:val="18"/>
                <w:lang w:val="en-US" w:eastAsia="zh-CN"/>
              </w:rPr>
              <w:t>6.71%</w:t>
            </w:r>
          </w:p>
        </w:tc>
        <w:tc>
          <w:tcPr>
            <w:tcW w:w="700" w:type="dxa"/>
            <w:shd w:val="clear" w:color="auto" w:fill="auto"/>
            <w:noWrap/>
            <w:vAlign w:val="center"/>
          </w:tcPr>
          <w:p w14:paraId="62762B83">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pacing w:val="-20"/>
                <w:sz w:val="18"/>
                <w:szCs w:val="18"/>
                <w:lang w:val="en-US" w:eastAsia="zh-CN"/>
              </w:rPr>
            </w:pPr>
            <w:r>
              <w:rPr>
                <w:rFonts w:hint="eastAsia" w:ascii="仿宋_GB2312" w:hAnsi="仿宋_GB2312" w:eastAsia="仿宋_GB2312" w:cs="仿宋_GB2312"/>
                <w:spacing w:val="-20"/>
                <w:sz w:val="18"/>
                <w:szCs w:val="18"/>
                <w:lang w:val="en-US" w:eastAsia="zh-CN"/>
              </w:rPr>
              <w:t>6.42%</w:t>
            </w:r>
          </w:p>
        </w:tc>
        <w:tc>
          <w:tcPr>
            <w:tcW w:w="725" w:type="dxa"/>
            <w:shd w:val="clear" w:color="auto" w:fill="auto"/>
            <w:noWrap/>
            <w:vAlign w:val="center"/>
          </w:tcPr>
          <w:p w14:paraId="2A7152B5">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pacing w:val="-28"/>
                <w:sz w:val="18"/>
                <w:szCs w:val="18"/>
                <w:lang w:val="en-US" w:eastAsia="zh-CN"/>
              </w:rPr>
            </w:pPr>
            <w:r>
              <w:rPr>
                <w:rFonts w:hint="eastAsia" w:ascii="仿宋_GB2312" w:hAnsi="仿宋_GB2312" w:eastAsia="仿宋_GB2312" w:cs="仿宋_GB2312"/>
                <w:sz w:val="18"/>
                <w:szCs w:val="18"/>
                <w:lang w:val="en-US" w:eastAsia="zh-CN"/>
              </w:rPr>
              <w:t>4.64%</w:t>
            </w:r>
          </w:p>
        </w:tc>
        <w:tc>
          <w:tcPr>
            <w:tcW w:w="713" w:type="dxa"/>
            <w:shd w:val="clear" w:color="auto" w:fill="auto"/>
            <w:noWrap/>
            <w:vAlign w:val="center"/>
          </w:tcPr>
          <w:p w14:paraId="6D18CE28">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pacing w:val="-28"/>
                <w:sz w:val="18"/>
                <w:szCs w:val="18"/>
                <w:lang w:val="en-US" w:eastAsia="zh-CN"/>
              </w:rPr>
            </w:pPr>
            <w:r>
              <w:rPr>
                <w:rFonts w:hint="eastAsia" w:ascii="仿宋_GB2312" w:hAnsi="仿宋_GB2312" w:eastAsia="仿宋_GB2312" w:cs="仿宋_GB2312"/>
                <w:sz w:val="18"/>
                <w:szCs w:val="18"/>
                <w:lang w:val="en-US" w:eastAsia="zh-CN"/>
              </w:rPr>
              <w:t>1.78%</w:t>
            </w:r>
          </w:p>
        </w:tc>
        <w:tc>
          <w:tcPr>
            <w:tcW w:w="375" w:type="dxa"/>
            <w:shd w:val="clear" w:color="auto" w:fill="auto"/>
            <w:noWrap/>
            <w:vAlign w:val="center"/>
          </w:tcPr>
          <w:p w14:paraId="7880DC0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pacing w:val="-28"/>
                <w:kern w:val="0"/>
                <w:sz w:val="20"/>
                <w:szCs w:val="20"/>
                <w:u w:val="none"/>
                <w:lang w:val="en-US" w:eastAsia="zh-CN" w:bidi="ar"/>
              </w:rPr>
            </w:pPr>
          </w:p>
        </w:tc>
        <w:tc>
          <w:tcPr>
            <w:tcW w:w="350" w:type="dxa"/>
            <w:shd w:val="clear" w:color="auto" w:fill="auto"/>
            <w:noWrap/>
            <w:vAlign w:val="center"/>
          </w:tcPr>
          <w:p w14:paraId="0EFE1DA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0" w:type="dxa"/>
            <w:shd w:val="clear" w:color="auto" w:fill="auto"/>
            <w:noWrap/>
            <w:vAlign w:val="center"/>
          </w:tcPr>
          <w:p w14:paraId="0BDB3C4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0" w:type="dxa"/>
            <w:shd w:val="clear" w:color="auto" w:fill="auto"/>
            <w:noWrap/>
            <w:vAlign w:val="center"/>
          </w:tcPr>
          <w:p w14:paraId="586E264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50" w:type="dxa"/>
            <w:shd w:val="clear" w:color="auto" w:fill="auto"/>
            <w:noWrap/>
            <w:vAlign w:val="center"/>
          </w:tcPr>
          <w:p w14:paraId="59E841D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8" w:type="dxa"/>
            <w:shd w:val="clear" w:color="auto" w:fill="auto"/>
            <w:noWrap/>
            <w:vAlign w:val="center"/>
          </w:tcPr>
          <w:p w14:paraId="2286E96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noWrap/>
            <w:vAlign w:val="center"/>
          </w:tcPr>
          <w:p w14:paraId="615D7A3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r>
      <w:tr w14:paraId="419CD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4984" w:type="dxa"/>
            <w:gridSpan w:val="6"/>
            <w:shd w:val="clear" w:color="auto" w:fill="auto"/>
            <w:vAlign w:val="center"/>
          </w:tcPr>
          <w:p w14:paraId="0054D59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总学分、学时合计</w:t>
            </w:r>
          </w:p>
        </w:tc>
        <w:tc>
          <w:tcPr>
            <w:tcW w:w="712" w:type="dxa"/>
            <w:shd w:val="clear" w:color="auto" w:fill="auto"/>
            <w:noWrap/>
            <w:vAlign w:val="center"/>
          </w:tcPr>
          <w:p w14:paraId="02CC56AD">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149</w:t>
            </w:r>
          </w:p>
        </w:tc>
        <w:tc>
          <w:tcPr>
            <w:tcW w:w="700" w:type="dxa"/>
            <w:shd w:val="clear" w:color="auto" w:fill="auto"/>
            <w:noWrap/>
            <w:vAlign w:val="center"/>
          </w:tcPr>
          <w:p w14:paraId="71CB2879">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2802</w:t>
            </w:r>
          </w:p>
        </w:tc>
        <w:tc>
          <w:tcPr>
            <w:tcW w:w="725" w:type="dxa"/>
            <w:shd w:val="clear" w:color="auto" w:fill="auto"/>
            <w:noWrap/>
            <w:vAlign w:val="center"/>
          </w:tcPr>
          <w:p w14:paraId="2DCC950E">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1376</w:t>
            </w:r>
          </w:p>
        </w:tc>
        <w:tc>
          <w:tcPr>
            <w:tcW w:w="713" w:type="dxa"/>
            <w:shd w:val="clear" w:color="auto" w:fill="auto"/>
            <w:noWrap/>
            <w:vAlign w:val="center"/>
          </w:tcPr>
          <w:p w14:paraId="49D8C280">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1426</w:t>
            </w:r>
          </w:p>
        </w:tc>
        <w:tc>
          <w:tcPr>
            <w:tcW w:w="375" w:type="dxa"/>
            <w:shd w:val="clear" w:color="auto" w:fill="auto"/>
            <w:noWrap/>
            <w:vAlign w:val="center"/>
          </w:tcPr>
          <w:p w14:paraId="670DF18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0" w:type="dxa"/>
            <w:shd w:val="clear" w:color="auto" w:fill="auto"/>
            <w:noWrap/>
            <w:vAlign w:val="center"/>
          </w:tcPr>
          <w:p w14:paraId="4D1B720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0" w:type="dxa"/>
            <w:shd w:val="clear" w:color="auto" w:fill="auto"/>
            <w:noWrap/>
            <w:vAlign w:val="center"/>
          </w:tcPr>
          <w:p w14:paraId="4A3E08B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0" w:type="dxa"/>
            <w:shd w:val="clear" w:color="auto" w:fill="auto"/>
            <w:noWrap/>
            <w:vAlign w:val="center"/>
          </w:tcPr>
          <w:p w14:paraId="286A469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50" w:type="dxa"/>
            <w:shd w:val="clear" w:color="auto" w:fill="auto"/>
            <w:noWrap/>
            <w:vAlign w:val="center"/>
          </w:tcPr>
          <w:p w14:paraId="7C55C45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8" w:type="dxa"/>
            <w:shd w:val="clear" w:color="auto" w:fill="auto"/>
            <w:noWrap/>
            <w:vAlign w:val="center"/>
          </w:tcPr>
          <w:p w14:paraId="74F78CA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noWrap/>
            <w:vAlign w:val="center"/>
          </w:tcPr>
          <w:p w14:paraId="4428487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r>
      <w:bookmarkEnd w:id="16"/>
    </w:tbl>
    <w:p w14:paraId="728BE86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九</w:t>
      </w:r>
      <w:r>
        <w:rPr>
          <w:rFonts w:hint="eastAsia" w:ascii="黑体" w:hAnsi="黑体" w:eastAsia="黑体" w:cs="黑体"/>
          <w:color w:val="auto"/>
          <w:sz w:val="32"/>
          <w:szCs w:val="32"/>
        </w:rPr>
        <w:t>、</w:t>
      </w:r>
      <w:r>
        <w:rPr>
          <w:rFonts w:hint="eastAsia" w:ascii="黑体" w:hAnsi="黑体" w:eastAsia="黑体" w:cs="黑体"/>
          <w:color w:val="auto"/>
          <w:sz w:val="32"/>
          <w:szCs w:val="32"/>
          <w:lang w:val="en-US" w:eastAsia="zh-CN"/>
        </w:rPr>
        <w:t>师资队伍</w:t>
      </w:r>
    </w:p>
    <w:p w14:paraId="4E8CED00">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按照“四有好老师”“四个相统一”“四个引路人”的要求建设专业教师队伍，将师德师风作为教师队伍建设的第一标准。</w:t>
      </w:r>
    </w:p>
    <w:p w14:paraId="1464A8EA">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default"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kern w:val="2"/>
          <w:sz w:val="32"/>
          <w:szCs w:val="32"/>
          <w:lang w:val="en-US" w:eastAsia="zh-CN" w:bidi="ar-SA"/>
        </w:rPr>
        <w:t>（一）</w:t>
      </w:r>
      <w:r>
        <w:rPr>
          <w:rFonts w:hint="eastAsia" w:ascii="楷体" w:hAnsi="楷体" w:eastAsia="楷体" w:cs="楷体"/>
          <w:b w:val="0"/>
          <w:bCs w:val="0"/>
          <w:color w:val="auto"/>
          <w:sz w:val="32"/>
          <w:szCs w:val="32"/>
          <w:highlight w:val="none"/>
          <w:lang w:val="en-US" w:eastAsia="zh-CN"/>
        </w:rPr>
        <w:t>队伍结构</w:t>
      </w:r>
    </w:p>
    <w:p w14:paraId="5058503C">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专业教师团队现有专任教师20人，获取职称人数为18人。其中副高及以上职称8人，中级职称4人，初级职称6人。双师型专任教师2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1A5BE35F">
      <w:pPr>
        <w:keepNext w:val="0"/>
        <w:keepLines w:val="0"/>
        <w:pageBreakBefore w:val="0"/>
        <w:widowControl w:val="0"/>
        <w:numPr>
          <w:ilvl w:val="0"/>
          <w:numId w:val="0"/>
        </w:numPr>
        <w:kinsoku/>
        <w:wordWrap/>
        <w:overflowPunct/>
        <w:topLinePunct w:val="0"/>
        <w:autoSpaceDE w:val="0"/>
        <w:autoSpaceDN w:val="0"/>
        <w:bidi w:val="0"/>
        <w:adjustRightInd/>
        <w:snapToGrid/>
        <w:spacing w:after="0" w:line="50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kern w:val="2"/>
          <w:sz w:val="32"/>
          <w:szCs w:val="32"/>
          <w:lang w:val="en-US" w:eastAsia="zh-CN" w:bidi="ar-SA"/>
        </w:rPr>
        <w:t>（二）</w:t>
      </w:r>
      <w:r>
        <w:rPr>
          <w:rFonts w:hint="eastAsia" w:ascii="楷体" w:hAnsi="楷体" w:eastAsia="楷体" w:cs="楷体"/>
          <w:color w:val="auto"/>
          <w:sz w:val="32"/>
          <w:szCs w:val="32"/>
        </w:rPr>
        <w:t>专业带头人</w:t>
      </w:r>
    </w:p>
    <w:p w14:paraId="254945AE">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带头人原则上应具有副高及以上职称，能够较好地把握国内外城市轨道交通行业、专业发展，能广泛联系行业企业，了解行业企业对本专业人才的需求实际，教学设计、专业研究能力强，组织开展教科研工作能力强，在本区域或本领域具有一定的专业影响力。本专业带头人为凌壮志，副高职称，负责本专业的规划与建设、主持专业人才培养方案、课程标准的制定与修订、教材、专业教学标准、专业认证体系的建设工作、负责本专业教学改革和实践技能培养方案的制定等工作。</w:t>
      </w:r>
    </w:p>
    <w:p w14:paraId="36D1C013">
      <w:pPr>
        <w:keepNext w:val="0"/>
        <w:keepLines w:val="0"/>
        <w:pageBreakBefore w:val="0"/>
        <w:widowControl w:val="0"/>
        <w:kinsoku/>
        <w:wordWrap/>
        <w:overflowPunct/>
        <w:topLinePunct w:val="0"/>
        <w:autoSpaceDE w:val="0"/>
        <w:autoSpaceDN w:val="0"/>
        <w:bidi w:val="0"/>
        <w:adjustRightInd/>
        <w:snapToGrid/>
        <w:spacing w:after="0" w:line="500" w:lineRule="exact"/>
        <w:ind w:left="0" w:leftChars="0" w:firstLine="640" w:firstLineChars="200"/>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专任教师</w:t>
      </w:r>
    </w:p>
    <w:p w14:paraId="7E849ECC">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专任教师应具有高校教师资格；践行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四有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好老师标准，有理想信念、道德情操、扎实学识和仁爱之心；落实四个</w:t>
      </w:r>
      <w:r>
        <w:rPr>
          <w:rFonts w:hint="eastAsia" w:ascii="仿宋_GB2312" w:hAnsi="仿宋_GB2312" w:eastAsia="仿宋_GB2312" w:cs="仿宋_GB2312"/>
          <w:color w:val="auto"/>
          <w:sz w:val="32"/>
          <w:szCs w:val="32"/>
          <w:lang w:val="en-US" w:eastAsia="zh-CN"/>
        </w:rPr>
        <w:t>引路</w:t>
      </w:r>
      <w:r>
        <w:rPr>
          <w:rFonts w:hint="eastAsia" w:ascii="仿宋_GB2312" w:hAnsi="仿宋_GB2312" w:eastAsia="仿宋_GB2312" w:cs="仿宋_GB2312"/>
          <w:color w:val="auto"/>
          <w:sz w:val="32"/>
          <w:szCs w:val="32"/>
        </w:rPr>
        <w:t>要求，自觉做学生锤炼品格的引路人、学习知识的引路人、创新思维的引路人和奉献祖国的引路人；具有交通运输等相关专业本科及以上学历，拥有扎实的本专业理论功底和实践能力；具备信息化教学实施能力，能够有效开展课程教学改革与科研创新工作；具有持续性的行业实践经历，每5年累计企业实践时间不少于6个月。</w:t>
      </w:r>
    </w:p>
    <w:p w14:paraId="41FEA340">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兼职教师</w:t>
      </w:r>
    </w:p>
    <w:p w14:paraId="25CFDE21">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14:paraId="42FB00B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rPr>
      </w:pPr>
      <w:r>
        <w:rPr>
          <w:rFonts w:hint="eastAsia" w:ascii="黑体" w:hAnsi="黑体" w:eastAsia="黑体" w:cs="黑体"/>
          <w:color w:val="auto"/>
          <w:sz w:val="32"/>
          <w:szCs w:val="32"/>
          <w:lang w:val="en-US" w:eastAsia="zh-CN"/>
        </w:rPr>
        <w:t>十、教学条件</w:t>
      </w:r>
    </w:p>
    <w:p w14:paraId="3D2A35B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一</w:t>
      </w:r>
      <w:r>
        <w:rPr>
          <w:rFonts w:hint="eastAsia" w:ascii="楷体" w:hAnsi="楷体" w:eastAsia="楷体" w:cs="楷体"/>
          <w:color w:val="auto"/>
          <w:sz w:val="32"/>
          <w:szCs w:val="32"/>
        </w:rPr>
        <w:t>）教学设施</w:t>
      </w:r>
    </w:p>
    <w:p w14:paraId="7EEDA42F">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教学设施主要包括能够满足正常的课程教学、实习实训所需的专业教室、校内实训室和校外实训基地等。</w:t>
      </w:r>
    </w:p>
    <w:p w14:paraId="68D38A9E">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1.专业教室要求</w:t>
      </w:r>
    </w:p>
    <w:p w14:paraId="4340595A">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学校为该专业配备公共教室（配备有多媒体设施）、多媒体教室等，满足理论教学要求。</w:t>
      </w:r>
    </w:p>
    <w:p w14:paraId="58E50218">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配有黑（白）板、多媒体计算机、投影设备、音响设备，安装应急照明装置并保持良好状态，符合紧急疏散要求，标志明显，逃生通道畅通无阻。</w:t>
      </w:r>
    </w:p>
    <w:p w14:paraId="10D2513B">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2.校内实训资源</w:t>
      </w:r>
    </w:p>
    <w:p w14:paraId="4A8280D1">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kern w:val="0"/>
          <w:sz w:val="32"/>
          <w:szCs w:val="32"/>
        </w:rPr>
        <w:t>校内实训资源列表</w:t>
      </w:r>
    </w:p>
    <w:tbl>
      <w:tblPr>
        <w:tblStyle w:val="8"/>
        <w:tblW w:w="10187" w:type="dxa"/>
        <w:tblInd w:w="-4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1"/>
        <w:gridCol w:w="1359"/>
        <w:gridCol w:w="2354"/>
        <w:gridCol w:w="1690"/>
        <w:gridCol w:w="2976"/>
        <w:gridCol w:w="1047"/>
      </w:tblGrid>
      <w:tr w14:paraId="22F6C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761" w:type="dxa"/>
            <w:vAlign w:val="center"/>
          </w:tcPr>
          <w:p w14:paraId="61F9E918">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1359" w:type="dxa"/>
            <w:vAlign w:val="center"/>
          </w:tcPr>
          <w:p w14:paraId="0CDD674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实验实训室名称</w:t>
            </w:r>
          </w:p>
        </w:tc>
        <w:tc>
          <w:tcPr>
            <w:tcW w:w="2354" w:type="dxa"/>
            <w:vAlign w:val="center"/>
          </w:tcPr>
          <w:p w14:paraId="0CA525BE">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实训适用</w:t>
            </w:r>
          </w:p>
          <w:p w14:paraId="09DF4145">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w:t>
            </w:r>
          </w:p>
        </w:tc>
        <w:tc>
          <w:tcPr>
            <w:tcW w:w="1690" w:type="dxa"/>
            <w:vAlign w:val="center"/>
          </w:tcPr>
          <w:p w14:paraId="0837427D">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实训</w:t>
            </w:r>
          </w:p>
          <w:p w14:paraId="455D41FA">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项目</w:t>
            </w:r>
          </w:p>
        </w:tc>
        <w:tc>
          <w:tcPr>
            <w:tcW w:w="2976" w:type="dxa"/>
          </w:tcPr>
          <w:p w14:paraId="3FB8B5E7">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主要设备名称</w:t>
            </w:r>
          </w:p>
          <w:p w14:paraId="46439F2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及配置数量</w:t>
            </w:r>
          </w:p>
        </w:tc>
        <w:tc>
          <w:tcPr>
            <w:tcW w:w="1047" w:type="dxa"/>
          </w:tcPr>
          <w:p w14:paraId="2EF62D2D">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p>
          <w:p w14:paraId="73D2D4E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工位数</w:t>
            </w:r>
          </w:p>
        </w:tc>
      </w:tr>
      <w:tr w14:paraId="31E61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761" w:type="dxa"/>
            <w:vAlign w:val="center"/>
          </w:tcPr>
          <w:p w14:paraId="4BC18BFD">
            <w:pPr>
              <w:overflowPunct w:val="0"/>
              <w:adjustRightInd w:val="0"/>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lang w:val="zh-CN"/>
              </w:rPr>
              <w:t>1</w:t>
            </w:r>
          </w:p>
        </w:tc>
        <w:tc>
          <w:tcPr>
            <w:tcW w:w="1359" w:type="dxa"/>
            <w:vAlign w:val="center"/>
          </w:tcPr>
          <w:p w14:paraId="3CC76E98">
            <w:pPr>
              <w:overflowPunct w:val="0"/>
              <w:adjustRightInd w:val="0"/>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形体礼仪实训室</w:t>
            </w:r>
          </w:p>
        </w:tc>
        <w:tc>
          <w:tcPr>
            <w:tcW w:w="2354" w:type="dxa"/>
            <w:vAlign w:val="center"/>
          </w:tcPr>
          <w:p w14:paraId="6DC66EFE">
            <w:pPr>
              <w:overflowPunct w:val="0"/>
              <w:adjustRightInd w:val="0"/>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城市轨道交通服务礼仪</w:t>
            </w:r>
          </w:p>
        </w:tc>
        <w:tc>
          <w:tcPr>
            <w:tcW w:w="1690" w:type="dxa"/>
            <w:vAlign w:val="center"/>
          </w:tcPr>
          <w:p w14:paraId="48B0EEC8">
            <w:pPr>
              <w:overflowPunct w:val="0"/>
              <w:adjustRightInd w:val="0"/>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服务礼仪培训</w:t>
            </w:r>
          </w:p>
        </w:tc>
        <w:tc>
          <w:tcPr>
            <w:tcW w:w="2976" w:type="dxa"/>
            <w:vAlign w:val="center"/>
          </w:tcPr>
          <w:p w14:paraId="10FA0A37">
            <w:pPr>
              <w:overflowPunct w:val="0"/>
              <w:adjustRightInd w:val="0"/>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把杆、通体墙面镜、瑜伽垫、形体棒</w:t>
            </w:r>
          </w:p>
        </w:tc>
        <w:tc>
          <w:tcPr>
            <w:tcW w:w="1047" w:type="dxa"/>
            <w:vAlign w:val="center"/>
          </w:tcPr>
          <w:p w14:paraId="1EA29217">
            <w:pPr>
              <w:overflowPunct w:val="0"/>
              <w:adjustRightInd w:val="0"/>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60</w:t>
            </w:r>
          </w:p>
        </w:tc>
      </w:tr>
      <w:tr w14:paraId="46A9C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761" w:type="dxa"/>
            <w:vAlign w:val="center"/>
          </w:tcPr>
          <w:p w14:paraId="443251BB">
            <w:pPr>
              <w:overflowPunct w:val="0"/>
              <w:adjustRightInd w:val="0"/>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lang w:val="zh-CN"/>
              </w:rPr>
              <w:t>2</w:t>
            </w:r>
          </w:p>
        </w:tc>
        <w:tc>
          <w:tcPr>
            <w:tcW w:w="1359" w:type="dxa"/>
            <w:vAlign w:val="center"/>
          </w:tcPr>
          <w:p w14:paraId="1AD4508F">
            <w:pPr>
              <w:overflowPunct w:val="0"/>
              <w:adjustRightInd w:val="0"/>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列车工作实训室</w:t>
            </w:r>
          </w:p>
        </w:tc>
        <w:tc>
          <w:tcPr>
            <w:tcW w:w="2354" w:type="dxa"/>
            <w:vAlign w:val="center"/>
          </w:tcPr>
          <w:p w14:paraId="7F3C6759">
            <w:pPr>
              <w:overflowPunct w:val="0"/>
              <w:adjustRightInd w:val="0"/>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城市轨道交通客运组织、城市轨道交通行车组织</w:t>
            </w:r>
          </w:p>
        </w:tc>
        <w:tc>
          <w:tcPr>
            <w:tcW w:w="1690" w:type="dxa"/>
            <w:vAlign w:val="center"/>
          </w:tcPr>
          <w:p w14:paraId="64923F55">
            <w:pPr>
              <w:overflowPunct w:val="0"/>
              <w:adjustRightInd w:val="0"/>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站务员实训、行车值班员实训</w:t>
            </w:r>
          </w:p>
        </w:tc>
        <w:tc>
          <w:tcPr>
            <w:tcW w:w="2976" w:type="dxa"/>
            <w:vAlign w:val="center"/>
          </w:tcPr>
          <w:p w14:paraId="1DE66654">
            <w:pPr>
              <w:overflowPunct w:val="0"/>
              <w:adjustRightInd w:val="0"/>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疏散梯1套、平过板1套</w:t>
            </w:r>
          </w:p>
        </w:tc>
        <w:tc>
          <w:tcPr>
            <w:tcW w:w="1047" w:type="dxa"/>
            <w:vAlign w:val="center"/>
          </w:tcPr>
          <w:p w14:paraId="6E02AFE5">
            <w:pPr>
              <w:overflowPunct w:val="0"/>
              <w:adjustRightInd w:val="0"/>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60</w:t>
            </w:r>
          </w:p>
        </w:tc>
      </w:tr>
      <w:tr w14:paraId="1409E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trPr>
        <w:tc>
          <w:tcPr>
            <w:tcW w:w="761" w:type="dxa"/>
            <w:vAlign w:val="center"/>
          </w:tcPr>
          <w:p w14:paraId="28CDD3A4">
            <w:pPr>
              <w:overflowPunct w:val="0"/>
              <w:adjustRightInd w:val="0"/>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lang w:val="zh-CN"/>
              </w:rPr>
              <w:t>3</w:t>
            </w:r>
          </w:p>
        </w:tc>
        <w:tc>
          <w:tcPr>
            <w:tcW w:w="1359" w:type="dxa"/>
            <w:vAlign w:val="center"/>
          </w:tcPr>
          <w:p w14:paraId="13FE365C">
            <w:pPr>
              <w:overflowPunct w:val="0"/>
              <w:adjustRightInd w:val="0"/>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售票工作实训室</w:t>
            </w:r>
          </w:p>
        </w:tc>
        <w:tc>
          <w:tcPr>
            <w:tcW w:w="2354" w:type="dxa"/>
            <w:vAlign w:val="center"/>
          </w:tcPr>
          <w:p w14:paraId="5D51CC8C">
            <w:pPr>
              <w:overflowPunct w:val="0"/>
              <w:adjustRightInd w:val="0"/>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城市轨道交通票务管理</w:t>
            </w:r>
          </w:p>
          <w:p w14:paraId="71C677B8">
            <w:pPr>
              <w:overflowPunct w:val="0"/>
              <w:adjustRightInd w:val="0"/>
              <w:spacing w:line="360" w:lineRule="exact"/>
              <w:jc w:val="center"/>
              <w:rPr>
                <w:rFonts w:hint="eastAsia" w:ascii="仿宋_GB2312" w:hAnsi="仿宋_GB2312" w:eastAsia="仿宋_GB2312" w:cs="仿宋_GB2312"/>
                <w:sz w:val="24"/>
                <w:szCs w:val="24"/>
              </w:rPr>
            </w:pPr>
          </w:p>
        </w:tc>
        <w:tc>
          <w:tcPr>
            <w:tcW w:w="1690" w:type="dxa"/>
            <w:vAlign w:val="center"/>
          </w:tcPr>
          <w:p w14:paraId="5643BAE0">
            <w:pPr>
              <w:overflowPunct w:val="0"/>
              <w:adjustRightInd w:val="0"/>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票务实训</w:t>
            </w:r>
          </w:p>
        </w:tc>
        <w:tc>
          <w:tcPr>
            <w:tcW w:w="2976" w:type="dxa"/>
            <w:vAlign w:val="center"/>
          </w:tcPr>
          <w:p w14:paraId="2FB6528A">
            <w:pPr>
              <w:overflowPunct w:val="0"/>
              <w:adjustRightInd w:val="0"/>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售票台5套</w:t>
            </w:r>
          </w:p>
        </w:tc>
        <w:tc>
          <w:tcPr>
            <w:tcW w:w="1047" w:type="dxa"/>
            <w:vAlign w:val="center"/>
          </w:tcPr>
          <w:p w14:paraId="41AAA05A">
            <w:pPr>
              <w:overflowPunct w:val="0"/>
              <w:adjustRightInd w:val="0"/>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60</w:t>
            </w:r>
          </w:p>
        </w:tc>
      </w:tr>
      <w:tr w14:paraId="234AA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1" w:type="dxa"/>
            <w:vAlign w:val="center"/>
          </w:tcPr>
          <w:p w14:paraId="7653A496">
            <w:pPr>
              <w:overflowPunct w:val="0"/>
              <w:adjustRightInd w:val="0"/>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lang w:val="zh-CN"/>
              </w:rPr>
              <w:t>4</w:t>
            </w:r>
          </w:p>
        </w:tc>
        <w:tc>
          <w:tcPr>
            <w:tcW w:w="1359" w:type="dxa"/>
            <w:vAlign w:val="center"/>
          </w:tcPr>
          <w:p w14:paraId="2CF33CAC">
            <w:pPr>
              <w:overflowPunct w:val="0"/>
              <w:adjustRightInd w:val="0"/>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轨道交通沙盘实训</w:t>
            </w:r>
          </w:p>
        </w:tc>
        <w:tc>
          <w:tcPr>
            <w:tcW w:w="2354" w:type="dxa"/>
            <w:vAlign w:val="center"/>
          </w:tcPr>
          <w:p w14:paraId="0D3B43DF">
            <w:pPr>
              <w:overflowPunct w:val="0"/>
              <w:adjustRightInd w:val="0"/>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智慧城轨运营管理</w:t>
            </w:r>
            <w:r>
              <w:rPr>
                <w:rFonts w:hint="eastAsia" w:ascii="仿宋_GB2312" w:hAnsi="仿宋_GB2312" w:eastAsia="仿宋_GB2312" w:cs="仿宋_GB2312"/>
                <w:sz w:val="24"/>
                <w:szCs w:val="24"/>
                <w:lang w:eastAsia="zh-CN"/>
              </w:rPr>
              <w:t>、城市轨道交通调度</w:t>
            </w:r>
          </w:p>
        </w:tc>
        <w:tc>
          <w:tcPr>
            <w:tcW w:w="1690" w:type="dxa"/>
            <w:vAlign w:val="center"/>
          </w:tcPr>
          <w:p w14:paraId="6CCC214F">
            <w:pPr>
              <w:overflowPunct w:val="0"/>
              <w:adjustRightInd w:val="0"/>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调度员工作实训</w:t>
            </w:r>
          </w:p>
        </w:tc>
        <w:tc>
          <w:tcPr>
            <w:tcW w:w="2976" w:type="dxa"/>
            <w:vAlign w:val="center"/>
          </w:tcPr>
          <w:p w14:paraId="7A7F92C7">
            <w:pPr>
              <w:overflowPunct w:val="0"/>
              <w:adjustRightInd w:val="0"/>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 xml:space="preserve">地铁运营控制中心模拟系统1套、车站控制室模拟系统1套、车辆段调度操作平台1套 </w:t>
            </w:r>
          </w:p>
        </w:tc>
        <w:tc>
          <w:tcPr>
            <w:tcW w:w="1047" w:type="dxa"/>
            <w:vAlign w:val="center"/>
          </w:tcPr>
          <w:p w14:paraId="4D17A68C">
            <w:pPr>
              <w:overflowPunct w:val="0"/>
              <w:adjustRightInd w:val="0"/>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60</w:t>
            </w:r>
          </w:p>
        </w:tc>
      </w:tr>
    </w:tbl>
    <w:p w14:paraId="616BA53F">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3.校外实训资源</w:t>
      </w:r>
    </w:p>
    <w:p w14:paraId="2F8A0AB2">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（1）校外实训基地基本要求</w:t>
      </w:r>
    </w:p>
    <w:p w14:paraId="25B742FD">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具有稳定的校外实训基地2个以上</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rPr>
        <w:t>能够开展票务系统操作、急救与消防设备操作、站台门与车门操作、综合监控系统操作等实训活动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rPr>
        <w:t>实训设施齐备，实训岗位、实训指导教师确定，实训管理及实施规章制度齐全。</w:t>
      </w:r>
    </w:p>
    <w:p w14:paraId="6A3E05C4">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（2）学生实习基地基本要求</w:t>
      </w:r>
    </w:p>
    <w:p w14:paraId="0CB930D1">
      <w:pPr>
        <w:pageBreakBefore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 xml:space="preserve"> 校外实习基地一览表</w:t>
      </w:r>
    </w:p>
    <w:tbl>
      <w:tblPr>
        <w:tblStyle w:val="8"/>
        <w:tblW w:w="10106" w:type="dxa"/>
        <w:tblInd w:w="-4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2854"/>
        <w:gridCol w:w="2356"/>
        <w:gridCol w:w="1320"/>
        <w:gridCol w:w="1200"/>
        <w:gridCol w:w="1670"/>
      </w:tblGrid>
      <w:tr w14:paraId="22FED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612BED17">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2854" w:type="dxa"/>
            <w:vAlign w:val="center"/>
          </w:tcPr>
          <w:p w14:paraId="4843DD44">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校外实习基地名称</w:t>
            </w:r>
          </w:p>
        </w:tc>
        <w:tc>
          <w:tcPr>
            <w:tcW w:w="2356" w:type="dxa"/>
            <w:vAlign w:val="center"/>
          </w:tcPr>
          <w:p w14:paraId="72BB4EA7">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合作企业名称</w:t>
            </w:r>
          </w:p>
        </w:tc>
        <w:tc>
          <w:tcPr>
            <w:tcW w:w="1320" w:type="dxa"/>
            <w:vAlign w:val="center"/>
          </w:tcPr>
          <w:p w14:paraId="4E42645C">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用途</w:t>
            </w:r>
          </w:p>
        </w:tc>
        <w:tc>
          <w:tcPr>
            <w:tcW w:w="1200" w:type="dxa"/>
            <w:vAlign w:val="center"/>
          </w:tcPr>
          <w:p w14:paraId="1D71BBE2">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合作深</w:t>
            </w:r>
          </w:p>
          <w:p w14:paraId="1675E6A5">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度要求</w:t>
            </w:r>
          </w:p>
        </w:tc>
        <w:tc>
          <w:tcPr>
            <w:tcW w:w="1670" w:type="dxa"/>
            <w:vAlign w:val="center"/>
          </w:tcPr>
          <w:p w14:paraId="088B714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接纳学生实习人次</w:t>
            </w:r>
          </w:p>
        </w:tc>
      </w:tr>
      <w:tr w14:paraId="78954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706" w:type="dxa"/>
            <w:vAlign w:val="center"/>
          </w:tcPr>
          <w:p w14:paraId="22052741">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1</w:t>
            </w:r>
          </w:p>
        </w:tc>
        <w:tc>
          <w:tcPr>
            <w:tcW w:w="2854" w:type="dxa"/>
            <w:vAlign w:val="center"/>
          </w:tcPr>
          <w:p w14:paraId="2960F62B">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广西工程职业学院城市轨道交通运营管理专业校外实习基地</w:t>
            </w:r>
          </w:p>
        </w:tc>
        <w:tc>
          <w:tcPr>
            <w:tcW w:w="2356" w:type="dxa"/>
            <w:vAlign w:val="center"/>
          </w:tcPr>
          <w:p w14:paraId="1B5CDD38">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百色市火车站</w:t>
            </w:r>
          </w:p>
        </w:tc>
        <w:tc>
          <w:tcPr>
            <w:tcW w:w="1320" w:type="dxa"/>
            <w:vAlign w:val="center"/>
          </w:tcPr>
          <w:p w14:paraId="1C6404A8">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岗位实习</w:t>
            </w:r>
          </w:p>
        </w:tc>
        <w:tc>
          <w:tcPr>
            <w:tcW w:w="1200" w:type="dxa"/>
            <w:vAlign w:val="center"/>
          </w:tcPr>
          <w:p w14:paraId="608847D8">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深度合作</w:t>
            </w:r>
          </w:p>
        </w:tc>
        <w:tc>
          <w:tcPr>
            <w:tcW w:w="1670" w:type="dxa"/>
            <w:vAlign w:val="center"/>
          </w:tcPr>
          <w:p w14:paraId="5DE11F31">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60</w:t>
            </w:r>
          </w:p>
        </w:tc>
      </w:tr>
      <w:tr w14:paraId="22B22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trPr>
        <w:tc>
          <w:tcPr>
            <w:tcW w:w="706" w:type="dxa"/>
            <w:vAlign w:val="center"/>
          </w:tcPr>
          <w:p w14:paraId="53E91378">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2</w:t>
            </w:r>
          </w:p>
        </w:tc>
        <w:tc>
          <w:tcPr>
            <w:tcW w:w="2854" w:type="dxa"/>
            <w:vAlign w:val="center"/>
          </w:tcPr>
          <w:p w14:paraId="30EA7D9D">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广西工程职业学院城市轨道交通运营管理专业校外实习基地</w:t>
            </w:r>
          </w:p>
        </w:tc>
        <w:tc>
          <w:tcPr>
            <w:tcW w:w="2356" w:type="dxa"/>
            <w:vAlign w:val="center"/>
          </w:tcPr>
          <w:p w14:paraId="3E6BAE62">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平果市火车站</w:t>
            </w:r>
          </w:p>
        </w:tc>
        <w:tc>
          <w:tcPr>
            <w:tcW w:w="1320" w:type="dxa"/>
            <w:vAlign w:val="center"/>
          </w:tcPr>
          <w:p w14:paraId="0553C3A7">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岗位实习</w:t>
            </w:r>
          </w:p>
        </w:tc>
        <w:tc>
          <w:tcPr>
            <w:tcW w:w="1200" w:type="dxa"/>
            <w:vAlign w:val="center"/>
          </w:tcPr>
          <w:p w14:paraId="18C81818">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深度合作</w:t>
            </w:r>
          </w:p>
        </w:tc>
        <w:tc>
          <w:tcPr>
            <w:tcW w:w="1670" w:type="dxa"/>
            <w:vAlign w:val="center"/>
          </w:tcPr>
          <w:p w14:paraId="70E0CC2E">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60</w:t>
            </w:r>
          </w:p>
        </w:tc>
      </w:tr>
      <w:tr w14:paraId="27A33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1270A3DE">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3</w:t>
            </w:r>
          </w:p>
        </w:tc>
        <w:tc>
          <w:tcPr>
            <w:tcW w:w="2854" w:type="dxa"/>
            <w:vAlign w:val="center"/>
          </w:tcPr>
          <w:p w14:paraId="5EBA793F">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广西工程职业学院城市轨道交通运营管理专业校外实习基地</w:t>
            </w:r>
          </w:p>
        </w:tc>
        <w:tc>
          <w:tcPr>
            <w:tcW w:w="2356" w:type="dxa"/>
            <w:vAlign w:val="center"/>
          </w:tcPr>
          <w:p w14:paraId="72D6E6C8">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广西华信中安保安服务有限公司</w:t>
            </w:r>
          </w:p>
        </w:tc>
        <w:tc>
          <w:tcPr>
            <w:tcW w:w="1320" w:type="dxa"/>
            <w:vAlign w:val="center"/>
          </w:tcPr>
          <w:p w14:paraId="138929EE">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岗位实习</w:t>
            </w:r>
          </w:p>
        </w:tc>
        <w:tc>
          <w:tcPr>
            <w:tcW w:w="1200" w:type="dxa"/>
            <w:vAlign w:val="center"/>
          </w:tcPr>
          <w:p w14:paraId="77A7F7CB">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深度合作</w:t>
            </w:r>
          </w:p>
        </w:tc>
        <w:tc>
          <w:tcPr>
            <w:tcW w:w="1670" w:type="dxa"/>
            <w:vAlign w:val="center"/>
          </w:tcPr>
          <w:p w14:paraId="210354C8">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60</w:t>
            </w:r>
          </w:p>
        </w:tc>
      </w:tr>
      <w:tr w14:paraId="3D61A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4D6FE9CD">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4</w:t>
            </w:r>
          </w:p>
        </w:tc>
        <w:tc>
          <w:tcPr>
            <w:tcW w:w="2854" w:type="dxa"/>
            <w:vAlign w:val="center"/>
          </w:tcPr>
          <w:p w14:paraId="73973F01">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广西工程职业学院城市轨道交通运营管理专业校外实习基地</w:t>
            </w:r>
          </w:p>
        </w:tc>
        <w:tc>
          <w:tcPr>
            <w:tcW w:w="2356" w:type="dxa"/>
            <w:vAlign w:val="center"/>
          </w:tcPr>
          <w:p w14:paraId="16F5E48E">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广东中保保安服务有限公司</w:t>
            </w:r>
          </w:p>
        </w:tc>
        <w:tc>
          <w:tcPr>
            <w:tcW w:w="1320" w:type="dxa"/>
            <w:vAlign w:val="center"/>
          </w:tcPr>
          <w:p w14:paraId="2D90BB9F">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岗位实习</w:t>
            </w:r>
          </w:p>
        </w:tc>
        <w:tc>
          <w:tcPr>
            <w:tcW w:w="1200" w:type="dxa"/>
            <w:vAlign w:val="center"/>
          </w:tcPr>
          <w:p w14:paraId="4572A197">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深度合作</w:t>
            </w:r>
          </w:p>
        </w:tc>
        <w:tc>
          <w:tcPr>
            <w:tcW w:w="1670" w:type="dxa"/>
            <w:vAlign w:val="center"/>
          </w:tcPr>
          <w:p w14:paraId="6773AD7D">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60</w:t>
            </w:r>
          </w:p>
        </w:tc>
      </w:tr>
    </w:tbl>
    <w:p w14:paraId="54DBE1D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rPr>
        <w:t>）教学资源</w:t>
      </w:r>
    </w:p>
    <w:p w14:paraId="44179A43">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教学资源主要包括能满足学生专业学习、教师专业教学研究和教学实施所需的教材、图书文献及数字教学资源等。</w:t>
      </w:r>
    </w:p>
    <w:p w14:paraId="16E12D11">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1.教材选用基本要求</w:t>
      </w:r>
    </w:p>
    <w:p w14:paraId="64652FE6">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选用近五年内出版的高职高专国家级规划教材、自治区级规划教材、高职高专类出版教材。</w:t>
      </w:r>
    </w:p>
    <w:p w14:paraId="56179888">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2.图书文献配备基本要求</w:t>
      </w:r>
    </w:p>
    <w:p w14:paraId="0A8C6AEF">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图书文献配备能满足人才培养、专业建设、教科研等工作的需要，方便师生查询、借阅。专业类文献主要包括：交通运输相关行业政策法规、行业标准、技术规范以及城市轨道交通与服务相关专业类图书和实务案例类图书。专业图书资料（含电子图书）不低于500册，5种以上城市轨道交通类专业学术期刊，并能保持每年更新。</w:t>
      </w:r>
    </w:p>
    <w:p w14:paraId="00E31C8A">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3.数字教学资源配置基本要求</w:t>
      </w:r>
    </w:p>
    <w:p w14:paraId="4BFAB067">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建设、配备与专业相关的音视频素材、教学课件、数字化教学案例库、虚拟仿真软件、数字教材等专业教学资源库，应种类丰富、形式多样、使用便捷、动态更新，能满足教学要求。</w:t>
      </w:r>
    </w:p>
    <w:p w14:paraId="57E3319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rPr>
        <w:t>）教学方法</w:t>
      </w:r>
    </w:p>
    <w:p w14:paraId="71045899">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不同课程的性质特点，在保留传统讲授法、演示法、讨论法、问答法、案例分析法等的基础上，应充分利用信息化教学资源，尽量将项目驱动法、探究式教学、翻转课堂等新型教学模式及方法引入课堂，遵循“学生为主体，教师为主导”的原则，积极探索多种教学方法。</w:t>
      </w:r>
    </w:p>
    <w:p w14:paraId="1A94696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rPr>
        <w:t>）学习评价</w:t>
      </w:r>
    </w:p>
    <w:p w14:paraId="220ABBEA">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1.课程考核方法</w:t>
      </w:r>
    </w:p>
    <w:p w14:paraId="7B367269">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的考核一般分为考试评价、考查评价、鉴定评价、评语评价和答辩评价五种形式。考核评价须根据国家有关规定、课程标准及教学特点确定相应形式，可采取笔试、技能测试、机考、口试、面试等中的一种或多种方式进行。</w:t>
      </w:r>
    </w:p>
    <w:p w14:paraId="6AC57337">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课程成绩评定根据学生参与度、作业质量、实训效果与期末考核等项目确定不同比例进行综合评定，评定标准如下：</w:t>
      </w:r>
    </w:p>
    <w:p w14:paraId="38D4CB38">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）A类课程成绩构成（纯理论）</w:t>
      </w:r>
    </w:p>
    <w:p w14:paraId="1DDFD0B8">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课程总成绩=期末卷面考试成绩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+平时成绩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p>
    <w:p w14:paraId="2F82835D">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）B类课程成绩构成（理论+实践）</w:t>
      </w:r>
    </w:p>
    <w:p w14:paraId="0D9B0899">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课程总成绩=理论部分期末卷面考试</w:t>
      </w:r>
      <w:r>
        <w:rPr>
          <w:rFonts w:hint="eastAsia" w:ascii="仿宋_GB2312" w:hAnsi="仿宋_GB2312" w:eastAsia="仿宋_GB2312" w:cs="仿宋_GB2312"/>
          <w:color w:val="auto"/>
          <w:sz w:val="32"/>
          <w:szCs w:val="32"/>
          <w:lang w:val="en-US" w:eastAsia="zh-CN"/>
        </w:rPr>
        <w:t>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+技能成绩（30%）+平时成绩（30%）。</w:t>
      </w:r>
    </w:p>
    <w:p w14:paraId="34494BB0">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）C类课程成绩构成</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rPr>
        <w:t>纯实践）</w:t>
      </w:r>
    </w:p>
    <w:p w14:paraId="041132E9">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课程总成绩=技能成绩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+平时成绩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p>
    <w:p w14:paraId="3A95DC9E">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2.教学评价方式</w:t>
      </w:r>
    </w:p>
    <w:p w14:paraId="40FD1947">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14:paraId="41818849">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十一、</w:t>
      </w:r>
      <w:r>
        <w:rPr>
          <w:rFonts w:hint="eastAsia" w:ascii="黑体" w:hAnsi="黑体" w:eastAsia="黑体" w:cs="黑体"/>
          <w:b w:val="0"/>
          <w:bCs w:val="0"/>
          <w:color w:val="auto"/>
          <w:sz w:val="32"/>
          <w:szCs w:val="32"/>
          <w:highlight w:val="none"/>
        </w:rPr>
        <w:t>质量</w:t>
      </w:r>
      <w:r>
        <w:rPr>
          <w:rFonts w:hint="eastAsia" w:ascii="黑体" w:hAnsi="黑体" w:eastAsia="黑体" w:cs="黑体"/>
          <w:b w:val="0"/>
          <w:bCs w:val="0"/>
          <w:color w:val="auto"/>
          <w:sz w:val="32"/>
          <w:szCs w:val="32"/>
          <w:highlight w:val="none"/>
          <w:lang w:val="en-US" w:eastAsia="zh-CN"/>
        </w:rPr>
        <w:t>保障</w:t>
      </w:r>
    </w:p>
    <w:p w14:paraId="451F4355">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一）</w:t>
      </w:r>
      <w:r>
        <w:rPr>
          <w:rFonts w:hint="eastAsia" w:ascii="仿宋_GB2312" w:hAnsi="仿宋_GB2312" w:eastAsia="仿宋_GB2312" w:cs="仿宋_GB2312"/>
          <w:color w:val="auto"/>
          <w:sz w:val="32"/>
          <w:szCs w:val="32"/>
        </w:rPr>
        <w:t>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373A9A61">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二）</w:t>
      </w:r>
      <w:r>
        <w:rPr>
          <w:rFonts w:hint="eastAsia" w:ascii="仿宋_GB2312" w:hAnsi="仿宋_GB2312" w:eastAsia="仿宋_GB2312" w:cs="仿宋_GB2312"/>
          <w:color w:val="auto"/>
          <w:sz w:val="32"/>
          <w:szCs w:val="32"/>
        </w:rPr>
        <w:t>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567F6DE9">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三）</w:t>
      </w:r>
      <w:r>
        <w:rPr>
          <w:rFonts w:hint="eastAsia" w:ascii="仿宋_GB2312" w:hAnsi="仿宋_GB2312" w:eastAsia="仿宋_GB2312" w:cs="仿宋_GB2312"/>
          <w:color w:val="auto"/>
          <w:sz w:val="32"/>
          <w:szCs w:val="32"/>
        </w:rPr>
        <w:t>建立毕业生跟踪反馈机制及社会评价机制，并对生源情况、在校生学业水平、毕业生就业情况等进行分析，定期评价人才培养质量和培养目标达成情况。</w:t>
      </w:r>
    </w:p>
    <w:p w14:paraId="2D223A32">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四）</w:t>
      </w:r>
      <w:r>
        <w:rPr>
          <w:rFonts w:hint="eastAsia" w:ascii="仿宋_GB2312" w:hAnsi="仿宋_GB2312" w:eastAsia="仿宋_GB2312" w:cs="仿宋_GB2312"/>
          <w:color w:val="auto"/>
          <w:sz w:val="32"/>
          <w:szCs w:val="32"/>
        </w:rPr>
        <w:t>充分利用评价分析结果有效改进专业教学，持续提高人才培养质量。</w:t>
      </w:r>
    </w:p>
    <w:p w14:paraId="6019518E">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b w:val="0"/>
          <w:bCs w:val="0"/>
          <w:color w:val="1D41D5"/>
          <w:sz w:val="32"/>
          <w:szCs w:val="32"/>
          <w:highlight w:val="none"/>
          <w:lang w:eastAsia="zh-CN"/>
        </w:rPr>
      </w:pPr>
      <w:r>
        <w:rPr>
          <w:rFonts w:hint="eastAsia" w:ascii="黑体" w:hAnsi="黑体" w:eastAsia="黑体" w:cs="黑体"/>
          <w:b w:val="0"/>
          <w:bCs w:val="0"/>
          <w:color w:val="auto"/>
          <w:sz w:val="32"/>
          <w:szCs w:val="32"/>
          <w:highlight w:val="none"/>
          <w:lang w:val="en-US" w:eastAsia="zh-CN"/>
        </w:rPr>
        <w:t>十二、</w:t>
      </w:r>
      <w:r>
        <w:rPr>
          <w:rFonts w:hint="eastAsia" w:ascii="黑体" w:hAnsi="黑体" w:eastAsia="黑体" w:cs="黑体"/>
          <w:b w:val="0"/>
          <w:bCs w:val="0"/>
          <w:color w:val="auto"/>
          <w:sz w:val="32"/>
          <w:szCs w:val="32"/>
          <w:highlight w:val="none"/>
        </w:rPr>
        <w:t>毕业要求</w:t>
      </w:r>
    </w:p>
    <w:p w14:paraId="45E084B1">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640" w:leftChars="0" w:firstLine="0" w:firstLineChars="0"/>
        <w:textAlignment w:val="auto"/>
        <w:outlineLvl w:val="0"/>
        <w:rPr>
          <w:rFonts w:hint="eastAsia" w:ascii="楷体" w:hAnsi="楷体" w:eastAsia="楷体" w:cs="楷体"/>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（一）学分要求</w:t>
      </w:r>
    </w:p>
    <w:p w14:paraId="6DF01E21">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sz w:val="32"/>
          <w:szCs w:val="32"/>
          <w:lang w:val="en-US" w:eastAsia="zh-CN"/>
        </w:rPr>
        <w:t>本专业要求学生根据人才培养方案确定的目标和培养规格，完成规定的实习实训，全部课程考核合格且修满至少149学分。其中，必修课131学分，选修课18学分。公共必修课42学分，公共选修课8学分。专业必修课89学分，专业选修课10学分。</w:t>
      </w:r>
    </w:p>
    <w:p w14:paraId="274B679F">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（二）综合素质要求</w:t>
      </w:r>
    </w:p>
    <w:p w14:paraId="3C2747EC">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ab/>
      </w:r>
      <w:r>
        <w:rPr>
          <w:rFonts w:hint="eastAsia" w:ascii="仿宋_GB2312" w:hAnsi="仿宋_GB2312" w:eastAsia="仿宋_GB2312" w:cs="仿宋_GB2312"/>
          <w:color w:val="auto"/>
          <w:sz w:val="32"/>
          <w:szCs w:val="32"/>
          <w:lang w:val="en-US" w:eastAsia="zh-CN"/>
        </w:rPr>
        <w:t>1.坚定理想信念：自觉践行社会主义核心价值观，传承技能文明，具有良好的思想品德、社会责任感与法治意识。</w:t>
      </w:r>
    </w:p>
    <w:p w14:paraId="67172E9B">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2.促进全面发展：具有健康的体魄、心理素质和人文审美素养，实现德智体美劳全面发展。</w:t>
      </w:r>
    </w:p>
    <w:p w14:paraId="083A7524">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3.夯实专业基础：系统掌握城市轨道交通运营管理专业知识和智能运维技术技能，能够综合运用于本领域复杂工作场景。</w:t>
      </w:r>
    </w:p>
    <w:p w14:paraId="705306A3">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4.恪守职业规范：具备爱岗敬业、诚实守信的职业道德，遵循行业规程，具有严谨细致、精益求精的工匠精神和安全生产意识。</w:t>
      </w:r>
    </w:p>
    <w:p w14:paraId="183ECBE3">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5.创新解决能力：能够在智能运维、乘客服务、行车组织等岗位中识别和分析问题，具备票务数据应用、大客流疏导及应急处置的初步能力。</w:t>
      </w:r>
    </w:p>
    <w:p w14:paraId="00DA60AF">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6.强化团队协作：具备良好的团队合作与沟通协调能力，能够在多岗位、多职能团队中有效承担个体、成员或负责人的角色。</w:t>
      </w:r>
    </w:p>
    <w:p w14:paraId="6D02BE39">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7.提升数字素养：具备较强的数字技术应用与信息处理能力，能够运用数字化工具完成票务分析、客运组织、行车调度等典型任务。</w:t>
      </w:r>
    </w:p>
    <w:p w14:paraId="3F6ACCE7">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8.树立终身学习理念：具有自主学习和持续发展的意识，能够追踪智慧城轨技术发展动态，不断适应职业岗位演变与技术要求升级。</w:t>
      </w:r>
    </w:p>
    <w:sectPr>
      <w:footerReference r:id="rId6" w:type="default"/>
      <w:pgSz w:w="11906" w:h="16838"/>
      <w:pgMar w:top="1417" w:right="1417" w:bottom="1417" w:left="1417"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963747A-417A-4D5E-95E7-3D37756A578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06398E3B-14AE-4F48-9A19-424B40F25EA4}"/>
  </w:font>
  <w:font w:name="华文新魏">
    <w:panose1 w:val="02010800040101010101"/>
    <w:charset w:val="86"/>
    <w:family w:val="auto"/>
    <w:pitch w:val="default"/>
    <w:sig w:usb0="00000001" w:usb1="080F0000" w:usb2="00000000" w:usb3="00000000" w:csb0="00040000" w:csb1="00000000"/>
    <w:embedRegular r:id="rId3" w:fontKey="{C0E72380-2FF2-48A5-A136-98D192D819A8}"/>
  </w:font>
  <w:font w:name="方正小标宋简体">
    <w:panose1 w:val="03000509000000000000"/>
    <w:charset w:val="86"/>
    <w:family w:val="script"/>
    <w:pitch w:val="default"/>
    <w:sig w:usb0="00000001" w:usb1="080E0000" w:usb2="00000000" w:usb3="00000000" w:csb0="00040000" w:csb1="00000000"/>
    <w:embedRegular r:id="rId4" w:fontKey="{C3325B21-7CAE-41DD-8B8E-997F4852EE23}"/>
  </w:font>
  <w:font w:name="仿宋_GB2312">
    <w:panose1 w:val="02010609030101010101"/>
    <w:charset w:val="86"/>
    <w:family w:val="modern"/>
    <w:pitch w:val="default"/>
    <w:sig w:usb0="00000001" w:usb1="080E0000" w:usb2="00000000" w:usb3="00000000" w:csb0="00040000" w:csb1="00000000"/>
    <w:embedRegular r:id="rId5" w:fontKey="{F8B1E2B0-E109-4A22-B63E-AB92335F6565}"/>
  </w:font>
  <w:font w:name="仿宋GB2312">
    <w:altName w:val="仿宋"/>
    <w:panose1 w:val="00000000000000000000"/>
    <w:charset w:val="00"/>
    <w:family w:val="auto"/>
    <w:pitch w:val="default"/>
    <w:sig w:usb0="00000000" w:usb1="00000000" w:usb2="00000000" w:usb3="00000000" w:csb0="00040001" w:csb1="00000000"/>
    <w:embedRegular r:id="rId6" w:fontKey="{43605D19-4248-481A-8861-CF5BF771BF4B}"/>
  </w:font>
  <w:font w:name="楷体">
    <w:panose1 w:val="02010609060101010101"/>
    <w:charset w:val="86"/>
    <w:family w:val="modern"/>
    <w:pitch w:val="default"/>
    <w:sig w:usb0="800002BF" w:usb1="38CF7CFA" w:usb2="00000016" w:usb3="00000000" w:csb0="00040001" w:csb1="00000000"/>
    <w:embedRegular r:id="rId7" w:fontKey="{CC95447A-F0E7-43DD-97E7-A75FA2A7E8D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ECFBBA">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E4FCCC">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5FE4FCCC">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18D7C7">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FA77F6"/>
    <w:rsid w:val="00090E00"/>
    <w:rsid w:val="000A7541"/>
    <w:rsid w:val="0015300C"/>
    <w:rsid w:val="001673E5"/>
    <w:rsid w:val="001A7FBE"/>
    <w:rsid w:val="00283E45"/>
    <w:rsid w:val="002D15C0"/>
    <w:rsid w:val="003531B3"/>
    <w:rsid w:val="003D3CE4"/>
    <w:rsid w:val="005645D8"/>
    <w:rsid w:val="005A2BBB"/>
    <w:rsid w:val="006A1AE0"/>
    <w:rsid w:val="0071110E"/>
    <w:rsid w:val="009D663D"/>
    <w:rsid w:val="00A12741"/>
    <w:rsid w:val="00A165B0"/>
    <w:rsid w:val="00A23811"/>
    <w:rsid w:val="00AB71CC"/>
    <w:rsid w:val="00B14C0C"/>
    <w:rsid w:val="00B46AB6"/>
    <w:rsid w:val="00B91791"/>
    <w:rsid w:val="00C3446C"/>
    <w:rsid w:val="00C4271B"/>
    <w:rsid w:val="00D03D56"/>
    <w:rsid w:val="00E2700A"/>
    <w:rsid w:val="00ED3BD8"/>
    <w:rsid w:val="00F52A8D"/>
    <w:rsid w:val="00F63617"/>
    <w:rsid w:val="00F82685"/>
    <w:rsid w:val="00FA77F6"/>
    <w:rsid w:val="00FB052B"/>
    <w:rsid w:val="01514167"/>
    <w:rsid w:val="01786F4B"/>
    <w:rsid w:val="017E6D92"/>
    <w:rsid w:val="01AA3877"/>
    <w:rsid w:val="02661E94"/>
    <w:rsid w:val="02CD5374"/>
    <w:rsid w:val="03304250"/>
    <w:rsid w:val="03A07894"/>
    <w:rsid w:val="03B96B5C"/>
    <w:rsid w:val="03C2134C"/>
    <w:rsid w:val="03C4353C"/>
    <w:rsid w:val="048C3708"/>
    <w:rsid w:val="04BC3FEE"/>
    <w:rsid w:val="051223C4"/>
    <w:rsid w:val="05896F72"/>
    <w:rsid w:val="062E0F1B"/>
    <w:rsid w:val="06471FDD"/>
    <w:rsid w:val="06923EF4"/>
    <w:rsid w:val="06C90C44"/>
    <w:rsid w:val="070954E4"/>
    <w:rsid w:val="07322345"/>
    <w:rsid w:val="077741FC"/>
    <w:rsid w:val="082F2519"/>
    <w:rsid w:val="084C7436"/>
    <w:rsid w:val="08CC0577"/>
    <w:rsid w:val="08DA7138"/>
    <w:rsid w:val="08E73603"/>
    <w:rsid w:val="08F70DAF"/>
    <w:rsid w:val="09075A53"/>
    <w:rsid w:val="094D790A"/>
    <w:rsid w:val="095347F5"/>
    <w:rsid w:val="09CB082F"/>
    <w:rsid w:val="09D45935"/>
    <w:rsid w:val="0A1E4E03"/>
    <w:rsid w:val="0A634F0B"/>
    <w:rsid w:val="0A6C019B"/>
    <w:rsid w:val="0AC91212"/>
    <w:rsid w:val="0AFF69E2"/>
    <w:rsid w:val="0B261DB7"/>
    <w:rsid w:val="0B64718D"/>
    <w:rsid w:val="0B9E269F"/>
    <w:rsid w:val="0BB93035"/>
    <w:rsid w:val="0C0A3BA0"/>
    <w:rsid w:val="0CE642FD"/>
    <w:rsid w:val="0D3000CB"/>
    <w:rsid w:val="0DE924A0"/>
    <w:rsid w:val="0E2350DD"/>
    <w:rsid w:val="0E5E6115"/>
    <w:rsid w:val="0ED4462A"/>
    <w:rsid w:val="0F386966"/>
    <w:rsid w:val="0FA47B58"/>
    <w:rsid w:val="0FA67D74"/>
    <w:rsid w:val="0FD20B69"/>
    <w:rsid w:val="0FE4089C"/>
    <w:rsid w:val="10093E5F"/>
    <w:rsid w:val="10152804"/>
    <w:rsid w:val="10234F21"/>
    <w:rsid w:val="10914580"/>
    <w:rsid w:val="10EE36A0"/>
    <w:rsid w:val="116752E1"/>
    <w:rsid w:val="12485112"/>
    <w:rsid w:val="127F665A"/>
    <w:rsid w:val="12996DD2"/>
    <w:rsid w:val="12DC3AAD"/>
    <w:rsid w:val="12F708E7"/>
    <w:rsid w:val="12F72AA5"/>
    <w:rsid w:val="13203999"/>
    <w:rsid w:val="135C5E82"/>
    <w:rsid w:val="139B5716"/>
    <w:rsid w:val="13B33149"/>
    <w:rsid w:val="13F454F6"/>
    <w:rsid w:val="14A800EA"/>
    <w:rsid w:val="15001CD4"/>
    <w:rsid w:val="150317C5"/>
    <w:rsid w:val="15202377"/>
    <w:rsid w:val="15542020"/>
    <w:rsid w:val="15C50828"/>
    <w:rsid w:val="165F0C7D"/>
    <w:rsid w:val="1699418F"/>
    <w:rsid w:val="16995FBA"/>
    <w:rsid w:val="16A42B33"/>
    <w:rsid w:val="16DC051F"/>
    <w:rsid w:val="170B4961"/>
    <w:rsid w:val="1740285C"/>
    <w:rsid w:val="1749510D"/>
    <w:rsid w:val="1796247C"/>
    <w:rsid w:val="18CB084B"/>
    <w:rsid w:val="19481E9C"/>
    <w:rsid w:val="19AF3CC9"/>
    <w:rsid w:val="1AD75157"/>
    <w:rsid w:val="1AE45BF4"/>
    <w:rsid w:val="1B97371F"/>
    <w:rsid w:val="1BAE7956"/>
    <w:rsid w:val="1BCC19A4"/>
    <w:rsid w:val="1BCE5563"/>
    <w:rsid w:val="1BF93A5C"/>
    <w:rsid w:val="1C1C4A98"/>
    <w:rsid w:val="1C27223D"/>
    <w:rsid w:val="1C6F14EE"/>
    <w:rsid w:val="1CB25FAA"/>
    <w:rsid w:val="1D0377EB"/>
    <w:rsid w:val="1D24677C"/>
    <w:rsid w:val="1DD51824"/>
    <w:rsid w:val="1E4B3DFE"/>
    <w:rsid w:val="1E91399D"/>
    <w:rsid w:val="1EA77665"/>
    <w:rsid w:val="1ECC6B87"/>
    <w:rsid w:val="1EE75CB3"/>
    <w:rsid w:val="1F3A7811"/>
    <w:rsid w:val="1F5350F7"/>
    <w:rsid w:val="1F7350FE"/>
    <w:rsid w:val="1FB17C46"/>
    <w:rsid w:val="1FB21E1D"/>
    <w:rsid w:val="1FBC2C9C"/>
    <w:rsid w:val="207417C9"/>
    <w:rsid w:val="20AA343C"/>
    <w:rsid w:val="20BE4D41"/>
    <w:rsid w:val="20E56222"/>
    <w:rsid w:val="210E0F0E"/>
    <w:rsid w:val="214A2080"/>
    <w:rsid w:val="2170143C"/>
    <w:rsid w:val="21EA757A"/>
    <w:rsid w:val="21EB3D26"/>
    <w:rsid w:val="22123047"/>
    <w:rsid w:val="223461B5"/>
    <w:rsid w:val="22967FAA"/>
    <w:rsid w:val="22A00653"/>
    <w:rsid w:val="2338088B"/>
    <w:rsid w:val="236773C3"/>
    <w:rsid w:val="237D0994"/>
    <w:rsid w:val="23954DD6"/>
    <w:rsid w:val="23D42CAA"/>
    <w:rsid w:val="249D12EE"/>
    <w:rsid w:val="24E76143"/>
    <w:rsid w:val="24F353B2"/>
    <w:rsid w:val="260D5FD0"/>
    <w:rsid w:val="267A11BB"/>
    <w:rsid w:val="27075144"/>
    <w:rsid w:val="27441EF5"/>
    <w:rsid w:val="27AE3812"/>
    <w:rsid w:val="27B12BE7"/>
    <w:rsid w:val="27F5401D"/>
    <w:rsid w:val="28557849"/>
    <w:rsid w:val="285A12A4"/>
    <w:rsid w:val="289A5B44"/>
    <w:rsid w:val="28BD30CD"/>
    <w:rsid w:val="296E1A2F"/>
    <w:rsid w:val="29B449E4"/>
    <w:rsid w:val="29C72B81"/>
    <w:rsid w:val="29F55728"/>
    <w:rsid w:val="2B0F281A"/>
    <w:rsid w:val="2B8D373E"/>
    <w:rsid w:val="2BF11F1F"/>
    <w:rsid w:val="2C802418"/>
    <w:rsid w:val="2CB341C7"/>
    <w:rsid w:val="2CC66F08"/>
    <w:rsid w:val="2CEB2E12"/>
    <w:rsid w:val="2CF9108B"/>
    <w:rsid w:val="2D511191"/>
    <w:rsid w:val="2D5704A8"/>
    <w:rsid w:val="2D8165B1"/>
    <w:rsid w:val="2D964B2C"/>
    <w:rsid w:val="2DAC4350"/>
    <w:rsid w:val="2DE47F8D"/>
    <w:rsid w:val="2E5D4FC9"/>
    <w:rsid w:val="2EF84130"/>
    <w:rsid w:val="2F083808"/>
    <w:rsid w:val="2F34284F"/>
    <w:rsid w:val="2F436F36"/>
    <w:rsid w:val="2F7A2E0A"/>
    <w:rsid w:val="2F8D1F5F"/>
    <w:rsid w:val="2FA96B3D"/>
    <w:rsid w:val="2FD933F6"/>
    <w:rsid w:val="30A6152A"/>
    <w:rsid w:val="30A77050"/>
    <w:rsid w:val="30DC27D6"/>
    <w:rsid w:val="3115220C"/>
    <w:rsid w:val="31342FDA"/>
    <w:rsid w:val="318A49A8"/>
    <w:rsid w:val="319766AD"/>
    <w:rsid w:val="31A83FF1"/>
    <w:rsid w:val="31AA329C"/>
    <w:rsid w:val="31D2634F"/>
    <w:rsid w:val="321D581C"/>
    <w:rsid w:val="323355BB"/>
    <w:rsid w:val="32F32A21"/>
    <w:rsid w:val="32F92E4C"/>
    <w:rsid w:val="32FA3DAF"/>
    <w:rsid w:val="33081DF1"/>
    <w:rsid w:val="33254A61"/>
    <w:rsid w:val="33260700"/>
    <w:rsid w:val="33266952"/>
    <w:rsid w:val="33976DF0"/>
    <w:rsid w:val="33AE06F6"/>
    <w:rsid w:val="33B93C14"/>
    <w:rsid w:val="33FB69E4"/>
    <w:rsid w:val="348B3F97"/>
    <w:rsid w:val="34B65AB4"/>
    <w:rsid w:val="34C46423"/>
    <w:rsid w:val="34EA50C0"/>
    <w:rsid w:val="355A4CF7"/>
    <w:rsid w:val="357449D1"/>
    <w:rsid w:val="35E93C67"/>
    <w:rsid w:val="364315C9"/>
    <w:rsid w:val="36657792"/>
    <w:rsid w:val="370E7E29"/>
    <w:rsid w:val="376B0DD8"/>
    <w:rsid w:val="3770165B"/>
    <w:rsid w:val="37960DB8"/>
    <w:rsid w:val="37AD2573"/>
    <w:rsid w:val="381153F4"/>
    <w:rsid w:val="38481119"/>
    <w:rsid w:val="3885200C"/>
    <w:rsid w:val="38877EE4"/>
    <w:rsid w:val="38C22C79"/>
    <w:rsid w:val="38E67040"/>
    <w:rsid w:val="39372651"/>
    <w:rsid w:val="39A700C1"/>
    <w:rsid w:val="3A451367"/>
    <w:rsid w:val="3A60099C"/>
    <w:rsid w:val="3A7A7584"/>
    <w:rsid w:val="3AEA4709"/>
    <w:rsid w:val="3B023801"/>
    <w:rsid w:val="3B4007CD"/>
    <w:rsid w:val="3C027831"/>
    <w:rsid w:val="3C17152E"/>
    <w:rsid w:val="3C5F3307"/>
    <w:rsid w:val="3CA11242"/>
    <w:rsid w:val="3CC35AFB"/>
    <w:rsid w:val="3D0047E4"/>
    <w:rsid w:val="3D766728"/>
    <w:rsid w:val="3D9F7A2D"/>
    <w:rsid w:val="3E4D7489"/>
    <w:rsid w:val="3E725142"/>
    <w:rsid w:val="3EB47508"/>
    <w:rsid w:val="3EB92D70"/>
    <w:rsid w:val="3F6A4DBB"/>
    <w:rsid w:val="3F785DC7"/>
    <w:rsid w:val="3FF86C17"/>
    <w:rsid w:val="3FFC1167"/>
    <w:rsid w:val="40077B0C"/>
    <w:rsid w:val="404B5C4A"/>
    <w:rsid w:val="404C551E"/>
    <w:rsid w:val="40664832"/>
    <w:rsid w:val="4084115C"/>
    <w:rsid w:val="4099592E"/>
    <w:rsid w:val="40B53BBC"/>
    <w:rsid w:val="40B557B9"/>
    <w:rsid w:val="40C8470D"/>
    <w:rsid w:val="413D6362"/>
    <w:rsid w:val="41540B2E"/>
    <w:rsid w:val="415648A7"/>
    <w:rsid w:val="41727207"/>
    <w:rsid w:val="41A42FA1"/>
    <w:rsid w:val="41BB6E00"/>
    <w:rsid w:val="41CF62FB"/>
    <w:rsid w:val="41DE5079"/>
    <w:rsid w:val="422A57D8"/>
    <w:rsid w:val="42526CFB"/>
    <w:rsid w:val="42817701"/>
    <w:rsid w:val="428611BC"/>
    <w:rsid w:val="42B86E9B"/>
    <w:rsid w:val="43105F3B"/>
    <w:rsid w:val="436463B1"/>
    <w:rsid w:val="43713C1A"/>
    <w:rsid w:val="43792ACE"/>
    <w:rsid w:val="43945EC0"/>
    <w:rsid w:val="43A538C3"/>
    <w:rsid w:val="43C755E8"/>
    <w:rsid w:val="44380293"/>
    <w:rsid w:val="447D65EE"/>
    <w:rsid w:val="44A43B7B"/>
    <w:rsid w:val="44B71B00"/>
    <w:rsid w:val="44B862E9"/>
    <w:rsid w:val="44C076F3"/>
    <w:rsid w:val="455530C7"/>
    <w:rsid w:val="458F65D9"/>
    <w:rsid w:val="45AF0A29"/>
    <w:rsid w:val="45B8488C"/>
    <w:rsid w:val="4602706C"/>
    <w:rsid w:val="46733805"/>
    <w:rsid w:val="46B1432D"/>
    <w:rsid w:val="46B856BC"/>
    <w:rsid w:val="46EE10DD"/>
    <w:rsid w:val="46F661E4"/>
    <w:rsid w:val="47103740"/>
    <w:rsid w:val="471C3E9C"/>
    <w:rsid w:val="4803505C"/>
    <w:rsid w:val="480A0199"/>
    <w:rsid w:val="48763A80"/>
    <w:rsid w:val="4893140B"/>
    <w:rsid w:val="48A57EC2"/>
    <w:rsid w:val="48AE4FC8"/>
    <w:rsid w:val="48BA396D"/>
    <w:rsid w:val="48BD16AF"/>
    <w:rsid w:val="48DF1625"/>
    <w:rsid w:val="48E56510"/>
    <w:rsid w:val="49395702"/>
    <w:rsid w:val="49843F7B"/>
    <w:rsid w:val="49A63EF1"/>
    <w:rsid w:val="49A81A17"/>
    <w:rsid w:val="49AA4588"/>
    <w:rsid w:val="4A3C6604"/>
    <w:rsid w:val="4AA20B5D"/>
    <w:rsid w:val="4AB37D46"/>
    <w:rsid w:val="4AD8632C"/>
    <w:rsid w:val="4AF15640"/>
    <w:rsid w:val="4AFA62A3"/>
    <w:rsid w:val="4B5F25AA"/>
    <w:rsid w:val="4B726781"/>
    <w:rsid w:val="4C0272E2"/>
    <w:rsid w:val="4C0C0983"/>
    <w:rsid w:val="4C1149B8"/>
    <w:rsid w:val="4C675BBA"/>
    <w:rsid w:val="4D135D42"/>
    <w:rsid w:val="4D1473C4"/>
    <w:rsid w:val="4E514358"/>
    <w:rsid w:val="4E5C7274"/>
    <w:rsid w:val="4F585C8E"/>
    <w:rsid w:val="4F6B3C13"/>
    <w:rsid w:val="4F7D56F4"/>
    <w:rsid w:val="509C4C8B"/>
    <w:rsid w:val="5135219E"/>
    <w:rsid w:val="51C30881"/>
    <w:rsid w:val="51D535C6"/>
    <w:rsid w:val="51FE1E87"/>
    <w:rsid w:val="522105B9"/>
    <w:rsid w:val="5259656B"/>
    <w:rsid w:val="52B83749"/>
    <w:rsid w:val="535B634F"/>
    <w:rsid w:val="5362756E"/>
    <w:rsid w:val="53807561"/>
    <w:rsid w:val="53994B29"/>
    <w:rsid w:val="53C71634"/>
    <w:rsid w:val="53DF1792"/>
    <w:rsid w:val="54091063"/>
    <w:rsid w:val="542919A7"/>
    <w:rsid w:val="55191A1B"/>
    <w:rsid w:val="55D87B28"/>
    <w:rsid w:val="561D79D7"/>
    <w:rsid w:val="56397652"/>
    <w:rsid w:val="565C2507"/>
    <w:rsid w:val="566118CC"/>
    <w:rsid w:val="56A23A63"/>
    <w:rsid w:val="56F95FA8"/>
    <w:rsid w:val="572D5C52"/>
    <w:rsid w:val="575256B8"/>
    <w:rsid w:val="57750DFE"/>
    <w:rsid w:val="57DB0D53"/>
    <w:rsid w:val="58337298"/>
    <w:rsid w:val="58680DC2"/>
    <w:rsid w:val="588673C8"/>
    <w:rsid w:val="58B13C92"/>
    <w:rsid w:val="58E02A3F"/>
    <w:rsid w:val="5900361E"/>
    <w:rsid w:val="59131EBB"/>
    <w:rsid w:val="592F7A5F"/>
    <w:rsid w:val="59345076"/>
    <w:rsid w:val="59575208"/>
    <w:rsid w:val="595C12A3"/>
    <w:rsid w:val="5996188C"/>
    <w:rsid w:val="59C77C98"/>
    <w:rsid w:val="59DE1485"/>
    <w:rsid w:val="5A9F0C15"/>
    <w:rsid w:val="5AD36B10"/>
    <w:rsid w:val="5AE64A95"/>
    <w:rsid w:val="5B137EF8"/>
    <w:rsid w:val="5B1F1DFE"/>
    <w:rsid w:val="5B322D65"/>
    <w:rsid w:val="5B361363"/>
    <w:rsid w:val="5B500161"/>
    <w:rsid w:val="5BBC75A4"/>
    <w:rsid w:val="5BCC4E68"/>
    <w:rsid w:val="5C0E6052"/>
    <w:rsid w:val="5C38700F"/>
    <w:rsid w:val="5C4E644E"/>
    <w:rsid w:val="5C606182"/>
    <w:rsid w:val="5C8C341B"/>
    <w:rsid w:val="5C9B365E"/>
    <w:rsid w:val="5CAF7F47"/>
    <w:rsid w:val="5CD1707F"/>
    <w:rsid w:val="5D01298C"/>
    <w:rsid w:val="5D206DB4"/>
    <w:rsid w:val="5D292A17"/>
    <w:rsid w:val="5E043D85"/>
    <w:rsid w:val="5E510503"/>
    <w:rsid w:val="5E7540E3"/>
    <w:rsid w:val="5E8B1BDC"/>
    <w:rsid w:val="5E93321A"/>
    <w:rsid w:val="5E9B7945"/>
    <w:rsid w:val="5EBD5B0D"/>
    <w:rsid w:val="5ED86C0E"/>
    <w:rsid w:val="5F07293D"/>
    <w:rsid w:val="5F1B4F3C"/>
    <w:rsid w:val="5F2B6F1B"/>
    <w:rsid w:val="5F335DCF"/>
    <w:rsid w:val="5F475456"/>
    <w:rsid w:val="5F4C0C3F"/>
    <w:rsid w:val="5FC058B5"/>
    <w:rsid w:val="5FE1582B"/>
    <w:rsid w:val="5FF23595"/>
    <w:rsid w:val="5FF437B1"/>
    <w:rsid w:val="601C4AB5"/>
    <w:rsid w:val="6089462F"/>
    <w:rsid w:val="608D150F"/>
    <w:rsid w:val="611D2893"/>
    <w:rsid w:val="613D1187"/>
    <w:rsid w:val="614442C4"/>
    <w:rsid w:val="61750921"/>
    <w:rsid w:val="617A5F38"/>
    <w:rsid w:val="61926DDD"/>
    <w:rsid w:val="61B56F70"/>
    <w:rsid w:val="620D7455"/>
    <w:rsid w:val="62316557"/>
    <w:rsid w:val="62386256"/>
    <w:rsid w:val="62B246FC"/>
    <w:rsid w:val="62D11B87"/>
    <w:rsid w:val="62E80EC0"/>
    <w:rsid w:val="62F835B8"/>
    <w:rsid w:val="631D301E"/>
    <w:rsid w:val="631F49AF"/>
    <w:rsid w:val="632717A7"/>
    <w:rsid w:val="637D5869"/>
    <w:rsid w:val="6384309D"/>
    <w:rsid w:val="638D0589"/>
    <w:rsid w:val="63CE39A4"/>
    <w:rsid w:val="63D27965"/>
    <w:rsid w:val="64025D70"/>
    <w:rsid w:val="643017E4"/>
    <w:rsid w:val="644840CB"/>
    <w:rsid w:val="644C3C29"/>
    <w:rsid w:val="647A7E07"/>
    <w:rsid w:val="64966BE4"/>
    <w:rsid w:val="65165F77"/>
    <w:rsid w:val="65172058"/>
    <w:rsid w:val="65FE0EE5"/>
    <w:rsid w:val="663F14FE"/>
    <w:rsid w:val="66707909"/>
    <w:rsid w:val="66B141AA"/>
    <w:rsid w:val="67470A9D"/>
    <w:rsid w:val="6773145F"/>
    <w:rsid w:val="67B90B06"/>
    <w:rsid w:val="67FA56DC"/>
    <w:rsid w:val="681A3FD0"/>
    <w:rsid w:val="681A5D7E"/>
    <w:rsid w:val="68336E40"/>
    <w:rsid w:val="6888718C"/>
    <w:rsid w:val="68B25FB7"/>
    <w:rsid w:val="68B725B5"/>
    <w:rsid w:val="69164798"/>
    <w:rsid w:val="69446027"/>
    <w:rsid w:val="69D837FB"/>
    <w:rsid w:val="6A246A40"/>
    <w:rsid w:val="6A9C6F1F"/>
    <w:rsid w:val="6ABA1153"/>
    <w:rsid w:val="6AF44665"/>
    <w:rsid w:val="6BDB75D3"/>
    <w:rsid w:val="6BF80185"/>
    <w:rsid w:val="6C2B055A"/>
    <w:rsid w:val="6C423AF6"/>
    <w:rsid w:val="6C8A72E3"/>
    <w:rsid w:val="6C923EBF"/>
    <w:rsid w:val="6D1D49F8"/>
    <w:rsid w:val="6D8F2D6B"/>
    <w:rsid w:val="6E0C43BB"/>
    <w:rsid w:val="6EF07839"/>
    <w:rsid w:val="6EF63638"/>
    <w:rsid w:val="6F2F65B3"/>
    <w:rsid w:val="6F995791"/>
    <w:rsid w:val="6FC4358D"/>
    <w:rsid w:val="6FF128C8"/>
    <w:rsid w:val="6FF60E7F"/>
    <w:rsid w:val="713C6D66"/>
    <w:rsid w:val="71DD2CB4"/>
    <w:rsid w:val="72011973"/>
    <w:rsid w:val="72563E57"/>
    <w:rsid w:val="72DA6836"/>
    <w:rsid w:val="72F21DD2"/>
    <w:rsid w:val="72FF629D"/>
    <w:rsid w:val="730022F6"/>
    <w:rsid w:val="732301DD"/>
    <w:rsid w:val="732950C8"/>
    <w:rsid w:val="735E76C4"/>
    <w:rsid w:val="73C60B68"/>
    <w:rsid w:val="73FD2CDB"/>
    <w:rsid w:val="74024296"/>
    <w:rsid w:val="74185868"/>
    <w:rsid w:val="742510D0"/>
    <w:rsid w:val="74257F85"/>
    <w:rsid w:val="744F0B5E"/>
    <w:rsid w:val="74980757"/>
    <w:rsid w:val="749A44CF"/>
    <w:rsid w:val="74F55BA9"/>
    <w:rsid w:val="74F6722B"/>
    <w:rsid w:val="751A53DD"/>
    <w:rsid w:val="75504B8E"/>
    <w:rsid w:val="76191423"/>
    <w:rsid w:val="76326989"/>
    <w:rsid w:val="76562678"/>
    <w:rsid w:val="7682346D"/>
    <w:rsid w:val="7718792D"/>
    <w:rsid w:val="77D965A0"/>
    <w:rsid w:val="77FC484A"/>
    <w:rsid w:val="782C5979"/>
    <w:rsid w:val="7847671C"/>
    <w:rsid w:val="78764386"/>
    <w:rsid w:val="789254BD"/>
    <w:rsid w:val="79002D6F"/>
    <w:rsid w:val="791660EE"/>
    <w:rsid w:val="79751DE3"/>
    <w:rsid w:val="7A1E674C"/>
    <w:rsid w:val="7A9B68AB"/>
    <w:rsid w:val="7B821819"/>
    <w:rsid w:val="7BAC4AE8"/>
    <w:rsid w:val="7C412483"/>
    <w:rsid w:val="7C541492"/>
    <w:rsid w:val="7C9C690A"/>
    <w:rsid w:val="7D1172F8"/>
    <w:rsid w:val="7D7B6E68"/>
    <w:rsid w:val="7DAC0DCF"/>
    <w:rsid w:val="7E372159"/>
    <w:rsid w:val="7EAF501B"/>
    <w:rsid w:val="7F080287"/>
    <w:rsid w:val="7F1255AA"/>
    <w:rsid w:val="7F491DA9"/>
    <w:rsid w:val="7FB4034D"/>
    <w:rsid w:val="7FB623D9"/>
    <w:rsid w:val="7FE70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cs="宋体"/>
      <w:szCs w:val="21"/>
      <w:lang w:eastAsia="en-US"/>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paragraph" w:customStyle="1" w:styleId="11">
    <w:name w:val="Table Text"/>
    <w:basedOn w:val="1"/>
    <w:semiHidden/>
    <w:qFormat/>
    <w:uiPriority w:val="0"/>
    <w:rPr>
      <w:rFonts w:ascii="宋体" w:hAnsi="宋体" w:cs="宋体"/>
      <w:sz w:val="18"/>
      <w:szCs w:val="18"/>
      <w:lang w:eastAsia="en-US"/>
    </w:r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46</Pages>
  <Words>18009</Words>
  <Characters>18110</Characters>
  <Lines>1850</Lines>
  <Paragraphs>1270</Paragraphs>
  <TotalTime>22</TotalTime>
  <ScaleCrop>false</ScaleCrop>
  <LinksUpToDate>false</LinksUpToDate>
  <CharactersWithSpaces>18131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林佑荣</cp:lastModifiedBy>
  <cp:lastPrinted>2024-09-18T02:55:00Z</cp:lastPrinted>
  <dcterms:modified xsi:type="dcterms:W3CDTF">2025-09-26T10:03:41Z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660E53E3A6E54A28A5971D1ACD35AE0B_13</vt:lpwstr>
  </property>
  <property fmtid="{D5CDD505-2E9C-101B-9397-08002B2CF9AE}" pid="4" name="KSOTemplateDocerSaveRecord">
    <vt:lpwstr>eyJoZGlkIjoiMjc1MmY4YmRmMWQyOTI4YTA4ZWU0YzkzZDQ5ZjQ0MWYiLCJ1c2VySWQiOiI5MzQ1MzgzNTMifQ==</vt:lpwstr>
  </property>
</Properties>
</file>