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CCDB2">
      <w:pPr>
        <w:overflowPunct w:val="0"/>
        <w:adjustRightInd w:val="0"/>
        <w:snapToGrid w:val="0"/>
        <w:jc w:val="both"/>
        <w:rPr>
          <w:rFonts w:hint="eastAsia" w:ascii="仿宋" w:hAnsi="仿宋" w:eastAsia="仿宋"/>
          <w:color w:val="000000" w:themeColor="text1"/>
          <w:szCs w:val="32"/>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2A37DA78">
      <w:pPr>
        <w:overflowPunct w:val="0"/>
        <w:adjustRightInd w:val="0"/>
        <w:snapToGrid w:val="0"/>
        <w:jc w:val="center"/>
        <w:rPr>
          <w:rFonts w:hint="eastAsia" w:ascii="仿宋" w:hAnsi="仿宋" w:eastAsia="仿宋"/>
          <w:color w:val="000000" w:themeColor="text1"/>
          <w:szCs w:val="32"/>
          <w:highlight w:val="none"/>
          <w14:textFill>
            <w14:solidFill>
              <w14:schemeClr w14:val="tx1"/>
            </w14:solidFill>
          </w14:textFill>
        </w:rPr>
      </w:pPr>
    </w:p>
    <w:p w14:paraId="586E70F0">
      <w:pPr>
        <w:overflowPunct w:val="0"/>
        <w:adjustRightInd w:val="0"/>
        <w:snapToGrid w:val="0"/>
        <w:jc w:val="center"/>
        <w:rPr>
          <w:rFonts w:hint="eastAsia" w:ascii="仿宋" w:hAnsi="仿宋" w:eastAsia="仿宋"/>
          <w:color w:val="000000" w:themeColor="text1"/>
          <w:szCs w:val="32"/>
          <w:highlight w:val="none"/>
          <w14:textFill>
            <w14:solidFill>
              <w14:schemeClr w14:val="tx1"/>
            </w14:solidFill>
          </w14:textFill>
        </w:rPr>
      </w:pPr>
    </w:p>
    <w:p w14:paraId="7E913514">
      <w:pPr>
        <w:overflowPunct w:val="0"/>
        <w:adjustRightInd w:val="0"/>
        <w:snapToGrid w:val="0"/>
        <w:jc w:val="center"/>
        <w:rPr>
          <w:rFonts w:hint="eastAsia" w:ascii="仿宋" w:hAnsi="仿宋" w:eastAsia="仿宋"/>
          <w:color w:val="000000" w:themeColor="text1"/>
          <w:szCs w:val="32"/>
          <w:highlight w:val="none"/>
          <w14:textFill>
            <w14:solidFill>
              <w14:schemeClr w14:val="tx1"/>
            </w14:solidFill>
          </w14:textFill>
        </w:rPr>
      </w:pPr>
    </w:p>
    <w:p w14:paraId="5300E181">
      <w:pPr>
        <w:overflowPunct w:val="0"/>
        <w:adjustRightInd w:val="0"/>
        <w:snapToGrid w:val="0"/>
        <w:jc w:val="center"/>
        <w:rPr>
          <w:rFonts w:hint="eastAsia" w:ascii="仿宋" w:hAnsi="仿宋" w:eastAsia="仿宋"/>
          <w:color w:val="000000" w:themeColor="text1"/>
          <w:szCs w:val="32"/>
          <w:highlight w:val="none"/>
          <w14:textFill>
            <w14:solidFill>
              <w14:schemeClr w14:val="tx1"/>
            </w14:solidFill>
          </w14:textFill>
        </w:rPr>
      </w:pPr>
    </w:p>
    <w:p w14:paraId="7FC6A8ED">
      <w:pPr>
        <w:overflowPunct w:val="0"/>
        <w:adjustRightInd w:val="0"/>
        <w:snapToGrid w:val="0"/>
        <w:jc w:val="center"/>
        <w:rPr>
          <w:rFonts w:hint="eastAsia" w:ascii="仿宋" w:hAnsi="仿宋" w:eastAsia="仿宋"/>
          <w:color w:val="000000" w:themeColor="text1"/>
          <w:szCs w:val="32"/>
          <w:highlight w:val="none"/>
          <w14:textFill>
            <w14:solidFill>
              <w14:schemeClr w14:val="tx1"/>
            </w14:solidFill>
          </w14:textFill>
        </w:rPr>
      </w:pPr>
    </w:p>
    <w:p w14:paraId="5B57C581">
      <w:pPr>
        <w:overflowPunct w:val="0"/>
        <w:adjustRightInd w:val="0"/>
        <w:snapToGrid w:val="0"/>
        <w:jc w:val="center"/>
        <w:rPr>
          <w:rFonts w:hint="eastAsia" w:ascii="仿宋" w:hAnsi="仿宋" w:eastAsia="仿宋"/>
          <w:color w:val="000000" w:themeColor="text1"/>
          <w:szCs w:val="32"/>
          <w:highlight w:val="none"/>
          <w14:textFill>
            <w14:solidFill>
              <w14:schemeClr w14:val="tx1"/>
            </w14:solidFill>
          </w14:textFill>
        </w:rPr>
      </w:pPr>
    </w:p>
    <w:p w14:paraId="0159340D">
      <w:pPr>
        <w:overflowPunct w:val="0"/>
        <w:adjustRightInd w:val="0"/>
        <w:snapToGrid w:val="0"/>
        <w:rPr>
          <w:rFonts w:hint="eastAsia" w:ascii="华文新魏" w:hAnsi="仿宋" w:eastAsia="华文新魏"/>
          <w:b/>
          <w:color w:val="000000" w:themeColor="text1"/>
          <w:sz w:val="100"/>
          <w:szCs w:val="100"/>
          <w:highlight w:val="none"/>
          <w14:textFill>
            <w14:solidFill>
              <w14:schemeClr w14:val="tx1"/>
            </w14:solidFill>
          </w14:textFill>
        </w:rPr>
      </w:pPr>
    </w:p>
    <w:p w14:paraId="1E9EAF95">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000000" w:themeColor="text1"/>
          <w:sz w:val="72"/>
          <w:szCs w:val="72"/>
          <w:highlight w:val="none"/>
          <w14:textFill>
            <w14:solidFill>
              <w14:schemeClr w14:val="tx1"/>
            </w14:solidFill>
          </w14:textFill>
        </w:rPr>
      </w:pPr>
      <w:r>
        <w:rPr>
          <w:rFonts w:hint="eastAsia" w:ascii="黑体" w:hAnsi="黑体" w:eastAsia="黑体" w:cs="黑体"/>
          <w:b w:val="0"/>
          <w:bCs/>
          <w:color w:val="000000" w:themeColor="text1"/>
          <w:sz w:val="72"/>
          <w:szCs w:val="72"/>
          <w:highlight w:val="none"/>
          <w:lang w:eastAsia="zh-CN"/>
          <w14:textFill>
            <w14:solidFill>
              <w14:schemeClr w14:val="tx1"/>
            </w14:solidFill>
          </w14:textFill>
        </w:rPr>
        <w:t>202</w:t>
      </w:r>
      <w:r>
        <w:rPr>
          <w:rFonts w:hint="eastAsia" w:ascii="黑体" w:hAnsi="黑体" w:eastAsia="黑体" w:cs="黑体"/>
          <w:b w:val="0"/>
          <w:bCs/>
          <w:color w:val="000000" w:themeColor="text1"/>
          <w:sz w:val="72"/>
          <w:szCs w:val="72"/>
          <w:highlight w:val="none"/>
          <w:lang w:val="en-US" w:eastAsia="zh-CN"/>
          <w14:textFill>
            <w14:solidFill>
              <w14:schemeClr w14:val="tx1"/>
            </w14:solidFill>
          </w14:textFill>
        </w:rPr>
        <w:t>5</w:t>
      </w:r>
      <w:r>
        <w:rPr>
          <w:rFonts w:hint="eastAsia" w:ascii="黑体" w:hAnsi="黑体" w:eastAsia="黑体" w:cs="黑体"/>
          <w:b w:val="0"/>
          <w:bCs/>
          <w:color w:val="000000" w:themeColor="text1"/>
          <w:sz w:val="72"/>
          <w:szCs w:val="72"/>
          <w:highlight w:val="none"/>
          <w14:textFill>
            <w14:solidFill>
              <w14:schemeClr w14:val="tx1"/>
            </w14:solidFill>
          </w14:textFill>
        </w:rPr>
        <w:t>级</w:t>
      </w:r>
      <w:r>
        <w:rPr>
          <w:rFonts w:hint="eastAsia" w:ascii="黑体" w:hAnsi="黑体" w:eastAsia="黑体" w:cs="黑体"/>
          <w:b w:val="0"/>
          <w:bCs/>
          <w:color w:val="000000" w:themeColor="text1"/>
          <w:sz w:val="72"/>
          <w:szCs w:val="72"/>
          <w:highlight w:val="none"/>
          <w:lang w:val="en-US" w:eastAsia="zh-CN"/>
          <w14:textFill>
            <w14:solidFill>
              <w14:schemeClr w14:val="tx1"/>
            </w14:solidFill>
          </w14:textFill>
        </w:rPr>
        <w:t>高速铁路施工与维护</w:t>
      </w:r>
      <w:r>
        <w:rPr>
          <w:rFonts w:hint="eastAsia" w:ascii="黑体" w:hAnsi="黑体" w:eastAsia="黑体" w:cs="黑体"/>
          <w:b w:val="0"/>
          <w:bCs/>
          <w:color w:val="000000" w:themeColor="text1"/>
          <w:sz w:val="72"/>
          <w:szCs w:val="72"/>
          <w:highlight w:val="none"/>
          <w14:textFill>
            <w14:solidFill>
              <w14:schemeClr w14:val="tx1"/>
            </w14:solidFill>
          </w14:textFill>
        </w:rPr>
        <w:t>专业人才培养方案</w:t>
      </w:r>
    </w:p>
    <w:p w14:paraId="42334185">
      <w:pPr>
        <w:widowControl/>
        <w:overflowPunct w:val="0"/>
        <w:adjustRightInd w:val="0"/>
        <w:snapToGrid w:val="0"/>
        <w:jc w:val="center"/>
        <w:rPr>
          <w:rFonts w:hint="eastAsia" w:ascii="黑体" w:hAnsi="黑体" w:eastAsia="黑体" w:cs="黑体"/>
          <w:b/>
          <w:bCs/>
          <w:color w:val="000000" w:themeColor="text1"/>
          <w:kern w:val="0"/>
          <w:sz w:val="52"/>
          <w:szCs w:val="52"/>
          <w:highlight w:val="none"/>
          <w:lang w:val="en-US" w:eastAsia="zh-CN"/>
          <w14:textFill>
            <w14:solidFill>
              <w14:schemeClr w14:val="tx1"/>
            </w14:solidFill>
          </w14:textFill>
        </w:rPr>
      </w:pPr>
    </w:p>
    <w:p w14:paraId="0468F8D4">
      <w:pPr>
        <w:widowControl/>
        <w:overflowPunct w:val="0"/>
        <w:adjustRightInd w:val="0"/>
        <w:snapToGrid w:val="0"/>
        <w:jc w:val="center"/>
        <w:rPr>
          <w:rFonts w:hint="default" w:ascii="黑体" w:hAnsi="黑体" w:eastAsia="黑体" w:cs="黑体"/>
          <w:b/>
          <w:bCs/>
          <w:color w:val="000000" w:themeColor="text1"/>
          <w:kern w:val="0"/>
          <w:sz w:val="52"/>
          <w:szCs w:val="52"/>
          <w:highlight w:val="none"/>
          <w:lang w:val="en-US" w:eastAsia="zh-CN"/>
          <w14:textFill>
            <w14:solidFill>
              <w14:schemeClr w14:val="tx1"/>
            </w14:solidFill>
          </w14:textFill>
        </w:rPr>
      </w:pPr>
      <w:r>
        <w:rPr>
          <w:rFonts w:hint="eastAsia" w:ascii="黑体" w:hAnsi="黑体" w:eastAsia="黑体" w:cs="黑体"/>
          <w:b/>
          <w:bCs/>
          <w:color w:val="000000" w:themeColor="text1"/>
          <w:kern w:val="0"/>
          <w:sz w:val="52"/>
          <w:szCs w:val="52"/>
          <w:highlight w:val="none"/>
          <w:lang w:val="en-US" w:eastAsia="zh-CN"/>
          <w14:textFill>
            <w14:solidFill>
              <w14:schemeClr w14:val="tx1"/>
            </w14:solidFill>
          </w14:textFill>
        </w:rPr>
        <w:t>铁道与航空学院</w:t>
      </w:r>
      <w:r>
        <w:rPr>
          <w:rFonts w:hint="eastAsia" w:ascii="黑体" w:hAnsi="黑体" w:eastAsia="黑体" w:cs="黑体"/>
          <w:b/>
          <w:bCs/>
          <w:color w:val="000000" w:themeColor="text1"/>
          <w:kern w:val="0"/>
          <w:sz w:val="52"/>
          <w:szCs w:val="52"/>
          <w:highlight w:val="none"/>
          <w:lang w:val="en-US" w:eastAsia="zh-CN"/>
          <w14:textFill>
            <w14:solidFill>
              <w14:schemeClr w14:val="tx1"/>
            </w14:solidFill>
          </w14:textFill>
        </w:rPr>
        <w:tab/>
      </w:r>
    </w:p>
    <w:p w14:paraId="1B1A98D3">
      <w:pPr>
        <w:widowControl/>
        <w:overflowPunct w:val="0"/>
        <w:adjustRightInd w:val="0"/>
        <w:snapToGrid w:val="0"/>
        <w:jc w:val="center"/>
        <w:rPr>
          <w:rFonts w:hint="eastAsia" w:ascii="黑体" w:hAnsi="黑体" w:eastAsia="黑体" w:cs="黑体"/>
          <w:b/>
          <w:bCs/>
          <w:color w:val="000000" w:themeColor="text1"/>
          <w:kern w:val="0"/>
          <w:sz w:val="52"/>
          <w:szCs w:val="52"/>
          <w:highlight w:val="none"/>
          <w14:textFill>
            <w14:solidFill>
              <w14:schemeClr w14:val="tx1"/>
            </w14:solidFill>
          </w14:textFill>
        </w:rPr>
      </w:pPr>
    </w:p>
    <w:p w14:paraId="11F45349">
      <w:pPr>
        <w:widowControl/>
        <w:overflowPunct w:val="0"/>
        <w:adjustRightInd w:val="0"/>
        <w:snapToGrid w:val="0"/>
        <w:jc w:val="center"/>
        <w:rPr>
          <w:rFonts w:hint="eastAsia" w:ascii="黑体" w:hAnsi="黑体" w:eastAsia="黑体" w:cs="黑体"/>
          <w:b/>
          <w:bCs/>
          <w:color w:val="000000" w:themeColor="text1"/>
          <w:kern w:val="0"/>
          <w:sz w:val="52"/>
          <w:szCs w:val="52"/>
          <w:highlight w:val="none"/>
          <w:lang w:val="en-US" w:eastAsia="zh-CN"/>
          <w14:textFill>
            <w14:solidFill>
              <w14:schemeClr w14:val="tx1"/>
            </w14:solidFill>
          </w14:textFill>
        </w:rPr>
        <w:sectPr>
          <w:headerReference r:id="rId5" w:type="default"/>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color w:val="000000" w:themeColor="text1"/>
          <w:kern w:val="0"/>
          <w:sz w:val="52"/>
          <w:szCs w:val="52"/>
          <w:highlight w:val="none"/>
          <w:lang w:val="en-US" w:eastAsia="zh-CN"/>
          <w14:textFill>
            <w14:solidFill>
              <w14:schemeClr w14:val="tx1"/>
            </w14:solidFill>
          </w14:textFill>
        </w:rPr>
        <w:t>2025年 4 月</w:t>
      </w:r>
    </w:p>
    <w:p w14:paraId="23DFA8DE">
      <w:pPr>
        <w:widowControl/>
        <w:overflowPunct w:val="0"/>
        <w:adjustRightInd w:val="0"/>
        <w:snapToGrid w:val="0"/>
        <w:jc w:val="center"/>
        <w:rPr>
          <w:rFonts w:hint="eastAsia" w:ascii="黑体" w:hAnsi="黑体" w:eastAsia="黑体" w:cs="黑体"/>
          <w:b/>
          <w:bCs/>
          <w:color w:val="000000" w:themeColor="text1"/>
          <w:kern w:val="0"/>
          <w:sz w:val="52"/>
          <w:szCs w:val="52"/>
          <w:highlight w:val="none"/>
          <w:lang w:val="en-US" w:eastAsia="zh-CN"/>
          <w14:textFill>
            <w14:solidFill>
              <w14:schemeClr w14:val="tx1"/>
            </w14:solidFill>
          </w14:textFill>
        </w:rPr>
      </w:pPr>
    </w:p>
    <w:p w14:paraId="65654B74">
      <w:pPr>
        <w:widowControl/>
        <w:overflowPunct w:val="0"/>
        <w:adjustRightInd w:val="0"/>
        <w:snapToGrid w:val="0"/>
        <w:jc w:val="center"/>
        <w:rPr>
          <w:rFonts w:hint="eastAsia" w:ascii="黑体" w:hAnsi="黑体" w:eastAsia="黑体" w:cs="黑体"/>
          <w:b/>
          <w:bCs/>
          <w:color w:val="000000" w:themeColor="text1"/>
          <w:kern w:val="0"/>
          <w:sz w:val="52"/>
          <w:szCs w:val="52"/>
          <w:highlight w:val="none"/>
          <w:lang w:val="en-US" w:eastAsia="zh-CN"/>
          <w14:textFill>
            <w14:solidFill>
              <w14:schemeClr w14:val="tx1"/>
            </w14:solidFill>
          </w14:textFill>
        </w:rPr>
      </w:pPr>
    </w:p>
    <w:p w14:paraId="3884F5B8">
      <w:pPr>
        <w:widowControl/>
        <w:overflowPunct w:val="0"/>
        <w:adjustRightInd w:val="0"/>
        <w:snapToGrid w:val="0"/>
        <w:jc w:val="center"/>
        <w:rPr>
          <w:rFonts w:hint="eastAsia" w:ascii="黑体" w:hAnsi="黑体" w:eastAsia="黑体" w:cs="黑体"/>
          <w:b/>
          <w:bCs/>
          <w:color w:val="000000" w:themeColor="text1"/>
          <w:kern w:val="0"/>
          <w:sz w:val="52"/>
          <w:szCs w:val="52"/>
          <w:highlight w:val="none"/>
          <w:lang w:val="en-US" w:eastAsia="zh-CN"/>
          <w14:textFill>
            <w14:solidFill>
              <w14:schemeClr w14:val="tx1"/>
            </w14:solidFill>
          </w14:textFill>
        </w:rPr>
        <w:sectPr>
          <w:pgSz w:w="11906" w:h="16838"/>
          <w:pgMar w:top="1417" w:right="1417" w:bottom="1417" w:left="1984" w:header="851" w:footer="992" w:gutter="0"/>
          <w:pgNumType w:start="1"/>
          <w:cols w:space="425" w:num="1"/>
          <w:docGrid w:type="lines" w:linePitch="312" w:charSpace="0"/>
        </w:sectPr>
      </w:pPr>
    </w:p>
    <w:p w14:paraId="51EF916C">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highlight w:val="none"/>
          <w:lang w:val="en-US" w:eastAsia="zh-CN"/>
          <w14:textFill>
            <w14:solidFill>
              <w14:schemeClr w14:val="tx1"/>
            </w14:solidFill>
          </w14:textFill>
        </w:rPr>
        <w:t>高速铁路施工与维护</w:t>
      </w:r>
      <w:r>
        <w:rPr>
          <w:rFonts w:hint="eastAsia" w:ascii="方正小标宋简体" w:hAnsi="方正小标宋简体" w:eastAsia="方正小标宋简体" w:cs="方正小标宋简体"/>
          <w:bCs/>
          <w:color w:val="000000" w:themeColor="text1"/>
          <w:sz w:val="44"/>
          <w:szCs w:val="44"/>
          <w:highlight w:val="none"/>
          <w14:textFill>
            <w14:solidFill>
              <w14:schemeClr w14:val="tx1"/>
            </w14:solidFill>
          </w14:textFill>
        </w:rPr>
        <w:t>专业人才培养方案</w:t>
      </w:r>
    </w:p>
    <w:p w14:paraId="646B3AC9">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000000" w:themeColor="text1"/>
          <w:sz w:val="44"/>
          <w:szCs w:val="44"/>
          <w:highlight w:val="none"/>
          <w14:textFill>
            <w14:solidFill>
              <w14:schemeClr w14:val="tx1"/>
            </w14:solidFill>
          </w14:textFill>
        </w:rPr>
      </w:pPr>
    </w:p>
    <w:p w14:paraId="0F3B1504">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一、专业名称及代码</w:t>
      </w:r>
    </w:p>
    <w:p w14:paraId="3EA3C01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专业名称：</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高速铁路施工与维护</w:t>
      </w:r>
    </w:p>
    <w:p w14:paraId="34D6AE9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专业代码：</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500102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p>
    <w:p w14:paraId="40C30CC5">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二、入学要求</w:t>
      </w:r>
    </w:p>
    <w:p w14:paraId="6A1343A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中等职业学校毕业、普通高级中学毕业或具备同等学力</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F61774D">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三、</w:t>
      </w:r>
      <w:r>
        <w:rPr>
          <w:rFonts w:hint="eastAsia" w:ascii="黑体" w:hAnsi="黑体" w:eastAsia="黑体" w:cs="黑体"/>
          <w:color w:val="000000" w:themeColor="text1"/>
          <w:sz w:val="32"/>
          <w:szCs w:val="32"/>
          <w:highlight w:val="none"/>
          <w:lang w:val="en-US" w:eastAsia="zh-CN"/>
          <w14:textFill>
            <w14:solidFill>
              <w14:schemeClr w14:val="tx1"/>
            </w14:solidFill>
          </w14:textFill>
        </w:rPr>
        <w:t>基本</w:t>
      </w:r>
      <w:r>
        <w:rPr>
          <w:rFonts w:hint="eastAsia" w:ascii="黑体" w:hAnsi="黑体" w:eastAsia="黑体" w:cs="黑体"/>
          <w:color w:val="000000" w:themeColor="text1"/>
          <w:sz w:val="32"/>
          <w:szCs w:val="32"/>
          <w:highlight w:val="none"/>
          <w14:textFill>
            <w14:solidFill>
              <w14:schemeClr w14:val="tx1"/>
            </w14:solidFill>
          </w14:textFill>
        </w:rPr>
        <w:t>修业年限</w:t>
      </w:r>
    </w:p>
    <w:p w14:paraId="2EB50CCF">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标准修业年限为3年，弹性学分有效修业年限为2-5年。</w:t>
      </w:r>
    </w:p>
    <w:p w14:paraId="0F5F05F3">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四、职业面向</w:t>
      </w:r>
    </w:p>
    <w:p w14:paraId="6877EF6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表1职业岗位分析表</w:t>
      </w:r>
    </w:p>
    <w:tbl>
      <w:tblPr>
        <w:tblStyle w:val="9"/>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223"/>
        <w:gridCol w:w="1327"/>
        <w:gridCol w:w="1789"/>
        <w:gridCol w:w="2123"/>
        <w:gridCol w:w="2123"/>
      </w:tblGrid>
      <w:tr w14:paraId="04D2E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45624AD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所属专业类</w:t>
            </w:r>
          </w:p>
          <w:p w14:paraId="272E06F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（代码）</w:t>
            </w:r>
          </w:p>
        </w:tc>
        <w:tc>
          <w:tcPr>
            <w:tcW w:w="1223" w:type="dxa"/>
            <w:vAlign w:val="center"/>
          </w:tcPr>
          <w:p w14:paraId="42D96EB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所属专业类</w:t>
            </w:r>
          </w:p>
          <w:p w14:paraId="16659FD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（代码）</w:t>
            </w:r>
          </w:p>
        </w:tc>
        <w:tc>
          <w:tcPr>
            <w:tcW w:w="1327" w:type="dxa"/>
            <w:vAlign w:val="center"/>
          </w:tcPr>
          <w:p w14:paraId="78AE492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对应行业（代码）</w:t>
            </w:r>
          </w:p>
        </w:tc>
        <w:tc>
          <w:tcPr>
            <w:tcW w:w="1789" w:type="dxa"/>
            <w:vAlign w:val="center"/>
          </w:tcPr>
          <w:p w14:paraId="64B6D56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主要职业类别（代码）</w:t>
            </w:r>
          </w:p>
        </w:tc>
        <w:tc>
          <w:tcPr>
            <w:tcW w:w="2123" w:type="dxa"/>
            <w:vAlign w:val="center"/>
          </w:tcPr>
          <w:p w14:paraId="337429B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主要岗位（群）或技术领域</w:t>
            </w:r>
          </w:p>
        </w:tc>
        <w:tc>
          <w:tcPr>
            <w:tcW w:w="2123" w:type="dxa"/>
            <w:vAlign w:val="center"/>
          </w:tcPr>
          <w:p w14:paraId="6E0773A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职业类证书</w:t>
            </w:r>
          </w:p>
        </w:tc>
      </w:tr>
      <w:tr w14:paraId="08589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top"/>
          </w:tcPr>
          <w:p w14:paraId="3EC69E93">
            <w:pPr>
              <w:overflowPunct w:val="0"/>
              <w:adjustRightInd w:val="0"/>
              <w:spacing w:line="240" w:lineRule="auto"/>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bookmarkStart w:id="0" w:name="OLE_LINK1" w:colFirst="0" w:colLast="5"/>
            <w:r>
              <w:rPr>
                <w:rFonts w:hint="eastAsia" w:ascii="仿宋_GB2312" w:hAnsi="仿宋_GB2312" w:eastAsia="仿宋_GB2312" w:cs="仿宋_GB2312"/>
                <w:color w:val="000000" w:themeColor="text1"/>
                <w:sz w:val="24"/>
                <w:szCs w:val="24"/>
                <w:highlight w:val="none"/>
                <w14:textFill>
                  <w14:solidFill>
                    <w14:schemeClr w14:val="tx1"/>
                  </w14:solidFill>
                </w14:textFill>
              </w:rPr>
              <w:t>交通运输大类（50）</w:t>
            </w:r>
          </w:p>
        </w:tc>
        <w:tc>
          <w:tcPr>
            <w:tcW w:w="1223" w:type="dxa"/>
            <w:vAlign w:val="top"/>
          </w:tcPr>
          <w:p w14:paraId="2161EFBA">
            <w:pPr>
              <w:overflowPunct w:val="0"/>
              <w:adjustRightInd w:val="0"/>
              <w:spacing w:line="240" w:lineRule="auto"/>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铁道运输类（5001）</w:t>
            </w:r>
          </w:p>
        </w:tc>
        <w:tc>
          <w:tcPr>
            <w:tcW w:w="1327" w:type="dxa"/>
            <w:vAlign w:val="top"/>
          </w:tcPr>
          <w:p w14:paraId="42960971">
            <w:pPr>
              <w:overflowPunct w:val="0"/>
              <w:adjustRightInd w:val="0"/>
              <w:spacing w:line="240" w:lineRule="auto"/>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铁路运输业（53）</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土木工程建筑业（48）</w:t>
            </w:r>
          </w:p>
        </w:tc>
        <w:tc>
          <w:tcPr>
            <w:tcW w:w="1789" w:type="dxa"/>
            <w:vAlign w:val="top"/>
          </w:tcPr>
          <w:p w14:paraId="0024BE07">
            <w:pPr>
              <w:overflowPunct w:val="0"/>
              <w:adjustRightInd w:val="0"/>
              <w:spacing w:line="240" w:lineRule="auto"/>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铁道工务工程技术</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人员</w:t>
            </w:r>
            <w:r>
              <w:rPr>
                <w:rFonts w:hint="eastAsia" w:ascii="仿宋_GB2312" w:hAnsi="仿宋_GB2312" w:eastAsia="仿宋_GB2312" w:cs="仿宋_GB2312"/>
                <w:color w:val="000000" w:themeColor="text1"/>
                <w:sz w:val="24"/>
                <w:szCs w:val="24"/>
                <w:highlight w:val="none"/>
                <w14:textFill>
                  <w14:solidFill>
                    <w14:schemeClr w14:val="tx1"/>
                  </w14:solidFill>
                </w14:textFill>
              </w:rPr>
              <w:t>（2-02-17-06）</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铁路建筑工程技术</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人员</w:t>
            </w:r>
            <w:r>
              <w:rPr>
                <w:rFonts w:hint="eastAsia" w:ascii="仿宋_GB2312" w:hAnsi="仿宋_GB2312" w:eastAsia="仿宋_GB2312" w:cs="仿宋_GB2312"/>
                <w:color w:val="000000" w:themeColor="text1"/>
                <w:sz w:val="24"/>
                <w:szCs w:val="24"/>
                <w:highlight w:val="none"/>
                <w14:textFill>
                  <w14:solidFill>
                    <w14:schemeClr w14:val="tx1"/>
                  </w14:solidFill>
                </w14:textFill>
              </w:rPr>
              <w:t>（2-02-18-12）</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铁路线桥工（6-29-02-02）</w:t>
            </w:r>
          </w:p>
        </w:tc>
        <w:tc>
          <w:tcPr>
            <w:tcW w:w="2123" w:type="dxa"/>
            <w:vAlign w:val="top"/>
          </w:tcPr>
          <w:p w14:paraId="54143D36">
            <w:pPr>
              <w:overflowPunct w:val="0"/>
              <w:adjustRightInd w:val="0"/>
              <w:spacing w:line="240" w:lineRule="auto"/>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施工</w:t>
            </w:r>
            <w:r>
              <w:rPr>
                <w:rFonts w:hint="eastAsia" w:ascii="仿宋_GB2312" w:hAnsi="仿宋_GB2312" w:eastAsia="仿宋_GB2312" w:cs="仿宋_GB2312"/>
                <w:color w:val="000000" w:themeColor="text1"/>
                <w:sz w:val="24"/>
                <w:szCs w:val="24"/>
                <w:highlight w:val="none"/>
                <w14:textFill>
                  <w14:solidFill>
                    <w14:schemeClr w14:val="tx1"/>
                  </w14:solidFill>
                </w14:textFill>
              </w:rPr>
              <w:t>技术员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线路工、桥隧工、</w:t>
            </w:r>
            <w:r>
              <w:rPr>
                <w:rFonts w:hint="eastAsia" w:ascii="仿宋_GB2312" w:hAnsi="仿宋_GB2312" w:eastAsia="仿宋_GB2312" w:cs="仿宋_GB2312"/>
                <w:color w:val="000000" w:themeColor="text1"/>
                <w:sz w:val="24"/>
                <w:szCs w:val="24"/>
                <w:highlight w:val="none"/>
                <w14:textFill>
                  <w14:solidFill>
                    <w14:schemeClr w14:val="tx1"/>
                  </w14:solidFill>
                </w14:textFill>
              </w:rPr>
              <w:t>测量员</w:t>
            </w:r>
          </w:p>
        </w:tc>
        <w:tc>
          <w:tcPr>
            <w:tcW w:w="2123" w:type="dxa"/>
            <w:vAlign w:val="top"/>
          </w:tcPr>
          <w:p w14:paraId="40A8F915">
            <w:pPr>
              <w:overflowPunct w:val="0"/>
              <w:adjustRightInd w:val="0"/>
              <w:spacing w:line="240" w:lineRule="auto"/>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建筑信息模型（BIM）、建筑工程识图</w:t>
            </w:r>
          </w:p>
        </w:tc>
      </w:tr>
      <w:bookmarkEnd w:id="0"/>
    </w:tbl>
    <w:p w14:paraId="1642C1EB">
      <w:pPr>
        <w:keepNext w:val="0"/>
        <w:keepLines w:val="0"/>
        <w:pageBreakBefore w:val="0"/>
        <w:widowControl w:val="0"/>
        <w:kinsoku/>
        <w:wordWrap/>
        <w:overflowPunct w:val="0"/>
        <w:topLinePunct w:val="0"/>
        <w:autoSpaceDE/>
        <w:autoSpaceDN/>
        <w:bidi w:val="0"/>
        <w:adjustRightInd w:val="0"/>
        <w:snapToGrid/>
        <w:spacing w:beforeAutospacing="0" w:after="0" w:afterAutospacing="0" w:line="520" w:lineRule="exact"/>
        <w:ind w:firstLine="640" w:firstLineChars="200"/>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五、培养目标</w:t>
      </w:r>
    </w:p>
    <w:p w14:paraId="1B70EBF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本专业培养目标，立足广西“一带一路”陆海新通道建设需求，结合百色革命老区铁路网发展规划，培养德智体美劳全面发展，具有“红色工匠”精神的高素质技术技能人才。重点面向南昆铁路扩能改造、黄百铁路新建等重大项目，培养掌握现代铁路工程施工与维护技术的复合型人才。</w:t>
      </w:r>
    </w:p>
    <w:p w14:paraId="1952C93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具体是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土木工程建筑业和铁路运输业的铁路建筑工程技术人员、铁道工务工程技术人员、铁路线桥工等岗位（群），能够从事高速铁路工程的施工、维护、检测和管理等工作的高技能人才。</w:t>
      </w:r>
    </w:p>
    <w:p w14:paraId="662EEBD2">
      <w:pPr>
        <w:keepNext w:val="0"/>
        <w:keepLines w:val="0"/>
        <w:pageBreakBefore w:val="0"/>
        <w:widowControl w:val="0"/>
        <w:kinsoku/>
        <w:wordWrap/>
        <w:overflowPunct w:val="0"/>
        <w:topLinePunct w:val="0"/>
        <w:autoSpaceDE/>
        <w:autoSpaceDN/>
        <w:bidi w:val="0"/>
        <w:adjustRightInd w:val="0"/>
        <w:snapToGrid/>
        <w:spacing w:beforeAutospacing="0" w:after="0" w:afterAutospacing="0" w:line="520" w:lineRule="exact"/>
        <w:ind w:firstLine="640" w:firstLineChars="200"/>
        <w:textAlignment w:val="auto"/>
        <w:rPr>
          <w:rFonts w:hint="eastAsia" w:ascii="黑体" w:hAnsi="黑体" w:eastAsia="黑体" w:cs="黑体"/>
          <w:color w:val="000000" w:themeColor="text1"/>
          <w:sz w:val="32"/>
          <w:szCs w:val="32"/>
          <w:highlight w:val="none"/>
          <w:lang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六</w:t>
      </w:r>
      <w:r>
        <w:rPr>
          <w:rFonts w:hint="eastAsia" w:ascii="黑体" w:hAnsi="黑体" w:eastAsia="黑体" w:cs="黑体"/>
          <w:color w:val="000000" w:themeColor="text1"/>
          <w:sz w:val="32"/>
          <w:szCs w:val="32"/>
          <w:highlight w:val="none"/>
          <w14:textFill>
            <w14:solidFill>
              <w14:schemeClr w14:val="tx1"/>
            </w14:solidFill>
          </w14:textFill>
        </w:rPr>
        <w:t>、培养</w:t>
      </w:r>
      <w:r>
        <w:rPr>
          <w:rFonts w:hint="eastAsia" w:ascii="黑体" w:hAnsi="黑体" w:eastAsia="黑体" w:cs="黑体"/>
          <w:color w:val="000000" w:themeColor="text1"/>
          <w:sz w:val="32"/>
          <w:szCs w:val="32"/>
          <w:highlight w:val="none"/>
          <w:lang w:val="en-US" w:eastAsia="zh-CN"/>
          <w14:textFill>
            <w14:solidFill>
              <w14:schemeClr w14:val="tx1"/>
            </w14:solidFill>
          </w14:textFill>
        </w:rPr>
        <w:t>规格</w:t>
      </w:r>
    </w:p>
    <w:p w14:paraId="1FCD0A8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本专业学生应在系统学习本专业知识并完成有关实习实训基础上，全面提升知识、能力、素质，掌握并实际运用岗位（群）需要的专业核心技术技能，实现德智体美劳全面发展，总体上须达到以下要求：</w:t>
      </w:r>
    </w:p>
    <w:p w14:paraId="7167C51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知识目标</w:t>
      </w:r>
    </w:p>
    <w:p w14:paraId="50E3B1E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bookmarkStart w:id="1" w:name="OLE_LINK2"/>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bookmarkEnd w:id="1"/>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具有良好的语言表达能力、文字表达能力、沟通合作能力，具有较强的集体意识和团队合作意识，学习1门外语并结合本专业加以运用。</w:t>
      </w:r>
    </w:p>
    <w:p w14:paraId="48A55B5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（2）掌握工程力学、工程制图与CAD等方面的专业基础理论知识，具有高铁工程结构检算、施工图绘制和识图建模的能力。</w:t>
      </w:r>
    </w:p>
    <w:p w14:paraId="4CADDEC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（3）掌握工程测量、工程材料、工程地质、土力学与地基基础等方面的专业基础理论知识，具有高铁工程材料试验检测和高铁工程结构测绘的能力。</w:t>
      </w:r>
    </w:p>
    <w:p w14:paraId="375B877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（二）能力目标</w:t>
      </w:r>
    </w:p>
    <w:p w14:paraId="07B4F03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（1）掌握支撑本专业学习和可持续发展必备的数学、外语（英语等）、信息技术等文化基础知识，具有良好的人文素养与科学素养，具备职业生涯规划能力。</w:t>
      </w:r>
    </w:p>
    <w:p w14:paraId="1890E48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（2）掌握高速铁路路基、桥涵、隧道、轨道及附属工程的施工技术及高速铁路施工组织与概预算、高铁精测精调等技能，具有高速铁路施工技术指导和组织管理等的能力。</w:t>
      </w:r>
    </w:p>
    <w:p w14:paraId="3743CC8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（3）掌握高速铁路线路养护维修、桥隧养护维修和安全生产等技能，具有高铁工程结构检查、病害分析、质量评定和养护维修的能力。</w:t>
      </w:r>
    </w:p>
    <w:p w14:paraId="6FAB2FF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（4）掌握信息技术基础知识，具有适应本行业数字化和智能化发展需求的数字技能。</w:t>
      </w:r>
    </w:p>
    <w:p w14:paraId="1C52A42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（5）具有探究学习、终身学习和可持续发展的能力，具有整合知识和综合运用知识分析问题和解决问题的能力。</w:t>
      </w:r>
    </w:p>
    <w:p w14:paraId="2A8F078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（6）掌握身体运动的基本知识和至少1项体育运动技能，达到国家大学生体质健康测试合格标准，养成良好的运动习惯、卫生习惯和行为习惯；具备一定的心理调适能力。</w:t>
      </w:r>
    </w:p>
    <w:p w14:paraId="7178C9C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（7）掌握必备的美育知识，具有一定的文化修养、审美能力，形成至少1项艺术特长或爱好。</w:t>
      </w:r>
    </w:p>
    <w:p w14:paraId="725EBB47">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（三）素质目标</w:t>
      </w:r>
    </w:p>
    <w:p w14:paraId="3A82310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（1）坚定拥护中国共产党领导和中国特色社会主义制度，以习近平新时代中国特色社会主义思想为指导，践行社会主义核心价值观，具有坚定的理想信念、深厚的爱国情感和中华民族自豪感。</w:t>
      </w:r>
    </w:p>
    <w:p w14:paraId="33C5AFA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掌握与本专业对应职业活动相关的国家法律、行业规范，掌握绿色生产、环境保护、安全防护、质量管理等相关知识与技能，了解相关行业文化，具有爱岗敬业的职业精神，遵守职业道德准则和行为规范，具备社会责任感和担当精神。</w:t>
      </w:r>
    </w:p>
    <w:p w14:paraId="3E5C032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（3）树立正确的劳动观，尊重劳动，热爱劳动，具备与本专业职业发展相适应的劳动素养，弘扬劳模精神、劳动精神、工匠精神，弘扬劳动光荣、技能宝贵、创造伟大的时代风尚。</w:t>
      </w:r>
    </w:p>
    <w:p w14:paraId="67063BB3">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七</w:t>
      </w:r>
      <w:r>
        <w:rPr>
          <w:rFonts w:hint="eastAsia" w:ascii="黑体" w:hAnsi="黑体" w:eastAsia="黑体" w:cs="黑体"/>
          <w:color w:val="000000" w:themeColor="text1"/>
          <w:sz w:val="32"/>
          <w:szCs w:val="32"/>
          <w:highlight w:val="none"/>
          <w14:textFill>
            <w14:solidFill>
              <w14:schemeClr w14:val="tx1"/>
            </w14:solidFill>
          </w14:textFill>
        </w:rPr>
        <w:t>、课程设置</w:t>
      </w:r>
    </w:p>
    <w:p w14:paraId="62B92E2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主要包括公共基础课程和专业课程。</w:t>
      </w:r>
    </w:p>
    <w:p w14:paraId="1631573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（一）公共基础课程</w:t>
      </w:r>
    </w:p>
    <w:p w14:paraId="60DC63E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bookmarkStart w:id="2" w:name="_Toc90734974"/>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分为公共必修课和公共选修课。</w:t>
      </w:r>
    </w:p>
    <w:p w14:paraId="63A616C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必修课程包括</w:t>
      </w:r>
      <w:bookmarkEnd w:id="2"/>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：思想道德与法治、形势与政策、国家安全教育、</w:t>
      </w:r>
      <w:r>
        <w:rPr>
          <w:rFonts w:hint="eastAsia" w:ascii="仿宋_GB2312" w:hAnsi="仿宋_GB2312" w:eastAsia="仿宋_GB2312" w:cs="仿宋_GB2312"/>
          <w:color w:val="auto"/>
          <w:kern w:val="2"/>
          <w:sz w:val="32"/>
          <w:szCs w:val="32"/>
          <w:highlight w:val="none"/>
          <w:lang w:val="en-US" w:eastAsia="zh-CN" w:bidi="ar-SA"/>
        </w:rPr>
        <w:t>军事理论、军训、计算机基础、大学英</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语、大学体育、大学生职业发展与就业指导、大学生心理健康教育、劳动教育、毛泽东思想和中国特色社会主义理论体系概论、创新创业教育、习近平新时代中国特色社会主义思想概论。</w:t>
      </w:r>
    </w:p>
    <w:p w14:paraId="5D24EDD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选修课程包括：中国民俗剪纸技法、影视与鉴赏、中国共产党简史、中华人民共和国简史、改革开放简史、社会主义发展简史、中华优秀传统文化、中华民族共同体概论、语文、数学、物理、化学、职业素养。</w:t>
      </w:r>
    </w:p>
    <w:p w14:paraId="1A6AD36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表2公共基础课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07"/>
        <w:gridCol w:w="752"/>
        <w:gridCol w:w="4193"/>
        <w:gridCol w:w="2925"/>
        <w:gridCol w:w="2396"/>
      </w:tblGrid>
      <w:tr w14:paraId="5582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25AE13F0">
            <w:pPr>
              <w:spacing w:line="360" w:lineRule="exact"/>
              <w:jc w:val="center"/>
              <w:rPr>
                <w:rFonts w:hint="eastAsia" w:ascii="仿宋_GB2312" w:hAnsi="仿宋_GB2312" w:eastAsia="仿宋_GB2312" w:cs="仿宋_GB2312"/>
                <w:color w:val="auto"/>
                <w:sz w:val="24"/>
                <w:szCs w:val="24"/>
                <w:highlight w:val="none"/>
              </w:rPr>
            </w:pPr>
            <w:bookmarkStart w:id="3" w:name="_Toc90734979"/>
            <w:bookmarkStart w:id="4" w:name="_Toc2022"/>
            <w:r>
              <w:rPr>
                <w:rFonts w:hint="eastAsia" w:ascii="仿宋_GB2312" w:hAnsi="仿宋_GB2312" w:eastAsia="仿宋_GB2312" w:cs="仿宋_GB2312"/>
                <w:color w:val="auto"/>
                <w:sz w:val="24"/>
                <w:szCs w:val="24"/>
                <w:highlight w:val="none"/>
              </w:rPr>
              <w:t>序号</w:t>
            </w:r>
            <w:bookmarkEnd w:id="3"/>
            <w:bookmarkEnd w:id="4"/>
          </w:p>
        </w:tc>
        <w:tc>
          <w:tcPr>
            <w:tcW w:w="752" w:type="dxa"/>
            <w:shd w:val="clear" w:color="auto" w:fill="auto"/>
            <w:vAlign w:val="center"/>
          </w:tcPr>
          <w:p w14:paraId="31231B78">
            <w:pPr>
              <w:spacing w:line="360" w:lineRule="exact"/>
              <w:jc w:val="center"/>
              <w:rPr>
                <w:rFonts w:hint="eastAsia" w:ascii="仿宋_GB2312" w:hAnsi="仿宋_GB2312" w:eastAsia="仿宋_GB2312" w:cs="仿宋_GB2312"/>
                <w:color w:val="auto"/>
                <w:sz w:val="24"/>
                <w:szCs w:val="24"/>
                <w:highlight w:val="none"/>
              </w:rPr>
            </w:pPr>
            <w:bookmarkStart w:id="5" w:name="_Toc2635"/>
            <w:bookmarkStart w:id="6" w:name="_Toc90734980"/>
            <w:r>
              <w:rPr>
                <w:rFonts w:hint="eastAsia" w:ascii="仿宋_GB2312" w:hAnsi="仿宋_GB2312" w:eastAsia="仿宋_GB2312" w:cs="仿宋_GB2312"/>
                <w:color w:val="auto"/>
                <w:sz w:val="24"/>
                <w:szCs w:val="24"/>
                <w:highlight w:val="none"/>
              </w:rPr>
              <w:t>课程名称</w:t>
            </w:r>
            <w:bookmarkEnd w:id="5"/>
            <w:bookmarkEnd w:id="6"/>
          </w:p>
        </w:tc>
        <w:tc>
          <w:tcPr>
            <w:tcW w:w="4193" w:type="dxa"/>
            <w:shd w:val="clear" w:color="auto" w:fill="auto"/>
            <w:vAlign w:val="center"/>
          </w:tcPr>
          <w:p w14:paraId="6E9120BD">
            <w:pPr>
              <w:spacing w:line="360" w:lineRule="exact"/>
              <w:jc w:val="center"/>
              <w:rPr>
                <w:rFonts w:hint="eastAsia" w:ascii="仿宋_GB2312" w:hAnsi="仿宋_GB2312" w:eastAsia="仿宋_GB2312" w:cs="仿宋_GB2312"/>
                <w:color w:val="auto"/>
                <w:sz w:val="24"/>
                <w:szCs w:val="24"/>
                <w:highlight w:val="none"/>
              </w:rPr>
            </w:pPr>
            <w:bookmarkStart w:id="7" w:name="_Toc90734981"/>
            <w:bookmarkStart w:id="8" w:name="_Toc24608"/>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bookmarkEnd w:id="7"/>
            <w:bookmarkEnd w:id="8"/>
          </w:p>
        </w:tc>
        <w:tc>
          <w:tcPr>
            <w:tcW w:w="2925" w:type="dxa"/>
            <w:shd w:val="clear" w:color="auto" w:fill="auto"/>
            <w:vAlign w:val="center"/>
          </w:tcPr>
          <w:p w14:paraId="337B0999">
            <w:pPr>
              <w:spacing w:line="360" w:lineRule="exact"/>
              <w:jc w:val="center"/>
              <w:rPr>
                <w:rFonts w:hint="eastAsia" w:ascii="仿宋_GB2312" w:hAnsi="仿宋_GB2312" w:eastAsia="仿宋_GB2312" w:cs="仿宋_GB2312"/>
                <w:color w:val="auto"/>
                <w:sz w:val="24"/>
                <w:szCs w:val="24"/>
                <w:highlight w:val="none"/>
              </w:rPr>
            </w:pPr>
            <w:bookmarkStart w:id="9" w:name="_Toc90734982"/>
            <w:bookmarkStart w:id="10" w:name="_Toc23051"/>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bookmarkEnd w:id="9"/>
            <w:bookmarkEnd w:id="10"/>
          </w:p>
        </w:tc>
        <w:tc>
          <w:tcPr>
            <w:tcW w:w="2396" w:type="dxa"/>
            <w:shd w:val="clear" w:color="auto" w:fill="auto"/>
            <w:vAlign w:val="center"/>
          </w:tcPr>
          <w:p w14:paraId="22035B4D">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5AEBB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5AD61DC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shd w:val="clear" w:color="auto" w:fill="auto"/>
            <w:vAlign w:val="center"/>
          </w:tcPr>
          <w:p w14:paraId="3AE64BC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193" w:type="dxa"/>
            <w:shd w:val="clear" w:color="auto" w:fill="auto"/>
            <w:vAlign w:val="top"/>
          </w:tcPr>
          <w:p w14:paraId="745237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0FA619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3FD06F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25" w:type="dxa"/>
            <w:shd w:val="clear" w:color="auto" w:fill="auto"/>
            <w:vAlign w:val="top"/>
          </w:tcPr>
          <w:p w14:paraId="05A0FA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396" w:type="dxa"/>
            <w:shd w:val="clear" w:color="auto" w:fill="auto"/>
            <w:vAlign w:val="top"/>
          </w:tcPr>
          <w:p w14:paraId="3AEC23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6E2E7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7C65BAC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06AC998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193" w:type="dxa"/>
            <w:shd w:val="clear" w:color="auto" w:fill="auto"/>
            <w:vAlign w:val="top"/>
          </w:tcPr>
          <w:p w14:paraId="44CED5F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291B03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496750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925" w:type="dxa"/>
            <w:shd w:val="clear" w:color="auto" w:fill="auto"/>
            <w:vAlign w:val="top"/>
          </w:tcPr>
          <w:p w14:paraId="5F10E9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396" w:type="dxa"/>
            <w:shd w:val="clear" w:color="auto" w:fill="auto"/>
            <w:vAlign w:val="top"/>
          </w:tcPr>
          <w:p w14:paraId="4AC872B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31709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088FB68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5D0BE4A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193" w:type="dxa"/>
            <w:shd w:val="clear" w:color="auto" w:fill="auto"/>
            <w:vAlign w:val="top"/>
          </w:tcPr>
          <w:p w14:paraId="5F282E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066A12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225AB2C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5A9691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2925" w:type="dxa"/>
            <w:shd w:val="clear" w:color="auto" w:fill="auto"/>
            <w:vAlign w:val="top"/>
          </w:tcPr>
          <w:p w14:paraId="05D2876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396" w:type="dxa"/>
            <w:shd w:val="clear" w:color="auto" w:fill="auto"/>
            <w:vAlign w:val="top"/>
          </w:tcPr>
          <w:p w14:paraId="07D0B62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3D604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0B0BA7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78C7501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193" w:type="dxa"/>
            <w:shd w:val="clear" w:color="auto" w:fill="auto"/>
            <w:vAlign w:val="center"/>
          </w:tcPr>
          <w:p w14:paraId="33975D2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4CE4894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4E87E5E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6791796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925" w:type="dxa"/>
            <w:shd w:val="clear" w:color="auto" w:fill="auto"/>
            <w:vAlign w:val="top"/>
          </w:tcPr>
          <w:p w14:paraId="25ACD4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5A4AAD4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396" w:type="dxa"/>
            <w:shd w:val="clear" w:color="auto" w:fill="auto"/>
            <w:vAlign w:val="top"/>
          </w:tcPr>
          <w:p w14:paraId="1C36F5A7">
            <w:pPr>
              <w:pStyle w:val="7"/>
              <w:keepNext w:val="0"/>
              <w:keepLines w:val="0"/>
              <w:widowControl/>
              <w:suppressLineNumbers w:val="0"/>
              <w:jc w:val="both"/>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5A21FB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5AE64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31254F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71ACAA2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193" w:type="dxa"/>
            <w:shd w:val="clear" w:color="auto" w:fill="auto"/>
            <w:vAlign w:val="center"/>
          </w:tcPr>
          <w:p w14:paraId="5E0C0C93">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63CA00A9">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4130388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25EC46E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2EAAC4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925" w:type="dxa"/>
            <w:shd w:val="clear" w:color="auto" w:fill="auto"/>
            <w:vAlign w:val="top"/>
          </w:tcPr>
          <w:p w14:paraId="653B372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388342A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396" w:type="dxa"/>
            <w:shd w:val="clear" w:color="auto" w:fill="auto"/>
            <w:vAlign w:val="top"/>
          </w:tcPr>
          <w:p w14:paraId="51D676E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76A3C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30BDDC2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4C9477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193" w:type="dxa"/>
            <w:shd w:val="clear" w:color="auto" w:fill="auto"/>
            <w:vAlign w:val="top"/>
          </w:tcPr>
          <w:p w14:paraId="4759934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041BD73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2B0FCCF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0D96B0C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2925" w:type="dxa"/>
            <w:shd w:val="clear" w:color="auto" w:fill="auto"/>
            <w:vAlign w:val="top"/>
          </w:tcPr>
          <w:p w14:paraId="5354A05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396" w:type="dxa"/>
            <w:shd w:val="clear" w:color="auto" w:fill="auto"/>
            <w:vAlign w:val="top"/>
          </w:tcPr>
          <w:p w14:paraId="4E845C9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04358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39A099B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2F03D87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数学</w:t>
            </w:r>
          </w:p>
        </w:tc>
        <w:tc>
          <w:tcPr>
            <w:tcW w:w="4193" w:type="dxa"/>
            <w:shd w:val="clear" w:color="auto" w:fill="auto"/>
            <w:vAlign w:val="top"/>
          </w:tcPr>
          <w:p w14:paraId="1920221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48CF118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6CB3FC0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63D548B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25" w:type="dxa"/>
            <w:shd w:val="clear" w:color="auto" w:fill="auto"/>
            <w:vAlign w:val="top"/>
          </w:tcPr>
          <w:p w14:paraId="065A5D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396" w:type="dxa"/>
            <w:shd w:val="clear" w:color="auto" w:fill="auto"/>
            <w:vAlign w:val="top"/>
          </w:tcPr>
          <w:p w14:paraId="4813011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20745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2266F51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18B8B7C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193" w:type="dxa"/>
            <w:shd w:val="clear" w:color="auto" w:fill="auto"/>
            <w:vAlign w:val="top"/>
          </w:tcPr>
          <w:p w14:paraId="1C192FD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272314F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542CE43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211282A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2925" w:type="dxa"/>
            <w:shd w:val="clear" w:color="auto" w:fill="auto"/>
            <w:vAlign w:val="top"/>
          </w:tcPr>
          <w:p w14:paraId="64FB8FA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396" w:type="dxa"/>
            <w:shd w:val="clear" w:color="auto" w:fill="auto"/>
            <w:vAlign w:val="top"/>
          </w:tcPr>
          <w:p w14:paraId="1D323E6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36EE9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26552C8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46FA12E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193" w:type="dxa"/>
            <w:shd w:val="clear" w:color="auto" w:fill="auto"/>
            <w:vAlign w:val="top"/>
          </w:tcPr>
          <w:p w14:paraId="67E47D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1785DA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4334FA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21ACD4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p w14:paraId="62B0DA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p w14:paraId="375CBF8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2925" w:type="dxa"/>
            <w:shd w:val="clear" w:color="auto" w:fill="auto"/>
            <w:vAlign w:val="top"/>
          </w:tcPr>
          <w:p w14:paraId="75C684B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396" w:type="dxa"/>
            <w:shd w:val="clear" w:color="auto" w:fill="auto"/>
            <w:vAlign w:val="top"/>
          </w:tcPr>
          <w:p w14:paraId="248DA1A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1D110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77872FD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1FDDC4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241D220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171C29D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6096258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50C7ED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6AFF54F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3CA7FCD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5FA0D92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52AFFF6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2470A6A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54C01E3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141E3A6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37FC12E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193" w:type="dxa"/>
            <w:shd w:val="clear" w:color="auto" w:fill="auto"/>
            <w:vAlign w:val="top"/>
          </w:tcPr>
          <w:p w14:paraId="10B7DB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0E1C7D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7F2783D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5485C30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2925" w:type="dxa"/>
            <w:shd w:val="clear" w:color="auto" w:fill="auto"/>
            <w:vAlign w:val="top"/>
          </w:tcPr>
          <w:p w14:paraId="24B1868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396" w:type="dxa"/>
            <w:shd w:val="clear" w:color="auto" w:fill="auto"/>
            <w:vAlign w:val="top"/>
          </w:tcPr>
          <w:p w14:paraId="42BAD6F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31795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0FEAEFD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5CFB80C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193" w:type="dxa"/>
            <w:shd w:val="clear" w:color="auto" w:fill="auto"/>
            <w:vAlign w:val="top"/>
          </w:tcPr>
          <w:p w14:paraId="63649A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6CC4F9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112E60A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714DE7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925" w:type="dxa"/>
            <w:shd w:val="clear" w:color="auto" w:fill="auto"/>
            <w:vAlign w:val="top"/>
          </w:tcPr>
          <w:p w14:paraId="1B6671F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396" w:type="dxa"/>
            <w:shd w:val="clear" w:color="auto" w:fill="auto"/>
            <w:vAlign w:val="top"/>
          </w:tcPr>
          <w:p w14:paraId="30C556A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64A18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773E0F8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6A99461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193" w:type="dxa"/>
            <w:shd w:val="clear" w:color="auto" w:fill="auto"/>
            <w:vAlign w:val="top"/>
          </w:tcPr>
          <w:p w14:paraId="247022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1A5AE7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3D4122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5C4314C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925" w:type="dxa"/>
            <w:shd w:val="clear" w:color="auto" w:fill="auto"/>
            <w:vAlign w:val="top"/>
          </w:tcPr>
          <w:p w14:paraId="7784C2F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396" w:type="dxa"/>
            <w:shd w:val="clear" w:color="auto" w:fill="auto"/>
            <w:vAlign w:val="top"/>
          </w:tcPr>
          <w:p w14:paraId="1D222AB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3CE63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0C1642A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4ED4C15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193" w:type="dxa"/>
            <w:shd w:val="clear" w:color="auto" w:fill="auto"/>
            <w:vAlign w:val="top"/>
          </w:tcPr>
          <w:p w14:paraId="659E888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p>
          <w:p w14:paraId="311659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7013EE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2925" w:type="dxa"/>
            <w:shd w:val="clear" w:color="auto" w:fill="auto"/>
            <w:vAlign w:val="top"/>
          </w:tcPr>
          <w:p w14:paraId="088523A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35D108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16B5BF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396" w:type="dxa"/>
            <w:shd w:val="clear" w:color="auto" w:fill="auto"/>
            <w:vAlign w:val="top"/>
          </w:tcPr>
          <w:p w14:paraId="577B34D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0A219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032625A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14:paraId="190837D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193" w:type="dxa"/>
            <w:shd w:val="clear" w:color="auto" w:fill="auto"/>
            <w:vAlign w:val="top"/>
          </w:tcPr>
          <w:p w14:paraId="7EE03D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36207AB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5DFA2C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6BA17D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p w14:paraId="308D01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2925" w:type="dxa"/>
            <w:shd w:val="clear" w:color="auto" w:fill="auto"/>
            <w:vAlign w:val="top"/>
          </w:tcPr>
          <w:p w14:paraId="2B54F39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396" w:type="dxa"/>
            <w:shd w:val="clear" w:color="auto" w:fill="auto"/>
            <w:vAlign w:val="top"/>
          </w:tcPr>
          <w:p w14:paraId="638FF94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1E79A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3335D60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CA7185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8F3443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58C1E2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40C218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2D8D22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shd w:val="clear" w:color="auto" w:fill="auto"/>
            <w:vAlign w:val="center"/>
          </w:tcPr>
          <w:p w14:paraId="1EE794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1BA049C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3BF3BC6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5F132AF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193" w:type="dxa"/>
            <w:shd w:val="clear" w:color="auto" w:fill="auto"/>
            <w:vAlign w:val="top"/>
          </w:tcPr>
          <w:p w14:paraId="10F980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2F4D1B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2271AF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p w14:paraId="6F4FE3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p>
        </w:tc>
        <w:tc>
          <w:tcPr>
            <w:tcW w:w="2925" w:type="dxa"/>
            <w:shd w:val="clear" w:color="auto" w:fill="auto"/>
            <w:vAlign w:val="top"/>
          </w:tcPr>
          <w:p w14:paraId="1F5B3C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396" w:type="dxa"/>
            <w:shd w:val="clear" w:color="auto" w:fill="auto"/>
            <w:vAlign w:val="top"/>
          </w:tcPr>
          <w:p w14:paraId="4C0C0B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7F44E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07E4C8D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6EB89A8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193" w:type="dxa"/>
            <w:shd w:val="clear" w:color="auto" w:fill="auto"/>
            <w:vAlign w:val="top"/>
          </w:tcPr>
          <w:p w14:paraId="212C31C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408CB48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25F23A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6F604D6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925" w:type="dxa"/>
            <w:shd w:val="clear" w:color="auto" w:fill="auto"/>
            <w:vAlign w:val="top"/>
          </w:tcPr>
          <w:p w14:paraId="40C179D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396" w:type="dxa"/>
            <w:shd w:val="clear" w:color="auto" w:fill="auto"/>
            <w:vAlign w:val="top"/>
          </w:tcPr>
          <w:p w14:paraId="581AE41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66F7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7FAFDF2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69D15E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193" w:type="dxa"/>
            <w:shd w:val="clear" w:color="auto" w:fill="auto"/>
            <w:vAlign w:val="top"/>
          </w:tcPr>
          <w:p w14:paraId="63C00C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57154B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70D0B3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36CC05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w:t>
            </w:r>
            <w:r>
              <w:rPr>
                <w:rFonts w:hint="eastAsia" w:ascii="仿宋_GB2312" w:hAnsi="仿宋_GB2312" w:eastAsia="仿宋_GB2312" w:cs="仿宋_GB2312"/>
                <w:color w:val="auto"/>
                <w:spacing w:val="-23"/>
                <w:sz w:val="24"/>
                <w:szCs w:val="24"/>
                <w:highlight w:val="none"/>
                <w:lang w:val="en-US" w:eastAsia="zh-CN"/>
              </w:rPr>
              <w:t>中增强文化自信，培养家国情怀和人文精神。</w:t>
            </w:r>
          </w:p>
        </w:tc>
        <w:tc>
          <w:tcPr>
            <w:tcW w:w="2925" w:type="dxa"/>
            <w:shd w:val="clear" w:color="auto" w:fill="auto"/>
            <w:vAlign w:val="top"/>
          </w:tcPr>
          <w:p w14:paraId="31AC0C8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396" w:type="dxa"/>
            <w:shd w:val="clear" w:color="auto" w:fill="auto"/>
            <w:vAlign w:val="top"/>
          </w:tcPr>
          <w:p w14:paraId="6CD81E7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1568E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2FEA742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56BF9B2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193" w:type="dxa"/>
            <w:shd w:val="clear" w:color="auto" w:fill="auto"/>
            <w:vAlign w:val="top"/>
          </w:tcPr>
          <w:p w14:paraId="623713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430240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18AEBC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25" w:type="dxa"/>
            <w:shd w:val="clear" w:color="auto" w:fill="auto"/>
            <w:vAlign w:val="top"/>
          </w:tcPr>
          <w:p w14:paraId="2BA309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396" w:type="dxa"/>
            <w:shd w:val="clear" w:color="auto" w:fill="auto"/>
            <w:vAlign w:val="top"/>
          </w:tcPr>
          <w:p w14:paraId="29A903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75844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702BAD2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7769B9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193" w:type="dxa"/>
            <w:shd w:val="clear" w:color="auto" w:fill="auto"/>
            <w:vAlign w:val="top"/>
          </w:tcPr>
          <w:p w14:paraId="0C7E78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63476A5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3E798A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25" w:type="dxa"/>
            <w:shd w:val="clear" w:color="auto" w:fill="auto"/>
            <w:vAlign w:val="top"/>
          </w:tcPr>
          <w:p w14:paraId="068C25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4D10745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396" w:type="dxa"/>
            <w:shd w:val="clear" w:color="auto" w:fill="auto"/>
            <w:vAlign w:val="top"/>
          </w:tcPr>
          <w:p w14:paraId="0E79786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0F7FC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76CA3A1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5258FC8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193" w:type="dxa"/>
            <w:shd w:val="clear" w:color="auto" w:fill="auto"/>
            <w:vAlign w:val="top"/>
          </w:tcPr>
          <w:p w14:paraId="7D85E06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40B41B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10E9A6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925" w:type="dxa"/>
            <w:shd w:val="clear" w:color="auto" w:fill="auto"/>
            <w:vAlign w:val="top"/>
          </w:tcPr>
          <w:p w14:paraId="1276733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396" w:type="dxa"/>
            <w:shd w:val="clear" w:color="auto" w:fill="auto"/>
            <w:vAlign w:val="top"/>
          </w:tcPr>
          <w:p w14:paraId="405FD8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20EC2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2D4B4AB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174F7C2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193" w:type="dxa"/>
            <w:shd w:val="clear" w:color="auto" w:fill="auto"/>
            <w:vAlign w:val="top"/>
          </w:tcPr>
          <w:p w14:paraId="083F0E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25559E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470453B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2925" w:type="dxa"/>
            <w:shd w:val="clear" w:color="auto" w:fill="auto"/>
            <w:vAlign w:val="top"/>
          </w:tcPr>
          <w:p w14:paraId="2ADDE9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396" w:type="dxa"/>
            <w:shd w:val="clear" w:color="auto" w:fill="auto"/>
            <w:vAlign w:val="top"/>
          </w:tcPr>
          <w:p w14:paraId="409249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102FA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6F565C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6F5ECB1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0E2B3F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14:paraId="4918EFF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1CABD4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36D9056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193" w:type="dxa"/>
            <w:shd w:val="clear" w:color="auto" w:fill="auto"/>
            <w:vAlign w:val="top"/>
          </w:tcPr>
          <w:p w14:paraId="44D550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3F16B7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68A879D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2925" w:type="dxa"/>
            <w:shd w:val="clear" w:color="auto" w:fill="auto"/>
            <w:vAlign w:val="top"/>
          </w:tcPr>
          <w:p w14:paraId="7AFF27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1177C7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396" w:type="dxa"/>
            <w:shd w:val="clear" w:color="auto" w:fill="auto"/>
            <w:vAlign w:val="top"/>
          </w:tcPr>
          <w:p w14:paraId="53A483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w:t>
            </w:r>
            <w:r>
              <w:rPr>
                <w:rFonts w:hint="eastAsia" w:ascii="仿宋_GB2312" w:hAnsi="仿宋_GB2312" w:eastAsia="仿宋_GB2312" w:cs="仿宋_GB2312"/>
                <w:color w:val="auto"/>
                <w:spacing w:val="-20"/>
                <w:sz w:val="24"/>
                <w:szCs w:val="24"/>
                <w:highlight w:val="none"/>
                <w:lang w:val="en-US" w:eastAsia="zh-CN"/>
              </w:rPr>
              <w:t>当大任的历史责任感。</w:t>
            </w:r>
          </w:p>
        </w:tc>
      </w:tr>
      <w:tr w14:paraId="59454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236CB5F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shd w:val="clear" w:color="auto" w:fill="auto"/>
            <w:vAlign w:val="center"/>
          </w:tcPr>
          <w:p w14:paraId="7F49614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193" w:type="dxa"/>
            <w:shd w:val="clear" w:color="auto" w:fill="auto"/>
            <w:vAlign w:val="top"/>
          </w:tcPr>
          <w:p w14:paraId="2004E9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2547CC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453EC2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925" w:type="dxa"/>
            <w:shd w:val="clear" w:color="auto" w:fill="auto"/>
            <w:vAlign w:val="top"/>
          </w:tcPr>
          <w:p w14:paraId="538496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396" w:type="dxa"/>
            <w:shd w:val="clear" w:color="auto" w:fill="auto"/>
            <w:vAlign w:val="top"/>
          </w:tcPr>
          <w:p w14:paraId="3EF157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31E376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6B29A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7FB9172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0DA5377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193" w:type="dxa"/>
            <w:shd w:val="clear" w:color="auto" w:fill="auto"/>
            <w:vAlign w:val="top"/>
          </w:tcPr>
          <w:p w14:paraId="4AAD73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1C25C8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550809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185F32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2925" w:type="dxa"/>
            <w:shd w:val="clear" w:color="auto" w:fill="auto"/>
            <w:vAlign w:val="top"/>
          </w:tcPr>
          <w:p w14:paraId="77514E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396" w:type="dxa"/>
            <w:shd w:val="clear" w:color="auto" w:fill="auto"/>
            <w:vAlign w:val="top"/>
          </w:tcPr>
          <w:p w14:paraId="260E6BC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264E5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2FBD1DC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52" w:type="dxa"/>
            <w:shd w:val="clear" w:color="auto" w:fill="auto"/>
            <w:vAlign w:val="center"/>
          </w:tcPr>
          <w:p w14:paraId="275FAE8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物理</w:t>
            </w:r>
          </w:p>
        </w:tc>
        <w:tc>
          <w:tcPr>
            <w:tcW w:w="4193" w:type="dxa"/>
            <w:shd w:val="clear" w:color="auto" w:fill="auto"/>
            <w:vAlign w:val="top"/>
          </w:tcPr>
          <w:p w14:paraId="73D967C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掌握力学、热学、电磁学等经典物理核心概念与规律，了解其在高新技术和工程实践中的具体应用，构建必要的物理知识体系。</w:t>
            </w:r>
          </w:p>
          <w:p w14:paraId="2E85338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能够运用物理原理分析和解决生产生活中的实际问题，具备基本的实验操作、数据处理和科学思维能力，提升技术应用与创新意识。</w:t>
            </w:r>
          </w:p>
          <w:p w14:paraId="007EBE7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培养严谨求实的科学态度、精益求精的工匠精神和探索未知的好奇心，为未来职业发展和终身学习奠定坚实基础。</w:t>
            </w:r>
          </w:p>
          <w:p w14:paraId="0D0CE1A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通过物理学史和科学家故事，弘扬科学精神和爱国情怀，培养职业道德、团队协作意识与社会责任感。</w:t>
            </w:r>
          </w:p>
        </w:tc>
        <w:tc>
          <w:tcPr>
            <w:tcW w:w="2925" w:type="dxa"/>
            <w:shd w:val="clear" w:color="auto" w:fill="auto"/>
            <w:vAlign w:val="top"/>
          </w:tcPr>
          <w:p w14:paraId="1599E4E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396" w:type="dxa"/>
            <w:shd w:val="clear" w:color="auto" w:fill="auto"/>
            <w:vAlign w:val="top"/>
          </w:tcPr>
          <w:p w14:paraId="2215545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24E3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6DDCF6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26</w:t>
            </w:r>
          </w:p>
        </w:tc>
        <w:tc>
          <w:tcPr>
            <w:tcW w:w="752" w:type="dxa"/>
            <w:shd w:val="clear" w:color="auto" w:fill="auto"/>
            <w:vAlign w:val="center"/>
          </w:tcPr>
          <w:p w14:paraId="60CD516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化学</w:t>
            </w:r>
          </w:p>
        </w:tc>
        <w:tc>
          <w:tcPr>
            <w:tcW w:w="4193" w:type="dxa"/>
            <w:shd w:val="clear" w:color="auto" w:fill="auto"/>
            <w:vAlign w:val="top"/>
          </w:tcPr>
          <w:p w14:paraId="1FF86B5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掌握物质结构、溶液化学、反应速率、电解质溶液等基本化学原理，熟悉常见元素及其化合物的性质与重要反应律。</w:t>
            </w:r>
          </w:p>
          <w:p w14:paraId="7501C67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能够规范进行基础化学实验操作，具备分析处理实验数据、鉴别常见物质及解决化工生产中一般性化学问题的实践能力。</w:t>
            </w:r>
          </w:p>
          <w:p w14:paraId="294EE0B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培养严谨细致、实事求是的科学作风，树立环保、安全、节约的意识，为未来从事相关技术工作奠定良好的职业素养基础。</w:t>
            </w:r>
          </w:p>
          <w:p w14:paraId="5A860D4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通过我国古代化工成就与现代科技发展案例，增强民族自豪感，培养绿色化学理念、社会责任感和职业道德。</w:t>
            </w:r>
          </w:p>
        </w:tc>
        <w:tc>
          <w:tcPr>
            <w:tcW w:w="2925" w:type="dxa"/>
            <w:shd w:val="clear" w:color="auto" w:fill="auto"/>
            <w:vAlign w:val="top"/>
          </w:tcPr>
          <w:p w14:paraId="226A266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396" w:type="dxa"/>
            <w:shd w:val="clear" w:color="auto" w:fill="auto"/>
            <w:vAlign w:val="top"/>
          </w:tcPr>
          <w:p w14:paraId="147145E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14:paraId="4D0E2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07" w:type="dxa"/>
            <w:shd w:val="clear" w:color="auto" w:fill="auto"/>
            <w:vAlign w:val="center"/>
          </w:tcPr>
          <w:p w14:paraId="680EAC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27</w:t>
            </w:r>
          </w:p>
        </w:tc>
        <w:tc>
          <w:tcPr>
            <w:tcW w:w="752" w:type="dxa"/>
            <w:shd w:val="clear" w:color="auto" w:fill="auto"/>
            <w:vAlign w:val="center"/>
          </w:tcPr>
          <w:p w14:paraId="62209CB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职业素养</w:t>
            </w:r>
          </w:p>
        </w:tc>
        <w:tc>
          <w:tcPr>
            <w:tcW w:w="4193" w:type="dxa"/>
            <w:shd w:val="clear" w:color="auto" w:fill="auto"/>
            <w:vAlign w:val="top"/>
          </w:tcPr>
          <w:p w14:paraId="0AC29AD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default" w:ascii="仿宋_GB2312" w:hAnsi="仿宋_GB2312" w:eastAsia="仿宋_GB2312" w:cs="仿宋_GB2312"/>
                <w:color w:val="auto"/>
                <w:sz w:val="24"/>
                <w:szCs w:val="24"/>
                <w:highlight w:val="none"/>
                <w:lang w:val="en-US" w:eastAsia="zh-CN"/>
              </w:rPr>
              <w:t>系统</w:t>
            </w:r>
            <w:r>
              <w:rPr>
                <w:rFonts w:hint="eastAsia" w:ascii="仿宋_GB2312" w:hAnsi="仿宋_GB2312" w:eastAsia="仿宋_GB2312" w:cs="仿宋_GB2312"/>
                <w:color w:val="auto"/>
                <w:sz w:val="24"/>
                <w:szCs w:val="24"/>
                <w:highlight w:val="none"/>
                <w:lang w:val="en-US" w:eastAsia="zh-CN"/>
              </w:rPr>
              <w:t>的</w:t>
            </w:r>
            <w:r>
              <w:rPr>
                <w:rFonts w:hint="default" w:ascii="仿宋_GB2312" w:hAnsi="仿宋_GB2312" w:eastAsia="仿宋_GB2312" w:cs="仿宋_GB2312"/>
                <w:color w:val="auto"/>
                <w:sz w:val="24"/>
                <w:szCs w:val="24"/>
                <w:highlight w:val="none"/>
                <w:lang w:val="en-US" w:eastAsia="zh-CN"/>
              </w:rPr>
              <w:t>了解职业道德、职业礼仪、沟通协作、时间管理等基本规范与要求，理解职业角色定位与责任。</w:t>
            </w:r>
          </w:p>
          <w:p w14:paraId="10D6C5C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能力目标：</w:t>
            </w:r>
            <w:r>
              <w:rPr>
                <w:rFonts w:hint="default" w:ascii="仿宋_GB2312" w:hAnsi="仿宋_GB2312" w:eastAsia="仿宋_GB2312" w:cs="仿宋_GB2312"/>
                <w:color w:val="auto"/>
                <w:sz w:val="24"/>
                <w:szCs w:val="24"/>
                <w:highlight w:val="none"/>
                <w:lang w:val="en-US" w:eastAsia="zh-CN"/>
              </w:rPr>
              <w:t>能够有效进行职场沟通与团队协作，具备解决职场常见矛盾、管理情绪与压力及进行职业规划的实践能力。</w:t>
            </w:r>
          </w:p>
          <w:p w14:paraId="2BB8BDA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素质目标：</w:t>
            </w:r>
            <w:r>
              <w:rPr>
                <w:rFonts w:hint="default" w:ascii="仿宋_GB2312" w:hAnsi="仿宋_GB2312" w:eastAsia="仿宋_GB2312" w:cs="仿宋_GB2312"/>
                <w:color w:val="auto"/>
                <w:sz w:val="24"/>
                <w:szCs w:val="24"/>
                <w:highlight w:val="none"/>
                <w:lang w:val="en-US" w:eastAsia="zh-CN"/>
              </w:rPr>
              <w:t>内化敬业、诚信、责任、专注的工匠精神，塑造阳光积极的职业心态，实现从“学生”到“职业人”的角色转变。</w:t>
            </w:r>
          </w:p>
          <w:p w14:paraId="05CD406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default" w:ascii="仿宋_GB2312" w:hAnsi="仿宋_GB2312" w:eastAsia="仿宋_GB2312" w:cs="仿宋_GB2312"/>
                <w:b/>
                <w:bCs/>
                <w:color w:val="auto"/>
                <w:sz w:val="24"/>
                <w:szCs w:val="24"/>
                <w:highlight w:val="none"/>
                <w:lang w:val="en-US" w:eastAsia="zh-CN"/>
              </w:rPr>
              <w:t>课程思政育人目标：</w:t>
            </w:r>
            <w:r>
              <w:rPr>
                <w:rFonts w:hint="default" w:ascii="仿宋_GB2312" w:hAnsi="仿宋_GB2312" w:eastAsia="仿宋_GB2312" w:cs="仿宋_GB2312"/>
                <w:color w:val="auto"/>
                <w:sz w:val="24"/>
                <w:szCs w:val="24"/>
                <w:highlight w:val="none"/>
                <w:lang w:val="en-US" w:eastAsia="zh-CN"/>
              </w:rPr>
              <w:t>培育社会主义核心价值观，强化劳动精神、劳模精神和工匠精神教育，树立正确的职业观、事业观和成才观。</w:t>
            </w:r>
          </w:p>
        </w:tc>
        <w:tc>
          <w:tcPr>
            <w:tcW w:w="2925" w:type="dxa"/>
            <w:shd w:val="clear" w:color="auto" w:fill="auto"/>
            <w:vAlign w:val="top"/>
          </w:tcPr>
          <w:p w14:paraId="18F77C3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auto"/>
                <w:sz w:val="24"/>
                <w:szCs w:val="24"/>
                <w:highlight w:val="none"/>
                <w:lang w:val="en-US" w:eastAsia="zh-CN"/>
              </w:rPr>
            </w:pPr>
          </w:p>
          <w:p w14:paraId="4CCA51F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auto"/>
                <w:sz w:val="24"/>
                <w:szCs w:val="24"/>
                <w:highlight w:val="none"/>
                <w:lang w:val="en-US" w:eastAsia="zh-CN"/>
              </w:rPr>
            </w:pPr>
          </w:p>
          <w:p w14:paraId="36030F9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default" w:ascii="仿宋_GB2312" w:hAnsi="仿宋_GB2312" w:eastAsia="仿宋_GB2312" w:cs="仿宋_GB2312"/>
                <w:color w:val="auto"/>
                <w:sz w:val="24"/>
                <w:szCs w:val="24"/>
                <w:highlight w:val="none"/>
                <w:lang w:val="en-US" w:eastAsia="zh-CN"/>
              </w:rPr>
              <w:t>课程涵盖职业意识与角色转换；职业道德与职业行为规范；职业礼仪与形象塑造；高效沟通与团队协作技巧；情绪管理与压力应对；时间管理与执行力培养；创新思维与解决问题能力；职业规划与终身学习。内容融合大量企业案例、情景模拟和项目任务。</w:t>
            </w:r>
          </w:p>
        </w:tc>
        <w:tc>
          <w:tcPr>
            <w:tcW w:w="2396" w:type="dxa"/>
            <w:shd w:val="clear" w:color="auto" w:fill="auto"/>
            <w:vAlign w:val="top"/>
          </w:tcPr>
          <w:p w14:paraId="649D4BF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auto"/>
                <w:sz w:val="24"/>
                <w:szCs w:val="24"/>
                <w:highlight w:val="none"/>
                <w:lang w:val="en-US" w:eastAsia="zh-CN"/>
              </w:rPr>
            </w:pPr>
          </w:p>
          <w:p w14:paraId="6E43568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auto"/>
                <w:sz w:val="24"/>
                <w:szCs w:val="24"/>
                <w:highlight w:val="none"/>
                <w:lang w:val="en-US" w:eastAsia="zh-CN"/>
              </w:rPr>
            </w:pPr>
          </w:p>
          <w:p w14:paraId="653FED6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default" w:ascii="仿宋_GB2312" w:hAnsi="仿宋_GB2312" w:eastAsia="仿宋_GB2312" w:cs="仿宋_GB2312"/>
                <w:color w:val="auto"/>
                <w:sz w:val="24"/>
                <w:szCs w:val="24"/>
                <w:highlight w:val="none"/>
                <w:lang w:val="en-US" w:eastAsia="zh-CN"/>
              </w:rPr>
              <w:t>以学生为中心，采用角色扮演、案例分析、小组讨论等互动方法，创设真实职场情境。邀请企业专家、优秀校友进课堂，分享实战经验。强化过程体验与反思，鼓励学生在实践活动中领悟并践行职业素养要求，注重行为习惯的养成教育。</w:t>
            </w:r>
          </w:p>
        </w:tc>
      </w:tr>
    </w:tbl>
    <w:p w14:paraId="5DD30A54">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（二）专业课程</w:t>
      </w:r>
    </w:p>
    <w:p w14:paraId="596B290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一般包括专业基础课程、专业核心课程和专业拓展课程，并涵盖有关实践性教学环节。</w:t>
      </w:r>
    </w:p>
    <w:p w14:paraId="60347C5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bookmarkStart w:id="11" w:name="_Toc90734975"/>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1.专业基础课程</w:t>
      </w:r>
      <w:bookmarkEnd w:id="11"/>
    </w:p>
    <w:p w14:paraId="1ECFC0D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专业基础课程是为后续专业课程学习打基础的课程。包括：高速铁路概论、工程制图与CAD、工程材料、工程力学、工程地质、土力学与地基基础、BIM技术应用、工程测量等课程。</w:t>
      </w:r>
    </w:p>
    <w:p w14:paraId="6491BEA8">
      <w:pPr>
        <w:pageBreakBefore w:val="0"/>
        <w:kinsoku/>
        <w:wordWrap/>
        <w:overflowPunct w:val="0"/>
        <w:topLinePunct w:val="0"/>
        <w:autoSpaceDE/>
        <w:autoSpaceDN/>
        <w:bidi w:val="0"/>
        <w:adjustRightInd w:val="0"/>
        <w:snapToGrid/>
        <w:spacing w:after="0" w:line="520" w:lineRule="exact"/>
        <w:jc w:val="center"/>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表3专业基础课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14:textFill>
            <w14:solidFill>
              <w14:schemeClr w14:val="tx1"/>
            </w14:solidFill>
          </w14:textFill>
        </w:rPr>
        <w:t>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目标、主要教学内容与要求</w:t>
      </w:r>
    </w:p>
    <w:tbl>
      <w:tblPr>
        <w:tblStyle w:val="9"/>
        <w:tblW w:w="10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96"/>
        <w:gridCol w:w="4124"/>
        <w:gridCol w:w="2596"/>
        <w:gridCol w:w="2700"/>
      </w:tblGrid>
      <w:tr w14:paraId="2E1CC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0594FD3C">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b w:val="0"/>
                <w:bCs w:val="0"/>
                <w:color w:val="000000" w:themeColor="text1"/>
                <w:sz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highlight w:val="none"/>
                <w14:textFill>
                  <w14:solidFill>
                    <w14:schemeClr w14:val="tx1"/>
                  </w14:solidFill>
                </w14:textFill>
              </w:rPr>
              <w:t>序号</w:t>
            </w:r>
          </w:p>
        </w:tc>
        <w:tc>
          <w:tcPr>
            <w:tcW w:w="896" w:type="dxa"/>
            <w:vAlign w:val="center"/>
          </w:tcPr>
          <w:p w14:paraId="3DE909C8">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b w:val="0"/>
                <w:bCs w:val="0"/>
                <w:color w:val="000000" w:themeColor="text1"/>
                <w:sz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课程名称</w:t>
            </w:r>
          </w:p>
        </w:tc>
        <w:tc>
          <w:tcPr>
            <w:tcW w:w="4124" w:type="dxa"/>
            <w:vAlign w:val="center"/>
          </w:tcPr>
          <w:p w14:paraId="512AC3B9">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b w:val="0"/>
                <w:bCs w:val="0"/>
                <w:color w:val="000000" w:themeColor="text1"/>
                <w:sz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目标</w:t>
            </w:r>
          </w:p>
        </w:tc>
        <w:tc>
          <w:tcPr>
            <w:tcW w:w="2596" w:type="dxa"/>
            <w:vAlign w:val="center"/>
          </w:tcPr>
          <w:p w14:paraId="67C2CFC6">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b w:val="0"/>
                <w:bCs w:val="0"/>
                <w:color w:val="000000" w:themeColor="text1"/>
                <w:sz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教学内容</w:t>
            </w:r>
          </w:p>
        </w:tc>
        <w:tc>
          <w:tcPr>
            <w:tcW w:w="2700" w:type="dxa"/>
            <w:vAlign w:val="center"/>
          </w:tcPr>
          <w:p w14:paraId="445FF1BA">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b w:val="0"/>
                <w:bCs w:val="0"/>
                <w:color w:val="000000" w:themeColor="text1"/>
                <w:sz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教学要求</w:t>
            </w:r>
          </w:p>
        </w:tc>
      </w:tr>
      <w:tr w14:paraId="11695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72DB87D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w:t>
            </w:r>
          </w:p>
        </w:tc>
        <w:tc>
          <w:tcPr>
            <w:tcW w:w="896" w:type="dxa"/>
            <w:vAlign w:val="center"/>
          </w:tcPr>
          <w:p w14:paraId="1A1E92C4">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高速铁路概论</w:t>
            </w:r>
          </w:p>
        </w:tc>
        <w:tc>
          <w:tcPr>
            <w:tcW w:w="4124" w:type="dxa"/>
            <w:vAlign w:val="top"/>
          </w:tcPr>
          <w:p w14:paraId="782434B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掌握高速铁路发展沿革、系统构成（线、桥、隧、站、车、电、信、控）、主要技术经济特征及我国“八纵八横”网络规划；理解350 km/h及以上速度等级下的轮轨关系、弓网关系、空气动力学及智能运维关键技术。</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能解读高速铁路工可研报告与平纵断面图，完成1份线路方案比选PPT；能基于CRTSⅢ型轨道板参数进行简单结构检算。</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树立交通强国、铁路先行的使命感；培育高铁工匠精神和国际视野。</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厚植“人民铁路为人民”的家国情怀，强化创新驱动、绿色低碳发展理念，增强对中国高铁标准“走出去”的文化自信。</w:t>
            </w:r>
          </w:p>
          <w:p w14:paraId="47DA659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596" w:type="dxa"/>
            <w:vAlign w:val="top"/>
          </w:tcPr>
          <w:p w14:paraId="2BA4EFB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高速铁路概述（定义、发展历程、国内外现状）。</w:t>
            </w:r>
          </w:p>
          <w:p w14:paraId="0A00B0D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高速铁路基础设施（线路设计、轨道结构、桥梁与隧道）。</w:t>
            </w:r>
          </w:p>
          <w:p w14:paraId="44D9B51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高速铁路车辆技术（动车组结构、动力系统、运行控制）。</w:t>
            </w:r>
          </w:p>
          <w:p w14:paraId="6D0BB0F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高速铁路信号与通信系统（CTCS、列控系统）。</w:t>
            </w:r>
          </w:p>
          <w:p w14:paraId="47C821D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高速铁路运营管理（调度、安全、维护）。</w:t>
            </w:r>
          </w:p>
        </w:tc>
        <w:tc>
          <w:tcPr>
            <w:tcW w:w="2700" w:type="dxa"/>
            <w:vAlign w:val="top"/>
          </w:tcPr>
          <w:p w14:paraId="6FB88DD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掌握高速铁路的基本概念和关键技术。</w:t>
            </w:r>
          </w:p>
          <w:p w14:paraId="6B460F0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能够分析高速铁路系统的组成及其相互关系。</w:t>
            </w:r>
          </w:p>
          <w:p w14:paraId="5BDD0DA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结合案例，理解高速铁路建设与运营的挑战及解决方案。</w:t>
            </w:r>
          </w:p>
        </w:tc>
      </w:tr>
      <w:tr w14:paraId="3B9A9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3F8B2FD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bookmarkStart w:id="12" w:name="_Hlk194587108"/>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896" w:type="dxa"/>
            <w:vAlign w:val="center"/>
          </w:tcPr>
          <w:p w14:paraId="40B66D36">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工程制图与CAD</w:t>
            </w:r>
          </w:p>
        </w:tc>
        <w:tc>
          <w:tcPr>
            <w:tcW w:w="4124" w:type="dxa"/>
            <w:vAlign w:val="top"/>
          </w:tcPr>
          <w:p w14:paraId="61ED333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理解《技术制图》国家标准、正投影原理、剖视断面及尺寸公差标注规则；掌握AutoCAD/中望CAD二维、三维建模与布局打印方法。</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独立完成A0幅面铁路桥梁总体布置图绘制；能用参数化设计生成道岔三维装配体并输出BOM表。</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养成严谨细致、一丝不苟的工程图学素养；树立标准化、协同化的现代工程意识。</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课程思政育人目标：弘扬“精益求精、追求卓越”的工匠精神，强化遵守国家标准、维护公共安全的责任担当。</w:t>
            </w:r>
          </w:p>
        </w:tc>
        <w:tc>
          <w:tcPr>
            <w:tcW w:w="2596" w:type="dxa"/>
            <w:vAlign w:val="top"/>
          </w:tcPr>
          <w:p w14:paraId="1BF8FEF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工程制图基础（投影法、三视图、剖视图、尺寸标注）。</w:t>
            </w:r>
          </w:p>
          <w:p w14:paraId="4F01AA8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机械制图与建筑制图规范（GB/T标准）。</w:t>
            </w:r>
          </w:p>
          <w:p w14:paraId="238D683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AutoCAD软件操作（基本命令、图层管理、尺寸标注）。</w:t>
            </w:r>
          </w:p>
          <w:p w14:paraId="384BD1B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三维建模基础（SolidWorks或Revit入门）。</w:t>
            </w:r>
          </w:p>
          <w:p w14:paraId="584C900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工程图纸识读与绘制实践。</w:t>
            </w:r>
          </w:p>
        </w:tc>
        <w:tc>
          <w:tcPr>
            <w:tcW w:w="2700" w:type="dxa"/>
            <w:vAlign w:val="top"/>
          </w:tcPr>
          <w:p w14:paraId="43AC80D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掌握工程制图的国家标准及表达方法。</w:t>
            </w:r>
          </w:p>
          <w:p w14:paraId="7FCD215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能够独立使用CAD软件完成工程图纸的绘制。</w:t>
            </w:r>
          </w:p>
          <w:p w14:paraId="254C1CE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具备识读和修改专业图纸的能力。</w:t>
            </w:r>
          </w:p>
        </w:tc>
      </w:tr>
      <w:tr w14:paraId="44C29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616D7C8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bookmarkStart w:id="13" w:name="_Toc90734977"/>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896" w:type="dxa"/>
            <w:vAlign w:val="center"/>
          </w:tcPr>
          <w:p w14:paraId="36A4EF3C">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工程材 料</w:t>
            </w:r>
          </w:p>
        </w:tc>
        <w:tc>
          <w:tcPr>
            <w:tcW w:w="4124" w:type="dxa"/>
            <w:vAlign w:val="top"/>
          </w:tcPr>
          <w:p w14:paraId="24FD408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掌握金属、无机非金属、高分子及复合材料的组织结构—性能—工艺关系；熟悉钢轨钢、高强混凝土、聚氨酯弹性垫板等铁路工程常用材料标准与检测规范。</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能依据EN、TB标准完成钢筋拉伸、混凝土抗压、沥青软化点等实验，并出具符合计量认证格式的试验报告。</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树立绿色选材、全寿命周期成本理念；培育诚实守信、数据真实的科研品格。</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强化“材料强国”战略认知，增强关键核心技术自主可控的使命感，厚植环保节能、可持续发展的责任意识。</w:t>
            </w:r>
          </w:p>
        </w:tc>
        <w:tc>
          <w:tcPr>
            <w:tcW w:w="2596" w:type="dxa"/>
            <w:vAlign w:val="top"/>
          </w:tcPr>
          <w:p w14:paraId="690292F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土木工程材料的基本性质；石材；气硬性胶凝材料；水泥；混凝土及砂浆；墙体与屋面材料；建筑钢材；木材；有机高分子材料；沥青；其他建筑功能材料。</w:t>
            </w:r>
          </w:p>
        </w:tc>
        <w:tc>
          <w:tcPr>
            <w:tcW w:w="2700" w:type="dxa"/>
            <w:vAlign w:val="top"/>
          </w:tcPr>
          <w:p w14:paraId="0227627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利用PPT、视频、动画等多媒体资源，将抽象的材料科学概念以直观、生动的形式展现出来，激发学生的学习兴趣和积极性。同时，通过多媒体展示材料的微观结构、性能测试过程等，帮助学生更好地理解材料的本质和特性。</w:t>
            </w:r>
          </w:p>
          <w:p w14:paraId="0D1F071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通过实验室技能实操训练，学生可以掌握材料性能测试的基本方法和技能，如拉伸试验、冲击试验、硬度测试等。同时，实验室技能实操还能培养学生的实验设计能力和数据处理能力，为其未来的科研工作打下坚实的基础。</w:t>
            </w:r>
          </w:p>
        </w:tc>
      </w:tr>
      <w:tr w14:paraId="622C4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4B71CF1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w:t>
            </w:r>
          </w:p>
        </w:tc>
        <w:tc>
          <w:tcPr>
            <w:tcW w:w="896" w:type="dxa"/>
            <w:vAlign w:val="center"/>
          </w:tcPr>
          <w:p w14:paraId="50A06235">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工程力学</w:t>
            </w:r>
          </w:p>
        </w:tc>
        <w:tc>
          <w:tcPr>
            <w:tcW w:w="4124" w:type="dxa"/>
            <w:vAlign w:val="top"/>
          </w:tcPr>
          <w:p w14:paraId="5062849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掌握静力学平衡、杆件内力、应力应变、梁弯曲、稳定及动力学基础；理解高速列车荷载谱与结构疲劳评估原理。</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能用ANSYS/ABAQUS建立简支梁桥空间有限元模型，完成车—桥耦合振动分析并评价舒适性指标。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养成逻辑严谨、定量分析的科学精神；培养勇于攻克“卡脖子”难题的意志品质。</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树立“科技自立自强”信念，强化服务国家重大工程的价值追求。</w:t>
            </w:r>
          </w:p>
        </w:tc>
        <w:tc>
          <w:tcPr>
            <w:tcW w:w="2596" w:type="dxa"/>
            <w:vAlign w:val="top"/>
          </w:tcPr>
          <w:p w14:paraId="322C96C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土的工程地质性质；土的工程地质分类；特殊土的工程地质特征；土的应力与应变的关系；土的强度及土的变形和时间的关系；土在外荷作用下的稳定性计算。</w:t>
            </w:r>
          </w:p>
        </w:tc>
        <w:tc>
          <w:tcPr>
            <w:tcW w:w="2700" w:type="dxa"/>
            <w:vAlign w:val="top"/>
          </w:tcPr>
          <w:p w14:paraId="7F85EC9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1.具有代表性的工程案例，如边坡失稳、地基处理、土壤污染修复等，将其融入教学过程中，增强学习的实用性。</w:t>
            </w:r>
          </w:p>
          <w:p w14:paraId="1D2C9C9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2.组织学生参观工程现场，了解土壤工程问题的实际表现及解决方案，加深对理论知识的理解。</w:t>
            </w:r>
          </w:p>
          <w:p w14:paraId="198B096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3.设计一系列与课程内容紧密相关的实验项目，鼓励学生动手操作，观察实验现象，分析实验结果。</w:t>
            </w:r>
          </w:p>
        </w:tc>
      </w:tr>
      <w:tr w14:paraId="34288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0DFBE6D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w:t>
            </w:r>
          </w:p>
        </w:tc>
        <w:tc>
          <w:tcPr>
            <w:tcW w:w="896" w:type="dxa"/>
            <w:vAlign w:val="center"/>
          </w:tcPr>
          <w:p w14:paraId="497AE6D8">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工程地质</w:t>
            </w:r>
          </w:p>
        </w:tc>
        <w:tc>
          <w:tcPr>
            <w:tcW w:w="4124" w:type="dxa"/>
            <w:vAlign w:val="top"/>
          </w:tcPr>
          <w:p w14:paraId="02B8B9E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掌握矿物岩石、地质构造、第四纪地貌、地质灾害类型与成因；熟悉高速铁路工程地质勘察阶段划分、钻探与原位测试技术规范。</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能判读1:5万区域地质图，编制隧道洞口边坡稳定性评价报告；运用GIS完成区域地质灾害易发性区划。</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树立“敬畏自然、顺应自然”的生态观；培育防灾减灾、守护生命的职业良知。</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弘扬李四光精神，强化“绿水青山就是金山银山”理念，增强人与自然和谐共生的责任感。</w:t>
            </w:r>
          </w:p>
        </w:tc>
        <w:tc>
          <w:tcPr>
            <w:tcW w:w="2596" w:type="dxa"/>
            <w:vAlign w:val="top"/>
          </w:tcPr>
          <w:p w14:paraId="2CE6E8C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岩石及其工程地质性质；地质构造；地貌及第四纪地质；水文地质；地质灾害；工程地质问题；工程地质与水文地质勘察。</w:t>
            </w:r>
          </w:p>
        </w:tc>
        <w:tc>
          <w:tcPr>
            <w:tcW w:w="2700" w:type="dxa"/>
            <w:vAlign w:val="top"/>
          </w:tcPr>
          <w:p w14:paraId="63D0E3C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课堂讲授、多媒体展示、案例分析等方式，强化理论基础，让学生掌握地质学、岩石学、构造地质学、土力学等基本理论；理解地下水的基本性质、类型、分布规律及水循环过程；熟悉常见的工程地质问题和水文地质问题类型及其成因。并组织阶段性测试，检验学生对基础知识的掌握情况。</w:t>
            </w:r>
          </w:p>
          <w:p w14:paraId="5509AD0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培养学生的创新意识和团队合作精神。</w:t>
            </w:r>
          </w:p>
        </w:tc>
      </w:tr>
      <w:tr w14:paraId="78504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263A4E2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6</w:t>
            </w:r>
          </w:p>
        </w:tc>
        <w:tc>
          <w:tcPr>
            <w:tcW w:w="896" w:type="dxa"/>
            <w:vAlign w:val="center"/>
          </w:tcPr>
          <w:p w14:paraId="3B84F548">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土力学与地基基础</w:t>
            </w:r>
          </w:p>
        </w:tc>
        <w:tc>
          <w:tcPr>
            <w:tcW w:w="4124" w:type="dxa"/>
            <w:vAlign w:val="top"/>
          </w:tcPr>
          <w:p w14:paraId="725B1C6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掌握土的物理性质、有效应力原理、固结沉降、抗剪强度、土压力与边坡稳定理论；了解高速铁路CFG桩、预应力管桩及桩网结构设计方法。</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能完成三轴CU试验数据处理，提出软土地基加固方案并进行沉降预测；使用PLAXIS建立路基三维模型并验证安全系数。</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养成求真务实的实验作风与工程伦理；树立“基础不牢、地动山摇”的质量底线意识。</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强化服务国家重大基础设施建设的使命担当，厚植质量第一、安全至上的大国工匠精神。</w:t>
            </w:r>
          </w:p>
        </w:tc>
        <w:tc>
          <w:tcPr>
            <w:tcW w:w="2596" w:type="dxa"/>
            <w:vAlign w:val="top"/>
          </w:tcPr>
          <w:p w14:paraId="12CB3FE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土的基本性质（物理指标、渗透性、压缩性、抗剪强度）。</w:t>
            </w:r>
          </w:p>
          <w:p w14:paraId="52B78D3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土中应力分布与地基沉降计算。</w:t>
            </w:r>
          </w:p>
          <w:p w14:paraId="597BCB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地基承载力理论（太沙基理论、极限平衡法）。</w:t>
            </w:r>
          </w:p>
          <w:p w14:paraId="4395C84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浅基础与深基础（独立基础、桩基础、筏板基础）。</w:t>
            </w:r>
          </w:p>
          <w:p w14:paraId="203A194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边坡稳定性分析与挡土墙设计。</w:t>
            </w:r>
          </w:p>
        </w:tc>
        <w:tc>
          <w:tcPr>
            <w:tcW w:w="2700" w:type="dxa"/>
            <w:vAlign w:val="top"/>
          </w:tcPr>
          <w:p w14:paraId="638FE83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掌握土力学的基本概念和计算方法。</w:t>
            </w:r>
          </w:p>
          <w:p w14:paraId="0F9F1CF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能够运用理论分析地基的承载力和沉降问题。</w:t>
            </w:r>
          </w:p>
          <w:p w14:paraId="06D4E28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结合工程案例，提出合理的地基处理方案。</w:t>
            </w:r>
          </w:p>
          <w:p w14:paraId="30D7424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r>
      <w:tr w14:paraId="3C2A4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4799D65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896" w:type="dxa"/>
            <w:vAlign w:val="center"/>
          </w:tcPr>
          <w:p w14:paraId="2857B8C3">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工程测量</w:t>
            </w:r>
          </w:p>
        </w:tc>
        <w:tc>
          <w:tcPr>
            <w:tcW w:w="4124" w:type="dxa"/>
            <w:vAlign w:val="top"/>
          </w:tcPr>
          <w:p w14:paraId="5827A59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掌握水准、导线、GNSS、全站仪及无人机倾斜摄影原理与误差理论；理解CPIII控制网在高速铁路无砟轨道中的应用。</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能组织完成二等水准测量及平差计算；用Pix4D生成1:500数字线划图并导入BIM平台进行多源数据融合。</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养成精准测绘、毫厘必究的职业习惯；培育吃苦耐劳、团队协作精神。</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传承“测量先行、寸土不失”的优良传统，强化国家安全与国土主权意识。</w:t>
            </w:r>
          </w:p>
        </w:tc>
        <w:tc>
          <w:tcPr>
            <w:tcW w:w="2596" w:type="dxa"/>
            <w:vAlign w:val="top"/>
          </w:tcPr>
          <w:p w14:paraId="54A8C48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测量学概述；水准测量；角度测量；距离测量；测量误差基本知识；小地区控制测量；地形图测绘；建筑施工测量；电子全站仪测量；全球定位系统。</w:t>
            </w:r>
          </w:p>
        </w:tc>
        <w:tc>
          <w:tcPr>
            <w:tcW w:w="2700" w:type="dxa"/>
            <w:vAlign w:val="top"/>
          </w:tcPr>
          <w:p w14:paraId="432CCC9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1.采用多媒体教学手段，结合生动的案例和图表，深入浅出地讲解工程测量的基本原理、坐标系统、误差理论等核心知识点。鼓励学生主动提问，增强课堂互动性。</w:t>
            </w:r>
          </w:p>
          <w:p w14:paraId="6E3B332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2.在理论讲解的基础上，进行实地仪器操作演示。教师亲自示范各类测量仪器的正确使用方法、注意事项及维护保养技巧，并邀请学生上台操作，及时纠正错误。</w:t>
            </w:r>
          </w:p>
          <w:p w14:paraId="63AEE73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3.组织学生进行实地测量实践，包括控制测量、碎部测量、高程测量等。通过分组合作，让学生在实践中学习如何布设测量控制网、如何进行数据采集及如何应对突发状况。</w:t>
            </w:r>
          </w:p>
        </w:tc>
      </w:tr>
      <w:tr w14:paraId="5C27A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5EC86C3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896" w:type="dxa"/>
            <w:vAlign w:val="center"/>
          </w:tcPr>
          <w:p w14:paraId="476A3E9C">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BIM技术应用</w:t>
            </w:r>
          </w:p>
        </w:tc>
        <w:tc>
          <w:tcPr>
            <w:tcW w:w="4124" w:type="dxa"/>
            <w:vAlign w:val="top"/>
          </w:tcPr>
          <w:p w14:paraId="2299F9D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理解IFC标准、LOD精度分级、铁路工程BIM实施指南；掌握Revit+Civil 3D+Navisworks参数化建模、碰撞检查及4D/5D模拟方法。</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能创建包含轨道、桥梁、隧道、四电系统的综合BIM模型，输出工程量清单并进行施工进度—成本联动分析。</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树立数字孪生、智慧建造的工程理念；培养协同共享、终身学习的创新素质。</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强化数字中国战略认知，增强以信息化带动工业化、助力“新基建”的使命感和文化自信。</w:t>
            </w:r>
          </w:p>
          <w:p w14:paraId="6AB8886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4F1C11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596" w:type="dxa"/>
            <w:vAlign w:val="top"/>
          </w:tcPr>
          <w:p w14:paraId="3C92497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BIM概述（定义、应用领域、国内外发展）。</w:t>
            </w:r>
          </w:p>
          <w:p w14:paraId="24E1249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Revit软件基础（界面介绍、建筑建模、结构建模）。</w:t>
            </w:r>
          </w:p>
          <w:p w14:paraId="1049736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BIM在施工管理中的应用（4D进度模拟、5D成本管理）。</w:t>
            </w:r>
          </w:p>
          <w:p w14:paraId="68F49AE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BIM协同设计（Navisworks碰撞检测、BIM 360云平台）。</w:t>
            </w:r>
          </w:p>
          <w:p w14:paraId="799D3D9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BIM在基础设施（桥梁、隧道）中的应用案例。</w:t>
            </w:r>
          </w:p>
        </w:tc>
        <w:tc>
          <w:tcPr>
            <w:tcW w:w="2700" w:type="dxa"/>
            <w:vAlign w:val="top"/>
          </w:tcPr>
          <w:p w14:paraId="6241CD9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掌握BIM的核心概念及软件操作技能。</w:t>
            </w:r>
          </w:p>
          <w:p w14:paraId="55589B1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能够独立完成简单的建筑或结构BIM模型。</w:t>
            </w:r>
          </w:p>
          <w:p w14:paraId="5FBBDE0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理解BIM在工程全生命周期管理中的应用价值。</w:t>
            </w:r>
          </w:p>
        </w:tc>
      </w:tr>
      <w:bookmarkEnd w:id="12"/>
    </w:tbl>
    <w:p w14:paraId="592F443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2.专业核心课程</w:t>
      </w:r>
      <w:bookmarkEnd w:id="13"/>
    </w:p>
    <w:p w14:paraId="29ED467A">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专业核心课是面向地铁、城轨、铁路等岗位（群），结合施工员、安全员、计量员等就业岗位，建立高速铁路施工与维护专业核心课程，培养学生能够解决复杂工程问题等方面的能力。课程包括高速铁路轨道施工、高速铁路施工组织与概预算、高速铁路路基施工、高速铁路精测精调、高速铁路隧道施工、高速铁路桥隧养护维修、高速铁路线路养护维修、高速铁路桥涵施工。</w:t>
      </w:r>
    </w:p>
    <w:p w14:paraId="4914D9A3">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表4专业核心课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9"/>
        <w:tblW w:w="109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937"/>
        <w:gridCol w:w="2567"/>
        <w:gridCol w:w="3189"/>
      </w:tblGrid>
      <w:tr w14:paraId="72DA1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7D66D8A5">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序号</w:t>
            </w:r>
          </w:p>
        </w:tc>
        <w:tc>
          <w:tcPr>
            <w:tcW w:w="775" w:type="dxa"/>
            <w:vAlign w:val="center"/>
          </w:tcPr>
          <w:p w14:paraId="1608C6B0">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p>
        </w:tc>
        <w:tc>
          <w:tcPr>
            <w:tcW w:w="3937" w:type="dxa"/>
            <w:vAlign w:val="center"/>
          </w:tcPr>
          <w:p w14:paraId="3FFBD96F">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p>
        </w:tc>
        <w:tc>
          <w:tcPr>
            <w:tcW w:w="2567" w:type="dxa"/>
            <w:vAlign w:val="center"/>
          </w:tcPr>
          <w:p w14:paraId="3608ABD0">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p>
        </w:tc>
        <w:tc>
          <w:tcPr>
            <w:tcW w:w="3189" w:type="dxa"/>
            <w:vAlign w:val="center"/>
          </w:tcPr>
          <w:p w14:paraId="598E1F93">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0621B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5EF95D3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w:t>
            </w:r>
          </w:p>
        </w:tc>
        <w:tc>
          <w:tcPr>
            <w:tcW w:w="775" w:type="dxa"/>
            <w:vAlign w:val="center"/>
          </w:tcPr>
          <w:p w14:paraId="649E589B">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高速铁路轨道施工</w:t>
            </w:r>
          </w:p>
        </w:tc>
        <w:tc>
          <w:tcPr>
            <w:tcW w:w="3937" w:type="dxa"/>
            <w:vAlign w:val="top"/>
          </w:tcPr>
          <w:p w14:paraId="3C65A01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掌握CRTSⅠ/Ⅱ/Ⅲ型无砟轨道、双块式轨枕埋入式及板式轨道结构构造；熟悉轨道板精调、CA砂浆灌注、长轨焊接与应力放散等关键工序规范（TB/T 3302、TJ/GW 152）。</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能依据施工图纸编制轨道铺设施工流程图，完成轨道板三维精调与轨排粗调、精调一体化实训，并使用轨检小车输出TQI报告。</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养成毫米级精度、零缺陷交付的质量意识；培育不畏艰苦、连续作战的铁军作风。</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厚植“交通强国、铁路先行”的家国情怀，强化“中国高铁、国家名片”品牌自信，践行质量终身责任制。</w:t>
            </w:r>
          </w:p>
        </w:tc>
        <w:tc>
          <w:tcPr>
            <w:tcW w:w="2567" w:type="dxa"/>
            <w:vAlign w:val="top"/>
          </w:tcPr>
          <w:p w14:paraId="3D98BA4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高速铁路轨道类型（CRTS系列无砟轨道、有砟轨道特点）。</w:t>
            </w:r>
          </w:p>
          <w:p w14:paraId="7D21A70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轨道材料与部件（钢轨、扣件、轨枕、道砟）。</w:t>
            </w:r>
          </w:p>
          <w:p w14:paraId="1821F19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轨道铺设工艺（长轨铺设、无缝线路焊接、应力放散）。</w:t>
            </w:r>
          </w:p>
          <w:p w14:paraId="699E13D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轨道精调技术（轨距、水平、高低、方向调整）。</w:t>
            </w:r>
          </w:p>
          <w:p w14:paraId="07F7650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施工质量控制与检测（几何形位检测、动态验收）。</w:t>
            </w:r>
          </w:p>
        </w:tc>
        <w:tc>
          <w:tcPr>
            <w:tcW w:w="3189" w:type="dxa"/>
            <w:vAlign w:val="top"/>
          </w:tcPr>
          <w:p w14:paraId="7029300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掌握无砟/有砟轨道的施工流程及技术标准。</w:t>
            </w:r>
          </w:p>
          <w:p w14:paraId="2C83CAC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能运用测量仪器进行轨道几何状态调整。</w:t>
            </w:r>
          </w:p>
          <w:p w14:paraId="685EADE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理解施工规范（如《高速铁路设计规范》TB 10621）。</w:t>
            </w:r>
          </w:p>
        </w:tc>
      </w:tr>
      <w:tr w14:paraId="7EE7C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158A2F44">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75" w:type="dxa"/>
            <w:vAlign w:val="center"/>
          </w:tcPr>
          <w:p w14:paraId="5F78B650">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高速铁路施工组织与概预算</w:t>
            </w:r>
          </w:p>
        </w:tc>
        <w:tc>
          <w:tcPr>
            <w:tcW w:w="3937" w:type="dxa"/>
            <w:vAlign w:val="top"/>
          </w:tcPr>
          <w:p w14:paraId="7961B2B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掌握施工组织设计原则、网络计划技术、平行流水作业及资源优化方法；熟悉铁路工程概预算定额、清单计价规则（国铁科法〔2021〕25号）。</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用</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Project/Primavera编制双线高速铁路年度铺架进度计划，并进行劳动力、机械台班、周转料动态平衡；完成单项工程预算书及经济比选报告。</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树立成本—质量—安全—环保统筹管理理念；培养守法合规、诚信经营的造价伦理。</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弘扬艰苦奋斗、勤俭建国的优良传统，强化“每一分钱都花在刀刃上”的公共财政意识。</w:t>
            </w:r>
          </w:p>
        </w:tc>
        <w:tc>
          <w:tcPr>
            <w:tcW w:w="2567" w:type="dxa"/>
            <w:vAlign w:val="top"/>
          </w:tcPr>
          <w:p w14:paraId="3676222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施工组织设计（工期计划、资源配置、流水施工）。</w:t>
            </w:r>
          </w:p>
          <w:p w14:paraId="068D922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概预算编制（定额应用、工程量清单计价）。</w:t>
            </w:r>
          </w:p>
          <w:p w14:paraId="0834375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成本控制与风险管理（变更索赔、动态成本分析）。</w:t>
            </w:r>
          </w:p>
          <w:p w14:paraId="75A4D36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BIM与信息化施工管理（4D进度模拟、5D成本管理）。</w:t>
            </w:r>
          </w:p>
          <w:p w14:paraId="23D044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案例分析（典型高铁项目施工组织与成本实例）。</w:t>
            </w:r>
          </w:p>
        </w:tc>
        <w:tc>
          <w:tcPr>
            <w:tcW w:w="3189" w:type="dxa"/>
            <w:vAlign w:val="top"/>
          </w:tcPr>
          <w:p w14:paraId="32E81C5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能独立编制简单的施工组织方案和概预算文件。</w:t>
            </w:r>
          </w:p>
          <w:p w14:paraId="3172080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掌握工程造价软件（如广联达、同望）的基本操作。</w:t>
            </w:r>
          </w:p>
          <w:p w14:paraId="3D711E0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理解高铁项目全周期管理的核心要点。</w:t>
            </w:r>
          </w:p>
        </w:tc>
      </w:tr>
      <w:tr w14:paraId="30A74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56EC6D63">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75" w:type="dxa"/>
            <w:vAlign w:val="center"/>
          </w:tcPr>
          <w:p w14:paraId="61ACEA89">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高速铁路路基施工</w:t>
            </w:r>
          </w:p>
        </w:tc>
        <w:tc>
          <w:tcPr>
            <w:tcW w:w="3937" w:type="dxa"/>
            <w:vAlign w:val="top"/>
          </w:tcPr>
          <w:p w14:paraId="404C638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掌握级配碎石、改良土、CFG桩、强夯、预应力管桩等加固机理及施工参数；熟悉路基沉降观测与评估标准（TB 10621）。</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能独立完成K30、Evd、EV2现场检测及数据处理；运用GeoStudio进行路基沉降—稳定性耦合分析并提出工后沉降控制措施。</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养成“路基不工后沉降”的底线思维；培养敬畏自然、绿色施工的生态意识。</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强化“打牢基础、利在千秋”的使命担当，培育服务国家战略、造福人民的家国情怀。</w:t>
            </w:r>
          </w:p>
        </w:tc>
        <w:tc>
          <w:tcPr>
            <w:tcW w:w="2567" w:type="dxa"/>
            <w:vAlign w:val="top"/>
          </w:tcPr>
          <w:p w14:paraId="58DF47B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路基横断面形式（路堤、路堑、过渡段）。</w:t>
            </w:r>
          </w:p>
          <w:p w14:paraId="1624607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路基填料与压实技术（A/B组填料、K30检测）。</w:t>
            </w:r>
          </w:p>
          <w:p w14:paraId="69BE665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地基处理（CFG桩、强夯、排水固结）。</w:t>
            </w:r>
          </w:p>
          <w:p w14:paraId="303579D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路基防排水设施（盲沟、边坡防护）。</w:t>
            </w:r>
          </w:p>
          <w:p w14:paraId="54804EE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沉降观测与评估（自动化监测技术）。</w:t>
            </w:r>
          </w:p>
        </w:tc>
        <w:tc>
          <w:tcPr>
            <w:tcW w:w="3189" w:type="dxa"/>
            <w:vAlign w:val="top"/>
          </w:tcPr>
          <w:p w14:paraId="3146572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掌握路基分层填筑与压实工艺流程。</w:t>
            </w:r>
          </w:p>
          <w:p w14:paraId="76605A4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能分析路基不均匀沉降的原因及防治措施。</w:t>
            </w:r>
          </w:p>
          <w:p w14:paraId="4DDB79D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熟悉《高速铁路路基工程施工质量验收标准》TB 10751。</w:t>
            </w:r>
          </w:p>
        </w:tc>
      </w:tr>
      <w:tr w14:paraId="605E3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33DFB7D8">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w:t>
            </w:r>
          </w:p>
        </w:tc>
        <w:tc>
          <w:tcPr>
            <w:tcW w:w="775" w:type="dxa"/>
            <w:vAlign w:val="center"/>
          </w:tcPr>
          <w:p w14:paraId="4DF546EC">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高速铁路精测精调</w:t>
            </w:r>
          </w:p>
        </w:tc>
        <w:tc>
          <w:tcPr>
            <w:tcW w:w="3937" w:type="dxa"/>
            <w:vAlign w:val="top"/>
          </w:tcPr>
          <w:p w14:paraId="35276CC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掌握CPIII网复测、轨道几何状态测量仪（GRP）、全站仪自由设站及轨检车波形图解析原理；熟悉精调作业质量验收标准。</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能完成轨道精调前数据预处理、基准轨锁定、扣件系统更换及复测评估；输出满足≤0.3 mm/10 m平顺度要求的精调报告。</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养成“毫厘不差、精益求精”的工匠精神；树立数据说话、质量追溯的职业操守。</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弘扬“大国工匠、追求卓越”的时代精神，增强维护高铁安全运营的责任感与自豪感。</w:t>
            </w:r>
          </w:p>
        </w:tc>
        <w:tc>
          <w:tcPr>
            <w:tcW w:w="2567" w:type="dxa"/>
            <w:vAlign w:val="top"/>
          </w:tcPr>
          <w:p w14:paraId="27BF096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测量基础（CPⅢ控制网布设与复测）。</w:t>
            </w:r>
          </w:p>
          <w:p w14:paraId="7E55E47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轨道精调（轨检小车数据解读、调整量计算）。</w:t>
            </w:r>
          </w:p>
          <w:p w14:paraId="3DB5DAE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路基与桥梁变形监测（静/动态沉降观测）。</w:t>
            </w:r>
          </w:p>
          <w:p w14:paraId="36EF436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测量软件应用（如中铁二院轨道精调系统）。</w:t>
            </w:r>
          </w:p>
          <w:p w14:paraId="1990FEF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精调案例（350 km/h线路平顺性控制实例）。</w:t>
            </w:r>
          </w:p>
        </w:tc>
        <w:tc>
          <w:tcPr>
            <w:tcW w:w="3189" w:type="dxa"/>
            <w:vAlign w:val="top"/>
          </w:tcPr>
          <w:p w14:paraId="0BC9235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能独立完成CPⅢ控制网测量与轨道精调作业。</w:t>
            </w:r>
          </w:p>
          <w:p w14:paraId="0F02887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掌握测量误差分析与精度控制方法。</w:t>
            </w:r>
          </w:p>
          <w:p w14:paraId="33E6DC0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理解“零缺陷”理念在精测精调中的重要性。</w:t>
            </w:r>
          </w:p>
        </w:tc>
      </w:tr>
      <w:tr w14:paraId="0A9C1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08B06912">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w:t>
            </w:r>
          </w:p>
        </w:tc>
        <w:tc>
          <w:tcPr>
            <w:tcW w:w="775" w:type="dxa"/>
            <w:vAlign w:val="center"/>
          </w:tcPr>
          <w:p w14:paraId="04F8E221">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高速铁路隧道施工</w:t>
            </w:r>
          </w:p>
        </w:tc>
        <w:tc>
          <w:tcPr>
            <w:tcW w:w="3937" w:type="dxa"/>
            <w:vAlign w:val="top"/>
          </w:tcPr>
          <w:p w14:paraId="7ADA4D2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掌握新奥法、TBM法、盾构法及钻爆法原理；熟悉高速铁路隧道超前地质预报、喷射混凝土、二次衬砌、防水板等关键技术与规范（TB 10120）。</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能编制隧道施工组织设计，完成Ⅳ级围岩光面爆破设计、支护参数优化及监控量测数据分析；运用FLAC3D模拟围岩—支护相互作用。</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养成“岩变我变、动态施工”的应变能力；培育不畏艰险、敢打必胜的隧道铁军精神。</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传承成昆、青藏铁路精神，强化“挑战极限、勇创一流”的民族自豪感与时代使命感。</w:t>
            </w:r>
          </w:p>
        </w:tc>
        <w:tc>
          <w:tcPr>
            <w:tcW w:w="2567" w:type="dxa"/>
            <w:vAlign w:val="top"/>
          </w:tcPr>
          <w:p w14:paraId="7F64BB7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隧道结构形式（单洞双线、双洞单线）。</w:t>
            </w:r>
          </w:p>
          <w:p w14:paraId="72B5D1B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施工工法（钻爆法、盾构法、明挖法）。</w:t>
            </w:r>
          </w:p>
          <w:p w14:paraId="628974A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支护技术（喷锚支护、钢拱架、超前注浆）。</w:t>
            </w:r>
          </w:p>
          <w:p w14:paraId="08714DC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防排水系统（防水板、止水带、排水盲管）。</w:t>
            </w:r>
          </w:p>
          <w:p w14:paraId="644DDA0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监控量测（收敛变形、围岩稳定性分析）。</w:t>
            </w:r>
          </w:p>
        </w:tc>
        <w:tc>
          <w:tcPr>
            <w:tcW w:w="3189" w:type="dxa"/>
            <w:vAlign w:val="top"/>
          </w:tcPr>
          <w:p w14:paraId="05F8D48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掌握隧道施工工艺流程及安全控制要点。</w:t>
            </w:r>
          </w:p>
          <w:p w14:paraId="5B45FF5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能识读隧道施工图纸并制定开挖方案。</w:t>
            </w:r>
          </w:p>
          <w:p w14:paraId="095366E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熟悉《高速铁路隧道工程施工技术规程》Q/CR 9604。</w:t>
            </w:r>
          </w:p>
          <w:p w14:paraId="21E0BD2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r>
      <w:tr w14:paraId="29BEC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408DAA66">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6</w:t>
            </w:r>
          </w:p>
        </w:tc>
        <w:tc>
          <w:tcPr>
            <w:tcW w:w="775" w:type="dxa"/>
            <w:vAlign w:val="center"/>
          </w:tcPr>
          <w:p w14:paraId="5AF2502D">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高速铁路桥隧养护维修</w:t>
            </w:r>
          </w:p>
        </w:tc>
        <w:tc>
          <w:tcPr>
            <w:tcW w:w="3937" w:type="dxa"/>
            <w:vAlign w:val="top"/>
          </w:tcPr>
          <w:p w14:paraId="11395C6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掌握桥梁结构健康监测（SHM）、隧道衬砌裂损整治、病害分级评定及快速修复技术；熟悉高铁桥隧设备“检、养、修”规程（TG/GW 220）。</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能利用无人机+三维激光扫描完成桥梁表观病害普查，制定整治方案；完成隧道注浆加固工艺试验并编制维修作业指导书。</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树立“运营一分钟、负责六十秒”的安全责任观；培育终身学习、持续创新的养护理念。</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坚持“人民至上、生命至上”，强化保障国家大动脉安全畅通的使命担当。</w:t>
            </w:r>
          </w:p>
        </w:tc>
        <w:tc>
          <w:tcPr>
            <w:tcW w:w="2567" w:type="dxa"/>
            <w:vAlign w:val="top"/>
          </w:tcPr>
          <w:p w14:paraId="12D4F92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桥隧病害分类（裂缝、锈蚀、基础沉降）。</w:t>
            </w:r>
          </w:p>
          <w:p w14:paraId="3D6004D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检测技术（超声波探伤、红外热成像）。</w:t>
            </w:r>
          </w:p>
          <w:p w14:paraId="7C4A974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维修工艺（支座更换、衬砌补强、排水系统整治）。</w:t>
            </w:r>
          </w:p>
          <w:p w14:paraId="6A970FD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养护管理（周期检查、状态评估、信息化系统）。</w:t>
            </w:r>
          </w:p>
          <w:p w14:paraId="24ADC38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案例（高铁桥梁支座病害处理实例）。</w:t>
            </w:r>
          </w:p>
        </w:tc>
        <w:tc>
          <w:tcPr>
            <w:tcW w:w="3189" w:type="dxa"/>
            <w:vAlign w:val="top"/>
          </w:tcPr>
          <w:p w14:paraId="34DB9DF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能运用检测设备诊断桥隧结构缺陷。</w:t>
            </w:r>
          </w:p>
          <w:p w14:paraId="1C45070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掌握维修方案的比选与实施流程。</w:t>
            </w:r>
          </w:p>
          <w:p w14:paraId="080A073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理解“预防为主，防治结合”的养护理念。</w:t>
            </w:r>
          </w:p>
        </w:tc>
      </w:tr>
      <w:tr w14:paraId="0ABC8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77237B1E">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75" w:type="dxa"/>
            <w:vAlign w:val="center"/>
          </w:tcPr>
          <w:p w14:paraId="712B41ED">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高速铁路线路养护维修</w:t>
            </w:r>
          </w:p>
        </w:tc>
        <w:tc>
          <w:tcPr>
            <w:tcW w:w="3937" w:type="dxa"/>
            <w:vAlign w:val="top"/>
          </w:tcPr>
          <w:p w14:paraId="792F907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掌握钢轨打磨、换轨大修、扣件系统更新、道床清筛及大型养路机械作业标准；熟悉线路设备状态评定及TQI、GQI指标体系。</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能制定年度维修计划，使用钢轨探伤仪、轨检车数据完成伤损预测，并指挥大型机组进行线路捣固、稳定作业。</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养成“零故障、零延误”的高铁标准意识；培育吃苦耐劳、精准高效的工匠精神。</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弘扬“高铁卫士”精神，强化“让旅客体验更美好”的服务宗旨与社会责任。</w:t>
            </w:r>
          </w:p>
          <w:p w14:paraId="0FE71A7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567" w:type="dxa"/>
            <w:vAlign w:val="top"/>
          </w:tcPr>
          <w:p w14:paraId="32A2BBA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线路病害（轨距偏差、波浪形磨耗、道床板结）。</w:t>
            </w:r>
          </w:p>
          <w:p w14:paraId="6EAE2CB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养护设备（捣固车、钢轨打磨车、探伤车）。</w:t>
            </w:r>
          </w:p>
          <w:p w14:paraId="53B4E45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维修作业（天窗点管理、无缝线路应力调整）。</w:t>
            </w:r>
          </w:p>
          <w:p w14:paraId="7939D14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季节性养护（冻胀整治、高温防胀）。</w:t>
            </w:r>
          </w:p>
          <w:p w14:paraId="1D50EC1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智能化养护（无人机巡检、大数据分析）。</w:t>
            </w:r>
          </w:p>
        </w:tc>
        <w:tc>
          <w:tcPr>
            <w:tcW w:w="3189" w:type="dxa"/>
            <w:vAlign w:val="top"/>
          </w:tcPr>
          <w:p w14:paraId="39C1E5D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掌握线路静态与动态检测数据的分析方法。</w:t>
            </w:r>
          </w:p>
          <w:p w14:paraId="170DC60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能制定合理的维修计划并组织施工。</w:t>
            </w:r>
          </w:p>
          <w:p w14:paraId="685E8BF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熟悉《高速铁路线路维修规则》TG/GW 115。</w:t>
            </w:r>
          </w:p>
        </w:tc>
      </w:tr>
      <w:tr w14:paraId="2A028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3B8FAFC3">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bookmarkStart w:id="14" w:name="_Toc90734991"/>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75" w:type="dxa"/>
            <w:vAlign w:val="center"/>
          </w:tcPr>
          <w:p w14:paraId="3AED5D83">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高速铁路桥涵施工</w:t>
            </w:r>
          </w:p>
        </w:tc>
        <w:tc>
          <w:tcPr>
            <w:tcW w:w="3937" w:type="dxa"/>
            <w:vAlign w:val="top"/>
          </w:tcPr>
          <w:p w14:paraId="39F76CA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掌握高速铁路常用桥梁结构（整孔箱梁、连续梁、系杆拱、斜拉桥）及涵洞施工工艺流程；熟悉悬臂浇筑、节段拼装、转体施工关键技术及质量控制要点（TB 10415）。</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能完成现浇梁支架受力计算与预压方案设计；运用MIDAS Civil建立施工阶段模型并进行线形控制分析。</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树立“百年大桥、质量第一”的精品意识；培育协同作战、科学管理的团队精神。</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br w:type="textWrapping"/>
            </w: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践行“中国跨度”自主创新精神，增强打造世界一流高铁桥梁的国家自豪感与历史使命感。</w:t>
            </w:r>
          </w:p>
          <w:p w14:paraId="031E4C9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567" w:type="dxa"/>
            <w:vAlign w:val="top"/>
          </w:tcPr>
          <w:p w14:paraId="3B718F8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桥梁基础施工（钻孔桩、沉井、扩大基础）。</w:t>
            </w:r>
          </w:p>
          <w:p w14:paraId="254CB71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上部结构施工（悬臂浇筑、预制架设、转体法）。</w:t>
            </w:r>
          </w:p>
          <w:p w14:paraId="0706B13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涵洞施工（盖板涵、箱涵、顶进法）。</w:t>
            </w:r>
          </w:p>
          <w:p w14:paraId="3F5938A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施工监控（线形控制、应力监测）。</w:t>
            </w:r>
          </w:p>
          <w:p w14:paraId="04AEBD6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案例（高铁跨江大桥施工组织实例）。</w:t>
            </w:r>
          </w:p>
        </w:tc>
        <w:tc>
          <w:tcPr>
            <w:tcW w:w="3189" w:type="dxa"/>
            <w:vAlign w:val="top"/>
          </w:tcPr>
          <w:p w14:paraId="7BDB50D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能编制桥梁专项施工方案（如深基坑支护）。</w:t>
            </w:r>
          </w:p>
          <w:p w14:paraId="670AACD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掌握BIM技术在桥梁施工中的应用。</w:t>
            </w:r>
          </w:p>
          <w:p w14:paraId="4AE4342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熟悉《高速铁路桥涵工程施工质量验收标准》TB 10752。</w:t>
            </w:r>
          </w:p>
        </w:tc>
      </w:tr>
    </w:tbl>
    <w:p w14:paraId="4E15076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3.专业拓展课程</w:t>
      </w:r>
      <w:bookmarkEnd w:id="14"/>
    </w:p>
    <w:p w14:paraId="502EE18F">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专业拓展课程是按照岗位迁移，根据铁路行业发展的趋势，依据企业用人需求调研，企业对知识面更为广阔的铁路专业人才日益增加的需求，建立了高速铁路施工与维护专业拓展课。由智能工程机械运用与维护、建设工程项目管理、高速铁路工程检测技术、高铁综合维修一体化管理、钢轨探伤、工务安全与管理、铁路建设与环境保护、专业英语、交通运输概论构成专业拓展课。</w:t>
      </w:r>
    </w:p>
    <w:p w14:paraId="72C2C00D">
      <w:pPr>
        <w:keepNext w:val="0"/>
        <w:keepLines w:val="0"/>
        <w:pageBreakBefore w:val="0"/>
        <w:widowControl w:val="0"/>
        <w:kinsoku/>
        <w:wordWrap/>
        <w:overflowPunct w:val="0"/>
        <w:topLinePunct w:val="0"/>
        <w:autoSpaceDE/>
        <w:autoSpaceDN/>
        <w:bidi w:val="0"/>
        <w:adjustRightInd w:val="0"/>
        <w:spacing w:line="500" w:lineRule="exact"/>
        <w:jc w:val="center"/>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专业拓展课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9"/>
        <w:tblW w:w="108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1052"/>
        <w:gridCol w:w="3944"/>
        <w:gridCol w:w="2924"/>
        <w:gridCol w:w="2132"/>
      </w:tblGrid>
      <w:tr w14:paraId="10C6D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72" w:type="dxa"/>
            <w:vAlign w:val="center"/>
          </w:tcPr>
          <w:p w14:paraId="6DE40026">
            <w:pPr>
              <w:keepNext w:val="0"/>
              <w:keepLines w:val="0"/>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序号</w:t>
            </w:r>
          </w:p>
        </w:tc>
        <w:tc>
          <w:tcPr>
            <w:tcW w:w="1052" w:type="dxa"/>
            <w:vAlign w:val="center"/>
          </w:tcPr>
          <w:p w14:paraId="284C8621">
            <w:pPr>
              <w:keepNext w:val="0"/>
              <w:keepLines w:val="0"/>
              <w:pageBreakBefore w:val="0"/>
              <w:kinsoku/>
              <w:wordWrap/>
              <w:topLinePunct w:val="0"/>
              <w:autoSpaceDE/>
              <w:autoSpaceDN/>
              <w:bidi w:val="0"/>
              <w:spacing w:line="240" w:lineRule="auto"/>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名称</w:t>
            </w:r>
          </w:p>
        </w:tc>
        <w:tc>
          <w:tcPr>
            <w:tcW w:w="3944" w:type="dxa"/>
            <w:vAlign w:val="center"/>
          </w:tcPr>
          <w:p w14:paraId="066127EA">
            <w:pPr>
              <w:keepNext w:val="0"/>
              <w:keepLines w:val="0"/>
              <w:pageBreakBefore w:val="0"/>
              <w:kinsoku/>
              <w:wordWrap/>
              <w:topLinePunct w:val="0"/>
              <w:autoSpaceDE/>
              <w:autoSpaceDN/>
              <w:bidi w:val="0"/>
              <w:spacing w:line="240" w:lineRule="auto"/>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p>
        </w:tc>
        <w:tc>
          <w:tcPr>
            <w:tcW w:w="2924" w:type="dxa"/>
            <w:vAlign w:val="center"/>
          </w:tcPr>
          <w:p w14:paraId="44EAAE35">
            <w:pPr>
              <w:keepNext w:val="0"/>
              <w:keepLines w:val="0"/>
              <w:pageBreakBefore w:val="0"/>
              <w:kinsoku/>
              <w:wordWrap/>
              <w:topLinePunct w:val="0"/>
              <w:autoSpaceDE/>
              <w:autoSpaceDN/>
              <w:bidi w:val="0"/>
              <w:spacing w:line="240" w:lineRule="auto"/>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p>
        </w:tc>
        <w:tc>
          <w:tcPr>
            <w:tcW w:w="2132" w:type="dxa"/>
            <w:vAlign w:val="center"/>
          </w:tcPr>
          <w:p w14:paraId="394BA493">
            <w:pPr>
              <w:keepNext w:val="0"/>
              <w:keepLines w:val="0"/>
              <w:pageBreakBefore w:val="0"/>
              <w:kinsoku/>
              <w:wordWrap/>
              <w:topLinePunct w:val="0"/>
              <w:autoSpaceDE/>
              <w:autoSpaceDN/>
              <w:bidi w:val="0"/>
              <w:spacing w:line="240" w:lineRule="auto"/>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06D42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087DC0B7">
            <w:pPr>
              <w:keepNext w:val="0"/>
              <w:keepLines w:val="0"/>
              <w:pageBreakBefore w:val="0"/>
              <w:kinsoku/>
              <w:wordWrap/>
              <w:overflowPunct w:val="0"/>
              <w:topLinePunct w:val="0"/>
              <w:autoSpaceDE/>
              <w:autoSpaceDN/>
              <w:bidi w:val="0"/>
              <w:adjustRightInd w:val="0"/>
              <w:snapToGrid w:val="0"/>
              <w:spacing w:line="240" w:lineRule="auto"/>
              <w:jc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w:t>
            </w:r>
          </w:p>
        </w:tc>
        <w:tc>
          <w:tcPr>
            <w:tcW w:w="1052" w:type="dxa"/>
            <w:vAlign w:val="center"/>
          </w:tcPr>
          <w:p w14:paraId="6E18D404">
            <w:pPr>
              <w:keepNext w:val="0"/>
              <w:keepLines w:val="0"/>
              <w:pageBreakBefore w:val="0"/>
              <w:widowControl/>
              <w:suppressLineNumbers w:val="0"/>
              <w:kinsoku/>
              <w:wordWrap/>
              <w:topLinePunct w:val="0"/>
              <w:autoSpaceDE/>
              <w:autoSpaceDN/>
              <w:bidi w:val="0"/>
              <w:spacing w:line="240" w:lineRule="auto"/>
              <w:jc w:val="both"/>
              <w:textAlignment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智能工程机械运用与维护</w:t>
            </w:r>
          </w:p>
        </w:tc>
        <w:tc>
          <w:tcPr>
            <w:tcW w:w="3944" w:type="dxa"/>
            <w:vAlign w:val="top"/>
          </w:tcPr>
          <w:p w14:paraId="461CB8F8">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掌握智能工程机械的基本原理和操作技术</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6FFE8E7">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熟悉工程机械的智能化控制系统和故障诊断方法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19ED04F6">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培养学生对智能工程机械的维护保养能力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825B30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树立团队协作意识，提升沟通协调能力，高效完成复杂工程任务。</w:t>
            </w:r>
          </w:p>
        </w:tc>
        <w:tc>
          <w:tcPr>
            <w:tcW w:w="2924" w:type="dxa"/>
            <w:vAlign w:val="top"/>
          </w:tcPr>
          <w:p w14:paraId="69BB6B21">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智能工程机械概述（发展现状、技术特点）</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398AB42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典型智能工程机械（智能压路机、无人摊铺机等）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48F8DA82">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工程机械智能化控制系统（GPS定位、自动找平）</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1C4F1691">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工程机械故障诊断与维护技术</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5AD005D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工程机械远程监控与大数据分析</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132" w:type="dxa"/>
            <w:vAlign w:val="top"/>
          </w:tcPr>
          <w:p w14:paraId="26D5D2B0">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掌握智能工程机械的基本操作技能。</w:t>
            </w:r>
          </w:p>
          <w:p w14:paraId="4A0E3CA7">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能进行常见故障的诊断与排除。</w:t>
            </w:r>
          </w:p>
          <w:p w14:paraId="7388CC8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了解工程机械智能化发展趋势。</w:t>
            </w:r>
          </w:p>
        </w:tc>
      </w:tr>
      <w:tr w14:paraId="2DC9A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1B36BFA8">
            <w:pPr>
              <w:keepNext w:val="0"/>
              <w:keepLines w:val="0"/>
              <w:pageBreakBefore w:val="0"/>
              <w:kinsoku/>
              <w:wordWrap/>
              <w:overflowPunct w:val="0"/>
              <w:topLinePunct w:val="0"/>
              <w:autoSpaceDE/>
              <w:autoSpaceDN/>
              <w:bidi w:val="0"/>
              <w:adjustRightInd w:val="0"/>
              <w:snapToGrid w:val="0"/>
              <w:spacing w:line="240" w:lineRule="auto"/>
              <w:jc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1052" w:type="dxa"/>
            <w:vAlign w:val="center"/>
          </w:tcPr>
          <w:p w14:paraId="2CD4EE1B">
            <w:pPr>
              <w:keepNext w:val="0"/>
              <w:keepLines w:val="0"/>
              <w:pageBreakBefore w:val="0"/>
              <w:widowControl/>
              <w:suppressLineNumbers w:val="0"/>
              <w:kinsoku/>
              <w:wordWrap/>
              <w:topLinePunct w:val="0"/>
              <w:autoSpaceDE/>
              <w:autoSpaceDN/>
              <w:bidi w:val="0"/>
              <w:spacing w:line="240" w:lineRule="auto"/>
              <w:jc w:val="both"/>
              <w:textAlignment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建设工程项目管理</w:t>
            </w:r>
          </w:p>
        </w:tc>
        <w:tc>
          <w:tcPr>
            <w:tcW w:w="3944" w:type="dxa"/>
            <w:vAlign w:val="top"/>
          </w:tcPr>
          <w:p w14:paraId="7483017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掌握建设工程项目管理的基本理论和方法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DC1E50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熟悉项目管理的全过程控制要点</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367A1F51">
            <w:pPr>
              <w:keepNext w:val="0"/>
              <w:keepLines w:val="0"/>
              <w:pageBreakBefore w:val="0"/>
              <w:widowControl w:val="0"/>
              <w:kinsoku/>
              <w:wordWrap/>
              <w:topLinePunct w:val="0"/>
              <w:autoSpaceDE/>
              <w:autoSpaceDN/>
              <w:bidi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培养学生运用项目管理软件的能力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1D547D2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培养投身国家制造强国战略，服务智能工程机械产业发展的责任感。</w:t>
            </w:r>
          </w:p>
        </w:tc>
        <w:tc>
          <w:tcPr>
            <w:tcW w:w="2924" w:type="dxa"/>
            <w:vAlign w:val="top"/>
          </w:tcPr>
          <w:p w14:paraId="54C325B2">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项目管理基础知识（五大过程组、十大知识领域）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057659DA">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工程招投标与合同管理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12E12E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项目进度控制（甘特图、关键路径法）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133A16A8">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项目成本管理与质量控制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067D4C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项目管理软件应用（Project、P6）</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132" w:type="dxa"/>
            <w:vAlign w:val="top"/>
          </w:tcPr>
          <w:p w14:paraId="48C248FE">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掌握项目管理的基本流程和方法。</w:t>
            </w:r>
          </w:p>
          <w:p w14:paraId="7BB2CF65">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能编制简单的项目进度计划。</w:t>
            </w:r>
          </w:p>
          <w:p w14:paraId="40237DF5">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理解工程项目的质量、成本、进度控制要点。</w:t>
            </w:r>
          </w:p>
        </w:tc>
      </w:tr>
      <w:tr w14:paraId="3AE3A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4AA8F362">
            <w:pPr>
              <w:keepNext w:val="0"/>
              <w:keepLines w:val="0"/>
              <w:pageBreakBefore w:val="0"/>
              <w:kinsoku/>
              <w:wordWrap/>
              <w:overflowPunct w:val="0"/>
              <w:topLinePunct w:val="0"/>
              <w:autoSpaceDE/>
              <w:autoSpaceDN/>
              <w:bidi w:val="0"/>
              <w:adjustRightInd w:val="0"/>
              <w:snapToGrid w:val="0"/>
              <w:spacing w:line="240" w:lineRule="auto"/>
              <w:jc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1052" w:type="dxa"/>
            <w:vAlign w:val="center"/>
          </w:tcPr>
          <w:p w14:paraId="2D76B1E9">
            <w:pPr>
              <w:keepNext w:val="0"/>
              <w:keepLines w:val="0"/>
              <w:pageBreakBefore w:val="0"/>
              <w:widowControl/>
              <w:suppressLineNumbers w:val="0"/>
              <w:kinsoku/>
              <w:wordWrap/>
              <w:topLinePunct w:val="0"/>
              <w:autoSpaceDE/>
              <w:autoSpaceDN/>
              <w:bidi w:val="0"/>
              <w:spacing w:line="240" w:lineRule="auto"/>
              <w:jc w:val="both"/>
              <w:textAlignment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高速铁路工程检测技术</w:t>
            </w:r>
          </w:p>
        </w:tc>
        <w:tc>
          <w:tcPr>
            <w:tcW w:w="3944" w:type="dxa"/>
            <w:vAlign w:val="top"/>
          </w:tcPr>
          <w:p w14:paraId="4D85F21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掌握高速铁路工程检测的基本原理和方法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3C6DAC21">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熟悉各种检测仪器的使用和维护</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40BF24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培养学生分析检测数据的能力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5428988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弘扬精益求精工匠精神，掌握智能装备核心技能，立志技术报国。</w:t>
            </w:r>
          </w:p>
        </w:tc>
        <w:tc>
          <w:tcPr>
            <w:tcW w:w="2924" w:type="dxa"/>
            <w:vAlign w:val="top"/>
          </w:tcPr>
          <w:p w14:paraId="270C8B62">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工程检测基础知识（检测标准、规范）</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6B622E6A">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路基、轨道、桥梁检测技术</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7B1A636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无损检测技术（超声波、雷达）</w:t>
            </w:r>
          </w:p>
          <w:p w14:paraId="4CA87041">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检测数据处理与分析</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4114BF02">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检测报告编制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132" w:type="dxa"/>
            <w:vAlign w:val="top"/>
          </w:tcPr>
          <w:p w14:paraId="589C5FAD">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掌握常用检测仪器的操作方法。</w:t>
            </w:r>
          </w:p>
          <w:p w14:paraId="52E1C7B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能正确分析检测数据。</w:t>
            </w:r>
          </w:p>
          <w:p w14:paraId="38BD1FCB">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熟悉高速铁路工程检测相关标准。</w:t>
            </w:r>
          </w:p>
        </w:tc>
      </w:tr>
      <w:tr w14:paraId="365B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2031BCE3">
            <w:pPr>
              <w:keepNext w:val="0"/>
              <w:keepLines w:val="0"/>
              <w:pageBreakBefore w:val="0"/>
              <w:kinsoku/>
              <w:wordWrap/>
              <w:overflowPunct w:val="0"/>
              <w:topLinePunct w:val="0"/>
              <w:autoSpaceDE/>
              <w:autoSpaceDN/>
              <w:bidi w:val="0"/>
              <w:adjustRightInd w:val="0"/>
              <w:snapToGrid w:val="0"/>
              <w:spacing w:line="240" w:lineRule="auto"/>
              <w:jc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w:t>
            </w:r>
          </w:p>
        </w:tc>
        <w:tc>
          <w:tcPr>
            <w:tcW w:w="1052" w:type="dxa"/>
            <w:vAlign w:val="center"/>
          </w:tcPr>
          <w:p w14:paraId="7E127DE5">
            <w:pPr>
              <w:keepNext w:val="0"/>
              <w:keepLines w:val="0"/>
              <w:pageBreakBefore w:val="0"/>
              <w:widowControl/>
              <w:suppressLineNumbers w:val="0"/>
              <w:kinsoku/>
              <w:wordWrap/>
              <w:topLinePunct w:val="0"/>
              <w:autoSpaceDE/>
              <w:autoSpaceDN/>
              <w:bidi w:val="0"/>
              <w:spacing w:line="240" w:lineRule="auto"/>
              <w:jc w:val="both"/>
              <w:textAlignment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高铁综合维修一体化管理</w:t>
            </w:r>
          </w:p>
        </w:tc>
        <w:tc>
          <w:tcPr>
            <w:tcW w:w="3944" w:type="dxa"/>
            <w:vAlign w:val="top"/>
          </w:tcPr>
          <w:p w14:paraId="29B0B53B">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掌握高铁综合维修的管理模式和方法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6C801D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熟悉各专业维修的协调配合</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4497B37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培养学生解决综合维修问题的能力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52FCC0A4">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坚守安全生产红线，强化职业道德，做新时代高素质技术技能人才。</w:t>
            </w:r>
          </w:p>
        </w:tc>
        <w:tc>
          <w:tcPr>
            <w:tcW w:w="2924" w:type="dxa"/>
            <w:vAlign w:val="top"/>
          </w:tcPr>
          <w:p w14:paraId="27B48D1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高铁综合维修概述（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“五位一体”</w:t>
            </w:r>
            <w:r>
              <w:rPr>
                <w:rFonts w:hint="eastAsia" w:ascii="仿宋_GB2312" w:hAnsi="仿宋_GB2312" w:eastAsia="仿宋_GB2312" w:cs="仿宋_GB2312"/>
                <w:color w:val="000000" w:themeColor="text1"/>
                <w:sz w:val="24"/>
                <w:szCs w:val="24"/>
                <w:highlight w:val="none"/>
                <w14:textFill>
                  <w14:solidFill>
                    <w14:schemeClr w14:val="tx1"/>
                  </w14:solidFill>
                </w14:textFill>
              </w:rPr>
              <w:t>模式）</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00C74C6">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工务、电务、供电专业维修协调</w:t>
            </w:r>
          </w:p>
          <w:p w14:paraId="3D9E07BF">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天窗修管理与施工组织</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11970353">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维修信息化管理</w:t>
            </w:r>
          </w:p>
          <w:p w14:paraId="41C107F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应急抢修组织</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132" w:type="dxa"/>
            <w:vAlign w:val="top"/>
          </w:tcPr>
          <w:p w14:paraId="4C18A18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理解综合维修的管理流程。</w:t>
            </w:r>
          </w:p>
          <w:p w14:paraId="66106313">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掌握各专业维修的配合要点。</w:t>
            </w:r>
          </w:p>
          <w:p w14:paraId="5979ACA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能制定简单的维修计划。</w:t>
            </w:r>
          </w:p>
        </w:tc>
      </w:tr>
      <w:tr w14:paraId="20923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5F835482">
            <w:pPr>
              <w:keepNext w:val="0"/>
              <w:keepLines w:val="0"/>
              <w:pageBreakBefore w:val="0"/>
              <w:kinsoku/>
              <w:wordWrap/>
              <w:overflowPunct w:val="0"/>
              <w:topLinePunct w:val="0"/>
              <w:autoSpaceDE/>
              <w:autoSpaceDN/>
              <w:bidi w:val="0"/>
              <w:adjustRightInd w:val="0"/>
              <w:snapToGrid w:val="0"/>
              <w:spacing w:line="240" w:lineRule="auto"/>
              <w:jc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w:t>
            </w:r>
          </w:p>
        </w:tc>
        <w:tc>
          <w:tcPr>
            <w:tcW w:w="1052" w:type="dxa"/>
            <w:vAlign w:val="center"/>
          </w:tcPr>
          <w:p w14:paraId="4F160026">
            <w:pPr>
              <w:keepNext w:val="0"/>
              <w:keepLines w:val="0"/>
              <w:pageBreakBefore w:val="0"/>
              <w:widowControl/>
              <w:suppressLineNumbers w:val="0"/>
              <w:kinsoku/>
              <w:wordWrap/>
              <w:topLinePunct w:val="0"/>
              <w:autoSpaceDE/>
              <w:autoSpaceDN/>
              <w:bidi w:val="0"/>
              <w:spacing w:line="240" w:lineRule="auto"/>
              <w:jc w:val="both"/>
              <w:textAlignment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钢轨探伤</w:t>
            </w:r>
          </w:p>
        </w:tc>
        <w:tc>
          <w:tcPr>
            <w:tcW w:w="3944" w:type="dxa"/>
            <w:vAlign w:val="top"/>
          </w:tcPr>
          <w:p w14:paraId="0B7C8772">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掌握钢轨探伤的基本原理和方法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38B912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熟悉探伤仪器的使用和维护</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19AE008F">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培养学生分析伤损图谱的能力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697ACCB1">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树立科技自立自强意识，勇于创新实践，推动工程机械智能化升级。</w:t>
            </w:r>
          </w:p>
        </w:tc>
        <w:tc>
          <w:tcPr>
            <w:tcW w:w="2924" w:type="dxa"/>
            <w:vAlign w:val="top"/>
          </w:tcPr>
          <w:p w14:paraId="36CF1080">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钢轨伤损类型及特征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877FB68">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超声波探伤原理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009ABFD6">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探伤仪器操作</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6E58E8D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伤损图谱分析</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4DA73D77">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探伤报告编制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132" w:type="dxa"/>
            <w:vAlign w:val="top"/>
          </w:tcPr>
          <w:p w14:paraId="6C631AB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掌握钢轨探伤的基本技能。</w:t>
            </w:r>
          </w:p>
          <w:p w14:paraId="391E8E57">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能识别常见伤损图谱。</w:t>
            </w:r>
          </w:p>
          <w:p w14:paraId="560682D1">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熟悉钢轨探伤作业标准。</w:t>
            </w:r>
          </w:p>
        </w:tc>
      </w:tr>
      <w:tr w14:paraId="739C9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219045B3">
            <w:pPr>
              <w:keepNext w:val="0"/>
              <w:keepLines w:val="0"/>
              <w:pageBreakBefore w:val="0"/>
              <w:kinsoku/>
              <w:wordWrap/>
              <w:overflowPunct w:val="0"/>
              <w:topLinePunct w:val="0"/>
              <w:autoSpaceDE/>
              <w:autoSpaceDN/>
              <w:bidi w:val="0"/>
              <w:adjustRightInd w:val="0"/>
              <w:snapToGrid w:val="0"/>
              <w:spacing w:line="240" w:lineRule="auto"/>
              <w:jc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6</w:t>
            </w:r>
          </w:p>
        </w:tc>
        <w:tc>
          <w:tcPr>
            <w:tcW w:w="1052" w:type="dxa"/>
            <w:vAlign w:val="center"/>
          </w:tcPr>
          <w:p w14:paraId="13CCA2EB">
            <w:pPr>
              <w:keepNext w:val="0"/>
              <w:keepLines w:val="0"/>
              <w:pageBreakBefore w:val="0"/>
              <w:widowControl/>
              <w:suppressLineNumbers w:val="0"/>
              <w:kinsoku/>
              <w:wordWrap/>
              <w:topLinePunct w:val="0"/>
              <w:autoSpaceDE/>
              <w:autoSpaceDN/>
              <w:bidi w:val="0"/>
              <w:spacing w:line="240" w:lineRule="auto"/>
              <w:jc w:val="both"/>
              <w:textAlignment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工务安全与管理</w:t>
            </w:r>
          </w:p>
        </w:tc>
        <w:tc>
          <w:tcPr>
            <w:tcW w:w="3944" w:type="dxa"/>
            <w:vAlign w:val="top"/>
          </w:tcPr>
          <w:p w14:paraId="5E7427E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掌握工务安全管理的基本要求</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7659221">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熟悉安全风险管控方法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74D5EBD4">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培养学生安全作业意识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79940B72">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拓宽国际视野，关注全球工程机械前沿，助力中国智造走向世界。</w:t>
            </w:r>
          </w:p>
        </w:tc>
        <w:tc>
          <w:tcPr>
            <w:tcW w:w="2924" w:type="dxa"/>
            <w:vAlign w:val="top"/>
          </w:tcPr>
          <w:p w14:paraId="2C13A89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工务安全规章制度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7840CC3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现场作业安全防护</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0347CF3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安全风险识别与评估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318FE254">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事故案例分析</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678E564C">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应急处理预案</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132" w:type="dxa"/>
            <w:vAlign w:val="top"/>
          </w:tcPr>
          <w:p w14:paraId="709357A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掌握工务安全基本知识。</w:t>
            </w:r>
          </w:p>
          <w:p w14:paraId="38C73918">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能识别作业安全风险。</w:t>
            </w:r>
          </w:p>
          <w:p w14:paraId="5BB1CA70">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具备安全防护能力。</w:t>
            </w:r>
          </w:p>
        </w:tc>
      </w:tr>
      <w:tr w14:paraId="49EAC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33A93E4D">
            <w:pPr>
              <w:keepNext w:val="0"/>
              <w:keepLines w:val="0"/>
              <w:pageBreakBefore w:val="0"/>
              <w:kinsoku/>
              <w:wordWrap/>
              <w:overflowPunct w:val="0"/>
              <w:topLinePunct w:val="0"/>
              <w:autoSpaceDE/>
              <w:autoSpaceDN/>
              <w:bidi w:val="0"/>
              <w:adjustRightInd w:val="0"/>
              <w:snapToGrid w:val="0"/>
              <w:spacing w:line="240" w:lineRule="auto"/>
              <w:jc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1052" w:type="dxa"/>
            <w:vAlign w:val="center"/>
          </w:tcPr>
          <w:p w14:paraId="48098F49">
            <w:pPr>
              <w:keepNext w:val="0"/>
              <w:keepLines w:val="0"/>
              <w:pageBreakBefore w:val="0"/>
              <w:widowControl/>
              <w:suppressLineNumbers w:val="0"/>
              <w:kinsoku/>
              <w:wordWrap/>
              <w:topLinePunct w:val="0"/>
              <w:autoSpaceDE/>
              <w:autoSpaceDN/>
              <w:bidi w:val="0"/>
              <w:spacing w:line="240" w:lineRule="auto"/>
              <w:jc w:val="both"/>
              <w:textAlignment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铁路建设与环境保护</w:t>
            </w:r>
          </w:p>
        </w:tc>
        <w:tc>
          <w:tcPr>
            <w:tcW w:w="3944" w:type="dxa"/>
            <w:vAlign w:val="top"/>
          </w:tcPr>
          <w:p w14:paraId="02FEF80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掌握铁路建设中的环保要求</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08439CC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熟悉环境保护措施</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DB46D4B">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培养学生环保意识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DAE02A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恪守诚实守信准则，规范操作维护流程，保障工程质量和设备安全。</w:t>
            </w:r>
          </w:p>
        </w:tc>
        <w:tc>
          <w:tcPr>
            <w:tcW w:w="2924" w:type="dxa"/>
            <w:vAlign w:val="top"/>
          </w:tcPr>
          <w:p w14:paraId="5F492FC6">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铁路建设环境影响</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13F6833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环保法律法规</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7D0DC771">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生态保护措施</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6264D31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噪声振动控制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63E7EA50">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环保验收标准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132" w:type="dxa"/>
            <w:vAlign w:val="top"/>
          </w:tcPr>
          <w:p w14:paraId="2AE5EB6B">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了解铁路环保要求。</w:t>
            </w:r>
          </w:p>
          <w:p w14:paraId="01D3D04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掌握基本环保措施。</w:t>
            </w:r>
          </w:p>
          <w:p w14:paraId="70F1617A">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能参与环保方案制定。</w:t>
            </w:r>
          </w:p>
        </w:tc>
      </w:tr>
      <w:tr w14:paraId="3185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2E5E0E9C">
            <w:pPr>
              <w:keepNext w:val="0"/>
              <w:keepLines w:val="0"/>
              <w:pageBreakBefore w:val="0"/>
              <w:kinsoku/>
              <w:wordWrap/>
              <w:overflowPunct w:val="0"/>
              <w:topLinePunct w:val="0"/>
              <w:autoSpaceDE/>
              <w:autoSpaceDN/>
              <w:bidi w:val="0"/>
              <w:adjustRightInd w:val="0"/>
              <w:snapToGrid w:val="0"/>
              <w:spacing w:line="240" w:lineRule="auto"/>
              <w:jc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1052" w:type="dxa"/>
            <w:vAlign w:val="center"/>
          </w:tcPr>
          <w:p w14:paraId="0E425B0E">
            <w:pPr>
              <w:keepNext w:val="0"/>
              <w:keepLines w:val="0"/>
              <w:pageBreakBefore w:val="0"/>
              <w:widowControl/>
              <w:suppressLineNumbers w:val="0"/>
              <w:kinsoku/>
              <w:wordWrap/>
              <w:topLinePunct w:val="0"/>
              <w:autoSpaceDE/>
              <w:autoSpaceDN/>
              <w:bidi w:val="0"/>
              <w:spacing w:line="240" w:lineRule="auto"/>
              <w:jc w:val="both"/>
              <w:textAlignment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专业英语</w:t>
            </w:r>
          </w:p>
        </w:tc>
        <w:tc>
          <w:tcPr>
            <w:tcW w:w="3944" w:type="dxa"/>
            <w:vAlign w:val="top"/>
          </w:tcPr>
          <w:p w14:paraId="1FAC969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掌握铁路专业英语词汇</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14930DA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提高专业文献阅读能力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4623F3FF">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培养简单专业交流能力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78D2512C">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树立团队协作意识，提升沟通协调能力，高效完成复杂工程任务。</w:t>
            </w:r>
          </w:p>
        </w:tc>
        <w:tc>
          <w:tcPr>
            <w:tcW w:w="2924" w:type="dxa"/>
            <w:vAlign w:val="top"/>
          </w:tcPr>
          <w:p w14:paraId="7A8A3788">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铁路专业词汇</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技术文件阅读</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7F3C0587">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设备说明书翻译</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0F96385A">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简单专业对话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6AF38A3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英文邮件写作</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132" w:type="dxa"/>
            <w:vAlign w:val="top"/>
          </w:tcPr>
          <w:p w14:paraId="69DC624C">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掌握常用专业词汇。</w:t>
            </w:r>
          </w:p>
          <w:p w14:paraId="406892EA">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能阅读简单技术资料。</w:t>
            </w:r>
          </w:p>
          <w:p w14:paraId="0E03A01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具备基础专业交流能力。</w:t>
            </w:r>
          </w:p>
        </w:tc>
      </w:tr>
      <w:tr w14:paraId="70317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0D5729AF">
            <w:pPr>
              <w:keepNext w:val="0"/>
              <w:keepLines w:val="0"/>
              <w:pageBreakBefore w:val="0"/>
              <w:kinsoku/>
              <w:wordWrap/>
              <w:overflowPunct w:val="0"/>
              <w:topLinePunct w:val="0"/>
              <w:autoSpaceDE/>
              <w:autoSpaceDN/>
              <w:bidi w:val="0"/>
              <w:adjustRightInd w:val="0"/>
              <w:snapToGrid w:val="0"/>
              <w:spacing w:line="240" w:lineRule="auto"/>
              <w:jc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1052" w:type="dxa"/>
            <w:vAlign w:val="center"/>
          </w:tcPr>
          <w:p w14:paraId="22E83FFC">
            <w:pPr>
              <w:keepNext w:val="0"/>
              <w:keepLines w:val="0"/>
              <w:pageBreakBefore w:val="0"/>
              <w:widowControl/>
              <w:suppressLineNumbers w:val="0"/>
              <w:kinsoku/>
              <w:wordWrap/>
              <w:topLinePunct w:val="0"/>
              <w:autoSpaceDE/>
              <w:autoSpaceDN/>
              <w:bidi w:val="0"/>
              <w:spacing w:line="240" w:lineRule="auto"/>
              <w:jc w:val="both"/>
              <w:textAlignment w:val="cente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交通运输概论</w:t>
            </w:r>
          </w:p>
        </w:tc>
        <w:tc>
          <w:tcPr>
            <w:tcW w:w="3944" w:type="dxa"/>
            <w:vAlign w:val="top"/>
          </w:tcPr>
          <w:p w14:paraId="1260904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了解交通运输系统的基本组成</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0F92BC93">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熟悉各种运输方式的特点</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3D63204A">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培养学生对交通运输行业的认知</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0150A87C">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培养吃苦耐劳品质，扎根工程一线，为国家基础设施建设贡献力量。</w:t>
            </w:r>
          </w:p>
        </w:tc>
        <w:tc>
          <w:tcPr>
            <w:tcW w:w="2924" w:type="dxa"/>
            <w:vAlign w:val="top"/>
          </w:tcPr>
          <w:p w14:paraId="3072A28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交通运输发展历史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1934EF40">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各种运输方式比较</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0FA59C94">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综合运输体系</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3B50C3C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智能交通系统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43EA3638">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交通发展趋势</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132" w:type="dxa"/>
            <w:vAlign w:val="top"/>
          </w:tcPr>
          <w:p w14:paraId="03FF6A8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掌握交通运输基本概念。</w:t>
            </w:r>
          </w:p>
          <w:p w14:paraId="0D3C4ECC">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了解各种运输方式特点。</w:t>
            </w:r>
          </w:p>
          <w:p w14:paraId="6F27381A">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理解交通运输发展趋势。</w:t>
            </w:r>
          </w:p>
        </w:tc>
      </w:tr>
    </w:tbl>
    <w:p w14:paraId="7CF8E4E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4.实践性教学环节 ：实践性教学分为毕业设计及岗位实习。</w:t>
      </w:r>
    </w:p>
    <w:p w14:paraId="5B6D2EAE">
      <w:pPr>
        <w:keepNext w:val="0"/>
        <w:keepLines w:val="0"/>
        <w:pageBreakBefore w:val="0"/>
        <w:widowControl w:val="0"/>
        <w:shd w:val="clear"/>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highlight w:val="none"/>
          <w14:textFill>
            <w14:solidFill>
              <w14:schemeClr w14:val="tx1"/>
            </w14:solidFill>
          </w14:textFill>
        </w:rPr>
        <w:t>实践</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性</w:t>
      </w:r>
      <w:r>
        <w:rPr>
          <w:rFonts w:hint="eastAsia" w:ascii="仿宋_GB2312" w:hAnsi="仿宋_GB2312" w:eastAsia="仿宋_GB2312" w:cs="仿宋_GB2312"/>
          <w:color w:val="000000" w:themeColor="text1"/>
          <w:sz w:val="32"/>
          <w:szCs w:val="32"/>
          <w:highlight w:val="none"/>
          <w14:textFill>
            <w14:solidFill>
              <w14:schemeClr w14:val="tx1"/>
            </w14:solidFill>
          </w14:textFill>
        </w:rPr>
        <w:t>教学环节课程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目标、主要教学内容与要求</w:t>
      </w:r>
    </w:p>
    <w:tbl>
      <w:tblPr>
        <w:tblStyle w:val="9"/>
        <w:tblW w:w="10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1"/>
        <w:gridCol w:w="713"/>
        <w:gridCol w:w="4935"/>
        <w:gridCol w:w="1950"/>
        <w:gridCol w:w="2607"/>
      </w:tblGrid>
      <w:tr w14:paraId="1120A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vAlign w:val="center"/>
          </w:tcPr>
          <w:p w14:paraId="17A072FC">
            <w:pPr>
              <w:overflowPunct w:val="0"/>
              <w:adjustRightInd w:val="0"/>
              <w:spacing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bookmarkStart w:id="15" w:name="OLE_LINK21"/>
            <w:r>
              <w:rPr>
                <w:rFonts w:hint="eastAsia" w:ascii="仿宋_GB2312" w:hAnsi="仿宋_GB2312" w:eastAsia="仿宋_GB2312" w:cs="仿宋_GB2312"/>
                <w:color w:val="000000" w:themeColor="text1"/>
                <w:sz w:val="24"/>
                <w:highlight w:val="none"/>
                <w14:textFill>
                  <w14:solidFill>
                    <w14:schemeClr w14:val="tx1"/>
                  </w14:solidFill>
                </w14:textFill>
              </w:rPr>
              <w:t>序号</w:t>
            </w:r>
          </w:p>
        </w:tc>
        <w:tc>
          <w:tcPr>
            <w:tcW w:w="713" w:type="dxa"/>
            <w:vAlign w:val="center"/>
          </w:tcPr>
          <w:p w14:paraId="77D507C9">
            <w:pPr>
              <w:spacing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名称</w:t>
            </w:r>
          </w:p>
        </w:tc>
        <w:tc>
          <w:tcPr>
            <w:tcW w:w="4935" w:type="dxa"/>
            <w:vAlign w:val="center"/>
          </w:tcPr>
          <w:p w14:paraId="5A56CFEB">
            <w:pPr>
              <w:spacing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p>
        </w:tc>
        <w:tc>
          <w:tcPr>
            <w:tcW w:w="1950" w:type="dxa"/>
            <w:vAlign w:val="center"/>
          </w:tcPr>
          <w:p w14:paraId="7F352953">
            <w:pPr>
              <w:spacing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p>
        </w:tc>
        <w:tc>
          <w:tcPr>
            <w:tcW w:w="2607" w:type="dxa"/>
            <w:vAlign w:val="center"/>
          </w:tcPr>
          <w:p w14:paraId="1681F4E3">
            <w:pPr>
              <w:spacing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55D5F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1" w:type="dxa"/>
            <w:vAlign w:val="center"/>
          </w:tcPr>
          <w:p w14:paraId="1DADF72B">
            <w:pPr>
              <w:overflowPunct w:val="0"/>
              <w:adjustRightInd w:val="0"/>
              <w:spacing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1</w:t>
            </w:r>
          </w:p>
        </w:tc>
        <w:tc>
          <w:tcPr>
            <w:tcW w:w="713" w:type="dxa"/>
            <w:vAlign w:val="center"/>
          </w:tcPr>
          <w:p w14:paraId="7866B65D">
            <w:pPr>
              <w:keepNext w:val="0"/>
              <w:keepLines w:val="0"/>
              <w:widowControl/>
              <w:suppressLineNumbers w:val="0"/>
              <w:jc w:val="center"/>
              <w:textAlignment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宋体" w:hAnsi="宋体" w:eastAsia="宋体" w:cs="宋体"/>
                <w:i w:val="0"/>
                <w:color w:val="000000" w:themeColor="text1"/>
                <w:kern w:val="0"/>
                <w:sz w:val="20"/>
                <w:szCs w:val="20"/>
                <w:highlight w:val="none"/>
                <w:u w:val="none"/>
                <w:lang w:val="en-US" w:eastAsia="zh-CN" w:bidi="ar"/>
                <w14:textFill>
                  <w14:solidFill>
                    <w14:schemeClr w14:val="tx1"/>
                  </w14:solidFill>
                </w14:textFill>
              </w:rPr>
              <w:t>毕业设计</w:t>
            </w:r>
          </w:p>
        </w:tc>
        <w:tc>
          <w:tcPr>
            <w:tcW w:w="4935" w:type="dxa"/>
            <w:vAlign w:val="top"/>
          </w:tcPr>
          <w:p w14:paraId="5998B096">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入掌握本专业核心理论知识，包括学科基础概念、关键原理及前沿研究动态，能够清晰阐述专业领域内的重要理论框架；熟悉毕业设计相关的研究方法与技术规范，如文献检索与分析方法、数据采集与处理技术、实验设计原理等，明确不同研究方法的适用场景。</w:t>
            </w:r>
          </w:p>
          <w:p w14:paraId="532E73CD">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具备独立开展课题研究的能力，能够自主确定研究方向、制定研究计划，并按照计划有序开展研究工作；提升问题分析与解决能力，面对研究过程中出现的各种问题，能够运用专业知识和科学方法进行深入分析，提出切实可行的解决方案。</w:t>
            </w:r>
          </w:p>
          <w:p w14:paraId="1A63E8A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严谨的治学态度和科学精神，在研究过程中做到实事求是、精益求精，尊重客观事实，杜绝学术不端行为；增强自主学习与终身学习意识，通过毕业设计过程，认识到知识更新的快速性和持续性，激发主动学习新知识、新技能的动力。</w:t>
            </w:r>
          </w:p>
          <w:p w14:paraId="27FA770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强化爱国主义情怀，引导学生在毕业设计中关注国家重大战略需求和行业发展中的实际问题，将个人学术追求与国家发展、民族复兴相结合，增强为国家科技进步和社会发展贡献力量的责任感；培养职业道德和诚信意识，强调学术诚信的重要性，教育学生在毕业设计中坚守学术道德底线，不抄袭、不造假，树立正确的学术观和价值观，为今后从事职业工作奠定良好的道德基础。</w:t>
            </w:r>
          </w:p>
        </w:tc>
        <w:tc>
          <w:tcPr>
            <w:tcW w:w="1950" w:type="dxa"/>
            <w:vAlign w:val="top"/>
          </w:tcPr>
          <w:p w14:paraId="446BE739">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毕业论文的要求，毕业设计工程绘图的要求</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607" w:type="dxa"/>
            <w:vAlign w:val="top"/>
          </w:tcPr>
          <w:p w14:paraId="61847A26">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1.选题指导与确定。选题是毕业设计的起点，直接关系到后续研究的方向和深度。因此，选题指导与确定需细致且严谨。</w:t>
            </w:r>
          </w:p>
          <w:p w14:paraId="39A8FF06">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2.通过讲座、会议等形式，激发学生参与毕业设计的兴趣，明确选题的重要性和原则。</w:t>
            </w:r>
          </w:p>
          <w:p w14:paraId="5FF86661">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3.指导教师与学生进行一对一交流，根据学生的兴趣、能力和专业方向，提供个性化的选题建议。</w:t>
            </w:r>
          </w:p>
          <w:p w14:paraId="66D2DD65">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4.组织专家对选题进行评审，确保选题的科学性、创新性和可行性。</w:t>
            </w:r>
          </w:p>
        </w:tc>
      </w:tr>
      <w:tr w14:paraId="3035B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vAlign w:val="center"/>
          </w:tcPr>
          <w:p w14:paraId="7E7E9591">
            <w:pPr>
              <w:overflowPunct w:val="0"/>
              <w:adjustRightInd w:val="0"/>
              <w:spacing w:line="360" w:lineRule="exact"/>
              <w:jc w:val="center"/>
              <w:rPr>
                <w:rFonts w:hint="default" w:ascii="仿宋_GB2312" w:hAnsi="仿宋_GB2312" w:eastAsia="仿宋_GB2312" w:cs="仿宋_GB2312"/>
                <w:color w:val="000000" w:themeColor="text1"/>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t>2</w:t>
            </w:r>
          </w:p>
        </w:tc>
        <w:tc>
          <w:tcPr>
            <w:tcW w:w="713" w:type="dxa"/>
            <w:vAlign w:val="center"/>
          </w:tcPr>
          <w:p w14:paraId="6486D4E4">
            <w:pPr>
              <w:keepNext w:val="0"/>
              <w:keepLines w:val="0"/>
              <w:widowControl/>
              <w:suppressLineNumbers w:val="0"/>
              <w:jc w:val="center"/>
              <w:textAlignment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宋体" w:hAnsi="宋体" w:eastAsia="宋体" w:cs="宋体"/>
                <w:i w:val="0"/>
                <w:color w:val="000000" w:themeColor="text1"/>
                <w:kern w:val="0"/>
                <w:sz w:val="20"/>
                <w:szCs w:val="20"/>
                <w:highlight w:val="none"/>
                <w:u w:val="none"/>
                <w:lang w:val="en-US" w:eastAsia="zh-CN" w:bidi="ar"/>
                <w14:textFill>
                  <w14:solidFill>
                    <w14:schemeClr w14:val="tx1"/>
                  </w14:solidFill>
                </w14:textFill>
              </w:rPr>
              <w:t>岗位实习</w:t>
            </w:r>
          </w:p>
        </w:tc>
        <w:tc>
          <w:tcPr>
            <w:tcW w:w="4935" w:type="dxa"/>
            <w:vAlign w:val="top"/>
          </w:tcPr>
          <w:p w14:paraId="548E77E8">
            <w:pPr>
              <w:keepNext w:val="0"/>
              <w:keepLines w:val="0"/>
              <w:pageBreakBefore w:val="0"/>
              <w:widowControl w:val="0"/>
              <w:kinsoku/>
              <w:wordWrap/>
              <w:topLinePunct w:val="0"/>
              <w:autoSpaceDE/>
              <w:autoSpaceDN/>
              <w:bidi w:val="0"/>
              <w:snapToGrid/>
              <w:spacing w:after="0" w:line="360" w:lineRule="exact"/>
              <w:jc w:val="both"/>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b/>
                <w:bCs/>
                <w:color w:val="000000" w:themeColor="text1"/>
                <w:sz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highlight w:val="none"/>
                <w14:textFill>
                  <w14:solidFill>
                    <w14:schemeClr w14:val="tx1"/>
                  </w14:solidFill>
                </w14:textFill>
              </w:rPr>
              <w:t>掌握实习岗位所在行业的基本概况，包括行业发展历程、当前现状、市场规模、主要竞争对手及未来发展趋势等，建立对行业的整体认知</w:t>
            </w:r>
            <w:r>
              <w:rPr>
                <w:rFonts w:hint="eastAsia" w:ascii="仿宋_GB2312" w:hAnsi="仿宋_GB2312" w:eastAsia="仿宋_GB2312" w:cs="仿宋_GB2312"/>
                <w:color w:val="000000" w:themeColor="text1"/>
                <w:sz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highlight w:val="none"/>
                <w14:textFill>
                  <w14:solidFill>
                    <w14:schemeClr w14:val="tx1"/>
                  </w14:solidFill>
                </w14:textFill>
              </w:rPr>
              <w:t>熟悉实习岗位的工作流程、操作规范及相关业务知识，如岗位涉及的业务术语、工作环节的衔接要点、业务开展的基本要求等，明确岗位工作的核心内容。</w:t>
            </w:r>
          </w:p>
          <w:p w14:paraId="50D88BAB">
            <w:pPr>
              <w:keepNext w:val="0"/>
              <w:keepLines w:val="0"/>
              <w:pageBreakBefore w:val="0"/>
              <w:widowControl w:val="0"/>
              <w:kinsoku/>
              <w:wordWrap/>
              <w:topLinePunct w:val="0"/>
              <w:autoSpaceDE/>
              <w:autoSpaceDN/>
              <w:bidi w:val="0"/>
              <w:snapToGrid/>
              <w:spacing w:after="0" w:line="360" w:lineRule="exact"/>
              <w:jc w:val="both"/>
              <w:textAlignment w:val="auto"/>
              <w:rPr>
                <w:rFonts w:hint="eastAsia" w:ascii="仿宋_GB2312" w:hAnsi="仿宋_GB2312" w:eastAsia="仿宋_GB2312" w:cs="仿宋_GB2312"/>
                <w:color w:val="000000" w:themeColor="text1"/>
                <w:sz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highlight w:val="none"/>
                <w:lang w:eastAsia="zh-CN"/>
                <w14:textFill>
                  <w14:solidFill>
                    <w14:schemeClr w14:val="tx1"/>
                  </w14:solidFill>
                </w14:textFill>
              </w:rPr>
              <w:t>提高人际沟通与协调能力，能够与实习单位的领导、同事进行有效沟通，清晰表达自己的想法和需求，积极配合团队完成工作，同时学会与客户或合作伙伴建立良好的沟通关系。培养职业规划与自我提升能力，通过岗位实习，明确自身在职业技能、知识储备等方面的优势与不足，能够制定针对性的自我提升计划，为未来的职业发展奠定基础。</w:t>
            </w:r>
          </w:p>
          <w:p w14:paraId="37241271">
            <w:pPr>
              <w:keepNext w:val="0"/>
              <w:keepLines w:val="0"/>
              <w:pageBreakBefore w:val="0"/>
              <w:widowControl w:val="0"/>
              <w:kinsoku/>
              <w:wordWrap/>
              <w:topLinePunct w:val="0"/>
              <w:autoSpaceDE/>
              <w:autoSpaceDN/>
              <w:bidi w:val="0"/>
              <w:snapToGrid/>
              <w:spacing w:after="0" w:line="36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养成良好的职业习惯，包括遵守工作时间、保持工作环境整洁、对待工作认真负责等，形成严谨、规范的职业行为模式；增强团队合作意识，认识到团队协作在工作中的重要性，能够主动融入团队，积极参与团队讨论和协作任务，为团队目标的实现贡献力量。</w:t>
            </w:r>
          </w:p>
          <w:p w14:paraId="0127A9F2">
            <w:pPr>
              <w:keepNext w:val="0"/>
              <w:keepLines w:val="0"/>
              <w:pageBreakBefore w:val="0"/>
              <w:widowControl w:val="0"/>
              <w:kinsoku/>
              <w:wordWrap/>
              <w:topLinePunct w:val="0"/>
              <w:autoSpaceDE/>
              <w:autoSpaceDN/>
              <w:bidi w:val="0"/>
              <w:snapToGrid/>
              <w:spacing w:after="0" w:line="360" w:lineRule="exact"/>
              <w:jc w:val="both"/>
              <w:textAlignment w:val="auto"/>
              <w:rPr>
                <w:rFonts w:hint="eastAsia" w:ascii="仿宋_GB2312" w:hAnsi="仿宋_GB2312" w:eastAsia="仿宋_GB2312" w:cs="仿宋_GB2312"/>
                <w:color w:val="000000" w:themeColor="text1"/>
                <w:sz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强化职业使命感和责任感，引导学生认识到每个岗位都与社会运转息息相关，培养学生对岗位工作的热爱和奉献精神，将个人工作与社会服务、行业发展相联系；培养诚实守信的职业品德，教育学生在实习中坚守诚信原则，如实汇报工作情况、不弄虚作假，遵守实习单位的各项规定和职业道德准则，树立良好的职业信誉。</w:t>
            </w:r>
          </w:p>
        </w:tc>
        <w:tc>
          <w:tcPr>
            <w:tcW w:w="1950" w:type="dxa"/>
            <w:vAlign w:val="top"/>
          </w:tcPr>
          <w:p w14:paraId="43CFA996">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施工员岗位实习、安全员岗位实习、计量员岗位实习</w:t>
            </w:r>
          </w:p>
        </w:tc>
        <w:tc>
          <w:tcPr>
            <w:tcW w:w="2607" w:type="dxa"/>
            <w:vAlign w:val="top"/>
          </w:tcPr>
          <w:p w14:paraId="1549971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1.根据专业培养方案和课程设置，明确实习岗位与所学专业的关联性和契合度。</w:t>
            </w:r>
          </w:p>
          <w:p w14:paraId="01B882F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2.设定实习期间需达成的具体能力目标，如专业技能、团队协作能力、沟通能力等。</w:t>
            </w:r>
          </w:p>
          <w:p w14:paraId="044D9A9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3.结合学生个人职业规划，引导学生将实习作为职业发展的起点，明确长远目标。</w:t>
            </w:r>
          </w:p>
          <w:p w14:paraId="0316C44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4.根据实习目标和学生专业特点，选择能够提供合适岗位的实习单位。建立与实习单位的长期合作关系，共同制定实习方案和评价标准。</w:t>
            </w:r>
          </w:p>
          <w:p w14:paraId="7C0D193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t>5.组织学生进行岗前培训，了解企业文化、岗位职责、工作流程等。</w:t>
            </w:r>
          </w:p>
          <w:p w14:paraId="112E03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p>
        </w:tc>
      </w:tr>
      <w:bookmarkEnd w:id="15"/>
    </w:tbl>
    <w:p w14:paraId="67156BEF">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（三）第二课堂</w:t>
      </w:r>
      <w:r>
        <w:rPr>
          <w:rFonts w:hint="eastAsia" w:ascii="楷体" w:hAnsi="楷体" w:eastAsia="楷体" w:cs="楷体"/>
          <w:color w:val="000000" w:themeColor="text1"/>
          <w:sz w:val="32"/>
          <w:szCs w:val="32"/>
          <w:highlight w:val="none"/>
          <w:lang w:val="en-US" w:eastAsia="zh-CN"/>
          <w14:textFill>
            <w14:solidFill>
              <w14:schemeClr w14:val="tx1"/>
            </w14:solidFill>
          </w14:textFill>
        </w:rPr>
        <w:t>素质教育课</w:t>
      </w:r>
    </w:p>
    <w:p w14:paraId="17DE9F2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第二课堂</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素质教育课</w:t>
      </w:r>
      <w:r>
        <w:rPr>
          <w:rFonts w:hint="eastAsia" w:ascii="仿宋_GB2312" w:hAnsi="仿宋_GB2312" w:eastAsia="仿宋_GB2312" w:cs="仿宋_GB2312"/>
          <w:color w:val="000000" w:themeColor="text1"/>
          <w:sz w:val="32"/>
          <w:szCs w:val="32"/>
          <w:highlight w:val="none"/>
          <w14:textFill>
            <w14:solidFill>
              <w14:schemeClr w14:val="tx1"/>
            </w14:solidFill>
          </w14:textFill>
        </w:rPr>
        <w:t>包括思想成长、</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实践实习</w:t>
      </w:r>
      <w:r>
        <w:rPr>
          <w:rFonts w:hint="eastAsia" w:ascii="仿宋_GB2312" w:hAnsi="仿宋_GB2312" w:eastAsia="仿宋_GB2312" w:cs="仿宋_GB2312"/>
          <w:color w:val="000000" w:themeColor="text1"/>
          <w:sz w:val="32"/>
          <w:szCs w:val="32"/>
          <w:highlight w:val="none"/>
          <w14:textFill>
            <w14:solidFill>
              <w14:schemeClr w14:val="tx1"/>
            </w14:solidFill>
          </w14:textFill>
        </w:rPr>
        <w:t>、创新创业、</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志愿公益、</w:t>
      </w:r>
      <w:r>
        <w:rPr>
          <w:rFonts w:hint="eastAsia" w:ascii="仿宋_GB2312" w:hAnsi="仿宋_GB2312" w:eastAsia="仿宋_GB2312" w:cs="仿宋_GB2312"/>
          <w:color w:val="000000" w:themeColor="text1"/>
          <w:sz w:val="32"/>
          <w:szCs w:val="32"/>
          <w:highlight w:val="none"/>
          <w14:textFill>
            <w14:solidFill>
              <w14:schemeClr w14:val="tx1"/>
            </w14:solidFill>
          </w14:textFill>
        </w:rPr>
        <w:t>文体</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活动</w:t>
      </w:r>
      <w:r>
        <w:rPr>
          <w:rFonts w:hint="eastAsia" w:ascii="仿宋_GB2312" w:hAnsi="仿宋_GB2312" w:eastAsia="仿宋_GB2312" w:cs="仿宋_GB2312"/>
          <w:color w:val="000000" w:themeColor="text1"/>
          <w:sz w:val="32"/>
          <w:szCs w:val="32"/>
          <w:highlight w:val="none"/>
          <w14:textFill>
            <w14:solidFill>
              <w14:schemeClr w14:val="tx1"/>
            </w14:solidFill>
          </w14:textFill>
        </w:rPr>
        <w:t>、工作履历</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专业技能特长等其他各类课程及活动。</w:t>
      </w:r>
    </w:p>
    <w:p w14:paraId="239445EA">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第二课堂素质教育课安排表</w:t>
      </w:r>
    </w:p>
    <w:tbl>
      <w:tblPr>
        <w:tblStyle w:val="9"/>
        <w:tblW w:w="10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854"/>
        <w:gridCol w:w="787"/>
        <w:gridCol w:w="994"/>
        <w:gridCol w:w="1050"/>
        <w:gridCol w:w="1313"/>
        <w:gridCol w:w="1650"/>
      </w:tblGrid>
      <w:tr w14:paraId="6411B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65" w:type="dxa"/>
            <w:vAlign w:val="center"/>
          </w:tcPr>
          <w:p w14:paraId="40A0B809">
            <w:pPr>
              <w:overflowPunct w:val="0"/>
              <w:adjustRightInd w:val="0"/>
              <w:spacing w:line="360" w:lineRule="exact"/>
              <w:jc w:val="center"/>
              <w:rPr>
                <w:rFonts w:hint="eastAsia" w:ascii="仿宋_GB2312" w:hAnsi="仿宋_GB2312" w:eastAsia="仿宋_GB2312" w:cs="仿宋_GB2312"/>
                <w:color w:val="000000" w:themeColor="text1"/>
                <w:sz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t>模块</w:t>
            </w:r>
          </w:p>
        </w:tc>
        <w:tc>
          <w:tcPr>
            <w:tcW w:w="3854" w:type="dxa"/>
            <w:vAlign w:val="center"/>
          </w:tcPr>
          <w:p w14:paraId="7832CEB6">
            <w:pPr>
              <w:spacing w:line="360" w:lineRule="exact"/>
              <w:jc w:val="center"/>
              <w:rPr>
                <w:rFonts w:hint="eastAsia" w:ascii="仿宋_GB2312" w:hAnsi="仿宋_GB2312" w:eastAsia="仿宋_GB2312" w:cs="仿宋_GB2312"/>
                <w:color w:val="000000" w:themeColor="text1"/>
                <w:sz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p>
        </w:tc>
        <w:tc>
          <w:tcPr>
            <w:tcW w:w="787" w:type="dxa"/>
            <w:vAlign w:val="center"/>
          </w:tcPr>
          <w:p w14:paraId="3148B42C">
            <w:pPr>
              <w:spacing w:line="360" w:lineRule="exact"/>
              <w:jc w:val="cente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性质</w:t>
            </w:r>
          </w:p>
        </w:tc>
        <w:tc>
          <w:tcPr>
            <w:tcW w:w="994" w:type="dxa"/>
            <w:vAlign w:val="center"/>
          </w:tcPr>
          <w:p w14:paraId="40832DB8">
            <w:pPr>
              <w:spacing w:line="360" w:lineRule="exact"/>
              <w:jc w:val="cente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组织者</w:t>
            </w:r>
          </w:p>
        </w:tc>
        <w:tc>
          <w:tcPr>
            <w:tcW w:w="1050" w:type="dxa"/>
            <w:vAlign w:val="center"/>
          </w:tcPr>
          <w:p w14:paraId="62E39AC7">
            <w:pPr>
              <w:spacing w:line="360" w:lineRule="exact"/>
              <w:jc w:val="cente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认定者</w:t>
            </w:r>
          </w:p>
        </w:tc>
        <w:tc>
          <w:tcPr>
            <w:tcW w:w="1313" w:type="dxa"/>
            <w:vAlign w:val="center"/>
          </w:tcPr>
          <w:p w14:paraId="30F6BDA4">
            <w:pPr>
              <w:spacing w:line="360" w:lineRule="exact"/>
              <w:jc w:val="cente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计分标准</w:t>
            </w:r>
          </w:p>
        </w:tc>
        <w:tc>
          <w:tcPr>
            <w:tcW w:w="1650" w:type="dxa"/>
            <w:vAlign w:val="center"/>
          </w:tcPr>
          <w:p w14:paraId="570F8538">
            <w:pPr>
              <w:spacing w:line="360" w:lineRule="exact"/>
              <w:jc w:val="cente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备注</w:t>
            </w:r>
          </w:p>
        </w:tc>
      </w:tr>
      <w:tr w14:paraId="2FDF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atLeast"/>
          <w:jc w:val="center"/>
        </w:trPr>
        <w:tc>
          <w:tcPr>
            <w:tcW w:w="1265" w:type="dxa"/>
            <w:vAlign w:val="center"/>
          </w:tcPr>
          <w:p w14:paraId="381BBFD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思想成长</w:t>
            </w:r>
          </w:p>
        </w:tc>
        <w:tc>
          <w:tcPr>
            <w:tcW w:w="3854" w:type="dxa"/>
            <w:vAlign w:val="top"/>
          </w:tcPr>
          <w:p w14:paraId="1C8A118B">
            <w:pPr>
              <w:keepNext w:val="0"/>
              <w:keepLines w:val="0"/>
              <w:pageBreakBefore w:val="0"/>
              <w:widowControl w:val="0"/>
              <w:numPr>
                <w:ilvl w:val="0"/>
                <w:numId w:val="0"/>
              </w:numPr>
              <w:kinsoku/>
              <w:wordWrap/>
              <w:topLinePunct w:val="0"/>
              <w:autoSpaceDE/>
              <w:autoSpaceDN/>
              <w:bidi w:val="0"/>
              <w:snapToGrid/>
              <w:spacing w:after="0" w:line="240" w:lineRule="atLeas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1.思想政治教育</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主题</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讲</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座、形势与政策报告会</w:t>
            </w:r>
          </w:p>
          <w:p w14:paraId="51A949B9">
            <w:pPr>
              <w:keepNext w:val="0"/>
              <w:keepLines w:val="0"/>
              <w:pageBreakBefore w:val="0"/>
              <w:widowControl w:val="0"/>
              <w:numPr>
                <w:ilvl w:val="0"/>
                <w:numId w:val="0"/>
              </w:numPr>
              <w:kinsoku/>
              <w:wordWrap/>
              <w:topLinePunct w:val="0"/>
              <w:autoSpaceDE/>
              <w:autoSpaceDN/>
              <w:bidi w:val="0"/>
              <w:snapToGrid/>
              <w:spacing w:after="0" w:line="240" w:lineRule="atLeas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爱国主义教育活动</w:t>
            </w:r>
          </w:p>
          <w:p w14:paraId="4C0F2C2C">
            <w:pPr>
              <w:keepNext w:val="0"/>
              <w:keepLines w:val="0"/>
              <w:pageBreakBefore w:val="0"/>
              <w:widowControl w:val="0"/>
              <w:numPr>
                <w:ilvl w:val="0"/>
                <w:numId w:val="0"/>
              </w:numPr>
              <w:kinsoku/>
              <w:wordWrap/>
              <w:topLinePunct w:val="0"/>
              <w:autoSpaceDE/>
              <w:autoSpaceDN/>
              <w:bidi w:val="0"/>
              <w:snapToGrid/>
              <w:spacing w:after="0" w:line="240" w:lineRule="atLeast"/>
              <w:ind w:leftChars="0"/>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3.</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党团组织生活</w:t>
            </w:r>
          </w:p>
          <w:p w14:paraId="0C2C7BBF">
            <w:pPr>
              <w:keepNext w:val="0"/>
              <w:keepLines w:val="0"/>
              <w:pageBreakBefore w:val="0"/>
              <w:widowControl w:val="0"/>
              <w:numPr>
                <w:ilvl w:val="0"/>
                <w:numId w:val="0"/>
              </w:numPr>
              <w:kinsoku/>
              <w:wordWrap/>
              <w:topLinePunct w:val="0"/>
              <w:autoSpaceDE/>
              <w:autoSpaceDN/>
              <w:bidi w:val="0"/>
              <w:snapToGrid/>
              <w:spacing w:after="0" w:line="240" w:lineRule="atLeast"/>
              <w:ind w:leftChars="0"/>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党团培训 </w:t>
            </w:r>
          </w:p>
          <w:p w14:paraId="547F2C09">
            <w:pPr>
              <w:keepNext w:val="0"/>
              <w:keepLines w:val="0"/>
              <w:pageBreakBefore w:val="0"/>
              <w:widowControl w:val="0"/>
              <w:numPr>
                <w:ilvl w:val="0"/>
                <w:numId w:val="0"/>
              </w:numPr>
              <w:kinsoku/>
              <w:wordWrap/>
              <w:topLinePunct w:val="0"/>
              <w:autoSpaceDE/>
              <w:autoSpaceDN/>
              <w:bidi w:val="0"/>
              <w:snapToGrid/>
              <w:spacing w:after="0" w:line="240" w:lineRule="atLeast"/>
              <w:ind w:leftChars="0"/>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5.</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青年大学习</w:t>
            </w:r>
          </w:p>
        </w:tc>
        <w:tc>
          <w:tcPr>
            <w:tcW w:w="787" w:type="dxa"/>
            <w:vAlign w:val="top"/>
          </w:tcPr>
          <w:p w14:paraId="58202A43">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自选</w:t>
            </w:r>
          </w:p>
        </w:tc>
        <w:tc>
          <w:tcPr>
            <w:tcW w:w="994" w:type="dxa"/>
            <w:vAlign w:val="top"/>
          </w:tcPr>
          <w:p w14:paraId="76D64143">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活动组 织单位</w:t>
            </w:r>
          </w:p>
        </w:tc>
        <w:tc>
          <w:tcPr>
            <w:tcW w:w="1050" w:type="dxa"/>
            <w:vAlign w:val="top"/>
          </w:tcPr>
          <w:p w14:paraId="083FF643">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校团委</w:t>
            </w:r>
          </w:p>
        </w:tc>
        <w:tc>
          <w:tcPr>
            <w:tcW w:w="1313" w:type="dxa"/>
            <w:vAlign w:val="top"/>
          </w:tcPr>
          <w:p w14:paraId="35A73531">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“第二课堂成绩单”活动各模块计分标准</w:t>
            </w:r>
          </w:p>
        </w:tc>
        <w:tc>
          <w:tcPr>
            <w:tcW w:w="1650" w:type="dxa"/>
            <w:vMerge w:val="restart"/>
            <w:vAlign w:val="top"/>
          </w:tcPr>
          <w:p w14:paraId="2018F999">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第二课堂成绩</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由</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网络管理系 统（到梦 空间）实 时记录，学生在大一、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大</w:t>
            </w:r>
            <w:r>
              <w:rPr>
                <w:rFonts w:hint="eastAsia" w:ascii="仿宋_GB2312" w:hAnsi="仿宋_GB2312" w:eastAsia="仿宋_GB2312" w:cs="仿宋_GB2312"/>
                <w:color w:val="000000" w:themeColor="text1"/>
                <w:sz w:val="24"/>
                <w:szCs w:val="24"/>
                <w:highlight w:val="none"/>
                <w14:textFill>
                  <w14:solidFill>
                    <w14:schemeClr w14:val="tx1"/>
                  </w14:solidFill>
                </w14:textFill>
              </w:rPr>
              <w:t>二期间</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积分达60分及以上，可获4</w:t>
            </w:r>
            <w:r>
              <w:rPr>
                <w:rFonts w:hint="eastAsia" w:ascii="仿宋_GB2312" w:hAnsi="仿宋_GB2312" w:eastAsia="仿宋_GB2312" w:cs="仿宋_GB2312"/>
                <w:color w:val="000000" w:themeColor="text1"/>
                <w:sz w:val="24"/>
                <w:szCs w:val="24"/>
                <w:highlight w:val="none"/>
                <w14:textFill>
                  <w14:solidFill>
                    <w14:schemeClr w14:val="tx1"/>
                  </w14:solidFill>
                </w14:textFill>
              </w:rPr>
              <w:t>学分。</w:t>
            </w:r>
          </w:p>
        </w:tc>
      </w:tr>
      <w:tr w14:paraId="0740C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3" w:hRule="atLeast"/>
          <w:jc w:val="center"/>
        </w:trPr>
        <w:tc>
          <w:tcPr>
            <w:tcW w:w="1265" w:type="dxa"/>
            <w:vAlign w:val="center"/>
          </w:tcPr>
          <w:p w14:paraId="0384937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实践</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实习</w:t>
            </w:r>
          </w:p>
        </w:tc>
        <w:tc>
          <w:tcPr>
            <w:tcW w:w="3854" w:type="dxa"/>
            <w:vAlign w:val="top"/>
          </w:tcPr>
          <w:p w14:paraId="76FCD7D2">
            <w:pPr>
              <w:keepNext w:val="0"/>
              <w:keepLines w:val="0"/>
              <w:pageBreakBefore w:val="0"/>
              <w:widowControl w:val="0"/>
              <w:numPr>
                <w:ilvl w:val="0"/>
                <w:numId w:val="0"/>
              </w:numPr>
              <w:kinsoku/>
              <w:wordWrap/>
              <w:topLinePunct w:val="0"/>
              <w:autoSpaceDE/>
              <w:autoSpaceDN/>
              <w:bidi w:val="0"/>
              <w:snapToGrid/>
              <w:spacing w:after="0" w:line="240" w:lineRule="atLeas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暑期“三下乡”社会实践活动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寒暑假“返家乡”实践活动 </w:t>
            </w:r>
          </w:p>
          <w:p w14:paraId="20AB4E43">
            <w:pPr>
              <w:keepNext w:val="0"/>
              <w:keepLines w:val="0"/>
              <w:pageBreakBefore w:val="0"/>
              <w:widowControl w:val="0"/>
              <w:numPr>
                <w:ilvl w:val="0"/>
                <w:numId w:val="0"/>
              </w:numPr>
              <w:kinsoku/>
              <w:wordWrap/>
              <w:topLinePunct w:val="0"/>
              <w:autoSpaceDE/>
              <w:autoSpaceDN/>
              <w:bidi w:val="0"/>
              <w:snapToGrid/>
              <w:spacing w:after="0" w:line="240" w:lineRule="atLeast"/>
              <w:ind w:leftChars="0"/>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3.</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企业见习实践 </w:t>
            </w:r>
          </w:p>
          <w:p w14:paraId="07EBE403">
            <w:pPr>
              <w:keepNext w:val="0"/>
              <w:keepLines w:val="0"/>
              <w:pageBreakBefore w:val="0"/>
              <w:widowControl w:val="0"/>
              <w:numPr>
                <w:ilvl w:val="0"/>
                <w:numId w:val="0"/>
              </w:numPr>
              <w:kinsoku/>
              <w:wordWrap/>
              <w:topLinePunct w:val="0"/>
              <w:autoSpaceDE/>
              <w:autoSpaceDN/>
              <w:bidi w:val="0"/>
              <w:snapToGrid/>
              <w:spacing w:after="0" w:line="240" w:lineRule="atLeast"/>
              <w:ind w:leftChars="0"/>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上级、校院交予专项工作项目实践活动含兼挂职锻炼 </w:t>
            </w:r>
          </w:p>
          <w:p w14:paraId="26BF331F">
            <w:pPr>
              <w:keepNext w:val="0"/>
              <w:keepLines w:val="0"/>
              <w:pageBreakBefore w:val="0"/>
              <w:widowControl w:val="0"/>
              <w:numPr>
                <w:ilvl w:val="0"/>
                <w:numId w:val="0"/>
              </w:numPr>
              <w:kinsoku/>
              <w:wordWrap/>
              <w:topLinePunct w:val="0"/>
              <w:autoSpaceDE/>
              <w:autoSpaceDN/>
              <w:bidi w:val="0"/>
              <w:snapToGrid/>
              <w:spacing w:after="0" w:line="240" w:lineRule="atLeast"/>
              <w:ind w:leftChars="0"/>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5.</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新闻宣传报道被学校、学院采用或转发 </w:t>
            </w:r>
          </w:p>
          <w:p w14:paraId="4EA0EE58">
            <w:pPr>
              <w:keepNext w:val="0"/>
              <w:keepLines w:val="0"/>
              <w:pageBreakBefore w:val="0"/>
              <w:widowControl w:val="0"/>
              <w:numPr>
                <w:ilvl w:val="0"/>
                <w:numId w:val="0"/>
              </w:numPr>
              <w:kinsoku/>
              <w:wordWrap/>
              <w:topLinePunct w:val="0"/>
              <w:autoSpaceDE/>
              <w:autoSpaceDN/>
              <w:bidi w:val="0"/>
              <w:snapToGrid/>
              <w:spacing w:after="0" w:line="240" w:lineRule="atLeast"/>
              <w:jc w:val="both"/>
              <w:textAlignment w:val="auto"/>
              <w:rPr>
                <w:rFonts w:hint="default"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6.晨读</w:t>
            </w:r>
          </w:p>
          <w:p w14:paraId="0C0FE02C">
            <w:pPr>
              <w:keepNext w:val="0"/>
              <w:keepLines w:val="0"/>
              <w:pageBreakBefore w:val="0"/>
              <w:widowControl w:val="0"/>
              <w:numPr>
                <w:ilvl w:val="0"/>
                <w:numId w:val="0"/>
              </w:numPr>
              <w:kinsoku/>
              <w:wordWrap/>
              <w:topLinePunct w:val="0"/>
              <w:autoSpaceDE/>
              <w:autoSpaceDN/>
              <w:bidi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7</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.劳动精神、劳模精神、工匠精神专题教育 </w:t>
            </w:r>
          </w:p>
          <w:p w14:paraId="32695A06">
            <w:pPr>
              <w:keepNext w:val="0"/>
              <w:keepLines w:val="0"/>
              <w:pageBreakBefore w:val="0"/>
              <w:widowControl w:val="0"/>
              <w:numPr>
                <w:ilvl w:val="0"/>
                <w:numId w:val="0"/>
              </w:numPr>
              <w:kinsoku/>
              <w:wordWrap/>
              <w:topLinePunct w:val="0"/>
              <w:autoSpaceDE/>
              <w:autoSpaceDN/>
              <w:bidi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8.</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实践活动的相关荣誉</w:t>
            </w:r>
          </w:p>
        </w:tc>
        <w:tc>
          <w:tcPr>
            <w:tcW w:w="787" w:type="dxa"/>
            <w:vAlign w:val="top"/>
          </w:tcPr>
          <w:p w14:paraId="62A765BD">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自选</w:t>
            </w:r>
          </w:p>
        </w:tc>
        <w:tc>
          <w:tcPr>
            <w:tcW w:w="994" w:type="dxa"/>
            <w:vAlign w:val="top"/>
          </w:tcPr>
          <w:p w14:paraId="123EDEA6">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活动组 织单位</w:t>
            </w:r>
          </w:p>
        </w:tc>
        <w:tc>
          <w:tcPr>
            <w:tcW w:w="1050" w:type="dxa"/>
            <w:vAlign w:val="top"/>
          </w:tcPr>
          <w:p w14:paraId="77F39AD9">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校团委</w:t>
            </w:r>
          </w:p>
        </w:tc>
        <w:tc>
          <w:tcPr>
            <w:tcW w:w="1313" w:type="dxa"/>
            <w:vAlign w:val="top"/>
          </w:tcPr>
          <w:p w14:paraId="6BB6A2C8">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“第二课堂成绩单”活动各模块计分标准</w:t>
            </w:r>
          </w:p>
        </w:tc>
        <w:tc>
          <w:tcPr>
            <w:tcW w:w="1650" w:type="dxa"/>
            <w:vMerge w:val="continue"/>
            <w:vAlign w:val="center"/>
          </w:tcPr>
          <w:p w14:paraId="1873C92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r>
      <w:tr w14:paraId="7CC4F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3D0CFA8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创新创业</w:t>
            </w:r>
          </w:p>
        </w:tc>
        <w:tc>
          <w:tcPr>
            <w:tcW w:w="3854" w:type="dxa"/>
            <w:vAlign w:val="top"/>
          </w:tcPr>
          <w:p w14:paraId="68CD5B2A">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发表文章、出版专著 </w:t>
            </w:r>
          </w:p>
          <w:p w14:paraId="66318150">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发明专利 </w:t>
            </w:r>
          </w:p>
          <w:p w14:paraId="17C48E93">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创新创业项目竞赛 </w:t>
            </w:r>
          </w:p>
          <w:p w14:paraId="2E5BBD96">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创新创业项目培训 </w:t>
            </w:r>
          </w:p>
          <w:p w14:paraId="637E8AA7">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创新创业课程、讲座 </w:t>
            </w:r>
          </w:p>
          <w:p w14:paraId="4E02F4D8">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sz w:val="24"/>
                <w:szCs w:val="24"/>
                <w:highlight w:val="none"/>
                <w14:textFill>
                  <w14:solidFill>
                    <w14:schemeClr w14:val="tx1"/>
                  </w14:solidFill>
                </w14:textFill>
              </w:rPr>
              <w:t>自主创业</w:t>
            </w:r>
          </w:p>
        </w:tc>
        <w:tc>
          <w:tcPr>
            <w:tcW w:w="787" w:type="dxa"/>
            <w:vAlign w:val="top"/>
          </w:tcPr>
          <w:p w14:paraId="11BBF1CD">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自选</w:t>
            </w:r>
          </w:p>
        </w:tc>
        <w:tc>
          <w:tcPr>
            <w:tcW w:w="994" w:type="dxa"/>
            <w:vAlign w:val="top"/>
          </w:tcPr>
          <w:p w14:paraId="60B8B114">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活动组 织单位</w:t>
            </w:r>
          </w:p>
        </w:tc>
        <w:tc>
          <w:tcPr>
            <w:tcW w:w="1050" w:type="dxa"/>
            <w:vAlign w:val="top"/>
          </w:tcPr>
          <w:p w14:paraId="0C3A5A85">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校团委</w:t>
            </w:r>
          </w:p>
        </w:tc>
        <w:tc>
          <w:tcPr>
            <w:tcW w:w="1313" w:type="dxa"/>
            <w:vAlign w:val="top"/>
          </w:tcPr>
          <w:p w14:paraId="3F6D70FA">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“第二课堂成绩单”活动各模块计分标准</w:t>
            </w:r>
          </w:p>
        </w:tc>
        <w:tc>
          <w:tcPr>
            <w:tcW w:w="1650" w:type="dxa"/>
            <w:vMerge w:val="continue"/>
            <w:vAlign w:val="center"/>
          </w:tcPr>
          <w:p w14:paraId="72F98C8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r>
      <w:tr w14:paraId="40F6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00A14C1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C845D9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志愿公益</w:t>
            </w:r>
          </w:p>
        </w:tc>
        <w:tc>
          <w:tcPr>
            <w:tcW w:w="3854" w:type="dxa"/>
            <w:vAlign w:val="top"/>
          </w:tcPr>
          <w:p w14:paraId="5E4229ED">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1.校级、学院、社团、班级等学生组织开展的志愿服务活动 </w:t>
            </w:r>
          </w:p>
          <w:p w14:paraId="2784DCD0">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2.无偿献血活动 </w:t>
            </w:r>
          </w:p>
          <w:p w14:paraId="32F9F099">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3.捐献造血干细胞 </w:t>
            </w:r>
          </w:p>
          <w:p w14:paraId="58FEB1B6">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4.相关公益类宣传讲座、报告会等志愿服务表彰</w:t>
            </w:r>
          </w:p>
          <w:p w14:paraId="23A081BA">
            <w:pPr>
              <w:keepNext w:val="0"/>
              <w:keepLines w:val="0"/>
              <w:pageBreakBefore w:val="0"/>
              <w:widowControl w:val="0"/>
              <w:numPr>
                <w:ilvl w:val="0"/>
                <w:numId w:val="0"/>
              </w:numPr>
              <w:kinsoku/>
              <w:wordWrap/>
              <w:topLinePunct w:val="0"/>
              <w:autoSpaceDE/>
              <w:autoSpaceDN/>
              <w:bidi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5.</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公益劳动 </w:t>
            </w:r>
          </w:p>
        </w:tc>
        <w:tc>
          <w:tcPr>
            <w:tcW w:w="787" w:type="dxa"/>
            <w:vAlign w:val="top"/>
          </w:tcPr>
          <w:p w14:paraId="0D12951E">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自选</w:t>
            </w:r>
          </w:p>
        </w:tc>
        <w:tc>
          <w:tcPr>
            <w:tcW w:w="994" w:type="dxa"/>
            <w:vAlign w:val="top"/>
          </w:tcPr>
          <w:p w14:paraId="39B3EF37">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活动组 织单位</w:t>
            </w:r>
          </w:p>
        </w:tc>
        <w:tc>
          <w:tcPr>
            <w:tcW w:w="1050" w:type="dxa"/>
            <w:vAlign w:val="top"/>
          </w:tcPr>
          <w:p w14:paraId="1C9BBD97">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校团委</w:t>
            </w:r>
          </w:p>
        </w:tc>
        <w:tc>
          <w:tcPr>
            <w:tcW w:w="1313" w:type="dxa"/>
            <w:vAlign w:val="top"/>
          </w:tcPr>
          <w:p w14:paraId="647B29C0">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“第二课堂成绩单”活动各模块计分标准</w:t>
            </w:r>
          </w:p>
        </w:tc>
        <w:tc>
          <w:tcPr>
            <w:tcW w:w="1650" w:type="dxa"/>
            <w:vMerge w:val="continue"/>
            <w:vAlign w:val="center"/>
          </w:tcPr>
          <w:p w14:paraId="423A947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r>
      <w:tr w14:paraId="68F2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69A4D53D">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文体活动 </w:t>
            </w:r>
          </w:p>
        </w:tc>
        <w:tc>
          <w:tcPr>
            <w:tcW w:w="3854" w:type="dxa"/>
            <w:vAlign w:val="top"/>
          </w:tcPr>
          <w:p w14:paraId="018BDDA6">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1.文艺竞赛 </w:t>
            </w:r>
          </w:p>
          <w:p w14:paraId="007BAE8F">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2.体育竞赛 </w:t>
            </w:r>
          </w:p>
          <w:p w14:paraId="65069BA2">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3.文艺演出 </w:t>
            </w:r>
          </w:p>
          <w:p w14:paraId="796578F3">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4.体育活动 </w:t>
            </w:r>
          </w:p>
          <w:p w14:paraId="43B9ED36">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5.文体讲座</w:t>
            </w:r>
          </w:p>
        </w:tc>
        <w:tc>
          <w:tcPr>
            <w:tcW w:w="787" w:type="dxa"/>
            <w:vAlign w:val="top"/>
          </w:tcPr>
          <w:p w14:paraId="7A4C4B68">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自选</w:t>
            </w:r>
          </w:p>
        </w:tc>
        <w:tc>
          <w:tcPr>
            <w:tcW w:w="994" w:type="dxa"/>
            <w:vAlign w:val="top"/>
          </w:tcPr>
          <w:p w14:paraId="59F713A4">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活动组 织单位</w:t>
            </w:r>
          </w:p>
        </w:tc>
        <w:tc>
          <w:tcPr>
            <w:tcW w:w="1050" w:type="dxa"/>
            <w:vAlign w:val="top"/>
          </w:tcPr>
          <w:p w14:paraId="5ECEBA07">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校团委</w:t>
            </w:r>
          </w:p>
        </w:tc>
        <w:tc>
          <w:tcPr>
            <w:tcW w:w="1313" w:type="dxa"/>
            <w:vAlign w:val="top"/>
          </w:tcPr>
          <w:p w14:paraId="0F1F382D">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“第二课堂成绩单”活动各模块计分标准</w:t>
            </w:r>
          </w:p>
        </w:tc>
        <w:tc>
          <w:tcPr>
            <w:tcW w:w="1650" w:type="dxa"/>
            <w:vMerge w:val="continue"/>
            <w:vAlign w:val="center"/>
          </w:tcPr>
          <w:p w14:paraId="57C33EF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r>
      <w:tr w14:paraId="46020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1D7FE702">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工作履历 </w:t>
            </w:r>
          </w:p>
        </w:tc>
        <w:tc>
          <w:tcPr>
            <w:tcW w:w="3854" w:type="dxa"/>
            <w:vAlign w:val="top"/>
          </w:tcPr>
          <w:p w14:paraId="491223AD">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1.团学干部任职</w:t>
            </w:r>
          </w:p>
          <w:p w14:paraId="1A76D439">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2.团学先进个人</w:t>
            </w:r>
          </w:p>
          <w:p w14:paraId="741B8B9A">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3.勤工俭学</w:t>
            </w:r>
          </w:p>
          <w:p w14:paraId="61BAC321">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4.社会任职 </w:t>
            </w:r>
          </w:p>
          <w:p w14:paraId="6C66690D">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5.退伍军人</w:t>
            </w:r>
          </w:p>
        </w:tc>
        <w:tc>
          <w:tcPr>
            <w:tcW w:w="787" w:type="dxa"/>
            <w:vAlign w:val="top"/>
          </w:tcPr>
          <w:p w14:paraId="2A3A4147">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自选</w:t>
            </w:r>
          </w:p>
        </w:tc>
        <w:tc>
          <w:tcPr>
            <w:tcW w:w="994" w:type="dxa"/>
            <w:vAlign w:val="top"/>
          </w:tcPr>
          <w:p w14:paraId="539F249B">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活动组 织单位</w:t>
            </w:r>
          </w:p>
        </w:tc>
        <w:tc>
          <w:tcPr>
            <w:tcW w:w="1050" w:type="dxa"/>
            <w:vAlign w:val="top"/>
          </w:tcPr>
          <w:p w14:paraId="556D5A51">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校团委</w:t>
            </w:r>
          </w:p>
        </w:tc>
        <w:tc>
          <w:tcPr>
            <w:tcW w:w="1313" w:type="dxa"/>
            <w:vAlign w:val="top"/>
          </w:tcPr>
          <w:p w14:paraId="3A139057">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“第二课堂成绩单”活动各模块计分标准</w:t>
            </w:r>
          </w:p>
        </w:tc>
        <w:tc>
          <w:tcPr>
            <w:tcW w:w="1650" w:type="dxa"/>
            <w:vMerge w:val="continue"/>
            <w:vAlign w:val="center"/>
          </w:tcPr>
          <w:p w14:paraId="3D186EA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r>
      <w:tr w14:paraId="46695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742874C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技能特长 </w:t>
            </w:r>
          </w:p>
        </w:tc>
        <w:tc>
          <w:tcPr>
            <w:tcW w:w="3854" w:type="dxa"/>
            <w:vAlign w:val="top"/>
          </w:tcPr>
          <w:p w14:paraId="54D0546F">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1.职业资格证书 </w:t>
            </w:r>
          </w:p>
          <w:p w14:paraId="30BED43E">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2.职业技能证书 </w:t>
            </w:r>
          </w:p>
          <w:p w14:paraId="1A00D995">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3.机动车驾驶证</w:t>
            </w:r>
          </w:p>
          <w:p w14:paraId="5B11B54F">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4.从业人员上岗资格证 </w:t>
            </w:r>
          </w:p>
          <w:p w14:paraId="6AE01653">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5.技能比赛获奖</w:t>
            </w:r>
          </w:p>
        </w:tc>
        <w:tc>
          <w:tcPr>
            <w:tcW w:w="787" w:type="dxa"/>
            <w:vAlign w:val="top"/>
          </w:tcPr>
          <w:p w14:paraId="6272E6AF">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自选</w:t>
            </w:r>
          </w:p>
        </w:tc>
        <w:tc>
          <w:tcPr>
            <w:tcW w:w="994" w:type="dxa"/>
            <w:vAlign w:val="top"/>
          </w:tcPr>
          <w:p w14:paraId="3EB153E5">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活动组 织单位</w:t>
            </w:r>
          </w:p>
        </w:tc>
        <w:tc>
          <w:tcPr>
            <w:tcW w:w="1050" w:type="dxa"/>
            <w:vAlign w:val="top"/>
          </w:tcPr>
          <w:p w14:paraId="61D7E36F">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校团委</w:t>
            </w:r>
          </w:p>
        </w:tc>
        <w:tc>
          <w:tcPr>
            <w:tcW w:w="1313" w:type="dxa"/>
            <w:vAlign w:val="top"/>
          </w:tcPr>
          <w:p w14:paraId="3F6E9FB5">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“第二课堂成绩单”活动各模块计分标准</w:t>
            </w:r>
          </w:p>
        </w:tc>
        <w:tc>
          <w:tcPr>
            <w:tcW w:w="1650" w:type="dxa"/>
            <w:vMerge w:val="continue"/>
            <w:vAlign w:val="center"/>
          </w:tcPr>
          <w:p w14:paraId="4FD351B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r>
      <w:tr w14:paraId="102BE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1265" w:type="dxa"/>
            <w:vAlign w:val="center"/>
          </w:tcPr>
          <w:p w14:paraId="74FA973D">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其他</w:t>
            </w:r>
          </w:p>
        </w:tc>
        <w:tc>
          <w:tcPr>
            <w:tcW w:w="3854" w:type="dxa"/>
            <w:vAlign w:val="top"/>
          </w:tcPr>
          <w:p w14:paraId="786ACA95">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1.其他证书（社会职业类证书） </w:t>
            </w:r>
          </w:p>
          <w:p w14:paraId="56CD8818">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2.校内各单位其他类型活动 </w:t>
            </w:r>
          </w:p>
          <w:p w14:paraId="4506FA37">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3.升旗仪式工作人员</w:t>
            </w:r>
          </w:p>
        </w:tc>
        <w:tc>
          <w:tcPr>
            <w:tcW w:w="787" w:type="dxa"/>
            <w:vAlign w:val="top"/>
          </w:tcPr>
          <w:p w14:paraId="3A7BF3C0">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自选</w:t>
            </w:r>
          </w:p>
        </w:tc>
        <w:tc>
          <w:tcPr>
            <w:tcW w:w="994" w:type="dxa"/>
            <w:vAlign w:val="top"/>
          </w:tcPr>
          <w:p w14:paraId="170E19F5">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活动组 织单位</w:t>
            </w:r>
          </w:p>
        </w:tc>
        <w:tc>
          <w:tcPr>
            <w:tcW w:w="1050" w:type="dxa"/>
            <w:vAlign w:val="top"/>
          </w:tcPr>
          <w:p w14:paraId="33274175">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校团委</w:t>
            </w:r>
          </w:p>
        </w:tc>
        <w:tc>
          <w:tcPr>
            <w:tcW w:w="1313" w:type="dxa"/>
            <w:vAlign w:val="top"/>
          </w:tcPr>
          <w:p w14:paraId="1E89B6ED">
            <w:pPr>
              <w:keepNext w:val="0"/>
              <w:keepLines w:val="0"/>
              <w:pageBreakBefore w:val="0"/>
              <w:widowControl w:val="0"/>
              <w:kinsoku/>
              <w:wordWrap/>
              <w:overflowPunct w:val="0"/>
              <w:topLinePunct w:val="0"/>
              <w:autoSpaceDE/>
              <w:autoSpaceDN/>
              <w:bidi w:val="0"/>
              <w:adjustRightInd w:val="0"/>
              <w:snapToGrid/>
              <w:spacing w:after="0" w:line="240" w:lineRule="atLeas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“第二课堂成绩单”活动各模块计分标准</w:t>
            </w:r>
          </w:p>
        </w:tc>
        <w:tc>
          <w:tcPr>
            <w:tcW w:w="1650" w:type="dxa"/>
            <w:vMerge w:val="continue"/>
            <w:vAlign w:val="center"/>
          </w:tcPr>
          <w:p w14:paraId="1BD35A7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r>
    </w:tbl>
    <w:p w14:paraId="077B5E6C">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lang w:val="en-US" w:eastAsia="zh-CN"/>
          <w14:textFill>
            <w14:solidFill>
              <w14:schemeClr w14:val="tx1"/>
            </w14:solidFill>
          </w14:textFill>
        </w:rPr>
        <w:t>八</w:t>
      </w:r>
      <w:r>
        <w:rPr>
          <w:rFonts w:ascii="黑体" w:hAnsi="黑体" w:eastAsia="黑体"/>
          <w:color w:val="000000" w:themeColor="text1"/>
          <w:sz w:val="32"/>
          <w:szCs w:val="32"/>
          <w:highlight w:val="none"/>
          <w14:textFill>
            <w14:solidFill>
              <w14:schemeClr w14:val="tx1"/>
            </w14:solidFill>
          </w14:textFill>
        </w:rPr>
        <w:t>、教学进程总体安排</w:t>
      </w:r>
    </w:p>
    <w:p w14:paraId="0E1D7869">
      <w:pPr>
        <w:keepNext w:val="0"/>
        <w:keepLines w:val="0"/>
        <w:pageBreakBefore w:val="0"/>
        <w:widowControl w:val="0"/>
        <w:kinsoku/>
        <w:wordWrap/>
        <w:topLinePunct w:val="0"/>
        <w:autoSpaceDE/>
        <w:autoSpaceDN/>
        <w:bidi w:val="0"/>
        <w:snapToGrid/>
        <w:spacing w:after="0" w:line="500" w:lineRule="exact"/>
        <w:ind w:firstLine="640" w:firstLineChars="200"/>
        <w:textAlignment w:val="auto"/>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 xml:space="preserve">（一）教学环节分配表 </w:t>
      </w:r>
    </w:p>
    <w:p w14:paraId="210E3CCB">
      <w:pPr>
        <w:keepNext w:val="0"/>
        <w:keepLines w:val="0"/>
        <w:pageBreakBefore w:val="0"/>
        <w:widowControl w:val="0"/>
        <w:kinsoku/>
        <w:wordWrap/>
        <w:overflowPunct w:val="0"/>
        <w:topLinePunct w:val="0"/>
        <w:autoSpaceDE/>
        <w:autoSpaceDN/>
        <w:bidi w:val="0"/>
        <w:adjustRightInd w:val="0"/>
        <w:snapToGrid/>
        <w:spacing w:after="16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教学周数分配表每学期总周数合计应为20周，各学期教学周数应与教学计划进程表一致，军训、入学教育、考试环节、实习开展、毕业设计、社会实践及毕业教育等，学期合计周数为20周。</w:t>
      </w:r>
    </w:p>
    <w:p w14:paraId="12428CD9">
      <w:pPr>
        <w:keepNext w:val="0"/>
        <w:keepLines w:val="0"/>
        <w:pageBreakBefore w:val="0"/>
        <w:widowControl w:val="0"/>
        <w:kinsoku/>
        <w:wordWrap/>
        <w:overflowPunct w:val="0"/>
        <w:topLinePunct w:val="0"/>
        <w:autoSpaceDE/>
        <w:autoSpaceDN/>
        <w:bidi w:val="0"/>
        <w:adjustRightInd w:val="0"/>
        <w:snapToGrid/>
        <w:spacing w:after="160" w:line="520" w:lineRule="exact"/>
        <w:ind w:left="0" w:leftChars="0" w:firstLine="640" w:firstLineChars="200"/>
        <w:jc w:val="center"/>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表8 教育活动时间分配表（单位：周）</w:t>
      </w:r>
    </w:p>
    <w:tbl>
      <w:tblPr>
        <w:tblStyle w:val="9"/>
        <w:tblW w:w="5310"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470"/>
      </w:tblGrid>
      <w:tr w14:paraId="782BC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385"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16EE918C">
            <w:pPr>
              <w:spacing w:after="0" w:line="240" w:lineRule="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43CBCCB">
            <w:pPr>
              <w:spacing w:after="0" w:line="240" w:lineRule="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项目</w:t>
            </w:r>
          </w:p>
          <w:p w14:paraId="5AB65EE2">
            <w:pPr>
              <w:spacing w:after="0" w:line="240" w:lineRule="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周数</w:t>
            </w:r>
          </w:p>
          <w:p w14:paraId="65951008">
            <w:pPr>
              <w:spacing w:after="0" w:line="240" w:lineRule="auto"/>
              <mc:AlternateContent>
                <mc:Choice Requires="wpsCustomData">
                  <wpsCustomData:diagonalParaType/>
                </mc:Choice>
              </mc:AlternateContent>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p>
          <w:p w14:paraId="728FC590">
            <w:pPr>
              <w:spacing w:after="0" w:line="240" w:lineRule="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4B1DD51">
            <w:pPr>
              <w:spacing w:after="0" w:line="240" w:lineRule="auto"/>
              <mc:AlternateContent>
                <mc:Choice Requires="wpsCustomData">
                  <wpsCustomData:diagonalParaType/>
                </mc:Choice>
              </mc:AlternateContent>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周数</w:t>
            </w:r>
          </w:p>
          <w:p w14:paraId="2CA9370A">
            <w:pPr>
              <w:spacing w:after="0" w:line="240" w:lineRule="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学年</w:t>
            </w:r>
          </w:p>
        </w:tc>
        <w:tc>
          <w:tcPr>
            <w:tcW w:w="1184" w:type="pct"/>
            <w:gridSpan w:val="2"/>
            <w:vAlign w:val="center"/>
          </w:tcPr>
          <w:p w14:paraId="74049EE3">
            <w:pPr>
              <w:spacing w:after="0" w:line="240" w:lineRule="auto"/>
              <w:jc w:val="cente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一</w:t>
            </w:r>
          </w:p>
        </w:tc>
        <w:tc>
          <w:tcPr>
            <w:tcW w:w="1123" w:type="pct"/>
            <w:gridSpan w:val="2"/>
            <w:vAlign w:val="center"/>
          </w:tcPr>
          <w:p w14:paraId="0844365B">
            <w:pPr>
              <w:spacing w:after="0" w:line="240" w:lineRule="auto"/>
              <w:jc w:val="cente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二</w:t>
            </w:r>
          </w:p>
        </w:tc>
        <w:tc>
          <w:tcPr>
            <w:tcW w:w="1306" w:type="pct"/>
            <w:gridSpan w:val="2"/>
            <w:vAlign w:val="center"/>
          </w:tcPr>
          <w:p w14:paraId="2B1C75F2">
            <w:pPr>
              <w:spacing w:after="0" w:line="240" w:lineRule="auto"/>
              <w:jc w:val="cente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三</w:t>
            </w:r>
          </w:p>
        </w:tc>
      </w:tr>
      <w:tr w14:paraId="443EC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385" w:type="pct"/>
            <w:vMerge w:val="continue"/>
          </w:tcPr>
          <w:p w14:paraId="463B094C">
            <w:pPr>
              <w:spacing w:after="0" w:line="240" w:lineRule="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623" w:type="pct"/>
            <w:vAlign w:val="center"/>
          </w:tcPr>
          <w:p w14:paraId="6C1C90C4">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w:t>
            </w:r>
          </w:p>
        </w:tc>
        <w:tc>
          <w:tcPr>
            <w:tcW w:w="561" w:type="pct"/>
            <w:vAlign w:val="center"/>
          </w:tcPr>
          <w:p w14:paraId="4D42E394">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w:t>
            </w:r>
          </w:p>
        </w:tc>
        <w:tc>
          <w:tcPr>
            <w:tcW w:w="561" w:type="pct"/>
            <w:vAlign w:val="center"/>
          </w:tcPr>
          <w:p w14:paraId="49FDDF1F">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3</w:t>
            </w:r>
          </w:p>
        </w:tc>
        <w:tc>
          <w:tcPr>
            <w:tcW w:w="561" w:type="pct"/>
            <w:vAlign w:val="center"/>
          </w:tcPr>
          <w:p w14:paraId="7CA89EC8">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4</w:t>
            </w:r>
          </w:p>
        </w:tc>
        <w:tc>
          <w:tcPr>
            <w:tcW w:w="561" w:type="pct"/>
            <w:vAlign w:val="center"/>
          </w:tcPr>
          <w:p w14:paraId="7EC46A78">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5</w:t>
            </w:r>
          </w:p>
        </w:tc>
        <w:tc>
          <w:tcPr>
            <w:tcW w:w="745" w:type="pct"/>
            <w:vAlign w:val="center"/>
          </w:tcPr>
          <w:p w14:paraId="712E2842">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6</w:t>
            </w:r>
          </w:p>
        </w:tc>
      </w:tr>
      <w:tr w14:paraId="7594C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385" w:type="pct"/>
            <w:vAlign w:val="center"/>
          </w:tcPr>
          <w:p w14:paraId="62DEFBFE">
            <w:pPr>
              <w:spacing w:after="0" w:line="240" w:lineRule="auto"/>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课堂教学</w:t>
            </w:r>
          </w:p>
        </w:tc>
        <w:tc>
          <w:tcPr>
            <w:tcW w:w="623" w:type="pct"/>
            <w:vAlign w:val="center"/>
          </w:tcPr>
          <w:p w14:paraId="0FC2BF0F">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1-18</w:t>
            </w:r>
          </w:p>
        </w:tc>
        <w:tc>
          <w:tcPr>
            <w:tcW w:w="561" w:type="pct"/>
            <w:vAlign w:val="center"/>
          </w:tcPr>
          <w:p w14:paraId="33B4FA25">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1-18</w:t>
            </w:r>
          </w:p>
        </w:tc>
        <w:tc>
          <w:tcPr>
            <w:tcW w:w="561" w:type="pct"/>
            <w:vAlign w:val="center"/>
          </w:tcPr>
          <w:p w14:paraId="3CE52411">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1-18</w:t>
            </w:r>
          </w:p>
        </w:tc>
        <w:tc>
          <w:tcPr>
            <w:tcW w:w="561" w:type="pct"/>
            <w:vAlign w:val="center"/>
          </w:tcPr>
          <w:p w14:paraId="28C5256D">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1-18</w:t>
            </w:r>
          </w:p>
        </w:tc>
        <w:tc>
          <w:tcPr>
            <w:tcW w:w="561" w:type="pct"/>
            <w:vAlign w:val="center"/>
          </w:tcPr>
          <w:p w14:paraId="7CDA5BA7">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1-18</w:t>
            </w:r>
          </w:p>
        </w:tc>
        <w:tc>
          <w:tcPr>
            <w:tcW w:w="745" w:type="pct"/>
            <w:vAlign w:val="center"/>
          </w:tcPr>
          <w:p w14:paraId="39858EE0">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1-18</w:t>
            </w:r>
          </w:p>
        </w:tc>
      </w:tr>
      <w:tr w14:paraId="0AF73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385" w:type="pct"/>
            <w:vAlign w:val="center"/>
          </w:tcPr>
          <w:p w14:paraId="53DD9733">
            <w:pPr>
              <w:spacing w:after="0" w:line="240" w:lineRule="auto"/>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考试</w:t>
            </w:r>
          </w:p>
        </w:tc>
        <w:tc>
          <w:tcPr>
            <w:tcW w:w="623" w:type="pct"/>
            <w:vAlign w:val="center"/>
          </w:tcPr>
          <w:p w14:paraId="38E61F9D">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19-20</w:t>
            </w:r>
          </w:p>
        </w:tc>
        <w:tc>
          <w:tcPr>
            <w:tcW w:w="561" w:type="pct"/>
            <w:vAlign w:val="center"/>
          </w:tcPr>
          <w:p w14:paraId="0E0CF9E3">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19-20</w:t>
            </w:r>
          </w:p>
        </w:tc>
        <w:tc>
          <w:tcPr>
            <w:tcW w:w="561" w:type="pct"/>
            <w:vAlign w:val="center"/>
          </w:tcPr>
          <w:p w14:paraId="75E4AA35">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19-20</w:t>
            </w:r>
          </w:p>
        </w:tc>
        <w:tc>
          <w:tcPr>
            <w:tcW w:w="561" w:type="pct"/>
            <w:vAlign w:val="center"/>
          </w:tcPr>
          <w:p w14:paraId="6DBB235D">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19-20</w:t>
            </w:r>
          </w:p>
        </w:tc>
        <w:tc>
          <w:tcPr>
            <w:tcW w:w="561" w:type="pct"/>
            <w:vAlign w:val="center"/>
          </w:tcPr>
          <w:p w14:paraId="67894B31">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19-20</w:t>
            </w:r>
          </w:p>
        </w:tc>
        <w:tc>
          <w:tcPr>
            <w:tcW w:w="745" w:type="pct"/>
            <w:vAlign w:val="center"/>
          </w:tcPr>
          <w:p w14:paraId="03389D3B">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19-20</w:t>
            </w:r>
          </w:p>
        </w:tc>
      </w:tr>
      <w:tr w14:paraId="79F12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385" w:type="pct"/>
            <w:vAlign w:val="center"/>
          </w:tcPr>
          <w:p w14:paraId="39D8D8F5">
            <w:pPr>
              <w:spacing w:after="0" w:line="240" w:lineRule="auto"/>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军训</w:t>
            </w:r>
          </w:p>
        </w:tc>
        <w:tc>
          <w:tcPr>
            <w:tcW w:w="623" w:type="pct"/>
            <w:vAlign w:val="center"/>
          </w:tcPr>
          <w:p w14:paraId="577428D4">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1-2</w:t>
            </w:r>
          </w:p>
        </w:tc>
        <w:tc>
          <w:tcPr>
            <w:tcW w:w="561" w:type="pct"/>
            <w:vAlign w:val="center"/>
          </w:tcPr>
          <w:p w14:paraId="4346F24E">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0C474FC1">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5173E84A">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2128665A">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745" w:type="pct"/>
            <w:vAlign w:val="center"/>
          </w:tcPr>
          <w:p w14:paraId="7AB65C9A">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r>
      <w:tr w14:paraId="19DC8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385" w:type="pct"/>
            <w:vAlign w:val="center"/>
          </w:tcPr>
          <w:p w14:paraId="3306EA82">
            <w:pPr>
              <w:spacing w:after="0" w:line="240" w:lineRule="auto"/>
              <w:jc w:val="cente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入学教育</w:t>
            </w:r>
          </w:p>
        </w:tc>
        <w:tc>
          <w:tcPr>
            <w:tcW w:w="623" w:type="pct"/>
            <w:vAlign w:val="center"/>
          </w:tcPr>
          <w:p w14:paraId="2A5F0758">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3-8</w:t>
            </w:r>
          </w:p>
        </w:tc>
        <w:tc>
          <w:tcPr>
            <w:tcW w:w="561" w:type="pct"/>
            <w:vAlign w:val="center"/>
          </w:tcPr>
          <w:p w14:paraId="0B3E1837">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7B21B877">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67EB630B">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6505CF4B">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745" w:type="pct"/>
            <w:vAlign w:val="center"/>
          </w:tcPr>
          <w:p w14:paraId="28AB5850">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r>
      <w:tr w14:paraId="7207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385" w:type="pct"/>
            <w:vAlign w:val="center"/>
          </w:tcPr>
          <w:p w14:paraId="4369CAC4">
            <w:pPr>
              <w:spacing w:after="0" w:line="240" w:lineRule="auto"/>
              <w:jc w:val="cente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毕业设计</w:t>
            </w:r>
          </w:p>
        </w:tc>
        <w:tc>
          <w:tcPr>
            <w:tcW w:w="623" w:type="pct"/>
            <w:vAlign w:val="center"/>
          </w:tcPr>
          <w:p w14:paraId="57ADE437">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561" w:type="pct"/>
            <w:vAlign w:val="center"/>
          </w:tcPr>
          <w:p w14:paraId="4F9B14C8">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2B23600D">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0913E85A">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570EAA14">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1-18</w:t>
            </w:r>
          </w:p>
        </w:tc>
        <w:tc>
          <w:tcPr>
            <w:tcW w:w="745" w:type="pct"/>
            <w:vAlign w:val="center"/>
          </w:tcPr>
          <w:p w14:paraId="72E7F018">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r>
      <w:tr w14:paraId="2E03E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385" w:type="pct"/>
            <w:vAlign w:val="center"/>
          </w:tcPr>
          <w:p w14:paraId="19E68822">
            <w:pPr>
              <w:spacing w:after="0" w:line="240" w:lineRule="auto"/>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岗位实习</w:t>
            </w:r>
          </w:p>
        </w:tc>
        <w:tc>
          <w:tcPr>
            <w:tcW w:w="623" w:type="pct"/>
            <w:vAlign w:val="center"/>
          </w:tcPr>
          <w:p w14:paraId="75EE6CC9">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510CADF9">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4A5C86F5">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579CB249">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7EBD4264">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1-20</w:t>
            </w:r>
          </w:p>
        </w:tc>
        <w:tc>
          <w:tcPr>
            <w:tcW w:w="745" w:type="pct"/>
            <w:vAlign w:val="center"/>
          </w:tcPr>
          <w:p w14:paraId="5EBB23BA">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1-18</w:t>
            </w:r>
          </w:p>
        </w:tc>
      </w:tr>
      <w:tr w14:paraId="4D058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385" w:type="pct"/>
            <w:vAlign w:val="center"/>
          </w:tcPr>
          <w:p w14:paraId="7E298DF7">
            <w:pPr>
              <w:spacing w:after="0" w:line="240" w:lineRule="auto"/>
              <w:jc w:val="cente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社会实践</w:t>
            </w:r>
          </w:p>
        </w:tc>
        <w:tc>
          <w:tcPr>
            <w:tcW w:w="623" w:type="pct"/>
            <w:vAlign w:val="center"/>
          </w:tcPr>
          <w:p w14:paraId="4DCEA54B">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1-20</w:t>
            </w:r>
          </w:p>
        </w:tc>
        <w:tc>
          <w:tcPr>
            <w:tcW w:w="561" w:type="pct"/>
            <w:vAlign w:val="center"/>
          </w:tcPr>
          <w:p w14:paraId="1BF5A84B">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1-20</w:t>
            </w:r>
          </w:p>
        </w:tc>
        <w:tc>
          <w:tcPr>
            <w:tcW w:w="561" w:type="pct"/>
            <w:vAlign w:val="center"/>
          </w:tcPr>
          <w:p w14:paraId="3F9EF3F3">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1-20</w:t>
            </w:r>
          </w:p>
        </w:tc>
        <w:tc>
          <w:tcPr>
            <w:tcW w:w="561" w:type="pct"/>
            <w:vAlign w:val="center"/>
          </w:tcPr>
          <w:p w14:paraId="671A072B">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1-20</w:t>
            </w:r>
          </w:p>
        </w:tc>
        <w:tc>
          <w:tcPr>
            <w:tcW w:w="561" w:type="pct"/>
            <w:vAlign w:val="center"/>
          </w:tcPr>
          <w:p w14:paraId="5401866F">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1-20</w:t>
            </w:r>
          </w:p>
        </w:tc>
        <w:tc>
          <w:tcPr>
            <w:tcW w:w="745" w:type="pct"/>
            <w:vAlign w:val="center"/>
          </w:tcPr>
          <w:p w14:paraId="43C52780">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1-20</w:t>
            </w:r>
          </w:p>
        </w:tc>
      </w:tr>
      <w:tr w14:paraId="74C37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385" w:type="pct"/>
            <w:vAlign w:val="center"/>
          </w:tcPr>
          <w:p w14:paraId="00637D5E">
            <w:pPr>
              <w:spacing w:after="0" w:line="240" w:lineRule="auto"/>
              <w:jc w:val="cente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毕业教育</w:t>
            </w:r>
          </w:p>
        </w:tc>
        <w:tc>
          <w:tcPr>
            <w:tcW w:w="623" w:type="pct"/>
            <w:vAlign w:val="center"/>
          </w:tcPr>
          <w:p w14:paraId="5CC57888">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020B2A24">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2493447B">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5768DA34">
            <w:pPr>
              <w:spacing w:after="0" w:line="240" w:lineRule="auto"/>
              <w:jc w:val="center"/>
              <w:rPr>
                <w:rFonts w:hint="eastAsia" w:ascii="仿宋_GB2312" w:hAnsi="仿宋_GB2312" w:eastAsia="仿宋_GB2312" w:cs="仿宋_GB2312"/>
                <w:color w:val="000000" w:themeColor="text1"/>
                <w:sz w:val="18"/>
                <w:szCs w:val="18"/>
                <w:highlight w:val="none"/>
                <w14:textFill>
                  <w14:solidFill>
                    <w14:schemeClr w14:val="tx1"/>
                  </w14:solidFill>
                </w14:textFill>
              </w:rPr>
            </w:pPr>
          </w:p>
        </w:tc>
        <w:tc>
          <w:tcPr>
            <w:tcW w:w="561" w:type="pct"/>
            <w:vAlign w:val="center"/>
          </w:tcPr>
          <w:p w14:paraId="0C49D0B0">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745" w:type="pct"/>
            <w:vAlign w:val="center"/>
          </w:tcPr>
          <w:p w14:paraId="3790F2AD">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18-19</w:t>
            </w:r>
          </w:p>
        </w:tc>
      </w:tr>
      <w:tr w14:paraId="36E04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385" w:type="pct"/>
            <w:vAlign w:val="center"/>
          </w:tcPr>
          <w:p w14:paraId="6922DDC6">
            <w:pPr>
              <w:spacing w:after="0" w:line="240" w:lineRule="auto"/>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学期教学总周数</w:t>
            </w:r>
          </w:p>
        </w:tc>
        <w:tc>
          <w:tcPr>
            <w:tcW w:w="623" w:type="pct"/>
            <w:vAlign w:val="center"/>
          </w:tcPr>
          <w:p w14:paraId="70B407F3">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20周</w:t>
            </w:r>
          </w:p>
        </w:tc>
        <w:tc>
          <w:tcPr>
            <w:tcW w:w="561" w:type="pct"/>
            <w:vAlign w:val="center"/>
          </w:tcPr>
          <w:p w14:paraId="483E04A7">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20周</w:t>
            </w:r>
          </w:p>
        </w:tc>
        <w:tc>
          <w:tcPr>
            <w:tcW w:w="561" w:type="pct"/>
            <w:vAlign w:val="center"/>
          </w:tcPr>
          <w:p w14:paraId="08E99FD4">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20周</w:t>
            </w:r>
          </w:p>
        </w:tc>
        <w:tc>
          <w:tcPr>
            <w:tcW w:w="561" w:type="pct"/>
            <w:vAlign w:val="center"/>
          </w:tcPr>
          <w:p w14:paraId="18236086">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20周</w:t>
            </w:r>
          </w:p>
        </w:tc>
        <w:tc>
          <w:tcPr>
            <w:tcW w:w="561" w:type="pct"/>
            <w:vAlign w:val="center"/>
          </w:tcPr>
          <w:p w14:paraId="27558CA4">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20周</w:t>
            </w:r>
          </w:p>
        </w:tc>
        <w:tc>
          <w:tcPr>
            <w:tcW w:w="745" w:type="pct"/>
            <w:vAlign w:val="center"/>
          </w:tcPr>
          <w:p w14:paraId="1E7F80A4">
            <w:pPr>
              <w:spacing w:after="0" w:line="240" w:lineRule="auto"/>
              <w:jc w:val="cente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20周</w:t>
            </w:r>
          </w:p>
        </w:tc>
      </w:tr>
    </w:tbl>
    <w:p w14:paraId="1A74548B">
      <w:pPr>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楷体" w:hAnsi="楷体" w:eastAsia="楷体" w:cs="楷体"/>
          <w:bCs/>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lang w:eastAsia="zh-CN"/>
          <w14:textFill>
            <w14:solidFill>
              <w14:schemeClr w14:val="tx1"/>
            </w14:solidFill>
          </w14:textFill>
        </w:rPr>
        <w:t>（</w:t>
      </w:r>
      <w:r>
        <w:rPr>
          <w:rFonts w:hint="eastAsia" w:ascii="楷体" w:hAnsi="楷体" w:eastAsia="楷体" w:cs="楷体"/>
          <w:color w:val="000000" w:themeColor="text1"/>
          <w:sz w:val="32"/>
          <w:szCs w:val="32"/>
          <w:highlight w:val="none"/>
          <w:lang w:val="en-US" w:eastAsia="zh-CN"/>
          <w14:textFill>
            <w14:solidFill>
              <w14:schemeClr w14:val="tx1"/>
            </w14:solidFill>
          </w14:textFill>
        </w:rPr>
        <w:t>二</w:t>
      </w:r>
      <w:r>
        <w:rPr>
          <w:rFonts w:hint="eastAsia" w:ascii="楷体" w:hAnsi="楷体" w:eastAsia="楷体" w:cs="楷体"/>
          <w:color w:val="000000" w:themeColor="text1"/>
          <w:sz w:val="32"/>
          <w:szCs w:val="32"/>
          <w:highlight w:val="none"/>
          <w:lang w:eastAsia="zh-CN"/>
          <w14:textFill>
            <w14:solidFill>
              <w14:schemeClr w14:val="tx1"/>
            </w14:solidFill>
          </w14:textFill>
        </w:rPr>
        <w:t>）</w:t>
      </w:r>
      <w:r>
        <w:rPr>
          <w:rFonts w:hint="eastAsia" w:ascii="楷体" w:hAnsi="楷体" w:eastAsia="楷体" w:cs="楷体"/>
          <w:bCs/>
          <w:color w:val="000000" w:themeColor="text1"/>
          <w:sz w:val="32"/>
          <w:szCs w:val="32"/>
          <w:highlight w:val="none"/>
          <w14:textFill>
            <w14:solidFill>
              <w14:schemeClr w14:val="tx1"/>
            </w14:solidFill>
          </w14:textFill>
        </w:rPr>
        <w:t>课程结构与学时、学分分配</w:t>
      </w:r>
    </w:p>
    <w:p w14:paraId="38EE3D29">
      <w:pPr>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Cs/>
          <w:color w:val="000000" w:themeColor="text1"/>
          <w:sz w:val="32"/>
          <w:szCs w:val="32"/>
          <w:highlight w:val="none"/>
          <w14:textFill>
            <w14:solidFill>
              <w14:schemeClr w14:val="tx1"/>
            </w14:solidFill>
          </w14:textFill>
        </w:rPr>
        <w:t>本专业教学总学时为</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2676</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学时。其中理论教学</w:t>
      </w:r>
      <w:r>
        <w:rPr>
          <w:rFonts w:hint="eastAsia" w:ascii="仿宋_GB2312" w:hAnsi="仿宋_GB2312" w:eastAsia="仿宋_GB2312" w:cs="仿宋_GB2312"/>
          <w:color w:val="000000" w:themeColor="text1"/>
          <w:spacing w:val="-2"/>
          <w:sz w:val="32"/>
          <w:szCs w:val="32"/>
          <w:highlight w:val="none"/>
          <w:lang w:val="en-US" w:eastAsia="zh-CN"/>
          <w14:textFill>
            <w14:solidFill>
              <w14:schemeClr w14:val="tx1"/>
            </w14:solidFill>
          </w14:textFill>
        </w:rPr>
        <w:t>1291</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学时，占</w:t>
      </w:r>
      <w:r>
        <w:rPr>
          <w:rFonts w:hint="eastAsia" w:ascii="仿宋_GB2312" w:hAnsi="仿宋_GB2312" w:eastAsia="仿宋_GB2312" w:cs="仿宋_GB2312"/>
          <w:color w:val="000000" w:themeColor="text1"/>
          <w:spacing w:val="-2"/>
          <w:sz w:val="32"/>
          <w:szCs w:val="32"/>
          <w:highlight w:val="none"/>
          <w:lang w:val="en-US" w:eastAsia="zh-CN"/>
          <w14:textFill>
            <w14:solidFill>
              <w14:schemeClr w14:val="tx1"/>
            </w14:solidFill>
          </w14:textFill>
        </w:rPr>
        <w:t xml:space="preserve">48.24% </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；实践教学</w:t>
      </w:r>
      <w:r>
        <w:rPr>
          <w:rFonts w:hint="eastAsia" w:ascii="仿宋_GB2312" w:hAnsi="仿宋_GB2312" w:eastAsia="仿宋_GB2312" w:cs="仿宋_GB2312"/>
          <w:color w:val="000000" w:themeColor="text1"/>
          <w:spacing w:val="-2"/>
          <w:sz w:val="32"/>
          <w:szCs w:val="32"/>
          <w:highlight w:val="none"/>
          <w:lang w:val="en-US" w:eastAsia="zh-CN"/>
          <w14:textFill>
            <w14:solidFill>
              <w14:schemeClr w14:val="tx1"/>
            </w14:solidFill>
          </w14:textFill>
        </w:rPr>
        <w:t xml:space="preserve"> 1385 </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学时，占</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51.76%</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，其中岗位</w:t>
      </w:r>
      <w:r>
        <w:rPr>
          <w:rFonts w:hint="eastAsia" w:ascii="仿宋_GB2312" w:hAnsi="仿宋_GB2312" w:eastAsia="仿宋_GB2312" w:cs="仿宋_GB2312"/>
          <w:color w:val="000000" w:themeColor="text1"/>
          <w:spacing w:val="-2"/>
          <w:sz w:val="32"/>
          <w:szCs w:val="32"/>
          <w:highlight w:val="none"/>
          <w:lang w:val="en-US" w:eastAsia="zh-CN"/>
          <w14:textFill>
            <w14:solidFill>
              <w14:schemeClr w14:val="tx1"/>
            </w14:solidFill>
          </w14:textFill>
        </w:rPr>
        <w:t>实习时间累计一般为6个月。</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公共基础课</w:t>
      </w:r>
      <w:r>
        <w:rPr>
          <w:rFonts w:hint="eastAsia" w:ascii="仿宋_GB2312" w:hAnsi="仿宋_GB2312" w:eastAsia="仿宋_GB2312" w:cs="仿宋_GB2312"/>
          <w:color w:val="000000" w:themeColor="text1"/>
          <w:spacing w:val="-2"/>
          <w:sz w:val="32"/>
          <w:szCs w:val="32"/>
          <w:highlight w:val="none"/>
          <w:lang w:val="en-US" w:eastAsia="zh-CN"/>
          <w14:textFill>
            <w14:solidFill>
              <w14:schemeClr w14:val="tx1"/>
            </w14:solidFill>
          </w14:textFill>
        </w:rPr>
        <w:t xml:space="preserve"> 922 </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学时，占</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34.45%</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；选修课</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128</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学时，占</w:t>
      </w:r>
      <w:r>
        <w:rPr>
          <w:rFonts w:hint="eastAsia" w:ascii="仿宋_GB2312" w:hAnsi="仿宋_GB2312" w:eastAsia="仿宋_GB2312" w:cs="仿宋_GB2312"/>
          <w:color w:val="000000" w:themeColor="text1"/>
          <w:spacing w:val="-2"/>
          <w:sz w:val="32"/>
          <w:szCs w:val="32"/>
          <w:highlight w:val="none"/>
          <w:lang w:val="en-US" w:eastAsia="zh-CN"/>
          <w14:textFill>
            <w14:solidFill>
              <w14:schemeClr w14:val="tx1"/>
            </w14:solidFill>
          </w14:textFill>
        </w:rPr>
        <w:t xml:space="preserve">4.78% </w:t>
      </w:r>
      <w:r>
        <w:rPr>
          <w:rFonts w:hint="eastAsia" w:ascii="仿宋_GB2312" w:hAnsi="仿宋_GB2312" w:eastAsia="仿宋_GB2312" w:cs="仿宋_GB2312"/>
          <w:bCs/>
          <w:color w:val="000000" w:themeColor="text1"/>
          <w:sz w:val="32"/>
          <w:szCs w:val="32"/>
          <w:highlight w:val="none"/>
          <w14:textFill>
            <w14:solidFill>
              <w14:schemeClr w14:val="tx1"/>
            </w14:solidFill>
          </w14:textFill>
        </w:rPr>
        <w:t xml:space="preserve">。           </w:t>
      </w:r>
    </w:p>
    <w:p w14:paraId="099C856F">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_GB2312" w:hAnsi="仿宋_GB2312" w:eastAsia="仿宋_GB2312" w:cs="仿宋_GB2312"/>
          <w:color w:val="000000" w:themeColor="text1"/>
          <w:spacing w:val="-2"/>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spacing w:val="-2"/>
          <w:sz w:val="32"/>
          <w:szCs w:val="32"/>
          <w:highlight w:val="none"/>
          <w14:textFill>
            <w14:solidFill>
              <w14:schemeClr w14:val="tx1"/>
            </w14:solidFill>
          </w14:textFill>
        </w:rPr>
        <w:t>课程学时、学分分配表</w:t>
      </w:r>
    </w:p>
    <w:tbl>
      <w:tblPr>
        <w:tblStyle w:val="8"/>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8"/>
        <w:gridCol w:w="1993"/>
        <w:gridCol w:w="1280"/>
        <w:gridCol w:w="718"/>
        <w:gridCol w:w="1118"/>
        <w:gridCol w:w="736"/>
        <w:gridCol w:w="787"/>
        <w:gridCol w:w="1225"/>
        <w:gridCol w:w="850"/>
        <w:gridCol w:w="1332"/>
      </w:tblGrid>
      <w:tr w14:paraId="4E8FB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2D21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课程类别</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31A75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DA905">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DDC79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5B4A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 xml:space="preserve">                         学时</w:t>
            </w:r>
          </w:p>
        </w:tc>
      </w:tr>
      <w:tr w14:paraId="0974F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BEA68">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06913">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D31FD">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9F747">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73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E930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合计</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8342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理论教学</w:t>
            </w:r>
          </w:p>
        </w:tc>
        <w:tc>
          <w:tcPr>
            <w:tcW w:w="21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C90B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实践教学</w:t>
            </w:r>
          </w:p>
        </w:tc>
      </w:tr>
      <w:tr w14:paraId="1BC51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DF1B3">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6AD05">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11F99">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B336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862DF">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8A208">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学时</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2C1B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占专业总学时比例（%）</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C4C2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学时</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AE21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占专业总学时比例（%）</w:t>
            </w:r>
          </w:p>
        </w:tc>
      </w:tr>
      <w:tr w14:paraId="160BF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04D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公共基础课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736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0B4F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242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29.58%</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4310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794</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DE3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454</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783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16.97%</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6424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340</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D7D4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12.71%</w:t>
            </w:r>
          </w:p>
        </w:tc>
      </w:tr>
      <w:tr w14:paraId="3607F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9242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A2D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3C60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46EF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5.63%</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B79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128</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EC6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80</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57C3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2.99%</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949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48</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6BF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1.79%</w:t>
            </w:r>
          </w:p>
        </w:tc>
      </w:tr>
      <w:tr w14:paraId="7041D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344E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886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E1E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A03A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35.21%</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325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922</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F01B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534</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2FA9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19.96%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A86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388</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8C4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14.50%</w:t>
            </w:r>
          </w:p>
        </w:tc>
      </w:tr>
      <w:tr w14:paraId="41198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588" w:type="dxa"/>
            <w:vMerge w:val="restart"/>
            <w:tcBorders>
              <w:top w:val="single" w:color="000000" w:sz="4" w:space="0"/>
              <w:left w:val="single" w:color="000000" w:sz="4" w:space="0"/>
              <w:right w:val="single" w:color="000000" w:sz="4" w:space="0"/>
            </w:tcBorders>
            <w:shd w:val="clear" w:color="auto" w:fill="auto"/>
            <w:vAlign w:val="center"/>
          </w:tcPr>
          <w:p w14:paraId="1F9F8A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专业课</w:t>
            </w: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629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FC3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38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0873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19.72%</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5976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504</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A50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304</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0B5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11.36%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E54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200</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749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7.47%</w:t>
            </w:r>
          </w:p>
        </w:tc>
      </w:tr>
      <w:tr w14:paraId="73312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588" w:type="dxa"/>
            <w:vMerge w:val="continue"/>
            <w:tcBorders>
              <w:left w:val="single" w:color="000000" w:sz="4" w:space="0"/>
              <w:right w:val="single" w:color="000000" w:sz="4" w:space="0"/>
            </w:tcBorders>
            <w:shd w:val="clear" w:color="auto" w:fill="auto"/>
            <w:vAlign w:val="center"/>
          </w:tcPr>
          <w:p w14:paraId="0D5BD50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5B5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专业核心课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DF6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E7C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775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21.92%</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687B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576</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EC8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352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918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13.15%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B78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224</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84C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8.37%</w:t>
            </w:r>
          </w:p>
        </w:tc>
      </w:tr>
      <w:tr w14:paraId="02194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588" w:type="dxa"/>
            <w:vMerge w:val="continue"/>
            <w:tcBorders>
              <w:left w:val="single" w:color="000000" w:sz="4" w:space="0"/>
              <w:right w:val="single" w:color="000000" w:sz="4" w:space="0"/>
            </w:tcBorders>
            <w:shd w:val="clear" w:color="auto" w:fill="auto"/>
            <w:vAlign w:val="center"/>
          </w:tcPr>
          <w:p w14:paraId="353DFF5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104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专业拓展课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A5A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D65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C042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6.34%</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509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162</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8C2F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81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CDB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3.03%</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822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81</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375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3.03%</w:t>
            </w:r>
          </w:p>
        </w:tc>
      </w:tr>
      <w:tr w14:paraId="34A95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588" w:type="dxa"/>
            <w:vMerge w:val="continue"/>
            <w:tcBorders>
              <w:left w:val="single" w:color="000000" w:sz="4" w:space="0"/>
              <w:bottom w:val="single" w:color="000000" w:sz="4" w:space="0"/>
              <w:right w:val="single" w:color="000000" w:sz="4" w:space="0"/>
            </w:tcBorders>
            <w:shd w:val="clear" w:color="auto" w:fill="auto"/>
            <w:vAlign w:val="center"/>
          </w:tcPr>
          <w:p w14:paraId="7E3FEA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1993" w:type="dxa"/>
            <w:tcBorders>
              <w:top w:val="single" w:color="000000" w:sz="4" w:space="0"/>
              <w:left w:val="single" w:color="auto" w:sz="4" w:space="0"/>
              <w:bottom w:val="single" w:color="000000" w:sz="4" w:space="0"/>
              <w:right w:val="single" w:color="000000" w:sz="4" w:space="0"/>
            </w:tcBorders>
            <w:shd w:val="clear" w:color="auto" w:fill="auto"/>
            <w:vAlign w:val="center"/>
          </w:tcPr>
          <w:p w14:paraId="11B1A8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t>实践</w:t>
            </w:r>
            <w:r>
              <w:rPr>
                <w:rFonts w:hint="eastAsia" w:ascii="仿宋_GB2312" w:hAnsi="仿宋_GB2312" w:eastAsia="仿宋_GB2312" w:cs="仿宋_GB2312"/>
                <w:i w:val="0"/>
                <w:iCs w:val="0"/>
                <w:color w:val="000000" w:themeColor="text1"/>
                <w:sz w:val="24"/>
                <w:szCs w:val="24"/>
                <w:highlight w:val="none"/>
                <w:u w:val="none"/>
                <w:lang w:val="en-US" w:eastAsia="zh-CN"/>
                <w14:textFill>
                  <w14:solidFill>
                    <w14:schemeClr w14:val="tx1"/>
                  </w14:solidFill>
                </w14:textFill>
              </w:rPr>
              <w:t>性</w:t>
            </w:r>
            <w: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t>教学环节</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A97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533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0028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16.20%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6688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512</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5A5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20</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24D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0.75%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4B0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492</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AE79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18.39%</w:t>
            </w:r>
          </w:p>
        </w:tc>
      </w:tr>
      <w:tr w14:paraId="086FF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05E4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CEBB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92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065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64.79%</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0E25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1754</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472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757</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6B40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28.29%</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B2E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997</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868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37.26%</w:t>
            </w:r>
          </w:p>
        </w:tc>
      </w:tr>
      <w:tr w14:paraId="3A962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1F2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98D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lang w:val="en-US" w:eastAsia="zh-CN"/>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1006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lang w:val="en-US" w:eastAsia="zh-CN"/>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100.00%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1C4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lang w:val="en-US" w:eastAsia="zh-CN"/>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2676</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9C3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lang w:val="en-US" w:eastAsia="zh-CN"/>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1291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02F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lang w:val="en-US" w:eastAsia="zh-CN"/>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48.24%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1151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1385</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FC3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themeColor="text1"/>
                <w:sz w:val="24"/>
                <w:szCs w:val="24"/>
                <w:highlight w:val="none"/>
                <w:u w:val="none"/>
                <w:lang w:val="en-US" w:eastAsia="zh-CN"/>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51.76%</w:t>
            </w:r>
          </w:p>
        </w:tc>
      </w:tr>
    </w:tbl>
    <w:p w14:paraId="667384BA">
      <w:pPr>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lang w:eastAsia="zh-CN"/>
          <w14:textFill>
            <w14:solidFill>
              <w14:schemeClr w14:val="tx1"/>
            </w14:solidFill>
          </w14:textFill>
        </w:rPr>
        <w:t>（</w:t>
      </w:r>
      <w:r>
        <w:rPr>
          <w:rFonts w:hint="eastAsia" w:ascii="楷体" w:hAnsi="楷体" w:eastAsia="楷体" w:cs="楷体"/>
          <w:color w:val="000000" w:themeColor="text1"/>
          <w:sz w:val="32"/>
          <w:szCs w:val="32"/>
          <w:highlight w:val="none"/>
          <w:lang w:val="en-US" w:eastAsia="zh-CN"/>
          <w14:textFill>
            <w14:solidFill>
              <w14:schemeClr w14:val="tx1"/>
            </w14:solidFill>
          </w14:textFill>
        </w:rPr>
        <w:t>三</w:t>
      </w:r>
      <w:r>
        <w:rPr>
          <w:rFonts w:hint="eastAsia" w:ascii="楷体" w:hAnsi="楷体" w:eastAsia="楷体" w:cs="楷体"/>
          <w:color w:val="000000" w:themeColor="text1"/>
          <w:sz w:val="32"/>
          <w:szCs w:val="32"/>
          <w:highlight w:val="none"/>
          <w:lang w:eastAsia="zh-CN"/>
          <w14:textFill>
            <w14:solidFill>
              <w14:schemeClr w14:val="tx1"/>
            </w14:solidFill>
          </w14:textFill>
        </w:rPr>
        <w:t>）</w:t>
      </w:r>
      <w:r>
        <w:rPr>
          <w:rFonts w:hint="eastAsia" w:ascii="楷体" w:hAnsi="楷体" w:eastAsia="楷体" w:cs="楷体"/>
          <w:color w:val="000000" w:themeColor="text1"/>
          <w:sz w:val="32"/>
          <w:szCs w:val="32"/>
          <w:highlight w:val="none"/>
          <w14:textFill>
            <w14:solidFill>
              <w14:schemeClr w14:val="tx1"/>
            </w14:solidFill>
          </w14:textFill>
        </w:rPr>
        <w:t>教学计划进程</w:t>
      </w:r>
    </w:p>
    <w:p w14:paraId="00FF5237">
      <w:pPr>
        <w:pStyle w:val="7"/>
        <w:keepNext w:val="0"/>
        <w:keepLines w:val="0"/>
        <w:pageBreakBefore w:val="0"/>
        <w:shd w:val="clear" w:color="auto" w:fill="FFFFFF"/>
        <w:kinsoku/>
        <w:wordWrap/>
        <w:overflowPunct/>
        <w:topLinePunct w:val="0"/>
        <w:autoSpaceDE/>
        <w:autoSpaceDN/>
        <w:bidi w:val="0"/>
        <w:adjustRightInd/>
        <w:snapToGrid/>
        <w:spacing w:before="0" w:beforeAutospacing="0" w:afterAutospacing="0" w:line="500" w:lineRule="exact"/>
        <w:jc w:val="center"/>
        <w:textAlignment w:val="auto"/>
        <w:rPr>
          <w:rFonts w:hint="eastAsia" w:ascii="仿宋_GB2312" w:hAnsi="仿宋_GB2312" w:eastAsia="仿宋_GB2312" w:cs="仿宋_GB2312"/>
          <w:color w:val="000000" w:themeColor="text1"/>
          <w:spacing w:val="-2"/>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2"/>
          <w:kern w:val="2"/>
          <w:sz w:val="32"/>
          <w:szCs w:val="32"/>
          <w:highlight w:val="none"/>
          <w:lang w:val="en-US" w:eastAsia="zh-CN" w:bidi="ar-SA"/>
          <w14:textFill>
            <w14:solidFill>
              <w14:schemeClr w14:val="tx1"/>
            </w14:solidFill>
          </w14:textFill>
        </w:rPr>
        <w:t>表10教学计划进程安排表</w:t>
      </w:r>
    </w:p>
    <w:tbl>
      <w:tblPr>
        <w:tblStyle w:val="8"/>
        <w:tblW w:w="5761" w:type="pct"/>
        <w:jc w:val="center"/>
        <w:shd w:val="clear" w:color="auto" w:fill="auto"/>
        <w:tblLayout w:type="fixed"/>
        <w:tblCellMar>
          <w:top w:w="0" w:type="dxa"/>
          <w:left w:w="0" w:type="dxa"/>
          <w:bottom w:w="0" w:type="dxa"/>
          <w:right w:w="0" w:type="dxa"/>
        </w:tblCellMar>
      </w:tblPr>
      <w:tblGrid>
        <w:gridCol w:w="307"/>
        <w:gridCol w:w="795"/>
        <w:gridCol w:w="555"/>
        <w:gridCol w:w="591"/>
        <w:gridCol w:w="1509"/>
        <w:gridCol w:w="1606"/>
        <w:gridCol w:w="675"/>
        <w:gridCol w:w="637"/>
        <w:gridCol w:w="579"/>
        <w:gridCol w:w="602"/>
        <w:gridCol w:w="317"/>
        <w:gridCol w:w="336"/>
        <w:gridCol w:w="317"/>
        <w:gridCol w:w="319"/>
        <w:gridCol w:w="355"/>
        <w:gridCol w:w="400"/>
        <w:gridCol w:w="589"/>
      </w:tblGrid>
      <w:tr w14:paraId="5F782569">
        <w:tblPrEx>
          <w:tblCellMar>
            <w:top w:w="0" w:type="dxa"/>
            <w:left w:w="0" w:type="dxa"/>
            <w:bottom w:w="0" w:type="dxa"/>
            <w:right w:w="0" w:type="dxa"/>
          </w:tblCellMar>
        </w:tblPrEx>
        <w:trPr>
          <w:trHeight w:val="340" w:hRule="atLeast"/>
          <w:jc w:val="center"/>
        </w:trPr>
        <w:tc>
          <w:tcPr>
            <w:tcW w:w="52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3BB0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课程类别</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D3EB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课程性质</w:t>
            </w:r>
          </w:p>
        </w:tc>
        <w:tc>
          <w:tcPr>
            <w:tcW w:w="28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21D4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序号</w:t>
            </w:r>
          </w:p>
        </w:tc>
        <w:tc>
          <w:tcPr>
            <w:tcW w:w="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3BE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课程代码</w:t>
            </w:r>
          </w:p>
        </w:tc>
        <w:tc>
          <w:tcPr>
            <w:tcW w:w="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5A2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课程名称</w:t>
            </w: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EBE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学分</w:t>
            </w:r>
          </w:p>
        </w:tc>
        <w:tc>
          <w:tcPr>
            <w:tcW w:w="866"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0F42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教学学时数</w:t>
            </w:r>
          </w:p>
        </w:tc>
        <w:tc>
          <w:tcPr>
            <w:tcW w:w="97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3C45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开课学期和周学时</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61E2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考核类型</w:t>
            </w:r>
          </w:p>
        </w:tc>
      </w:tr>
      <w:tr w14:paraId="661DB151">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7A9A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B586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2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24B4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0BF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DF1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9103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866"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2B47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97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BDF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81B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r>
      <w:tr w14:paraId="2A5B1A5E">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B6E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30D7C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2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EF6D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6E3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B66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3D9A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1D0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合计</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6C93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理论学时</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68E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实践学时</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214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一</w:t>
            </w: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A88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二</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C74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三</w:t>
            </w: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F380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四</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E17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五</w:t>
            </w: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15D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六</w:t>
            </w: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1B1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p>
        </w:tc>
      </w:tr>
      <w:tr w14:paraId="29E8F079">
        <w:tblPrEx>
          <w:shd w:val="clear" w:color="auto" w:fill="auto"/>
          <w:tblCellMar>
            <w:top w:w="0" w:type="dxa"/>
            <w:left w:w="0" w:type="dxa"/>
            <w:bottom w:w="0" w:type="dxa"/>
            <w:right w:w="0" w:type="dxa"/>
          </w:tblCellMar>
        </w:tblPrEx>
        <w:trPr>
          <w:trHeight w:val="340" w:hRule="atLeast"/>
          <w:jc w:val="center"/>
        </w:trPr>
        <w:tc>
          <w:tcPr>
            <w:tcW w:w="52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BFFB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公共基础课</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92FA7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必修</w:t>
            </w: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03B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0DCD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1B410101101</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C83C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思想道德与法治</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3351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806A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48</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271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36</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0110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B1C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E6DD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1DF1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F946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FCC2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0AFD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359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60774207">
        <w:tblPrEx>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B253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7F780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1A94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9FB5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1A410101102</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B588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形势与政策</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9EA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D91E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1455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64A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6C2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1到4学期开课，每学期8学时。</w:t>
            </w: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F50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66C49DFA">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5E59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E8A63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DCE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314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1A410101103</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B49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国家安全教育</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56D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1</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E0A6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16</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E93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16</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10AE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8EF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7839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2C62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0EBD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2D28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3402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145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0E23083B">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4F69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0D9F0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632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6DE2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1A410101104</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538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军事理论</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E946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2152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453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36</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255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2F5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C794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9D04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EA1E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76C9D">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90A5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326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7D3EEB87">
        <w:tblPrEx>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A196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A7B06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A84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4938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1C410101105</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2B6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军训</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C873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kern w:val="0"/>
                <w:sz w:val="24"/>
                <w:szCs w:val="24"/>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778D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112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3DB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B67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112</w:t>
            </w:r>
          </w:p>
        </w:tc>
        <w:tc>
          <w:tcPr>
            <w:tcW w:w="97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B19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第1学期，实际训练时间不少于14天</w:t>
            </w: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244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48C93312">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E252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BCBEC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DDF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9BE5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1B410101106</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E835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计算机基础</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0A28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F6B9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64</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A4E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3BC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B07D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5282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3F25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60A6F">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76E9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697F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605B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6DC43B61">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E853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09BE1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7AA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C16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1B410101107</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412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高等数学</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043F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70E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64</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F6CD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64</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C9B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5EE5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224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FDF8FA">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7AAAA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643C4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4F14F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725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216A9CA7">
        <w:tblPrEx>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6D73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39834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6933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E6CA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1B410101108</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F3A7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大学英语</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8C4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DF00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128</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24CB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104</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43D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24</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79D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0AC9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B1D0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EE8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DAC5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A5BA0">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A2D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2027B269">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EE46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E262A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FE6F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9</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4CC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1C410101109</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10B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大学体育</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764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70F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108</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5C57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3B5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108</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A632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5A2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ABB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8DC6E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6E8B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7C21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8827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5E159D69">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E1AA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2E067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DB71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10</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1AD2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1B410101110</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E306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大学生职业发展与就业指导</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2555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2C5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38</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4A9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26</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634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F19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089C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1D4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71A4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54C8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ABBC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4AAD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2E8230E6">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2832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78D4A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5370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11</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2B7C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1B410101111</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918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大学生心理健康教育</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E10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C7AC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5D7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20</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0455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CB2B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0436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7DF5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F8A7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7D0A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5E41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269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4B56E5D2">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BE4D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5354D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E0E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BBF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1C410101112</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A12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劳动教育</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25E1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6F0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16</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383C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7256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16</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F4DD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9489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7FAC0F">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C8EC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AB32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98E3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5EF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1D1897BB">
        <w:tblPrEx>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E365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4C5C9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D680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13</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74A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1B410101113</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CC0D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毛泽东思想和中国特色社会主义理论体系概论</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46C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08C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90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6CFD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D084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7659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38A5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2644D">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35F4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B667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4B1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2004C7E3">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8056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9ABC4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961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14</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DAF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1B410101114</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4753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创新创业教育</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478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DA84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16</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767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87D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190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E619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D558E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14B3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6D62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AACB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0DD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1CE7A675">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951A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F1412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4F4C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15</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33E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1B410101115</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53C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习近平新时代中国特色社会主义思想概论</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EEE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A9A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804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48</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E85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805A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4ED7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8D49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158B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E9E5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6E1DF">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611C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68CE7EEF">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8FBF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02D3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选修</w:t>
            </w: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5EE6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4DE9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1B410101201</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D5B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中国民俗剪纸技法</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780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265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E373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ADE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24</w:t>
            </w:r>
          </w:p>
        </w:tc>
        <w:tc>
          <w:tcPr>
            <w:tcW w:w="974" w:type="pct"/>
            <w:gridSpan w:val="6"/>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9C95A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公共选修课最低学分要求为 8学分，其中要求2个学分为思政选修课学分。</w:t>
            </w: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8757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38F2738B">
        <w:tblPrEx>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980F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5B08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3E83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91E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1B410101202</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C10C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影视与鉴赏</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83D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8C70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519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53F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24</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F6A3A52">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2DB2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78F145C9">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944E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895B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B2BC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440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1B410101203</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EB8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中华优秀传统文化</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B1E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8B7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EC8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942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B9D7B9">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AEAE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273E1D88">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298B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80B3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B342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DC2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1B410101204</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47A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中国共产党简史</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ED70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472B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85B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E020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B7B88CC">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C4A9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4B33E3E9">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3C5E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0889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223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A795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1B410101205</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E94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改革开放简史</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1C6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AEB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C364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D41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95A06A4">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124B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60194C18">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9D44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BE0C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F54B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567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1B410101206</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6E26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中华人民共和国简史</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552E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54B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32A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674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2794E95">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F352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6E6F76A7">
        <w:tblPrEx>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A7AE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BAE1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825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EF1B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1B410101207</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FACF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社会主义发展简史</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F4A6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B4D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416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A964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D0A950D">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4463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2F2703C0">
        <w:tblPrEx>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3E0E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8FFF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5231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93CB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1B410101208</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1FC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中华民族共同体概论</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1EC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6FC8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7E05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E415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4CC4C8D">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86E4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1CFC19F0">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8AB3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39BA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CF50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9</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721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1B410101210</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0CC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语文</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CCA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99CD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8ED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454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8DA6716">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6804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295F4756">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5003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6CE3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CA3C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10</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7AB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1B410101211</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05C0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物理</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52E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144E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70CA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F49A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836ADC8">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D41D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59EF14F9">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1627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7548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F834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11</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D13AE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1B410101212</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B77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化学</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7E0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535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B737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E3A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FD4664">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76CB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51418678">
        <w:tblPrEx>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6164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E094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7368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w:t>
            </w:r>
          </w:p>
        </w:tc>
        <w:tc>
          <w:tcPr>
            <w:tcW w:w="7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2BC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1B410101213</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E04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职业素养</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468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D20E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81A7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32</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B72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0</w:t>
            </w:r>
          </w:p>
        </w:tc>
        <w:tc>
          <w:tcPr>
            <w:tcW w:w="974" w:type="pct"/>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2BF2EF">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1A5F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505E05A3">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6ECD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031"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550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公共必修课程学分、学时小计</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7FEE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42</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213D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794</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46C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454</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21E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340</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41B3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1115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A15A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325E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D9A8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F05E87">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A0BF7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r>
      <w:tr w14:paraId="1210F111">
        <w:tblPrEx>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2AF8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031"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53F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公共必修课程学分、学时占比</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A05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29.58%</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1F7C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29.72%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0DB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35.50%</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99BF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24.41%</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0E9D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B0F3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13FE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2CE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7D00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134F8B">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31129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r>
      <w:tr w14:paraId="7CD67899">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B530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031"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4E67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公共选修课程学分、学时小计</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CCF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B789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128</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916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80</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9DD5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18466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20980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4817F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5912A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82D92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FC7EA0">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315E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r>
      <w:tr w14:paraId="6E3D4161">
        <w:tblPrEx>
          <w:shd w:val="clear" w:color="auto" w:fill="auto"/>
          <w:tblCellMar>
            <w:top w:w="0" w:type="dxa"/>
            <w:left w:w="0" w:type="dxa"/>
            <w:bottom w:w="0" w:type="dxa"/>
            <w:right w:w="0" w:type="dxa"/>
          </w:tblCellMar>
        </w:tblPrEx>
        <w:trPr>
          <w:trHeight w:val="340" w:hRule="atLeast"/>
          <w:jc w:val="center"/>
        </w:trPr>
        <w:tc>
          <w:tcPr>
            <w:tcW w:w="5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62D0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031"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363BA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公共选修课程学分、学时占比</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85C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5.63%</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799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4.79%</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BE7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6.25%</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8B7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3.44%</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8DF59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6245B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C4404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0B640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386BB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4E99B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463C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r>
      <w:tr w14:paraId="7792101C">
        <w:tblPrEx>
          <w:tblCellMar>
            <w:top w:w="0" w:type="dxa"/>
            <w:left w:w="0" w:type="dxa"/>
            <w:bottom w:w="0" w:type="dxa"/>
            <w:right w:w="0" w:type="dxa"/>
          </w:tblCellMar>
        </w:tblPrEx>
        <w:trPr>
          <w:trHeight w:val="340" w:hRule="atLeast"/>
          <w:jc w:val="center"/>
        </w:trPr>
        <w:tc>
          <w:tcPr>
            <w:tcW w:w="146"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E5C102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专业课</w:t>
            </w:r>
          </w:p>
        </w:tc>
        <w:tc>
          <w:tcPr>
            <w:tcW w:w="37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0F7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专业基础课</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31C0C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必修</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541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C625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6B500102301</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48D2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高速铁路概论</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A029D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5ED0A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EE535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EE90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4B96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DEF9F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E0C80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7A7FD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FBF57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25F8D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E15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1BF1710B">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23C3C3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661E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460A7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9D69A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08C67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6B500601305</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86C9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工程制图与CAD</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3237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3469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7F31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36</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4B364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36</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C57B2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D9DE9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9947A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BFDDD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A0EF9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4E06F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81A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49F25AAB">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7F95AEC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B99E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1C419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82446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F906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6B500102303</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AC2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工程材料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8752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0F4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36</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2D2DA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2F5DB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1AA0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A28B80">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B76C5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D0C42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E3667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D912F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68FE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1FF2499B">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0BFC3DA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7C10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DA6D6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40B8D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3B79F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6B500601308</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4A1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工程力学</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D06E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C8DF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FEE17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766C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5038D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BFD8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3ECE00">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78583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334A9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388AA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2B38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08A5886B">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165ACC8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0447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A51B4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9103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82CA9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6B500102305</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CABA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工程地质</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7DD7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384D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A54F7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5C9A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B095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6192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CF9A3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040CD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98429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3E959D">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58B7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6D896332">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3A4073F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0CB6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2B9B7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775E6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2D298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6B500102306</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691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土力学与地基基础</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B17E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96AC8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1154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91BE5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B37DD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05778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05C5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2DB69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3C63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C98D3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1D7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5387A53A">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88B9BF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D603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EE072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E417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9BC3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6B500102307</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B45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BIM技术应用</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243FB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E117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A529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DE7C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3C14A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41BED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1C558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72D06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2D6AE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92645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8C8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考查</w:t>
            </w:r>
          </w:p>
        </w:tc>
      </w:tr>
      <w:tr w14:paraId="38CE744F">
        <w:tblPrEx>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1D9EF17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502F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B5EDC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484F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7A219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6B500102308</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E054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工程测量</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45253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51211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547E4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A5C9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9C945A">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09A24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41939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5A4BB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30132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84F8E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663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4096BEDE">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65142B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37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5BC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专业核心课</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43AE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必修</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CC63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81A5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17"/>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6B500102401</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D74D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17"/>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高速铁路轨道施工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4392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B7F2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2C48C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8A36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771C4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C544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478DA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D2F31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6B2D8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47762A">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66BC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1B8E65C1">
        <w:tblPrEx>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E8A4AC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CD97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852B5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E71A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A9584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6B500102402</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5CB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高速铁路施工组织与概预算</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AF113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21748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DFB5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374D0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172DF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77A1BE">
            <w:pPr>
              <w:keepNext w:val="0"/>
              <w:keepLines w:val="0"/>
              <w:pageBreakBefore w:val="0"/>
              <w:widowControl/>
              <w:suppressLineNumbers w:val="0"/>
              <w:kinsoku/>
              <w:wordWrap/>
              <w:overflowPunct/>
              <w:topLinePunct w:val="0"/>
              <w:autoSpaceDE/>
              <w:autoSpaceDN/>
              <w:bidi w:val="0"/>
              <w:adjustRightInd/>
              <w:snapToGrid/>
              <w:spacing w:after="0" w:line="240" w:lineRule="exact"/>
              <w:jc w:val="right"/>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70582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CD880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67374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1BF98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C5BB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26BFCC01">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541A042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9977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A3153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CA94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B0F56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6B500102403</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9AE0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17"/>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高速铁路路基施工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64465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1190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2DE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D92DA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899C8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66BE7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8D58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F2BF5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83CB7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FCB44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379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13810EA5">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7285DC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CDDA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EAA27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DC54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0016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6B500102404</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90ED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17"/>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高速铁路精测精调</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DBEC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8191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80039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2F209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B8DA2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5538B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BA50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A2EED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F9F03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5EA210">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CDC1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70AFFD8B">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225875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3A6F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139D0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790C3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C39E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6B500102405</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8C6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17"/>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高速铁路隧道施工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C471B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CD053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1D1A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90BBF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F7184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DEF1E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E2F44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E78A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B32C1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21DCA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891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37698BFC">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291C240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C5A5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5B29A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9BF6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EE14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6B500102406</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49F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高速铁路桥隧养护维修</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69A14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2DDA5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0849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7587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1C3A3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5E71A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6F0E4A">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B939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83F47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26112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956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58DCE2CB">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2C3B78B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CCB5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106D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E940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E7C0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6B500102407</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D267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高速铁路线路养护维修</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BF1A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99CC1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5B36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F6395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11164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13DBC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F0BFF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B9198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14B21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8BDF3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118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6DAA4594">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77777F6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6504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A0F5A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9321F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9B2E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6B500102408</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3A0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高速铁路桥涵施工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7415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965C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B5D6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44</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43104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0F966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7F3D1D">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0DB49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FEF1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2EAD6A">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CAD33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072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考试</w:t>
            </w:r>
          </w:p>
        </w:tc>
      </w:tr>
      <w:tr w14:paraId="51136705">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C4F069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B03C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专业拓展课</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8F08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选修</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2AC9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349C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6B500102501</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D876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智能工程机械运用与维护</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319AC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26FBB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1472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3FA1D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974" w:type="pct"/>
            <w:gridSpan w:val="6"/>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3F7B61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t>专业拓展课最低学分要求为9学分</w:t>
            </w: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075D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tr w14:paraId="7A362F9B">
        <w:tblPrEx>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1CD45B9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F529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5E09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C33E3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8767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17"/>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6B500102502</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481A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pacing w:val="-17"/>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建设工程项目管理</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591F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BF5B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D98DD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E191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97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64B57F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B679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tr w14:paraId="1D0F69CE">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778E0EC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8764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792A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4EAD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3114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6B500102503</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08D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高速铁路工程检测技术</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29C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FEFA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F8C5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61D2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97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60F45C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343DE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tr w14:paraId="3D1B7F9C">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59AA151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F069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EB6B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9C253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4</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BCB06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6B500102504</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B83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高铁综合维修一体化管理</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4DF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35FF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D4D8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A4CE9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97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58D2EF1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6559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tr w14:paraId="3622BE1A">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034788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E092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3B43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F859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1D8A4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6B500102505</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B0A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钢轨探伤</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FDC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C615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77F78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41D80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97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BC39FD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ED536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tr w14:paraId="39C635B6">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5B65CE3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72A9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1F28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479D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3CD2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6B500102506</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6A7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工务安全与管理</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616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4ABB4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2A97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339B3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97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15F3348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74DD5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tr w14:paraId="4A717BB0">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11DB36E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FA3D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E991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EA21C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7</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18BC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6B500102507</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A917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铁路建设与环境保护</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01B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FC3DA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1C8C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89AF5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97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31791EF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D2AC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tr w14:paraId="41C47891">
        <w:tblPrEx>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606CA2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CC11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9817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4A0A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B1F2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6B500102508</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2EA5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高速铁路施工与维护专业英语</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D83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13DEF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6640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C691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974" w:type="pct"/>
            <w:gridSpan w:val="6"/>
            <w:vMerge w:val="continue"/>
            <w:tcBorders>
              <w:left w:val="single" w:color="000000" w:sz="4" w:space="0"/>
              <w:right w:val="single" w:color="000000" w:sz="4" w:space="0"/>
            </w:tcBorders>
            <w:shd w:val="clear" w:color="auto" w:fill="auto"/>
            <w:noWrap/>
            <w:tcMar>
              <w:top w:w="15" w:type="dxa"/>
              <w:left w:w="15" w:type="dxa"/>
              <w:right w:w="15" w:type="dxa"/>
            </w:tcMar>
            <w:vAlign w:val="center"/>
          </w:tcPr>
          <w:p w14:paraId="5829B51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7C03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tr w14:paraId="7F72E25D">
        <w:tblPrEx>
          <w:shd w:val="clear" w:color="auto" w:fill="auto"/>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618AF0B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71FF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A36E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1C38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9</w:t>
            </w:r>
          </w:p>
        </w:tc>
        <w:tc>
          <w:tcPr>
            <w:tcW w:w="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02F2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6B500102509</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CAB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交通运输概论</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72FD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63DE4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06F0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ED32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27</w:t>
            </w:r>
          </w:p>
        </w:tc>
        <w:tc>
          <w:tcPr>
            <w:tcW w:w="974" w:type="pct"/>
            <w:gridSpan w:val="6"/>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E9073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01EC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tr w14:paraId="59A60AAE">
        <w:tblPrEx>
          <w:tblCellMar>
            <w:top w:w="0" w:type="dxa"/>
            <w:left w:w="0" w:type="dxa"/>
            <w:bottom w:w="0" w:type="dxa"/>
            <w:right w:w="0" w:type="dxa"/>
          </w:tblCellMar>
        </w:tblPrEx>
        <w:trPr>
          <w:trHeight w:val="340" w:hRule="atLeast"/>
          <w:jc w:val="center"/>
        </w:trPr>
        <w:tc>
          <w:tcPr>
            <w:tcW w:w="146" w:type="pct"/>
            <w:vMerge w:val="continue"/>
            <w:tcBorders>
              <w:left w:val="single" w:color="000000" w:sz="4" w:space="0"/>
              <w:right w:val="single" w:color="000000" w:sz="4" w:space="0"/>
            </w:tcBorders>
            <w:shd w:val="clear" w:color="auto" w:fill="auto"/>
            <w:tcMar>
              <w:top w:w="15" w:type="dxa"/>
              <w:left w:w="15" w:type="dxa"/>
              <w:right w:w="15" w:type="dxa"/>
            </w:tcMar>
            <w:vAlign w:val="center"/>
          </w:tcPr>
          <w:p w14:paraId="4AE122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bookmarkStart w:id="16" w:name="_GoBack" w:colFirst="4" w:colLast="4"/>
          </w:p>
        </w:tc>
        <w:tc>
          <w:tcPr>
            <w:tcW w:w="378" w:type="pct"/>
            <w:vMerge w:val="restar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67C5E6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实践性教学环节</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47FF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必修</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B14E7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1</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2A378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FF0000"/>
                <w:sz w:val="18"/>
                <w:szCs w:val="18"/>
                <w:highlight w:val="none"/>
                <w:u w:val="none"/>
              </w:rPr>
            </w:pPr>
            <w:r>
              <w:rPr>
                <w:rFonts w:hint="eastAsia" w:ascii="仿宋_GB2312" w:hAnsi="仿宋_GB2312" w:eastAsia="仿宋_GB2312" w:cs="仿宋_GB2312"/>
                <w:i w:val="0"/>
                <w:color w:val="000000"/>
                <w:spacing w:val="-17"/>
                <w:kern w:val="0"/>
                <w:sz w:val="20"/>
                <w:szCs w:val="20"/>
                <w:u w:val="none"/>
                <w:lang w:val="en-US" w:eastAsia="zh-CN" w:bidi="ar"/>
              </w:rPr>
              <w:t>1B410101601</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CE44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毕业设计</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49460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5</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D35F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80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55D6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20</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4E65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60</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E5E26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0452D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4A623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BF4E0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0943F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20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15E32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8BD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tr w14:paraId="35CC5E76">
        <w:tblPrEx>
          <w:tblCellMar>
            <w:top w:w="0" w:type="dxa"/>
            <w:left w:w="0" w:type="dxa"/>
            <w:bottom w:w="0" w:type="dxa"/>
            <w:right w:w="0" w:type="dxa"/>
          </w:tblCellMar>
        </w:tblPrEx>
        <w:trPr>
          <w:trHeight w:val="340" w:hRule="atLeast"/>
          <w:jc w:val="center"/>
        </w:trPr>
        <w:tc>
          <w:tcPr>
            <w:tcW w:w="146"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D069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378"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7C59E3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A61D0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58EA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2</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BDE5A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FF0000"/>
                <w:sz w:val="18"/>
                <w:szCs w:val="18"/>
                <w:highlight w:val="none"/>
                <w:u w:val="none"/>
              </w:rPr>
            </w:pPr>
            <w:r>
              <w:rPr>
                <w:rFonts w:hint="eastAsia" w:ascii="仿宋_GB2312" w:hAnsi="仿宋_GB2312" w:eastAsia="仿宋_GB2312" w:cs="仿宋_GB2312"/>
                <w:i w:val="0"/>
                <w:color w:val="000000"/>
                <w:spacing w:val="-17"/>
                <w:kern w:val="0"/>
                <w:sz w:val="20"/>
                <w:szCs w:val="20"/>
                <w:u w:val="none"/>
                <w:lang w:val="en-US" w:eastAsia="zh-CN" w:bidi="ar"/>
              </w:rPr>
              <w:t>1C410101602</w:t>
            </w:r>
          </w:p>
        </w:tc>
        <w:tc>
          <w:tcPr>
            <w:tcW w:w="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99CB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岗位实习</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E377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18</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45C01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432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28C4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0</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5FA5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432</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CA693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537F7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47733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45FC2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171BD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03E66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D31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highlight w:val="none"/>
                <w:u w:val="none"/>
                <w:lang w:val="en-US" w:eastAsia="zh-CN" w:bidi="ar"/>
                <w14:textFill>
                  <w14:solidFill>
                    <w14:schemeClr w14:val="tx1"/>
                  </w14:solidFill>
                </w14:textFill>
              </w:rPr>
              <w:t>考查</w:t>
            </w:r>
          </w:p>
        </w:tc>
      </w:tr>
      <w:bookmarkEnd w:id="16"/>
      <w:tr w14:paraId="256159B1">
        <w:tblPrEx>
          <w:tblCellMar>
            <w:top w:w="0" w:type="dxa"/>
            <w:left w:w="0" w:type="dxa"/>
            <w:bottom w:w="0" w:type="dxa"/>
            <w:right w:w="0" w:type="dxa"/>
          </w:tblCellMar>
        </w:tblPrEx>
        <w:trPr>
          <w:trHeight w:val="340" w:hRule="atLeast"/>
          <w:jc w:val="center"/>
        </w:trPr>
        <w:tc>
          <w:tcPr>
            <w:tcW w:w="2556"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FBB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专业必修课程学分、学时小计</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E103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83</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CC37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1592</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E531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676</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049A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916</w:t>
            </w: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E736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8BB8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73C9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E127BA">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262F0D">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65F8A">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759F7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r>
      <w:tr w14:paraId="42465AAE">
        <w:tblPrEx>
          <w:shd w:val="clear" w:color="auto" w:fill="auto"/>
          <w:tblCellMar>
            <w:top w:w="0" w:type="dxa"/>
            <w:left w:w="0" w:type="dxa"/>
            <w:bottom w:w="0" w:type="dxa"/>
            <w:right w:w="0" w:type="dxa"/>
          </w:tblCellMar>
        </w:tblPrEx>
        <w:trPr>
          <w:trHeight w:val="340" w:hRule="atLeast"/>
          <w:jc w:val="center"/>
        </w:trPr>
        <w:tc>
          <w:tcPr>
            <w:tcW w:w="2556"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2A86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专业必修课程学分、学时占比</w:t>
            </w:r>
          </w:p>
        </w:tc>
        <w:tc>
          <w:tcPr>
            <w:tcW w:w="3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50E5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56.85%</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D83F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58.19%</w:t>
            </w:r>
          </w:p>
        </w:tc>
        <w:tc>
          <w:tcPr>
            <w:tcW w:w="2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3396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24.71%</w:t>
            </w:r>
          </w:p>
        </w:tc>
        <w:tc>
          <w:tcPr>
            <w:tcW w:w="28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CAA2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33.48%</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327E5E">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232492">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409A31">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D2A1B">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FC9D76">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9063C8">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4A174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r>
      <w:tr w14:paraId="7869B5D9">
        <w:tblPrEx>
          <w:shd w:val="clear" w:color="auto" w:fill="auto"/>
          <w:tblCellMar>
            <w:top w:w="0" w:type="dxa"/>
            <w:left w:w="0" w:type="dxa"/>
            <w:bottom w:w="0" w:type="dxa"/>
            <w:right w:w="0" w:type="dxa"/>
          </w:tblCellMar>
        </w:tblPrEx>
        <w:trPr>
          <w:trHeight w:val="340" w:hRule="atLeast"/>
          <w:jc w:val="center"/>
        </w:trPr>
        <w:tc>
          <w:tcPr>
            <w:tcW w:w="2556"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E6EA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专业拓展课程学分、学时小计</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2AD4C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9</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ECD74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162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7ECC6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81</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686E0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81</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8E060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41B78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D5C9E0">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94EAA8">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754BEC">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AC2DF1">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C3508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r>
      <w:tr w14:paraId="6C1849CD">
        <w:tblPrEx>
          <w:shd w:val="clear" w:color="auto" w:fill="auto"/>
          <w:tblCellMar>
            <w:top w:w="0" w:type="dxa"/>
            <w:left w:w="0" w:type="dxa"/>
            <w:bottom w:w="0" w:type="dxa"/>
            <w:right w:w="0" w:type="dxa"/>
          </w:tblCellMar>
        </w:tblPrEx>
        <w:trPr>
          <w:trHeight w:val="340" w:hRule="atLeast"/>
          <w:jc w:val="center"/>
        </w:trPr>
        <w:tc>
          <w:tcPr>
            <w:tcW w:w="2556"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05F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专业拓展课程学分、学时占比</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F63D9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6.16%</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2B42A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5.92%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6B338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2.96%</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8DF9E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pacing w:val="-20"/>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2.96%</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FC758C">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8F91D5">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A96089">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80D227">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E39330">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D1FCDC">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AB5E1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r>
      <w:tr w14:paraId="398883CC">
        <w:tblPrEx>
          <w:shd w:val="clear" w:color="auto" w:fill="auto"/>
          <w:tblCellMar>
            <w:top w:w="0" w:type="dxa"/>
            <w:left w:w="0" w:type="dxa"/>
            <w:bottom w:w="0" w:type="dxa"/>
            <w:right w:w="0" w:type="dxa"/>
          </w:tblCellMar>
        </w:tblPrEx>
        <w:trPr>
          <w:trHeight w:val="340" w:hRule="atLeast"/>
          <w:jc w:val="center"/>
        </w:trPr>
        <w:tc>
          <w:tcPr>
            <w:tcW w:w="2556"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75B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themeColor="text1"/>
                <w:sz w:val="24"/>
                <w:szCs w:val="24"/>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4"/>
                <w:szCs w:val="24"/>
                <w:highlight w:val="none"/>
                <w:u w:val="none"/>
                <w:lang w:val="en-US" w:eastAsia="zh-CN" w:bidi="ar"/>
                <w14:textFill>
                  <w14:solidFill>
                    <w14:schemeClr w14:val="tx1"/>
                  </w14:solidFill>
                </w14:textFill>
              </w:rPr>
              <w:t>总学分、总学时合计</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C414B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142</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8BDD6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2676</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6EEA3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1291</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D4153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r>
              <w:rPr>
                <w:rFonts w:hint="eastAsia" w:ascii="仿宋_GB2312" w:hAnsi="仿宋_GB2312" w:eastAsia="仿宋_GB2312" w:cs="仿宋_GB2312"/>
                <w:i w:val="0"/>
                <w:color w:val="000000"/>
                <w:kern w:val="0"/>
                <w:sz w:val="18"/>
                <w:szCs w:val="18"/>
                <w:u w:val="none"/>
                <w:lang w:val="en-US" w:eastAsia="zh-CN" w:bidi="ar"/>
              </w:rPr>
              <w:t>1385</w:t>
            </w: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8AC19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0BB0C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6A0D45">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77BB09">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06FAAC">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4B5D58">
            <w:pPr>
              <w:keepNext w:val="0"/>
              <w:keepLines w:val="0"/>
              <w:pageBreakBefore w:val="0"/>
              <w:kinsoku/>
              <w:wordWrap/>
              <w:overflowPunct/>
              <w:topLinePunct w:val="0"/>
              <w:autoSpaceDE/>
              <w:autoSpaceDN/>
              <w:bidi w:val="0"/>
              <w:adjustRightInd/>
              <w:snapToGrid/>
              <w:spacing w:after="0" w:line="240" w:lineRule="exact"/>
              <w:jc w:val="both"/>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44382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000000" w:themeColor="text1"/>
                <w:sz w:val="18"/>
                <w:szCs w:val="18"/>
                <w:highlight w:val="none"/>
                <w:u w:val="none"/>
                <w14:textFill>
                  <w14:solidFill>
                    <w14:schemeClr w14:val="tx1"/>
                  </w14:solidFill>
                </w14:textFill>
              </w:rPr>
            </w:pPr>
          </w:p>
        </w:tc>
      </w:tr>
    </w:tbl>
    <w:p w14:paraId="342B454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九、师资队伍</w:t>
      </w:r>
    </w:p>
    <w:p w14:paraId="65DD0F8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按照“四有好老师”“四个相统一”“四个引路人”的要求建设专业教师队伍，将师德师风作为教师队伍建设的第一标准。</w:t>
      </w:r>
    </w:p>
    <w:p w14:paraId="653D836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（一）队伍结构</w:t>
      </w:r>
    </w:p>
    <w:p w14:paraId="714E9A3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专业教师团队现有专任教师18人，获取职称人数为18人。其中副高及以上职称7人，中级职称9人，初级职称2人。双师型专任教师1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FE9784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（二）专业带头人</w:t>
      </w:r>
    </w:p>
    <w:p w14:paraId="2235C66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专业带头人原则上应具有副高及以上职称，能够较好地把握国内外高速铁路施工与维护行业、专业发展，能广泛联系行业企业，了解行业企业对本专业人才的需求实际，教学设计、专业研究能力强，组织开展教科研工作能力强，在本区域或本领域具有一定的专业影响力。本专业带头人为黄增禄，副高职称，负责本专业的规划与建设、主持专业人才培养方案、课程标准的制定与修订、教材、专业教学标准、专业认证体系的建设工作、负责本专业教学改革和实践技能培养方案的制定等工作。</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br w:type="textWrapping"/>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 xml:space="preserve">    </w:t>
      </w: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（三）专任教师</w:t>
      </w:r>
    </w:p>
    <w:p w14:paraId="0B75662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专任教师应具有高校教师资格；有理想信念、有道德情操、有扎实学识、有仁爱之心；具有高速铁路施工与维护等相关专业本科及以上学历；具有扎实的本专业相关理论功底和实践能力；具有较强的信息化教学能力，能够开展课程教学改革和科学研究；有每5年累计不少于6个月的企业实践经历。</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br w:type="textWrapping"/>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 xml:space="preserve">    </w:t>
      </w: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（四）兼职教师</w:t>
      </w:r>
    </w:p>
    <w:p w14:paraId="18A7083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6AF4222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十、教学条件</w:t>
      </w:r>
    </w:p>
    <w:p w14:paraId="7854406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（一）教学设施</w:t>
      </w:r>
    </w:p>
    <w:p w14:paraId="1F254D77">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教学设施主要包括能够满足正常的课程教学、实习实训所需的专业教室、校内实训室和校外实训基地等。</w:t>
      </w:r>
    </w:p>
    <w:p w14:paraId="0AE6078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1.专业教室要求</w:t>
      </w:r>
    </w:p>
    <w:p w14:paraId="3E6DCF4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学校为该专业配备公共教室（配备有多媒体设施）、多媒体教室等，满足理论教学要求。</w:t>
      </w:r>
    </w:p>
    <w:p w14:paraId="6513655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配有黑（白）板、多媒体计算机、投影设备、音响设备，安装应急照明装置并保持良好状态，符合紧急疏散要求，标志明显，逃生通道畅通无阻。</w:t>
      </w:r>
    </w:p>
    <w:p w14:paraId="7AA0B19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2.校内实训资源</w:t>
      </w:r>
    </w:p>
    <w:p w14:paraId="46839CD1">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校内实训资源列表</w:t>
      </w:r>
    </w:p>
    <w:tbl>
      <w:tblPr>
        <w:tblStyle w:val="9"/>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293"/>
        <w:gridCol w:w="2148"/>
        <w:gridCol w:w="2319"/>
        <w:gridCol w:w="2553"/>
        <w:gridCol w:w="1047"/>
      </w:tblGrid>
      <w:tr w14:paraId="79B21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827" w:type="dxa"/>
            <w:vAlign w:val="center"/>
          </w:tcPr>
          <w:p w14:paraId="1AF93FD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序号</w:t>
            </w:r>
          </w:p>
        </w:tc>
        <w:tc>
          <w:tcPr>
            <w:tcW w:w="1293" w:type="dxa"/>
            <w:vAlign w:val="center"/>
          </w:tcPr>
          <w:p w14:paraId="6B832E9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实验实训室名称</w:t>
            </w:r>
          </w:p>
        </w:tc>
        <w:tc>
          <w:tcPr>
            <w:tcW w:w="2148" w:type="dxa"/>
            <w:vAlign w:val="center"/>
          </w:tcPr>
          <w:p w14:paraId="7AB32FB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实训适用</w:t>
            </w:r>
          </w:p>
          <w:p w14:paraId="015E101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课程</w:t>
            </w:r>
          </w:p>
        </w:tc>
        <w:tc>
          <w:tcPr>
            <w:tcW w:w="2319" w:type="dxa"/>
            <w:vAlign w:val="center"/>
          </w:tcPr>
          <w:p w14:paraId="45C2FB2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实训</w:t>
            </w:r>
          </w:p>
          <w:p w14:paraId="2807AFF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项目</w:t>
            </w:r>
          </w:p>
        </w:tc>
        <w:tc>
          <w:tcPr>
            <w:tcW w:w="2553" w:type="dxa"/>
          </w:tcPr>
          <w:p w14:paraId="71168B1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主要设备名称</w:t>
            </w:r>
          </w:p>
          <w:p w14:paraId="34560E6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及配置数量</w:t>
            </w:r>
          </w:p>
        </w:tc>
        <w:tc>
          <w:tcPr>
            <w:tcW w:w="1047" w:type="dxa"/>
          </w:tcPr>
          <w:p w14:paraId="115E034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p>
          <w:p w14:paraId="4B78134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工位数</w:t>
            </w:r>
          </w:p>
        </w:tc>
      </w:tr>
      <w:tr w14:paraId="2610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827" w:type="dxa"/>
            <w:vAlign w:val="center"/>
          </w:tcPr>
          <w:p w14:paraId="6C95D61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1</w:t>
            </w:r>
          </w:p>
        </w:tc>
        <w:tc>
          <w:tcPr>
            <w:tcW w:w="1293" w:type="dxa"/>
            <w:vAlign w:val="center"/>
          </w:tcPr>
          <w:p w14:paraId="6BC24E4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工程测量实训室</w:t>
            </w:r>
          </w:p>
        </w:tc>
        <w:tc>
          <w:tcPr>
            <w:tcW w:w="2148" w:type="dxa"/>
            <w:vAlign w:val="center"/>
          </w:tcPr>
          <w:p w14:paraId="5B93D0D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工程测量、高速铁路精测精调</w:t>
            </w:r>
          </w:p>
        </w:tc>
        <w:tc>
          <w:tcPr>
            <w:tcW w:w="2319" w:type="dxa"/>
            <w:vAlign w:val="center"/>
          </w:tcPr>
          <w:p w14:paraId="19E95A6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工程测量实训</w:t>
            </w:r>
          </w:p>
        </w:tc>
        <w:tc>
          <w:tcPr>
            <w:tcW w:w="2553" w:type="dxa"/>
            <w:vAlign w:val="center"/>
          </w:tcPr>
          <w:p w14:paraId="7D1A0F7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自动安平水准仪20套、DS3水准仪2套、水准仪10套</w:t>
            </w:r>
          </w:p>
        </w:tc>
        <w:tc>
          <w:tcPr>
            <w:tcW w:w="1047" w:type="dxa"/>
            <w:vAlign w:val="center"/>
          </w:tcPr>
          <w:p w14:paraId="6DD9202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30</w:t>
            </w:r>
          </w:p>
        </w:tc>
      </w:tr>
      <w:tr w14:paraId="637AC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827" w:type="dxa"/>
            <w:vAlign w:val="center"/>
          </w:tcPr>
          <w:p w14:paraId="623936D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2</w:t>
            </w:r>
          </w:p>
        </w:tc>
        <w:tc>
          <w:tcPr>
            <w:tcW w:w="1293" w:type="dxa"/>
            <w:vAlign w:val="center"/>
          </w:tcPr>
          <w:p w14:paraId="6DBE753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高铁工程预算实训室</w:t>
            </w:r>
          </w:p>
        </w:tc>
        <w:tc>
          <w:tcPr>
            <w:tcW w:w="2148" w:type="dxa"/>
            <w:vAlign w:val="center"/>
          </w:tcPr>
          <w:p w14:paraId="09C69B3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高速铁路施工组织与概预算</w:t>
            </w:r>
          </w:p>
        </w:tc>
        <w:tc>
          <w:tcPr>
            <w:tcW w:w="2319" w:type="dxa"/>
            <w:vAlign w:val="center"/>
          </w:tcPr>
          <w:p w14:paraId="3C7469D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高铁工程预算实训：高铁工程造价软件的应用、预算</w:t>
            </w:r>
          </w:p>
        </w:tc>
        <w:tc>
          <w:tcPr>
            <w:tcW w:w="2553" w:type="dxa"/>
            <w:vAlign w:val="center"/>
          </w:tcPr>
          <w:p w14:paraId="6A63AD9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计算机、服务器、高铁工程预算软件</w:t>
            </w:r>
          </w:p>
        </w:tc>
        <w:tc>
          <w:tcPr>
            <w:tcW w:w="1047" w:type="dxa"/>
            <w:vAlign w:val="center"/>
          </w:tcPr>
          <w:p w14:paraId="7F2F9D4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60</w:t>
            </w:r>
          </w:p>
        </w:tc>
      </w:tr>
      <w:tr w14:paraId="5AA96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27" w:type="dxa"/>
            <w:vAlign w:val="center"/>
          </w:tcPr>
          <w:p w14:paraId="46740BD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3</w:t>
            </w:r>
          </w:p>
        </w:tc>
        <w:tc>
          <w:tcPr>
            <w:tcW w:w="1293" w:type="dxa"/>
            <w:vAlign w:val="center"/>
          </w:tcPr>
          <w:p w14:paraId="0FC09F0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钢轨探伤实训室</w:t>
            </w:r>
          </w:p>
        </w:tc>
        <w:tc>
          <w:tcPr>
            <w:tcW w:w="2148" w:type="dxa"/>
            <w:vAlign w:val="center"/>
          </w:tcPr>
          <w:p w14:paraId="0ACD57D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工程材料、高速铁路线路养护维修、高速铁路轨道施工</w:t>
            </w:r>
          </w:p>
        </w:tc>
        <w:tc>
          <w:tcPr>
            <w:tcW w:w="2319" w:type="dxa"/>
            <w:vAlign w:val="center"/>
          </w:tcPr>
          <w:p w14:paraId="7675FE8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钢轨探伤、钢轨接头探伤</w:t>
            </w:r>
          </w:p>
        </w:tc>
        <w:tc>
          <w:tcPr>
            <w:tcW w:w="2553" w:type="dxa"/>
            <w:vAlign w:val="center"/>
          </w:tcPr>
          <w:p w14:paraId="003BB88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钢轨焊缝探伤仪、钢轨探伤仪、钢轨探伤试块</w:t>
            </w:r>
          </w:p>
        </w:tc>
        <w:tc>
          <w:tcPr>
            <w:tcW w:w="1047" w:type="dxa"/>
            <w:vAlign w:val="center"/>
          </w:tcPr>
          <w:p w14:paraId="2B66F44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60</w:t>
            </w:r>
          </w:p>
        </w:tc>
      </w:tr>
      <w:tr w14:paraId="1B4D8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27" w:type="dxa"/>
            <w:vAlign w:val="center"/>
          </w:tcPr>
          <w:p w14:paraId="4DBF687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4</w:t>
            </w:r>
          </w:p>
        </w:tc>
        <w:tc>
          <w:tcPr>
            <w:tcW w:w="1293" w:type="dxa"/>
            <w:vAlign w:val="center"/>
          </w:tcPr>
          <w:p w14:paraId="3CE00D1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建筑工程制图室1</w:t>
            </w:r>
          </w:p>
        </w:tc>
        <w:tc>
          <w:tcPr>
            <w:tcW w:w="2148" w:type="dxa"/>
            <w:vAlign w:val="center"/>
          </w:tcPr>
          <w:p w14:paraId="30309F8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工程制图与CAD</w:t>
            </w:r>
          </w:p>
        </w:tc>
        <w:tc>
          <w:tcPr>
            <w:tcW w:w="2319" w:type="dxa"/>
            <w:vAlign w:val="center"/>
          </w:tcPr>
          <w:p w14:paraId="2F8535F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建筑工程制图</w:t>
            </w:r>
          </w:p>
        </w:tc>
        <w:tc>
          <w:tcPr>
            <w:tcW w:w="2553" w:type="dxa"/>
            <w:vAlign w:val="center"/>
          </w:tcPr>
          <w:p w14:paraId="56F1B6C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多媒体1套、电脑80台</w:t>
            </w:r>
          </w:p>
        </w:tc>
        <w:tc>
          <w:tcPr>
            <w:tcW w:w="1047" w:type="dxa"/>
            <w:vAlign w:val="center"/>
          </w:tcPr>
          <w:p w14:paraId="3AB80F4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80</w:t>
            </w:r>
          </w:p>
        </w:tc>
      </w:tr>
      <w:tr w14:paraId="5EDB0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27" w:type="dxa"/>
            <w:vAlign w:val="center"/>
          </w:tcPr>
          <w:p w14:paraId="249144B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5</w:t>
            </w:r>
          </w:p>
        </w:tc>
        <w:tc>
          <w:tcPr>
            <w:tcW w:w="1293" w:type="dxa"/>
            <w:vAlign w:val="center"/>
          </w:tcPr>
          <w:p w14:paraId="3FD35F8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建筑工程制图室2</w:t>
            </w:r>
          </w:p>
        </w:tc>
        <w:tc>
          <w:tcPr>
            <w:tcW w:w="2148" w:type="dxa"/>
            <w:vAlign w:val="center"/>
          </w:tcPr>
          <w:p w14:paraId="210E107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工程制图与CAD</w:t>
            </w:r>
          </w:p>
        </w:tc>
        <w:tc>
          <w:tcPr>
            <w:tcW w:w="2319" w:type="dxa"/>
            <w:vAlign w:val="center"/>
          </w:tcPr>
          <w:p w14:paraId="09E0571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建筑工程制图</w:t>
            </w:r>
          </w:p>
        </w:tc>
        <w:tc>
          <w:tcPr>
            <w:tcW w:w="2553" w:type="dxa"/>
            <w:vAlign w:val="center"/>
          </w:tcPr>
          <w:p w14:paraId="46166C9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多媒体1套、电脑80台</w:t>
            </w:r>
          </w:p>
        </w:tc>
        <w:tc>
          <w:tcPr>
            <w:tcW w:w="1047" w:type="dxa"/>
            <w:vAlign w:val="center"/>
          </w:tcPr>
          <w:p w14:paraId="3B200A3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80</w:t>
            </w:r>
          </w:p>
        </w:tc>
      </w:tr>
    </w:tbl>
    <w:p w14:paraId="3C0153AD">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3.校外实训资源</w:t>
      </w:r>
    </w:p>
    <w:p w14:paraId="7EFA7B4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（1）校外实训基地基本要求</w:t>
      </w:r>
    </w:p>
    <w:p w14:paraId="4ABCEB3F">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具有稳定的校外实训基地2个以上；能够开展高速铁路施工与维护等实训活动；实训设施齐备，实训岗位、实训指导教师确定，实训管理及实施规章制度齐全。</w:t>
      </w:r>
    </w:p>
    <w:p w14:paraId="5A863AC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学生实习基地基本要求</w:t>
      </w:r>
    </w:p>
    <w:p w14:paraId="24FAB76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具有稳定的校外实习基地2个以上；能提供高速铁路施工与维护等相关实习岗位，能涵盖当前相关产业的主流技术，可接纳一定规模的学生实习；能够配备相应数量的指导教师对学生实习进行指导和管理；有保证实习生日常工作、学习、生活的规章制度，有安全、保险保障。</w:t>
      </w:r>
    </w:p>
    <w:p w14:paraId="226ED4AD">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校外实习基地一览表</w:t>
      </w:r>
    </w:p>
    <w:tbl>
      <w:tblPr>
        <w:tblStyle w:val="9"/>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320"/>
        <w:gridCol w:w="1200"/>
        <w:gridCol w:w="1670"/>
      </w:tblGrid>
      <w:tr w14:paraId="18D29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4E89AF2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序号</w:t>
            </w:r>
          </w:p>
        </w:tc>
        <w:tc>
          <w:tcPr>
            <w:tcW w:w="2854" w:type="dxa"/>
            <w:vAlign w:val="center"/>
          </w:tcPr>
          <w:p w14:paraId="4872507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校外实习基地名称</w:t>
            </w:r>
          </w:p>
        </w:tc>
        <w:tc>
          <w:tcPr>
            <w:tcW w:w="2356" w:type="dxa"/>
            <w:vAlign w:val="center"/>
          </w:tcPr>
          <w:p w14:paraId="3204E70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合作企业名称</w:t>
            </w:r>
          </w:p>
        </w:tc>
        <w:tc>
          <w:tcPr>
            <w:tcW w:w="1320" w:type="dxa"/>
            <w:vAlign w:val="center"/>
          </w:tcPr>
          <w:p w14:paraId="4F83DB9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用途</w:t>
            </w:r>
          </w:p>
        </w:tc>
        <w:tc>
          <w:tcPr>
            <w:tcW w:w="1200" w:type="dxa"/>
            <w:vAlign w:val="center"/>
          </w:tcPr>
          <w:p w14:paraId="0738171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合作深</w:t>
            </w:r>
          </w:p>
          <w:p w14:paraId="031931B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度要求</w:t>
            </w:r>
          </w:p>
        </w:tc>
        <w:tc>
          <w:tcPr>
            <w:tcW w:w="1670" w:type="dxa"/>
            <w:vAlign w:val="center"/>
          </w:tcPr>
          <w:p w14:paraId="734DF10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接纳学生实习人次</w:t>
            </w:r>
          </w:p>
        </w:tc>
      </w:tr>
      <w:tr w14:paraId="1CC54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trPr>
        <w:tc>
          <w:tcPr>
            <w:tcW w:w="706" w:type="dxa"/>
            <w:vAlign w:val="center"/>
          </w:tcPr>
          <w:p w14:paraId="27ECF739">
            <w:pPr>
              <w:overflowPunct w:val="0"/>
              <w:adjustRightInd w:val="0"/>
              <w:spacing w:line="240" w:lineRule="auto"/>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w:t>
            </w:r>
          </w:p>
        </w:tc>
        <w:tc>
          <w:tcPr>
            <w:tcW w:w="2854" w:type="dxa"/>
            <w:vAlign w:val="center"/>
          </w:tcPr>
          <w:p w14:paraId="669B358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广西工程职业学院高速铁路施工与维护专业校外实习基地</w:t>
            </w:r>
          </w:p>
        </w:tc>
        <w:tc>
          <w:tcPr>
            <w:tcW w:w="2356" w:type="dxa"/>
            <w:vAlign w:val="center"/>
          </w:tcPr>
          <w:p w14:paraId="4155EDB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广西第六建筑工程有限公司</w:t>
            </w:r>
          </w:p>
        </w:tc>
        <w:tc>
          <w:tcPr>
            <w:tcW w:w="1320" w:type="dxa"/>
            <w:vAlign w:val="center"/>
          </w:tcPr>
          <w:p w14:paraId="2BD94EB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岗位实习</w:t>
            </w:r>
          </w:p>
        </w:tc>
        <w:tc>
          <w:tcPr>
            <w:tcW w:w="1200" w:type="dxa"/>
            <w:vAlign w:val="center"/>
          </w:tcPr>
          <w:p w14:paraId="45B85B4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深度合作</w:t>
            </w:r>
          </w:p>
        </w:tc>
        <w:tc>
          <w:tcPr>
            <w:tcW w:w="1670" w:type="dxa"/>
            <w:vAlign w:val="center"/>
          </w:tcPr>
          <w:p w14:paraId="3BD3166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100</w:t>
            </w:r>
          </w:p>
        </w:tc>
      </w:tr>
      <w:tr w14:paraId="439AA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706" w:type="dxa"/>
            <w:vAlign w:val="center"/>
          </w:tcPr>
          <w:p w14:paraId="3BF3E4E4">
            <w:pPr>
              <w:overflowPunct w:val="0"/>
              <w:adjustRightInd w:val="0"/>
              <w:spacing w:line="240" w:lineRule="auto"/>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2854" w:type="dxa"/>
            <w:vAlign w:val="center"/>
          </w:tcPr>
          <w:p w14:paraId="11D1080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广西工程职业学院高速铁路施工与维护专业校外实习基地</w:t>
            </w:r>
          </w:p>
        </w:tc>
        <w:tc>
          <w:tcPr>
            <w:tcW w:w="2356" w:type="dxa"/>
            <w:vAlign w:val="center"/>
          </w:tcPr>
          <w:p w14:paraId="2D31482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广西路桥工程集团有限公司</w:t>
            </w:r>
          </w:p>
        </w:tc>
        <w:tc>
          <w:tcPr>
            <w:tcW w:w="1320" w:type="dxa"/>
            <w:vAlign w:val="center"/>
          </w:tcPr>
          <w:p w14:paraId="309E2CF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岗位实习</w:t>
            </w:r>
          </w:p>
        </w:tc>
        <w:tc>
          <w:tcPr>
            <w:tcW w:w="1200" w:type="dxa"/>
            <w:vAlign w:val="center"/>
          </w:tcPr>
          <w:p w14:paraId="5BE0630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深度合作</w:t>
            </w:r>
          </w:p>
        </w:tc>
        <w:tc>
          <w:tcPr>
            <w:tcW w:w="1670" w:type="dxa"/>
            <w:vAlign w:val="center"/>
          </w:tcPr>
          <w:p w14:paraId="729D252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100</w:t>
            </w:r>
          </w:p>
        </w:tc>
      </w:tr>
      <w:tr w14:paraId="17585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trPr>
        <w:tc>
          <w:tcPr>
            <w:tcW w:w="706" w:type="dxa"/>
            <w:vAlign w:val="center"/>
          </w:tcPr>
          <w:p w14:paraId="135DE288">
            <w:pPr>
              <w:overflowPunct w:val="0"/>
              <w:adjustRightInd w:val="0"/>
              <w:spacing w:line="240" w:lineRule="auto"/>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2854" w:type="dxa"/>
            <w:vAlign w:val="center"/>
          </w:tcPr>
          <w:p w14:paraId="656F5A3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广西工程职业学院高速铁路施工与维护专业校外实习基地</w:t>
            </w:r>
          </w:p>
        </w:tc>
        <w:tc>
          <w:tcPr>
            <w:tcW w:w="2356" w:type="dxa"/>
            <w:vAlign w:val="center"/>
          </w:tcPr>
          <w:p w14:paraId="5508276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广西壮族自治区田东公路养护中心</w:t>
            </w:r>
          </w:p>
        </w:tc>
        <w:tc>
          <w:tcPr>
            <w:tcW w:w="1320" w:type="dxa"/>
            <w:vAlign w:val="center"/>
          </w:tcPr>
          <w:p w14:paraId="590013B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岗位实习</w:t>
            </w:r>
          </w:p>
        </w:tc>
        <w:tc>
          <w:tcPr>
            <w:tcW w:w="1200" w:type="dxa"/>
            <w:vAlign w:val="center"/>
          </w:tcPr>
          <w:p w14:paraId="36C3F5C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深度合作</w:t>
            </w:r>
          </w:p>
        </w:tc>
        <w:tc>
          <w:tcPr>
            <w:tcW w:w="1670" w:type="dxa"/>
            <w:vAlign w:val="center"/>
          </w:tcPr>
          <w:p w14:paraId="527BAB8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100</w:t>
            </w:r>
          </w:p>
        </w:tc>
      </w:tr>
    </w:tbl>
    <w:p w14:paraId="0CEB773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（二）教学资源</w:t>
      </w:r>
    </w:p>
    <w:p w14:paraId="62AE399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教学资源主要包括能满足学生专业学习、教师专业教学研究和教学实施所需的教材、图书文献及数字教学资源等。</w:t>
      </w:r>
    </w:p>
    <w:p w14:paraId="4C21C397">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1.教材选用基本要求</w:t>
      </w:r>
    </w:p>
    <w:p w14:paraId="4640B65A">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选用近五年内出版的高职高专国家级规划教材、自治区级规划教材、高职高专类出版教材。</w:t>
      </w:r>
    </w:p>
    <w:p w14:paraId="28786BD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2.图书文献配备基本要求</w:t>
      </w:r>
    </w:p>
    <w:p w14:paraId="48F314E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图书文献配备能满足人才培养、专业建设、教科研等工作的需要，方便师生查询、借阅。专业类文献主要包括：高速铁路施工与维护相关行业政策法规、行业标准、技术规范以及高速铁路施工与维护等与服务相关专业类图书和实务案例类图书。专业图书资料（含电子图书）不低于500册，5种以上铁路施工类专业学术期刊，并能保持每年更新。</w:t>
      </w:r>
    </w:p>
    <w:p w14:paraId="08C6F58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3.数字教学资源配置基本要求</w:t>
      </w:r>
    </w:p>
    <w:p w14:paraId="14B7F63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建设、配备与专业相关的音视频素材、教学课件、数字化教学案例库、虚拟仿真软件、数字教材等专业教学资源库，应种类丰富、形式多样、使用便捷、动态更新，能满足教学要求。</w:t>
      </w:r>
    </w:p>
    <w:p w14:paraId="451F8C9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（三）教学方法</w:t>
      </w:r>
    </w:p>
    <w:p w14:paraId="1D20A16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根据不同课程的性质</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特点</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，在保留传统讲授法、演示法、讨论法、问答法、案例分析法等的基础上</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应充分利用信息化教学资源，尽量将项目驱动法、探究式教学、翻转课堂等新型教学模式及方法引入课堂，遵循“学生为主体，教师为主导”的原则，积极探索多种教学方法。</w:t>
      </w:r>
    </w:p>
    <w:p w14:paraId="251D25D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（四）学习评价</w:t>
      </w:r>
    </w:p>
    <w:p w14:paraId="19BA317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1.课程考核方法</w:t>
      </w:r>
    </w:p>
    <w:p w14:paraId="02BF89A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4B1EA63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课程成绩评定根据学生参与度、作业质量、实训效果与期末考核等项目确定不同比例进行综合评定，评定标准如下：</w:t>
      </w:r>
    </w:p>
    <w:p w14:paraId="4B1807A7">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（1）A类课程成绩构成（纯理论）</w:t>
      </w:r>
    </w:p>
    <w:p w14:paraId="4636A3C7">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课程总成绩=期末卷面考试成绩（50%）+平时成绩（50%）</w:t>
      </w:r>
    </w:p>
    <w:p w14:paraId="3E67A65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（2）B类课程成绩构成（理论+实践）</w:t>
      </w:r>
    </w:p>
    <w:p w14:paraId="40795F58">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课程总成绩=理论部分期末卷面考试成绩（40%）+技能成绩（30%）+平时成绩（30%）。</w:t>
      </w:r>
    </w:p>
    <w:p w14:paraId="060B48E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（3）C类课程成绩构成（纯实践）</w:t>
      </w:r>
    </w:p>
    <w:p w14:paraId="7E781B4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课程总成绩=技能成绩（50%）+平时成绩（50%）</w:t>
      </w:r>
    </w:p>
    <w:p w14:paraId="61B9387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2.教学评价方式</w:t>
      </w:r>
    </w:p>
    <w:p w14:paraId="38F1787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44F5D38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十一、质量保障</w:t>
      </w:r>
    </w:p>
    <w:p w14:paraId="3AAC23D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为确保高速铁路施工与维护专业人才培养质量，实现专业培养目标，建立健全“教学运行—过程监控—反馈改进—持续优化”闭环式质量保障体系，具体包括以下方面：</w:t>
      </w:r>
    </w:p>
    <w:p w14:paraId="6865FD3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（一）教学质量监控体系</w:t>
      </w:r>
    </w:p>
    <w:p w14:paraId="18BD50A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教学督导机制</w:t>
      </w:r>
    </w:p>
    <w:p w14:paraId="616FEFBF">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建立校、院两级教学督导制度，定期开展听课、评课、教学文档检查、学生座谈会等活动，对教学过程进行全程监督与指导。</w:t>
      </w:r>
    </w:p>
    <w:p w14:paraId="03C95368">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教学检查制度</w:t>
      </w:r>
    </w:p>
    <w:p w14:paraId="7E853A2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每学期开展期初、期中、期末教学检查，重点检查教学计划执行、课堂教学效果、实训实习组织、毕业设计指导等环节。</w:t>
      </w:r>
    </w:p>
    <w:p w14:paraId="328B1DD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学生评教机制</w:t>
      </w:r>
    </w:p>
    <w:p w14:paraId="58C54E7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每学期组织学生通过网络评教系统对任课教师的教学态度、教学内容、教学方法、教学效果等进行评价，结果作为教师考核的重要依据。</w:t>
      </w:r>
    </w:p>
    <w:p w14:paraId="68C5F64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default" w:ascii="楷体" w:hAnsi="楷体" w:eastAsia="楷体" w:cs="楷体"/>
          <w:color w:val="000000" w:themeColor="text1"/>
          <w:kern w:val="2"/>
          <w:sz w:val="32"/>
          <w:szCs w:val="32"/>
          <w:highlight w:val="none"/>
          <w:lang w:val="en-US" w:eastAsia="zh-CN" w:bidi="ar-SA"/>
          <w14:textFill>
            <w14:solidFill>
              <w14:schemeClr w14:val="tx1"/>
            </w14:solidFill>
          </w14:textFill>
        </w:rPr>
        <w:t>（二）师资队伍建设保障</w:t>
      </w:r>
    </w:p>
    <w:p w14:paraId="3F06240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教师培训与发展</w:t>
      </w:r>
    </w:p>
    <w:p w14:paraId="6840E9F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定期组织教师参加职业教育理念、教学方法、专业技术等方面的培训，鼓励教师参加企业实践、行业交流、技能竞赛，提升“双师型”教师比例。</w:t>
      </w:r>
    </w:p>
    <w:p w14:paraId="080202C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教学团队建设</w:t>
      </w:r>
    </w:p>
    <w:p w14:paraId="1244F04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依托专业带头人和骨干教师，组建结构化教学团队，开展集体备课、教学研讨、课程开发、教材编写等工作，提升整体教学水平。</w:t>
      </w:r>
    </w:p>
    <w:p w14:paraId="055AE95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default" w:ascii="楷体" w:hAnsi="楷体" w:eastAsia="楷体" w:cs="楷体"/>
          <w:color w:val="000000" w:themeColor="text1"/>
          <w:kern w:val="2"/>
          <w:sz w:val="32"/>
          <w:szCs w:val="32"/>
          <w:highlight w:val="none"/>
          <w:lang w:val="en-US" w:eastAsia="zh-CN" w:bidi="ar-SA"/>
          <w14:textFill>
            <w14:solidFill>
              <w14:schemeClr w14:val="tx1"/>
            </w14:solidFill>
          </w14:textFill>
        </w:rPr>
        <w:t>（三）教学条件与资源保障</w:t>
      </w:r>
    </w:p>
    <w:p w14:paraId="5AEA1DB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实训基地建设与维护</w:t>
      </w:r>
    </w:p>
    <w:p w14:paraId="0036E5E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持续投入校内实训室设备更新与维护，拓展校外实训基地合作深度，确保实训项目与岗位需求对接。</w:t>
      </w:r>
    </w:p>
    <w:p w14:paraId="728DC47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教学资源更新机制</w:t>
      </w:r>
    </w:p>
    <w:p w14:paraId="6AFB833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定期评估教材、图书、数字资源的使用效果，及时引进新技术、新标准、新规范相关资源，保持教学内容的先进性与实用性。</w:t>
      </w:r>
    </w:p>
    <w:p w14:paraId="5CE5C68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（四）学生发展支持体系</w:t>
      </w:r>
    </w:p>
    <w:p w14:paraId="4FCA684F">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学业预警与帮扶机制</w:t>
      </w:r>
    </w:p>
    <w:p w14:paraId="72DE4C9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建立学业预警系统，对学习困难学生及时开展一对一辅导、学业帮扶和心理疏导。</w:t>
      </w:r>
    </w:p>
    <w:p w14:paraId="0F43EDE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创新创业支持</w:t>
      </w:r>
    </w:p>
    <w:p w14:paraId="3840BAF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设立创新创业导师团队，提供项目指导、竞赛培训、孵化支持，鼓励学生参与“互联网+”等赛事。</w:t>
      </w:r>
    </w:p>
    <w:p w14:paraId="0665BC0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default" w:ascii="楷体" w:hAnsi="楷体" w:eastAsia="楷体" w:cs="楷体"/>
          <w:color w:val="000000" w:themeColor="text1"/>
          <w:kern w:val="2"/>
          <w:sz w:val="32"/>
          <w:szCs w:val="32"/>
          <w:highlight w:val="none"/>
          <w:lang w:val="en-US" w:eastAsia="zh-CN" w:bidi="ar-SA"/>
          <w14:textFill>
            <w14:solidFill>
              <w14:schemeClr w14:val="tx1"/>
            </w14:solidFill>
          </w14:textFill>
        </w:rPr>
        <w:t>（五）反馈与持续改进机制</w:t>
      </w:r>
    </w:p>
    <w:p w14:paraId="159D947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毕业生跟踪反馈</w:t>
      </w:r>
    </w:p>
    <w:p w14:paraId="6C4233F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建立毕业生就业质量跟踪调查机制，定期收集用人单位对毕业生职业能力、职业素养的评价意见，作为专业调整的重要依据。</w:t>
      </w:r>
    </w:p>
    <w:p w14:paraId="160A53E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行业企业参与评价</w:t>
      </w:r>
    </w:p>
    <w:p w14:paraId="4154E57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邀请行业企业专家参与人才培养方案修订、课程标准的制定、实训项目设计等，确保人才培养与行业需求同步。</w:t>
      </w:r>
    </w:p>
    <w:p w14:paraId="058A4068">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年度质量报告制度</w:t>
      </w:r>
    </w:p>
    <w:p w14:paraId="2F922D3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每年编制专业人才培养质量年度报告，全面分析教学质量、就业质量、社会评价等情况，明确改进方向并落实整改措施。</w:t>
      </w:r>
    </w:p>
    <w:p w14:paraId="09D4558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十二、毕业要求</w:t>
      </w:r>
    </w:p>
    <w:p w14:paraId="081315F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（一）学分要求</w:t>
      </w:r>
    </w:p>
    <w:p w14:paraId="0EA4D06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本专业要求学生根据人才培养方案确定的目标和培养规格，完成规定的实习实训，全部课程考核合格且修满至少 142学分。其中，必修课 125学分，选修课17学分。公共必修课42学分，公共选修课8学分。专业必修课83学分，专业选修课9学分。</w:t>
      </w:r>
    </w:p>
    <w:p w14:paraId="7F977BF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（二）综合素质要求</w:t>
      </w:r>
    </w:p>
    <w:p w14:paraId="1B1C378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1.思想品德：践行社会主义核心价值观，传承红色基因与技能文明，具有良好的社会公德、职业道德和爱岗敬业、精益求精的工匠精神，具备较高的人文素养和科学素养。</w:t>
      </w:r>
    </w:p>
    <w:p w14:paraId="455055B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2.专业能力：掌握现代铁路工程施工、维护、检测与管理等方面的专业知识和技能，能够胜任铁路工程建设项目中的技术操作、工艺管理和质量控制等工作，具备较强的数字化应用能力和技术创新意识。</w:t>
      </w:r>
    </w:p>
    <w:p w14:paraId="5373C99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3.职业素养：具备良好的沟通协作能力、团队意识和组织管理能力，能够在多学科背景下的团队中承担个体、团队成员或负责人的角色，具备安全生产意识和规范操作习惯。</w:t>
      </w:r>
    </w:p>
    <w:p w14:paraId="4F0F669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4.社会实践：积极参加各类社会实践、实习实训和志愿服务等活动，具有较强的实际工作能力与社会适应能力，能够理论联系实际，分析和解决铁路工程领域的实际问题。</w:t>
      </w:r>
    </w:p>
    <w:p w14:paraId="787D0D68">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5.可持续发展能力：具备较强的自主学习、终身学习和创新创业能力，能够适应行业技术发展与社会需求变化，实现职业发展与个人成长。</w:t>
      </w:r>
    </w:p>
    <w:p w14:paraId="327CD79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p>
    <w:p w14:paraId="04CD2CB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p>
    <w:p w14:paraId="2F4480DE">
      <w:pPr>
        <w:keepNext w:val="0"/>
        <w:keepLines w:val="0"/>
        <w:pageBreakBefore w:val="0"/>
        <w:kinsoku/>
        <w:wordWrap/>
        <w:topLinePunct w:val="0"/>
        <w:autoSpaceDE/>
        <w:autoSpaceDN/>
        <w:bidi w:val="0"/>
        <w:snapToGrid/>
        <w:spacing w:line="520" w:lineRule="exact"/>
        <w:ind w:left="0" w:leftChars="0"/>
        <w:textAlignment w:val="auto"/>
        <w:rPr>
          <w:color w:val="000000" w:themeColor="text1"/>
          <w:highlight w:val="none"/>
          <w14:textFill>
            <w14:solidFill>
              <w14:schemeClr w14:val="tx1"/>
            </w14:solidFill>
          </w14:textFill>
        </w:rPr>
      </w:pPr>
    </w:p>
    <w:p w14:paraId="05AFF710">
      <w:pPr>
        <w:keepNext w:val="0"/>
        <w:keepLines w:val="0"/>
        <w:pageBreakBefore w:val="0"/>
        <w:kinsoku/>
        <w:wordWrap/>
        <w:topLinePunct w:val="0"/>
        <w:autoSpaceDE/>
        <w:autoSpaceDN/>
        <w:bidi w:val="0"/>
        <w:snapToGrid/>
        <w:spacing w:line="520" w:lineRule="exact"/>
        <w:ind w:left="0" w:leftChars="0"/>
        <w:textAlignment w:val="auto"/>
        <w:rPr>
          <w:color w:val="000000" w:themeColor="text1"/>
          <w:highlight w:val="none"/>
          <w14:textFill>
            <w14:solidFill>
              <w14:schemeClr w14:val="tx1"/>
            </w14:solidFill>
          </w14:textFill>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6C50F9A-6C3C-4E39-81E7-EA5B93ABA1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1C6B768C-BD63-498D-A9E2-529A21D61EA2}"/>
  </w:font>
  <w:font w:name="华文新魏">
    <w:panose1 w:val="02010800040101010101"/>
    <w:charset w:val="86"/>
    <w:family w:val="auto"/>
    <w:pitch w:val="default"/>
    <w:sig w:usb0="00000001" w:usb1="080F0000" w:usb2="00000000" w:usb3="00000000" w:csb0="00040000" w:csb1="00000000"/>
    <w:embedRegular r:id="rId3" w:fontKey="{CF3B3815-94FD-4D17-9823-45782667E0AC}"/>
  </w:font>
  <w:font w:name="方正小标宋简体">
    <w:panose1 w:val="03000509000000000000"/>
    <w:charset w:val="86"/>
    <w:family w:val="script"/>
    <w:pitch w:val="default"/>
    <w:sig w:usb0="00000001" w:usb1="080E0000" w:usb2="00000000" w:usb3="00000000" w:csb0="00040000" w:csb1="00000000"/>
    <w:embedRegular r:id="rId4" w:fontKey="{F5DBD9E3-F7CB-481E-8983-D8A37F1828F7}"/>
  </w:font>
  <w:font w:name="仿宋_GB2312">
    <w:panose1 w:val="02010609030101010101"/>
    <w:charset w:val="86"/>
    <w:family w:val="modern"/>
    <w:pitch w:val="default"/>
    <w:sig w:usb0="00000001" w:usb1="080E0000" w:usb2="00000000" w:usb3="00000000" w:csb0="00040000" w:csb1="00000000"/>
    <w:embedRegular r:id="rId5" w:fontKey="{32AFC65B-33A8-4284-9243-D59A6274BD06}"/>
  </w:font>
  <w:font w:name="楷体">
    <w:panose1 w:val="02010609060101010101"/>
    <w:charset w:val="86"/>
    <w:family w:val="modern"/>
    <w:pitch w:val="default"/>
    <w:sig w:usb0="800002BF" w:usb1="38CF7CFA" w:usb2="00000016" w:usb3="00000000" w:csb0="00040001" w:csb1="00000000"/>
    <w:embedRegular r:id="rId6" w:fontKey="{595D0AF7-566B-40FB-8088-33B5BD2FFF7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9C9B7">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1F610F">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2A1F610F">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3D3E7">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2661E94"/>
    <w:rsid w:val="02CD5374"/>
    <w:rsid w:val="03304250"/>
    <w:rsid w:val="033061C2"/>
    <w:rsid w:val="03390DC7"/>
    <w:rsid w:val="03A07894"/>
    <w:rsid w:val="048C3708"/>
    <w:rsid w:val="04BC3FEE"/>
    <w:rsid w:val="051223C4"/>
    <w:rsid w:val="05791A0D"/>
    <w:rsid w:val="062E0F1B"/>
    <w:rsid w:val="06471FDD"/>
    <w:rsid w:val="06C90C44"/>
    <w:rsid w:val="070954E4"/>
    <w:rsid w:val="07322345"/>
    <w:rsid w:val="082F2519"/>
    <w:rsid w:val="084C7436"/>
    <w:rsid w:val="0884099E"/>
    <w:rsid w:val="08C95354"/>
    <w:rsid w:val="08D74A11"/>
    <w:rsid w:val="08DA7138"/>
    <w:rsid w:val="08F70DAF"/>
    <w:rsid w:val="09075A53"/>
    <w:rsid w:val="094D790A"/>
    <w:rsid w:val="095347F5"/>
    <w:rsid w:val="09CB082F"/>
    <w:rsid w:val="09D45935"/>
    <w:rsid w:val="0A1E4E03"/>
    <w:rsid w:val="0A634F0B"/>
    <w:rsid w:val="0A8E1F88"/>
    <w:rsid w:val="0AC91212"/>
    <w:rsid w:val="0AF607AF"/>
    <w:rsid w:val="0AFF69E2"/>
    <w:rsid w:val="0B64718D"/>
    <w:rsid w:val="0B9E269F"/>
    <w:rsid w:val="0BB93035"/>
    <w:rsid w:val="0BF8622C"/>
    <w:rsid w:val="0C0A3BA0"/>
    <w:rsid w:val="0CE642FD"/>
    <w:rsid w:val="0D3000CB"/>
    <w:rsid w:val="0DE924A0"/>
    <w:rsid w:val="0E2350DD"/>
    <w:rsid w:val="0E5E6115"/>
    <w:rsid w:val="0ED4462A"/>
    <w:rsid w:val="0F1467D4"/>
    <w:rsid w:val="0F386966"/>
    <w:rsid w:val="0FA47B58"/>
    <w:rsid w:val="0FA67D74"/>
    <w:rsid w:val="0FD20B69"/>
    <w:rsid w:val="0FE4089C"/>
    <w:rsid w:val="10093E5F"/>
    <w:rsid w:val="10152804"/>
    <w:rsid w:val="10234F21"/>
    <w:rsid w:val="10914580"/>
    <w:rsid w:val="10EE36A0"/>
    <w:rsid w:val="11234924"/>
    <w:rsid w:val="116752E1"/>
    <w:rsid w:val="12485112"/>
    <w:rsid w:val="127F665A"/>
    <w:rsid w:val="12DC3AAD"/>
    <w:rsid w:val="12F708E7"/>
    <w:rsid w:val="13203999"/>
    <w:rsid w:val="135C5E82"/>
    <w:rsid w:val="139B5716"/>
    <w:rsid w:val="13F454F6"/>
    <w:rsid w:val="14A800EA"/>
    <w:rsid w:val="14E87C1B"/>
    <w:rsid w:val="15001CD4"/>
    <w:rsid w:val="150317C5"/>
    <w:rsid w:val="15202377"/>
    <w:rsid w:val="15542020"/>
    <w:rsid w:val="15976480"/>
    <w:rsid w:val="15DD31EB"/>
    <w:rsid w:val="165F0C7D"/>
    <w:rsid w:val="1699418F"/>
    <w:rsid w:val="16995FBA"/>
    <w:rsid w:val="16A42B33"/>
    <w:rsid w:val="16DC051F"/>
    <w:rsid w:val="170B4961"/>
    <w:rsid w:val="1740285C"/>
    <w:rsid w:val="1749510D"/>
    <w:rsid w:val="17527320"/>
    <w:rsid w:val="1796247C"/>
    <w:rsid w:val="184C000D"/>
    <w:rsid w:val="18A375CB"/>
    <w:rsid w:val="18CB084B"/>
    <w:rsid w:val="19481E9C"/>
    <w:rsid w:val="19AF3CC9"/>
    <w:rsid w:val="1AC15FF5"/>
    <w:rsid w:val="1AD7017E"/>
    <w:rsid w:val="1AE45BF4"/>
    <w:rsid w:val="1B623C3D"/>
    <w:rsid w:val="1BAE7956"/>
    <w:rsid w:val="1BCC19A4"/>
    <w:rsid w:val="1BF93A5C"/>
    <w:rsid w:val="1C27223D"/>
    <w:rsid w:val="1C6F14EE"/>
    <w:rsid w:val="1CB25FAA"/>
    <w:rsid w:val="1D0377EB"/>
    <w:rsid w:val="1D1578C7"/>
    <w:rsid w:val="1D24677C"/>
    <w:rsid w:val="1DD51824"/>
    <w:rsid w:val="1E401D81"/>
    <w:rsid w:val="1E4B3DFE"/>
    <w:rsid w:val="1E91399D"/>
    <w:rsid w:val="1EA77665"/>
    <w:rsid w:val="1ECC6B87"/>
    <w:rsid w:val="1F3A7811"/>
    <w:rsid w:val="1F3B508B"/>
    <w:rsid w:val="1F5350F7"/>
    <w:rsid w:val="1FB17C46"/>
    <w:rsid w:val="1FB21E1D"/>
    <w:rsid w:val="1FBC2C9C"/>
    <w:rsid w:val="207417C9"/>
    <w:rsid w:val="20AA343C"/>
    <w:rsid w:val="20BE4D41"/>
    <w:rsid w:val="20E56222"/>
    <w:rsid w:val="210E0F0E"/>
    <w:rsid w:val="2170143C"/>
    <w:rsid w:val="21C23732"/>
    <w:rsid w:val="21EA757A"/>
    <w:rsid w:val="21EB3D26"/>
    <w:rsid w:val="22123047"/>
    <w:rsid w:val="223461B5"/>
    <w:rsid w:val="229576DC"/>
    <w:rsid w:val="22967FAA"/>
    <w:rsid w:val="22A00653"/>
    <w:rsid w:val="2304161C"/>
    <w:rsid w:val="2338088B"/>
    <w:rsid w:val="236773C3"/>
    <w:rsid w:val="237D0994"/>
    <w:rsid w:val="23954DD6"/>
    <w:rsid w:val="23D42CAA"/>
    <w:rsid w:val="23EC64AF"/>
    <w:rsid w:val="23F83E00"/>
    <w:rsid w:val="241A5133"/>
    <w:rsid w:val="24243B3A"/>
    <w:rsid w:val="249D12EE"/>
    <w:rsid w:val="24E76143"/>
    <w:rsid w:val="24F353B2"/>
    <w:rsid w:val="267A11BB"/>
    <w:rsid w:val="27075144"/>
    <w:rsid w:val="27441EF5"/>
    <w:rsid w:val="274F01E7"/>
    <w:rsid w:val="27AE3812"/>
    <w:rsid w:val="27F5401D"/>
    <w:rsid w:val="28557849"/>
    <w:rsid w:val="285A12A4"/>
    <w:rsid w:val="286A54D6"/>
    <w:rsid w:val="289A5B44"/>
    <w:rsid w:val="28BD30CD"/>
    <w:rsid w:val="296E1A2F"/>
    <w:rsid w:val="29B449E4"/>
    <w:rsid w:val="29C72B81"/>
    <w:rsid w:val="29F55728"/>
    <w:rsid w:val="2A0E563C"/>
    <w:rsid w:val="2A2A5D56"/>
    <w:rsid w:val="2A724EC8"/>
    <w:rsid w:val="2AE87802"/>
    <w:rsid w:val="2B0F281A"/>
    <w:rsid w:val="2B674404"/>
    <w:rsid w:val="2B8D373E"/>
    <w:rsid w:val="2B912735"/>
    <w:rsid w:val="2BF11F1F"/>
    <w:rsid w:val="2C5B7B22"/>
    <w:rsid w:val="2C802418"/>
    <w:rsid w:val="2CB341C7"/>
    <w:rsid w:val="2CC66F08"/>
    <w:rsid w:val="2CCC1A78"/>
    <w:rsid w:val="2CEB2E12"/>
    <w:rsid w:val="2D5704A8"/>
    <w:rsid w:val="2D8165B1"/>
    <w:rsid w:val="2D964B2C"/>
    <w:rsid w:val="2DAC4350"/>
    <w:rsid w:val="2DE47F8D"/>
    <w:rsid w:val="2F083808"/>
    <w:rsid w:val="2F34284F"/>
    <w:rsid w:val="2F436F36"/>
    <w:rsid w:val="2F650C5A"/>
    <w:rsid w:val="2F7A2E0A"/>
    <w:rsid w:val="2F8D1F5F"/>
    <w:rsid w:val="2FA96B3D"/>
    <w:rsid w:val="2FD933F6"/>
    <w:rsid w:val="309F7198"/>
    <w:rsid w:val="30A6152A"/>
    <w:rsid w:val="30A77050"/>
    <w:rsid w:val="30DC27D6"/>
    <w:rsid w:val="31101593"/>
    <w:rsid w:val="3115220C"/>
    <w:rsid w:val="31342FDA"/>
    <w:rsid w:val="318A49A8"/>
    <w:rsid w:val="318C081D"/>
    <w:rsid w:val="31A83FF1"/>
    <w:rsid w:val="31AA329C"/>
    <w:rsid w:val="31D2634F"/>
    <w:rsid w:val="321D581C"/>
    <w:rsid w:val="328A6B5F"/>
    <w:rsid w:val="32AF7649"/>
    <w:rsid w:val="32F32A21"/>
    <w:rsid w:val="32F92E4C"/>
    <w:rsid w:val="32FA3DAF"/>
    <w:rsid w:val="33260700"/>
    <w:rsid w:val="33266952"/>
    <w:rsid w:val="33636B97"/>
    <w:rsid w:val="33AE06F6"/>
    <w:rsid w:val="33B93C14"/>
    <w:rsid w:val="348B3F97"/>
    <w:rsid w:val="34B65AB4"/>
    <w:rsid w:val="34C46423"/>
    <w:rsid w:val="34EA50C0"/>
    <w:rsid w:val="35242677"/>
    <w:rsid w:val="356A0DE9"/>
    <w:rsid w:val="357449D1"/>
    <w:rsid w:val="35E93C67"/>
    <w:rsid w:val="364315C9"/>
    <w:rsid w:val="36657792"/>
    <w:rsid w:val="36D97EF2"/>
    <w:rsid w:val="370E7E29"/>
    <w:rsid w:val="376B0DD8"/>
    <w:rsid w:val="3770165B"/>
    <w:rsid w:val="37960DB8"/>
    <w:rsid w:val="37AD2573"/>
    <w:rsid w:val="381153F4"/>
    <w:rsid w:val="38481119"/>
    <w:rsid w:val="38683020"/>
    <w:rsid w:val="38877EE4"/>
    <w:rsid w:val="38C22C79"/>
    <w:rsid w:val="39372651"/>
    <w:rsid w:val="39A700C1"/>
    <w:rsid w:val="3A451367"/>
    <w:rsid w:val="3A60099C"/>
    <w:rsid w:val="3A7A7584"/>
    <w:rsid w:val="3AEA4709"/>
    <w:rsid w:val="3B4007CD"/>
    <w:rsid w:val="3C17152E"/>
    <w:rsid w:val="3C8C365E"/>
    <w:rsid w:val="3D0047E4"/>
    <w:rsid w:val="3D766728"/>
    <w:rsid w:val="3D9F7A2D"/>
    <w:rsid w:val="3E3A47C4"/>
    <w:rsid w:val="3E4D7489"/>
    <w:rsid w:val="3E725142"/>
    <w:rsid w:val="3EB92D70"/>
    <w:rsid w:val="3F6A4DBB"/>
    <w:rsid w:val="3F785DC7"/>
    <w:rsid w:val="3FF86C17"/>
    <w:rsid w:val="3FFC1167"/>
    <w:rsid w:val="40077B0C"/>
    <w:rsid w:val="40270662"/>
    <w:rsid w:val="403B7F75"/>
    <w:rsid w:val="404B5C4A"/>
    <w:rsid w:val="40664832"/>
    <w:rsid w:val="4084115C"/>
    <w:rsid w:val="40932E17"/>
    <w:rsid w:val="4099592E"/>
    <w:rsid w:val="40B53BBC"/>
    <w:rsid w:val="40B557B9"/>
    <w:rsid w:val="40C8470D"/>
    <w:rsid w:val="40D73E00"/>
    <w:rsid w:val="413D6362"/>
    <w:rsid w:val="41540B2E"/>
    <w:rsid w:val="415648A7"/>
    <w:rsid w:val="41727207"/>
    <w:rsid w:val="41A42FA1"/>
    <w:rsid w:val="41BB6E00"/>
    <w:rsid w:val="41CF62FB"/>
    <w:rsid w:val="41DD6AAF"/>
    <w:rsid w:val="41DE5079"/>
    <w:rsid w:val="422A57D8"/>
    <w:rsid w:val="42411F25"/>
    <w:rsid w:val="42691F80"/>
    <w:rsid w:val="42817701"/>
    <w:rsid w:val="428611BC"/>
    <w:rsid w:val="42B77587"/>
    <w:rsid w:val="42B86E9B"/>
    <w:rsid w:val="43105F3B"/>
    <w:rsid w:val="432E4400"/>
    <w:rsid w:val="436463B1"/>
    <w:rsid w:val="436C442F"/>
    <w:rsid w:val="43713C1A"/>
    <w:rsid w:val="43792ACE"/>
    <w:rsid w:val="43A538C3"/>
    <w:rsid w:val="43C755E8"/>
    <w:rsid w:val="442E3FDD"/>
    <w:rsid w:val="44380293"/>
    <w:rsid w:val="447D65EE"/>
    <w:rsid w:val="448B3106"/>
    <w:rsid w:val="44A43B7B"/>
    <w:rsid w:val="44B71B00"/>
    <w:rsid w:val="44B862E9"/>
    <w:rsid w:val="44E409F3"/>
    <w:rsid w:val="455530C7"/>
    <w:rsid w:val="4602706C"/>
    <w:rsid w:val="46171CA7"/>
    <w:rsid w:val="46733805"/>
    <w:rsid w:val="46B856BC"/>
    <w:rsid w:val="46EE10DD"/>
    <w:rsid w:val="46F661E4"/>
    <w:rsid w:val="470175FC"/>
    <w:rsid w:val="47103740"/>
    <w:rsid w:val="471C3E9C"/>
    <w:rsid w:val="47406314"/>
    <w:rsid w:val="47C77773"/>
    <w:rsid w:val="4803505C"/>
    <w:rsid w:val="480A0199"/>
    <w:rsid w:val="484B5857"/>
    <w:rsid w:val="48A57EC2"/>
    <w:rsid w:val="48AE4FC8"/>
    <w:rsid w:val="48BA396D"/>
    <w:rsid w:val="48BD16AF"/>
    <w:rsid w:val="48DF1625"/>
    <w:rsid w:val="48E56510"/>
    <w:rsid w:val="49395702"/>
    <w:rsid w:val="49843F7B"/>
    <w:rsid w:val="49981BC1"/>
    <w:rsid w:val="49A63EF1"/>
    <w:rsid w:val="49B639F6"/>
    <w:rsid w:val="49CF5A85"/>
    <w:rsid w:val="4A3C6604"/>
    <w:rsid w:val="4AA20B5D"/>
    <w:rsid w:val="4AD351BA"/>
    <w:rsid w:val="4AD8632C"/>
    <w:rsid w:val="4AF15640"/>
    <w:rsid w:val="4AFA62A3"/>
    <w:rsid w:val="4B71476C"/>
    <w:rsid w:val="4B726781"/>
    <w:rsid w:val="4C0272E2"/>
    <w:rsid w:val="4C0C0983"/>
    <w:rsid w:val="4C1149B8"/>
    <w:rsid w:val="4C675BBA"/>
    <w:rsid w:val="4D135D42"/>
    <w:rsid w:val="4D1473C4"/>
    <w:rsid w:val="4E130818"/>
    <w:rsid w:val="4E514358"/>
    <w:rsid w:val="4E5C7274"/>
    <w:rsid w:val="4F585C8E"/>
    <w:rsid w:val="4F6B3C13"/>
    <w:rsid w:val="4F7D56F4"/>
    <w:rsid w:val="500100E1"/>
    <w:rsid w:val="502B6DC8"/>
    <w:rsid w:val="504F52E3"/>
    <w:rsid w:val="509C4C8B"/>
    <w:rsid w:val="5135219E"/>
    <w:rsid w:val="51C30881"/>
    <w:rsid w:val="51D535C6"/>
    <w:rsid w:val="51FE1E87"/>
    <w:rsid w:val="522105B9"/>
    <w:rsid w:val="5259656B"/>
    <w:rsid w:val="535B634F"/>
    <w:rsid w:val="53807561"/>
    <w:rsid w:val="53C71634"/>
    <w:rsid w:val="542919A7"/>
    <w:rsid w:val="54E06E27"/>
    <w:rsid w:val="54F9581D"/>
    <w:rsid w:val="55D87B28"/>
    <w:rsid w:val="56397652"/>
    <w:rsid w:val="565C2507"/>
    <w:rsid w:val="566118CC"/>
    <w:rsid w:val="56A23A63"/>
    <w:rsid w:val="56F95FA8"/>
    <w:rsid w:val="56F97D56"/>
    <w:rsid w:val="572D5C52"/>
    <w:rsid w:val="57420008"/>
    <w:rsid w:val="58030761"/>
    <w:rsid w:val="58337298"/>
    <w:rsid w:val="58680DC2"/>
    <w:rsid w:val="588673C8"/>
    <w:rsid w:val="58E02A3F"/>
    <w:rsid w:val="5900361E"/>
    <w:rsid w:val="592F7A5F"/>
    <w:rsid w:val="59345076"/>
    <w:rsid w:val="59575208"/>
    <w:rsid w:val="595C12A3"/>
    <w:rsid w:val="59701640"/>
    <w:rsid w:val="5996188C"/>
    <w:rsid w:val="59C77C98"/>
    <w:rsid w:val="59DE1485"/>
    <w:rsid w:val="5A130BB5"/>
    <w:rsid w:val="5A3D0E9A"/>
    <w:rsid w:val="5A9F0C15"/>
    <w:rsid w:val="5AD36B10"/>
    <w:rsid w:val="5AE64A95"/>
    <w:rsid w:val="5B137EF8"/>
    <w:rsid w:val="5B1F1DFE"/>
    <w:rsid w:val="5B322D65"/>
    <w:rsid w:val="5BBC75A4"/>
    <w:rsid w:val="5BCC4E68"/>
    <w:rsid w:val="5C0E6052"/>
    <w:rsid w:val="5C38700F"/>
    <w:rsid w:val="5C4E644E"/>
    <w:rsid w:val="5C606182"/>
    <w:rsid w:val="5C8C341B"/>
    <w:rsid w:val="5C9B365E"/>
    <w:rsid w:val="5CD1707F"/>
    <w:rsid w:val="5D01298C"/>
    <w:rsid w:val="5D206DB4"/>
    <w:rsid w:val="5D292A17"/>
    <w:rsid w:val="5E043D85"/>
    <w:rsid w:val="5E235642"/>
    <w:rsid w:val="5E510503"/>
    <w:rsid w:val="5E7540E3"/>
    <w:rsid w:val="5E8B1BDC"/>
    <w:rsid w:val="5E93321A"/>
    <w:rsid w:val="5E9B7945"/>
    <w:rsid w:val="5EBD5B0D"/>
    <w:rsid w:val="5ECA372B"/>
    <w:rsid w:val="5F07293D"/>
    <w:rsid w:val="5F1B4F3C"/>
    <w:rsid w:val="5F2B6F1B"/>
    <w:rsid w:val="5F335DCF"/>
    <w:rsid w:val="5F475456"/>
    <w:rsid w:val="5F4C0C3F"/>
    <w:rsid w:val="5F8658BD"/>
    <w:rsid w:val="5FC058B5"/>
    <w:rsid w:val="5FE1582B"/>
    <w:rsid w:val="5FF23595"/>
    <w:rsid w:val="5FF437B1"/>
    <w:rsid w:val="601C4AB5"/>
    <w:rsid w:val="608D150F"/>
    <w:rsid w:val="60A47BEC"/>
    <w:rsid w:val="611D2893"/>
    <w:rsid w:val="613D1187"/>
    <w:rsid w:val="614442C4"/>
    <w:rsid w:val="614C4F26"/>
    <w:rsid w:val="61750921"/>
    <w:rsid w:val="617A5F38"/>
    <w:rsid w:val="61926DDD"/>
    <w:rsid w:val="61C9313A"/>
    <w:rsid w:val="62023085"/>
    <w:rsid w:val="62386256"/>
    <w:rsid w:val="62A11195"/>
    <w:rsid w:val="62D11B87"/>
    <w:rsid w:val="62E80EC0"/>
    <w:rsid w:val="631D301E"/>
    <w:rsid w:val="631F49AF"/>
    <w:rsid w:val="632717A7"/>
    <w:rsid w:val="6384309D"/>
    <w:rsid w:val="638D0589"/>
    <w:rsid w:val="63CE39A4"/>
    <w:rsid w:val="63D27965"/>
    <w:rsid w:val="64025D70"/>
    <w:rsid w:val="643017E4"/>
    <w:rsid w:val="644840CB"/>
    <w:rsid w:val="64966BE4"/>
    <w:rsid w:val="65165F77"/>
    <w:rsid w:val="65FE0EE5"/>
    <w:rsid w:val="663F14FE"/>
    <w:rsid w:val="66707909"/>
    <w:rsid w:val="66B141AA"/>
    <w:rsid w:val="66D32FAE"/>
    <w:rsid w:val="6714641A"/>
    <w:rsid w:val="67470A9D"/>
    <w:rsid w:val="6773145F"/>
    <w:rsid w:val="67B90B06"/>
    <w:rsid w:val="67D0065F"/>
    <w:rsid w:val="67FA56DC"/>
    <w:rsid w:val="681A3FD0"/>
    <w:rsid w:val="6888718C"/>
    <w:rsid w:val="68B25FB7"/>
    <w:rsid w:val="69164798"/>
    <w:rsid w:val="697A4EAC"/>
    <w:rsid w:val="69D837FB"/>
    <w:rsid w:val="6A246A40"/>
    <w:rsid w:val="6A9C6F1F"/>
    <w:rsid w:val="6ABA1153"/>
    <w:rsid w:val="6AF44665"/>
    <w:rsid w:val="6B6331BE"/>
    <w:rsid w:val="6BDB75D3"/>
    <w:rsid w:val="6BF80185"/>
    <w:rsid w:val="6C2B055A"/>
    <w:rsid w:val="6C423AF6"/>
    <w:rsid w:val="6C8A72E3"/>
    <w:rsid w:val="6C923EBF"/>
    <w:rsid w:val="6CA76A15"/>
    <w:rsid w:val="6D1D49F8"/>
    <w:rsid w:val="6D2412FD"/>
    <w:rsid w:val="6D8F2D6B"/>
    <w:rsid w:val="6E0C43BB"/>
    <w:rsid w:val="6E8E3489"/>
    <w:rsid w:val="6EED0AF8"/>
    <w:rsid w:val="6EF07839"/>
    <w:rsid w:val="6F2F65B3"/>
    <w:rsid w:val="6FC4358D"/>
    <w:rsid w:val="6FF128C8"/>
    <w:rsid w:val="6FF60E7F"/>
    <w:rsid w:val="709E5F35"/>
    <w:rsid w:val="71060A7F"/>
    <w:rsid w:val="713C6D66"/>
    <w:rsid w:val="71DD2CB4"/>
    <w:rsid w:val="71EB7EEE"/>
    <w:rsid w:val="72011973"/>
    <w:rsid w:val="72563E57"/>
    <w:rsid w:val="72DA6836"/>
    <w:rsid w:val="72F21DD2"/>
    <w:rsid w:val="72FF629D"/>
    <w:rsid w:val="730022F6"/>
    <w:rsid w:val="732301DD"/>
    <w:rsid w:val="732950C8"/>
    <w:rsid w:val="735E76C4"/>
    <w:rsid w:val="73C60B68"/>
    <w:rsid w:val="73FD2CDB"/>
    <w:rsid w:val="74024296"/>
    <w:rsid w:val="74185868"/>
    <w:rsid w:val="742510D0"/>
    <w:rsid w:val="74257F85"/>
    <w:rsid w:val="744F0B5E"/>
    <w:rsid w:val="748D3B71"/>
    <w:rsid w:val="749A44CF"/>
    <w:rsid w:val="74F55BA9"/>
    <w:rsid w:val="74F6722B"/>
    <w:rsid w:val="751A53DD"/>
    <w:rsid w:val="752F2AF2"/>
    <w:rsid w:val="75504B8E"/>
    <w:rsid w:val="76191423"/>
    <w:rsid w:val="76326989"/>
    <w:rsid w:val="76562678"/>
    <w:rsid w:val="76647919"/>
    <w:rsid w:val="7718792D"/>
    <w:rsid w:val="772A61A9"/>
    <w:rsid w:val="77D965A0"/>
    <w:rsid w:val="77FC484A"/>
    <w:rsid w:val="781D1AA9"/>
    <w:rsid w:val="782C5979"/>
    <w:rsid w:val="7847671C"/>
    <w:rsid w:val="787B12E9"/>
    <w:rsid w:val="789254BD"/>
    <w:rsid w:val="79002D6F"/>
    <w:rsid w:val="791660EE"/>
    <w:rsid w:val="79751DE3"/>
    <w:rsid w:val="7A1E674C"/>
    <w:rsid w:val="7AD02D2E"/>
    <w:rsid w:val="7B821819"/>
    <w:rsid w:val="7BAC4AE8"/>
    <w:rsid w:val="7C6819D9"/>
    <w:rsid w:val="7C9C690A"/>
    <w:rsid w:val="7D1172F8"/>
    <w:rsid w:val="7D391C88"/>
    <w:rsid w:val="7D7B6E68"/>
    <w:rsid w:val="7DAC0DCF"/>
    <w:rsid w:val="7E372159"/>
    <w:rsid w:val="7EAF501B"/>
    <w:rsid w:val="7F080287"/>
    <w:rsid w:val="7F1255AA"/>
    <w:rsid w:val="7F4003F6"/>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宋体" w:hAnsi="宋体" w:cs="宋体"/>
      <w:szCs w:val="21"/>
      <w:lang w:eastAsia="en-US"/>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Table Text"/>
    <w:basedOn w:val="1"/>
    <w:semiHidden/>
    <w:qFormat/>
    <w:uiPriority w:val="0"/>
    <w:rPr>
      <w:rFonts w:ascii="宋体" w:hAnsi="宋体" w:cs="宋体"/>
      <w:sz w:val="18"/>
      <w:szCs w:val="18"/>
      <w:lang w:eastAsia="en-US"/>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18346</Words>
  <Characters>18470</Characters>
  <Lines>1850</Lines>
  <Paragraphs>1270</Paragraphs>
  <TotalTime>0</TotalTime>
  <ScaleCrop>false</ScaleCrop>
  <LinksUpToDate>false</LinksUpToDate>
  <CharactersWithSpaces>18496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2025-09-26T10:15:47Z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E4B679E7149845358F3CFD2594CB737A_13</vt:lpwstr>
  </property>
  <property fmtid="{D5CDD505-2E9C-101B-9397-08002B2CF9AE}" pid="4" name="KSOTemplateDocerSaveRecord">
    <vt:lpwstr>eyJoZGlkIjoiMjc1MmY4YmRmMWQyOTI4YTA4ZWU0YzkzZDQ5ZjQ0MWYiLCJ1c2VySWQiOiI5MzQ1MzgzNTMifQ==</vt:lpwstr>
  </property>
</Properties>
</file>