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overflowPunct w:val="0"/>
        <w:adjustRightInd w:val="0"/>
        <w:snapToGrid w:val="0"/>
        <w:jc w:val="both"/>
        <w:rPr>
          <w:rFonts w:hint="eastAsia" w:ascii="仿宋" w:hAnsi="仿宋" w:eastAsia="仿宋"/>
          <w:color w:val="auto"/>
          <w:szCs w:val="32"/>
          <w:highlight w:val="none"/>
        </w:rPr>
      </w:pPr>
      <w:r>
        <w:rPr>
          <w:rFonts w:ascii="宋体" w:hAnsi="宋体" w:eastAsia="宋体" w:cs="宋体"/>
          <w:color w:val="auto"/>
          <w:sz w:val="24"/>
          <w:szCs w:val="24"/>
          <w:highlight w:val="none"/>
        </w:rPr>
        <w:drawing>
          <wp:anchor distT="0" distB="0" distL="114300" distR="114300" simplePos="0" relativeHeight="251659264" behindDoc="1" locked="0" layoutInCell="1" allowOverlap="1">
            <wp:simplePos x="0" y="0"/>
            <wp:positionH relativeFrom="column">
              <wp:posOffset>-116205</wp:posOffset>
            </wp:positionH>
            <wp:positionV relativeFrom="paragraph">
              <wp:posOffset>771525</wp:posOffset>
            </wp:positionV>
            <wp:extent cx="5114925" cy="1130935"/>
            <wp:effectExtent l="0" t="0" r="5715" b="12065"/>
            <wp:wrapNone/>
            <wp:docPr id="2" name="图片 2" descr="774cab3c599d63778141cb733ecde9b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774cab3c599d63778141cb733ecde9bc"/>
                    <pic:cNvPicPr>
                      <a:picLocks noChangeAspect="1"/>
                    </pic:cNvPicPr>
                  </pic:nvPicPr>
                  <pic:blipFill>
                    <a:blip r:embed="rId6"/>
                    <a:stretch>
                      <a:fillRect/>
                    </a:stretch>
                  </pic:blipFill>
                  <pic:spPr>
                    <a:xfrm>
                      <a:off x="0" y="0"/>
                      <a:ext cx="5114925" cy="1130935"/>
                    </a:xfrm>
                    <a:prstGeom prst="rect">
                      <a:avLst/>
                    </a:prstGeom>
                    <a:noFill/>
                    <a:ln>
                      <a:noFill/>
                    </a:ln>
                  </pic:spPr>
                </pic:pic>
              </a:graphicData>
            </a:graphic>
          </wp:anchor>
        </w:drawing>
      </w:r>
    </w:p>
    <w:p>
      <w:pPr>
        <w:overflowPunct w:val="0"/>
        <w:adjustRightInd w:val="0"/>
        <w:snapToGrid w:val="0"/>
        <w:jc w:val="center"/>
        <w:rPr>
          <w:rFonts w:hint="eastAsia" w:ascii="仿宋" w:hAnsi="仿宋" w:eastAsia="仿宋"/>
          <w:color w:val="auto"/>
          <w:szCs w:val="32"/>
          <w:highlight w:val="none"/>
        </w:rPr>
      </w:pPr>
    </w:p>
    <w:p>
      <w:pPr>
        <w:overflowPunct w:val="0"/>
        <w:adjustRightInd w:val="0"/>
        <w:snapToGrid w:val="0"/>
        <w:jc w:val="center"/>
        <w:rPr>
          <w:rFonts w:hint="eastAsia" w:ascii="仿宋" w:hAnsi="仿宋" w:eastAsia="仿宋"/>
          <w:color w:val="auto"/>
          <w:szCs w:val="32"/>
          <w:highlight w:val="none"/>
        </w:rPr>
      </w:pPr>
    </w:p>
    <w:p>
      <w:pPr>
        <w:overflowPunct w:val="0"/>
        <w:adjustRightInd w:val="0"/>
        <w:snapToGrid w:val="0"/>
        <w:jc w:val="center"/>
        <w:rPr>
          <w:rFonts w:hint="eastAsia" w:ascii="仿宋" w:hAnsi="仿宋" w:eastAsia="仿宋"/>
          <w:color w:val="auto"/>
          <w:szCs w:val="32"/>
          <w:highlight w:val="none"/>
        </w:rPr>
      </w:pPr>
    </w:p>
    <w:p>
      <w:pPr>
        <w:overflowPunct w:val="0"/>
        <w:adjustRightInd w:val="0"/>
        <w:snapToGrid w:val="0"/>
        <w:jc w:val="center"/>
        <w:rPr>
          <w:rFonts w:hint="eastAsia" w:ascii="仿宋" w:hAnsi="仿宋" w:eastAsia="仿宋"/>
          <w:color w:val="auto"/>
          <w:szCs w:val="32"/>
          <w:highlight w:val="none"/>
        </w:rPr>
      </w:pPr>
    </w:p>
    <w:p>
      <w:pPr>
        <w:overflowPunct w:val="0"/>
        <w:adjustRightInd w:val="0"/>
        <w:snapToGrid w:val="0"/>
        <w:jc w:val="center"/>
        <w:rPr>
          <w:rFonts w:hint="eastAsia" w:ascii="仿宋" w:hAnsi="仿宋" w:eastAsia="仿宋"/>
          <w:color w:val="auto"/>
          <w:szCs w:val="32"/>
          <w:highlight w:val="none"/>
        </w:rPr>
      </w:pPr>
    </w:p>
    <w:p>
      <w:pPr>
        <w:overflowPunct w:val="0"/>
        <w:adjustRightInd w:val="0"/>
        <w:snapToGrid w:val="0"/>
        <w:jc w:val="center"/>
        <w:rPr>
          <w:rFonts w:hint="eastAsia" w:ascii="仿宋" w:hAnsi="仿宋" w:eastAsia="仿宋"/>
          <w:color w:val="auto"/>
          <w:szCs w:val="32"/>
          <w:highlight w:val="none"/>
        </w:rPr>
      </w:pPr>
    </w:p>
    <w:p>
      <w:pPr>
        <w:overflowPunct w:val="0"/>
        <w:adjustRightInd w:val="0"/>
        <w:snapToGrid w:val="0"/>
        <w:rPr>
          <w:rFonts w:hint="eastAsia" w:ascii="华文新魏" w:hAnsi="仿宋" w:eastAsia="华文新魏"/>
          <w:b/>
          <w:color w:val="auto"/>
          <w:sz w:val="100"/>
          <w:szCs w:val="100"/>
          <w:highlight w:val="none"/>
        </w:rPr>
      </w:pPr>
    </w:p>
    <w:p>
      <w:pPr>
        <w:keepNext w:val="0"/>
        <w:keepLines w:val="0"/>
        <w:pageBreakBefore w:val="0"/>
        <w:widowControl w:val="0"/>
        <w:kinsoku/>
        <w:wordWrap/>
        <w:overflowPunct w:val="0"/>
        <w:topLinePunct w:val="0"/>
        <w:autoSpaceDE/>
        <w:autoSpaceDN/>
        <w:bidi w:val="0"/>
        <w:adjustRightInd w:val="0"/>
        <w:snapToGrid w:val="0"/>
        <w:spacing w:line="900" w:lineRule="exact"/>
        <w:jc w:val="center"/>
        <w:textAlignment w:val="auto"/>
        <w:rPr>
          <w:rFonts w:hint="eastAsia" w:ascii="黑体" w:hAnsi="黑体" w:eastAsia="黑体" w:cs="黑体"/>
          <w:b w:val="0"/>
          <w:bCs/>
          <w:color w:val="auto"/>
          <w:sz w:val="60"/>
          <w:szCs w:val="60"/>
          <w:highlight w:val="none"/>
        </w:rPr>
      </w:pPr>
      <w:r>
        <w:rPr>
          <w:rFonts w:hint="eastAsia" w:ascii="黑体" w:hAnsi="黑体" w:eastAsia="黑体" w:cs="黑体"/>
          <w:b w:val="0"/>
          <w:bCs/>
          <w:color w:val="auto"/>
          <w:sz w:val="60"/>
          <w:szCs w:val="60"/>
          <w:highlight w:val="none"/>
        </w:rPr>
        <w:t>202</w:t>
      </w:r>
      <w:r>
        <w:rPr>
          <w:rFonts w:hint="eastAsia" w:ascii="黑体" w:hAnsi="黑体" w:eastAsia="黑体" w:cs="黑体"/>
          <w:b w:val="0"/>
          <w:bCs/>
          <w:color w:val="auto"/>
          <w:sz w:val="60"/>
          <w:szCs w:val="60"/>
          <w:highlight w:val="none"/>
          <w:lang w:val="en-US" w:eastAsia="zh-CN"/>
        </w:rPr>
        <w:t>5</w:t>
      </w:r>
      <w:r>
        <w:rPr>
          <w:rFonts w:hint="eastAsia" w:ascii="黑体" w:hAnsi="黑体" w:eastAsia="黑体" w:cs="黑体"/>
          <w:b w:val="0"/>
          <w:bCs/>
          <w:color w:val="auto"/>
          <w:sz w:val="60"/>
          <w:szCs w:val="60"/>
          <w:highlight w:val="none"/>
        </w:rPr>
        <w:t>级</w:t>
      </w:r>
      <w:r>
        <w:rPr>
          <w:rFonts w:hint="eastAsia" w:ascii="黑体" w:hAnsi="黑体" w:eastAsia="黑体" w:cs="黑体"/>
          <w:b w:val="0"/>
          <w:bCs/>
          <w:color w:val="auto"/>
          <w:sz w:val="60"/>
          <w:szCs w:val="60"/>
          <w:highlight w:val="none"/>
          <w:lang w:val="en-US" w:eastAsia="zh-CN"/>
        </w:rPr>
        <w:t>国际经济与贸易</w:t>
      </w:r>
      <w:r>
        <w:rPr>
          <w:rFonts w:hint="eastAsia" w:ascii="黑体" w:hAnsi="黑体" w:eastAsia="黑体" w:cs="黑体"/>
          <w:b w:val="0"/>
          <w:bCs/>
          <w:color w:val="auto"/>
          <w:sz w:val="60"/>
          <w:szCs w:val="60"/>
          <w:highlight w:val="none"/>
        </w:rPr>
        <w:t>专业</w:t>
      </w:r>
    </w:p>
    <w:p>
      <w:pPr>
        <w:keepNext w:val="0"/>
        <w:keepLines w:val="0"/>
        <w:pageBreakBefore w:val="0"/>
        <w:widowControl w:val="0"/>
        <w:kinsoku/>
        <w:wordWrap/>
        <w:overflowPunct w:val="0"/>
        <w:topLinePunct w:val="0"/>
        <w:autoSpaceDE/>
        <w:autoSpaceDN/>
        <w:bidi w:val="0"/>
        <w:adjustRightInd w:val="0"/>
        <w:snapToGrid w:val="0"/>
        <w:spacing w:line="900" w:lineRule="exact"/>
        <w:jc w:val="center"/>
        <w:textAlignment w:val="auto"/>
        <w:rPr>
          <w:rFonts w:hint="eastAsia" w:ascii="黑体" w:hAnsi="黑体" w:eastAsia="黑体" w:cs="黑体"/>
          <w:b w:val="0"/>
          <w:bCs/>
          <w:color w:val="auto"/>
          <w:sz w:val="60"/>
          <w:szCs w:val="60"/>
          <w:highlight w:val="none"/>
        </w:rPr>
      </w:pPr>
      <w:r>
        <w:rPr>
          <w:rFonts w:hint="eastAsia" w:ascii="黑体" w:hAnsi="黑体" w:eastAsia="黑体" w:cs="黑体"/>
          <w:b w:val="0"/>
          <w:bCs/>
          <w:color w:val="auto"/>
          <w:sz w:val="60"/>
          <w:szCs w:val="60"/>
          <w:highlight w:val="none"/>
        </w:rPr>
        <w:t>人才培养方案</w:t>
      </w:r>
    </w:p>
    <w:p>
      <w:pPr>
        <w:widowControl/>
        <w:overflowPunct w:val="0"/>
        <w:adjustRightInd w:val="0"/>
        <w:snapToGrid w:val="0"/>
        <w:jc w:val="center"/>
        <w:rPr>
          <w:rFonts w:hint="eastAsia" w:ascii="黑体" w:hAnsi="黑体" w:eastAsia="黑体" w:cs="黑体"/>
          <w:b/>
          <w:bCs/>
          <w:color w:val="auto"/>
          <w:kern w:val="0"/>
          <w:sz w:val="48"/>
          <w:szCs w:val="48"/>
          <w:highlight w:val="none"/>
          <w:lang w:val="en-US" w:eastAsia="zh-CN"/>
        </w:rPr>
      </w:pPr>
    </w:p>
    <w:p>
      <w:pPr>
        <w:widowControl/>
        <w:overflowPunct w:val="0"/>
        <w:adjustRightInd w:val="0"/>
        <w:snapToGrid w:val="0"/>
        <w:jc w:val="center"/>
        <w:rPr>
          <w:rFonts w:hint="default" w:ascii="黑体" w:hAnsi="黑体" w:eastAsia="黑体" w:cs="黑体"/>
          <w:b/>
          <w:bCs/>
          <w:color w:val="auto"/>
          <w:kern w:val="0"/>
          <w:sz w:val="48"/>
          <w:szCs w:val="48"/>
          <w:highlight w:val="none"/>
          <w:lang w:val="en-US" w:eastAsia="zh-CN"/>
        </w:rPr>
      </w:pPr>
      <w:r>
        <w:rPr>
          <w:rFonts w:hint="eastAsia" w:ascii="黑体" w:hAnsi="黑体" w:eastAsia="黑体" w:cs="黑体"/>
          <w:b/>
          <w:bCs/>
          <w:color w:val="auto"/>
          <w:kern w:val="0"/>
          <w:sz w:val="48"/>
          <w:szCs w:val="48"/>
          <w:highlight w:val="none"/>
          <w:lang w:val="en-US" w:eastAsia="zh-CN"/>
        </w:rPr>
        <w:t>经济管理学院</w:t>
      </w:r>
    </w:p>
    <w:p>
      <w:pPr>
        <w:widowControl/>
        <w:overflowPunct w:val="0"/>
        <w:adjustRightInd w:val="0"/>
        <w:snapToGrid w:val="0"/>
        <w:jc w:val="center"/>
        <w:rPr>
          <w:rFonts w:hint="eastAsia" w:ascii="黑体" w:hAnsi="黑体" w:eastAsia="黑体" w:cs="黑体"/>
          <w:b/>
          <w:bCs/>
          <w:color w:val="auto"/>
          <w:kern w:val="0"/>
          <w:sz w:val="52"/>
          <w:szCs w:val="52"/>
          <w:highlight w:val="none"/>
        </w:rPr>
      </w:pPr>
    </w:p>
    <w:p>
      <w:pPr>
        <w:widowControl/>
        <w:overflowPunct w:val="0"/>
        <w:adjustRightInd w:val="0"/>
        <w:snapToGrid w:val="0"/>
        <w:jc w:val="both"/>
        <w:rPr>
          <w:rFonts w:hint="eastAsia" w:ascii="黑体" w:hAnsi="黑体" w:eastAsia="黑体" w:cs="黑体"/>
          <w:b/>
          <w:bCs/>
          <w:color w:val="auto"/>
          <w:kern w:val="0"/>
          <w:sz w:val="52"/>
          <w:szCs w:val="52"/>
          <w:highlight w:val="none"/>
        </w:rPr>
      </w:pPr>
    </w:p>
    <w:p>
      <w:pPr>
        <w:widowControl/>
        <w:overflowPunct w:val="0"/>
        <w:adjustRightInd w:val="0"/>
        <w:snapToGrid w:val="0"/>
        <w:jc w:val="center"/>
        <w:rPr>
          <w:rFonts w:hint="default" w:ascii="黑体" w:hAnsi="黑体" w:eastAsia="黑体" w:cs="黑体"/>
          <w:b/>
          <w:bCs/>
          <w:color w:val="auto"/>
          <w:kern w:val="0"/>
          <w:sz w:val="48"/>
          <w:szCs w:val="48"/>
          <w:highlight w:val="none"/>
          <w:lang w:val="en-US" w:eastAsia="zh-CN"/>
        </w:rPr>
      </w:pPr>
      <w:r>
        <w:rPr>
          <w:rFonts w:hint="eastAsia" w:ascii="黑体" w:hAnsi="黑体" w:eastAsia="黑体" w:cs="黑体"/>
          <w:b/>
          <w:bCs/>
          <w:color w:val="auto"/>
          <w:kern w:val="0"/>
          <w:sz w:val="48"/>
          <w:szCs w:val="48"/>
          <w:highlight w:val="none"/>
          <w:lang w:val="en-US" w:eastAsia="zh-CN"/>
        </w:rPr>
        <w:t>2025年4月</w:t>
      </w:r>
    </w:p>
    <w:p>
      <w:pPr>
        <w:widowControl/>
        <w:overflowPunct w:val="0"/>
        <w:adjustRightInd w:val="0"/>
        <w:snapToGrid w:val="0"/>
        <w:jc w:val="center"/>
        <w:rPr>
          <w:rFonts w:hint="eastAsia" w:ascii="黑体" w:hAnsi="黑体" w:eastAsia="黑体" w:cs="黑体"/>
          <w:b/>
          <w:bCs/>
          <w:color w:val="auto"/>
          <w:kern w:val="0"/>
          <w:sz w:val="52"/>
          <w:szCs w:val="52"/>
          <w:highlight w:val="none"/>
        </w:rPr>
        <w:sectPr>
          <w:headerReference r:id="rId3" w:type="default"/>
          <w:pgSz w:w="11906" w:h="16838"/>
          <w:pgMar w:top="1417" w:right="1417" w:bottom="1417" w:left="1984" w:header="851" w:footer="992" w:gutter="0"/>
          <w:pgNumType w:start="1"/>
          <w:cols w:space="425" w:num="1"/>
          <w:docGrid w:type="lines" w:linePitch="312" w:charSpace="0"/>
        </w:sectPr>
      </w:pPr>
    </w:p>
    <w:p>
      <w:pPr>
        <w:widowControl/>
        <w:overflowPunct w:val="0"/>
        <w:adjustRightInd w:val="0"/>
        <w:snapToGrid w:val="0"/>
        <w:jc w:val="center"/>
        <w:rPr>
          <w:rFonts w:hint="eastAsia" w:ascii="黑体" w:hAnsi="黑体" w:eastAsia="黑体" w:cs="黑体"/>
          <w:b/>
          <w:bCs/>
          <w:color w:val="auto"/>
          <w:kern w:val="0"/>
          <w:sz w:val="52"/>
          <w:szCs w:val="52"/>
          <w:highlight w:val="none"/>
        </w:rPr>
      </w:pPr>
    </w:p>
    <w:p>
      <w:pPr>
        <w:widowControl/>
        <w:overflowPunct w:val="0"/>
        <w:adjustRightInd w:val="0"/>
        <w:snapToGrid w:val="0"/>
        <w:jc w:val="center"/>
        <w:rPr>
          <w:rFonts w:hint="eastAsia" w:ascii="黑体" w:hAnsi="黑体" w:eastAsia="黑体" w:cs="黑体"/>
          <w:b/>
          <w:bCs/>
          <w:color w:val="auto"/>
          <w:kern w:val="0"/>
          <w:sz w:val="52"/>
          <w:szCs w:val="52"/>
          <w:highlight w:val="none"/>
        </w:rPr>
        <w:sectPr>
          <w:pgSz w:w="11906" w:h="16838"/>
          <w:pgMar w:top="1417" w:right="1417" w:bottom="1417" w:left="1984" w:header="851" w:footer="992" w:gutter="0"/>
          <w:pgNumType w:start="1"/>
          <w:cols w:space="425" w:num="1"/>
          <w:docGrid w:type="lines" w:linePitch="312" w:charSpace="0"/>
        </w:sectPr>
      </w:pPr>
    </w:p>
    <w:p>
      <w:pPr>
        <w:keepNext w:val="0"/>
        <w:keepLines w:val="0"/>
        <w:pageBreakBefore w:val="0"/>
        <w:widowControl w:val="0"/>
        <w:kinsoku/>
        <w:wordWrap/>
        <w:overflowPunct w:val="0"/>
        <w:topLinePunct w:val="0"/>
        <w:autoSpaceDE/>
        <w:autoSpaceDN/>
        <w:bidi w:val="0"/>
        <w:adjustRightInd w:val="0"/>
        <w:snapToGrid w:val="0"/>
        <w:spacing w:after="0" w:line="520" w:lineRule="exact"/>
        <w:jc w:val="center"/>
        <w:textAlignment w:val="auto"/>
        <w:rPr>
          <w:rFonts w:hint="eastAsia" w:ascii="方正小标宋简体" w:hAnsi="方正小标宋简体" w:eastAsia="方正小标宋简体" w:cs="方正小标宋简体"/>
          <w:bCs/>
          <w:color w:val="auto"/>
          <w:sz w:val="44"/>
          <w:szCs w:val="44"/>
          <w:highlight w:val="none"/>
        </w:rPr>
      </w:pPr>
      <w:r>
        <w:rPr>
          <w:rFonts w:hint="eastAsia" w:ascii="方正小标宋简体" w:hAnsi="方正小标宋简体" w:eastAsia="方正小标宋简体" w:cs="方正小标宋简体"/>
          <w:bCs/>
          <w:color w:val="auto"/>
          <w:sz w:val="44"/>
          <w:szCs w:val="44"/>
          <w:highlight w:val="none"/>
          <w:lang w:val="en-US" w:eastAsia="zh-CN"/>
        </w:rPr>
        <w:t>国际经济与贸易</w:t>
      </w:r>
      <w:r>
        <w:rPr>
          <w:rFonts w:hint="eastAsia" w:ascii="方正小标宋简体" w:hAnsi="方正小标宋简体" w:eastAsia="方正小标宋简体" w:cs="方正小标宋简体"/>
          <w:bCs/>
          <w:color w:val="auto"/>
          <w:sz w:val="44"/>
          <w:szCs w:val="44"/>
          <w:highlight w:val="none"/>
        </w:rPr>
        <w:t>专业人才培养方案</w:t>
      </w:r>
    </w:p>
    <w:p>
      <w:pPr>
        <w:keepNext w:val="0"/>
        <w:keepLines w:val="0"/>
        <w:pageBreakBefore w:val="0"/>
        <w:widowControl w:val="0"/>
        <w:kinsoku/>
        <w:wordWrap/>
        <w:overflowPunct w:val="0"/>
        <w:topLinePunct w:val="0"/>
        <w:autoSpaceDE/>
        <w:autoSpaceDN/>
        <w:bidi w:val="0"/>
        <w:adjustRightInd w:val="0"/>
        <w:snapToGrid w:val="0"/>
        <w:spacing w:after="0" w:line="520" w:lineRule="exact"/>
        <w:jc w:val="center"/>
        <w:textAlignment w:val="auto"/>
        <w:rPr>
          <w:rFonts w:hint="eastAsia" w:ascii="方正小标宋简体" w:hAnsi="方正小标宋简体" w:eastAsia="方正小标宋简体" w:cs="方正小标宋简体"/>
          <w:bCs/>
          <w:color w:val="auto"/>
          <w:sz w:val="44"/>
          <w:szCs w:val="44"/>
          <w:highlight w:val="none"/>
        </w:rPr>
      </w:pPr>
    </w:p>
    <w:p>
      <w:pPr>
        <w:keepNext w:val="0"/>
        <w:keepLines w:val="0"/>
        <w:pageBreakBefore w:val="0"/>
        <w:widowControl w:val="0"/>
        <w:kinsoku/>
        <w:wordWrap/>
        <w:overflowPunct w:val="0"/>
        <w:topLinePunct w:val="0"/>
        <w:autoSpaceDE/>
        <w:autoSpaceDN/>
        <w:bidi w:val="0"/>
        <w:adjustRightInd w:val="0"/>
        <w:snapToGrid w:val="0"/>
        <w:spacing w:after="0" w:line="520" w:lineRule="exact"/>
        <w:ind w:firstLine="640" w:firstLineChars="200"/>
        <w:textAlignment w:val="auto"/>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rPr>
        <w:t>一、专业名称及代码</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专业名称：国际经济与贸易</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rPr>
        <w:t>专业代码：530501</w:t>
      </w:r>
      <w:r>
        <w:rPr>
          <w:rFonts w:hint="eastAsia" w:ascii="仿宋_GB2312" w:hAnsi="仿宋_GB2312" w:eastAsia="仿宋_GB2312" w:cs="仿宋_GB2312"/>
          <w:color w:val="auto"/>
          <w:sz w:val="32"/>
          <w:szCs w:val="32"/>
          <w:highlight w:val="none"/>
          <w:lang w:val="en-US" w:eastAsia="zh-CN"/>
        </w:rPr>
        <w:t xml:space="preserve"> </w:t>
      </w:r>
    </w:p>
    <w:p>
      <w:pPr>
        <w:keepNext w:val="0"/>
        <w:keepLines w:val="0"/>
        <w:pageBreakBefore w:val="0"/>
        <w:widowControl w:val="0"/>
        <w:kinsoku/>
        <w:wordWrap/>
        <w:overflowPunct w:val="0"/>
        <w:topLinePunct w:val="0"/>
        <w:autoSpaceDE/>
        <w:autoSpaceDN/>
        <w:bidi w:val="0"/>
        <w:adjustRightInd w:val="0"/>
        <w:snapToGrid w:val="0"/>
        <w:spacing w:after="0" w:line="520" w:lineRule="exact"/>
        <w:ind w:firstLine="640" w:firstLineChars="200"/>
        <w:textAlignment w:val="auto"/>
        <w:rPr>
          <w:rFonts w:hint="eastAsia" w:ascii="黑体" w:hAnsi="黑体" w:eastAsia="黑体" w:cs="黑体"/>
          <w:b w:val="0"/>
          <w:bCs w:val="0"/>
          <w:color w:val="auto"/>
          <w:sz w:val="32"/>
          <w:szCs w:val="32"/>
          <w:highlight w:val="none"/>
        </w:rPr>
      </w:pPr>
      <w:r>
        <w:rPr>
          <w:rFonts w:hint="eastAsia" w:ascii="黑体" w:hAnsi="黑体" w:eastAsia="黑体" w:cs="黑体"/>
          <w:b w:val="0"/>
          <w:bCs w:val="0"/>
          <w:color w:val="auto"/>
          <w:sz w:val="32"/>
          <w:szCs w:val="32"/>
          <w:highlight w:val="none"/>
        </w:rPr>
        <w:t>二、入学要求</w:t>
      </w:r>
    </w:p>
    <w:p>
      <w:pPr>
        <w:keepNext w:val="0"/>
        <w:keepLines w:val="0"/>
        <w:pageBreakBefore w:val="0"/>
        <w:widowControl w:val="0"/>
        <w:kinsoku/>
        <w:wordWrap/>
        <w:overflowPunct w:val="0"/>
        <w:topLinePunct w:val="0"/>
        <w:autoSpaceDE/>
        <w:autoSpaceDN/>
        <w:bidi w:val="0"/>
        <w:adjustRightInd w:val="0"/>
        <w:spacing w:after="0" w:line="520" w:lineRule="exact"/>
        <w:ind w:firstLine="616" w:firstLineChars="200"/>
        <w:textAlignment w:val="auto"/>
        <w:rPr>
          <w:rFonts w:hint="eastAsia" w:ascii="仿宋_GB2312" w:hAnsi="仿宋_GB2312" w:eastAsia="仿宋_GB2312" w:cs="仿宋_GB2312"/>
          <w:b w:val="0"/>
          <w:bCs w:val="0"/>
          <w:color w:val="auto"/>
          <w:sz w:val="32"/>
          <w:szCs w:val="32"/>
          <w:highlight w:val="none"/>
          <w:lang w:eastAsia="zh-CN"/>
        </w:rPr>
      </w:pPr>
      <w:r>
        <w:rPr>
          <w:rFonts w:hint="eastAsia" w:ascii="仿宋_GB2312" w:hAnsi="仿宋_GB2312" w:eastAsia="仿宋_GB2312" w:cs="仿宋_GB2312"/>
          <w:b w:val="0"/>
          <w:bCs w:val="0"/>
          <w:color w:val="auto"/>
          <w:spacing w:val="-6"/>
          <w:sz w:val="32"/>
          <w:szCs w:val="32"/>
          <w:highlight w:val="none"/>
        </w:rPr>
        <w:t>中等职业学校毕业、普通高级中学毕业或具备同等学力</w:t>
      </w:r>
      <w:r>
        <w:rPr>
          <w:rFonts w:hint="eastAsia" w:ascii="仿宋_GB2312" w:hAnsi="仿宋_GB2312" w:eastAsia="仿宋_GB2312" w:cs="仿宋_GB2312"/>
          <w:b w:val="0"/>
          <w:bCs w:val="0"/>
          <w:color w:val="auto"/>
          <w:spacing w:val="-6"/>
          <w:sz w:val="32"/>
          <w:szCs w:val="32"/>
          <w:highlight w:val="none"/>
          <w:lang w:eastAsia="zh-CN"/>
        </w:rPr>
        <w:t>。</w:t>
      </w:r>
    </w:p>
    <w:p>
      <w:pPr>
        <w:keepNext w:val="0"/>
        <w:keepLines w:val="0"/>
        <w:pageBreakBefore w:val="0"/>
        <w:widowControl w:val="0"/>
        <w:kinsoku/>
        <w:wordWrap/>
        <w:overflowPunct w:val="0"/>
        <w:topLinePunct w:val="0"/>
        <w:autoSpaceDE/>
        <w:autoSpaceDN/>
        <w:bidi w:val="0"/>
        <w:adjustRightInd w:val="0"/>
        <w:snapToGrid w:val="0"/>
        <w:spacing w:after="0" w:line="520" w:lineRule="exact"/>
        <w:ind w:firstLine="640" w:firstLineChars="200"/>
        <w:textAlignment w:val="auto"/>
        <w:rPr>
          <w:rFonts w:hint="eastAsia" w:ascii="黑体" w:hAnsi="黑体" w:eastAsia="黑体" w:cs="黑体"/>
          <w:b w:val="0"/>
          <w:bCs w:val="0"/>
          <w:color w:val="auto"/>
          <w:sz w:val="32"/>
          <w:szCs w:val="32"/>
          <w:highlight w:val="none"/>
        </w:rPr>
      </w:pPr>
      <w:r>
        <w:rPr>
          <w:rFonts w:hint="eastAsia" w:ascii="黑体" w:hAnsi="黑体" w:eastAsia="黑体" w:cs="黑体"/>
          <w:b w:val="0"/>
          <w:bCs w:val="0"/>
          <w:color w:val="auto"/>
          <w:sz w:val="32"/>
          <w:szCs w:val="32"/>
          <w:highlight w:val="none"/>
        </w:rPr>
        <w:t>三、修业年限</w:t>
      </w:r>
    </w:p>
    <w:p>
      <w:pPr>
        <w:keepNext w:val="0"/>
        <w:keepLines w:val="0"/>
        <w:pageBreakBefore w:val="0"/>
        <w:widowControl w:val="0"/>
        <w:kinsoku/>
        <w:wordWrap/>
        <w:overflowPunct w:val="0"/>
        <w:topLinePunct w:val="0"/>
        <w:autoSpaceDE/>
        <w:autoSpaceDN/>
        <w:bidi w:val="0"/>
        <w:adjustRightInd w:val="0"/>
        <w:spacing w:after="0" w:line="520" w:lineRule="exact"/>
        <w:ind w:firstLine="640" w:firstLineChars="200"/>
        <w:textAlignment w:val="auto"/>
        <w:rPr>
          <w:rFonts w:hint="eastAsia" w:ascii="仿宋_GB2312" w:hAnsi="仿宋_GB2312" w:eastAsia="仿宋_GB2312" w:cs="仿宋_GB2312"/>
          <w:b w:val="0"/>
          <w:bCs w:val="0"/>
          <w:color w:val="auto"/>
          <w:sz w:val="32"/>
          <w:szCs w:val="32"/>
          <w:highlight w:val="none"/>
          <w:lang w:eastAsia="zh-CN"/>
        </w:rPr>
      </w:pPr>
      <w:r>
        <w:rPr>
          <w:rFonts w:hint="eastAsia" w:ascii="仿宋_GB2312" w:hAnsi="仿宋_GB2312" w:eastAsia="仿宋_GB2312" w:cs="仿宋_GB2312"/>
          <w:color w:val="auto"/>
          <w:sz w:val="32"/>
          <w:szCs w:val="32"/>
          <w:highlight w:val="none"/>
        </w:rPr>
        <w:t>标准修业年限为3年，弹性学分有效修业年限为</w:t>
      </w:r>
      <w:r>
        <w:rPr>
          <w:rFonts w:hint="eastAsia" w:ascii="仿宋_GB2312" w:hAnsi="仿宋_GB2312" w:eastAsia="仿宋_GB2312" w:cs="仿宋_GB2312"/>
          <w:color w:val="auto"/>
          <w:sz w:val="32"/>
          <w:szCs w:val="32"/>
          <w:highlight w:val="none"/>
          <w:lang w:val="en-US" w:eastAsia="zh-CN"/>
        </w:rPr>
        <w:t>2</w:t>
      </w:r>
      <w:r>
        <w:rPr>
          <w:rFonts w:hint="eastAsia" w:ascii="仿宋_GB2312" w:hAnsi="仿宋_GB2312" w:eastAsia="仿宋_GB2312" w:cs="仿宋_GB2312"/>
          <w:color w:val="auto"/>
          <w:sz w:val="32"/>
          <w:szCs w:val="32"/>
          <w:highlight w:val="none"/>
        </w:rPr>
        <w:t>-5年。</w:t>
      </w:r>
    </w:p>
    <w:p>
      <w:pPr>
        <w:keepNext w:val="0"/>
        <w:keepLines w:val="0"/>
        <w:pageBreakBefore w:val="0"/>
        <w:widowControl w:val="0"/>
        <w:kinsoku/>
        <w:wordWrap/>
        <w:overflowPunct w:val="0"/>
        <w:topLinePunct w:val="0"/>
        <w:autoSpaceDE/>
        <w:autoSpaceDN/>
        <w:bidi w:val="0"/>
        <w:adjustRightInd w:val="0"/>
        <w:snapToGrid w:val="0"/>
        <w:spacing w:after="0" w:line="520" w:lineRule="exact"/>
        <w:ind w:firstLine="640" w:firstLineChars="200"/>
        <w:textAlignment w:val="auto"/>
        <w:rPr>
          <w:rFonts w:hint="eastAsia" w:ascii="黑体" w:hAnsi="黑体" w:eastAsia="黑体" w:cs="黑体"/>
          <w:b w:val="0"/>
          <w:bCs w:val="0"/>
          <w:color w:val="auto"/>
          <w:sz w:val="32"/>
          <w:szCs w:val="32"/>
          <w:highlight w:val="none"/>
        </w:rPr>
      </w:pPr>
      <w:r>
        <w:rPr>
          <w:rFonts w:hint="eastAsia" w:ascii="黑体" w:hAnsi="黑体" w:eastAsia="黑体" w:cs="黑体"/>
          <w:b w:val="0"/>
          <w:bCs w:val="0"/>
          <w:color w:val="auto"/>
          <w:sz w:val="32"/>
          <w:szCs w:val="32"/>
          <w:highlight w:val="none"/>
        </w:rPr>
        <w:t>四、职业面向</w:t>
      </w:r>
    </w:p>
    <w:p>
      <w:pPr>
        <w:keepNext w:val="0"/>
        <w:keepLines w:val="0"/>
        <w:pageBreakBefore w:val="0"/>
        <w:widowControl w:val="0"/>
        <w:kinsoku/>
        <w:wordWrap/>
        <w:overflowPunct w:val="0"/>
        <w:topLinePunct w:val="0"/>
        <w:autoSpaceDE/>
        <w:autoSpaceDN/>
        <w:bidi w:val="0"/>
        <w:adjustRightInd w:val="0"/>
        <w:spacing w:after="0" w:line="520" w:lineRule="exact"/>
        <w:ind w:firstLine="640" w:firstLineChars="200"/>
        <w:jc w:val="center"/>
        <w:textAlignment w:val="auto"/>
        <w:rPr>
          <w:rFonts w:ascii="仿宋" w:hAnsi="仿宋" w:eastAsia="仿宋"/>
          <w:color w:val="auto"/>
          <w:sz w:val="24"/>
          <w:highlight w:val="none"/>
        </w:rPr>
      </w:pPr>
      <w:r>
        <w:rPr>
          <w:rFonts w:hint="eastAsia" w:ascii="仿宋_GB2312" w:hAnsi="仿宋_GB2312" w:eastAsia="仿宋_GB2312" w:cs="仿宋_GB2312"/>
          <w:b w:val="0"/>
          <w:bCs w:val="0"/>
          <w:color w:val="auto"/>
          <w:sz w:val="32"/>
          <w:szCs w:val="32"/>
          <w:highlight w:val="none"/>
        </w:rPr>
        <w:t>表1 国际经济与贸易专业职业岗位分析表</w:t>
      </w:r>
    </w:p>
    <w:tbl>
      <w:tblPr>
        <w:tblStyle w:val="8"/>
        <w:tblW w:w="9795" w:type="dxa"/>
        <w:tblInd w:w="-38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48"/>
        <w:gridCol w:w="1389"/>
        <w:gridCol w:w="1192"/>
        <w:gridCol w:w="1896"/>
        <w:gridCol w:w="1679"/>
        <w:gridCol w:w="20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9" w:hRule="atLeast"/>
        </w:trPr>
        <w:tc>
          <w:tcPr>
            <w:tcW w:w="1548"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所属专业大类（代码）</w:t>
            </w:r>
          </w:p>
        </w:tc>
        <w:tc>
          <w:tcPr>
            <w:tcW w:w="1389"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所属专业类（代码）</w:t>
            </w:r>
          </w:p>
        </w:tc>
        <w:tc>
          <w:tcPr>
            <w:tcW w:w="1192"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对应行业</w:t>
            </w:r>
          </w:p>
          <w:p>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（代码）</w:t>
            </w:r>
          </w:p>
        </w:tc>
        <w:tc>
          <w:tcPr>
            <w:tcW w:w="1896"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主要职业类别（代码）</w:t>
            </w:r>
          </w:p>
        </w:tc>
        <w:tc>
          <w:tcPr>
            <w:tcW w:w="1679"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主要岗位（群）或技术领域</w:t>
            </w:r>
          </w:p>
        </w:tc>
        <w:tc>
          <w:tcPr>
            <w:tcW w:w="2091"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职业类证书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9" w:hRule="atLeast"/>
        </w:trPr>
        <w:tc>
          <w:tcPr>
            <w:tcW w:w="1548"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财经商贸大类（53）</w:t>
            </w:r>
          </w:p>
        </w:tc>
        <w:tc>
          <w:tcPr>
            <w:tcW w:w="1389"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经济贸易类（5305）</w:t>
            </w:r>
          </w:p>
        </w:tc>
        <w:tc>
          <w:tcPr>
            <w:tcW w:w="1192"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批发业（51）、商务服务业（72）</w:t>
            </w:r>
          </w:p>
        </w:tc>
        <w:tc>
          <w:tcPr>
            <w:tcW w:w="1896"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商务专业人员（2-06-07）</w:t>
            </w:r>
          </w:p>
        </w:tc>
        <w:tc>
          <w:tcPr>
            <w:tcW w:w="1679"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rPr>
              <w:t>外贸单证员；外贸跟单员；外贸业务员；跨境电子商务；运营推广员</w:t>
            </w:r>
          </w:p>
        </w:tc>
        <w:tc>
          <w:tcPr>
            <w:tcW w:w="2091"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跨境电商 B2B 数据运营、跨境电商 B2C 数据运营</w:t>
            </w:r>
          </w:p>
        </w:tc>
      </w:tr>
    </w:tbl>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rPr>
        <w:t>五、培养目标</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本专业立足于广西自由贸易区、跨境电商、跨境物流、经贸外语等领域，培养适应中国—东盟自由贸易区建设需求，培养能够践行社会主义核心价值观，传承技能文明，德智体美劳全面发展，具有一定的科学文化水平，良好的人文素养、科学素养、数字素养、职业道德、创新意识，爱岗敬业的职业精神和精益求精的工匠精神，较强的就业创业能力和可持续发展的能力，掌握本专业知识和技术技能，具备职业综合素质和行动能力，面向批发业和商务服务业的外贸业务员、外贸单证员、外贸跟单员、跨境电商 B2B 运营专员、跨境电商 B2B 销售专员、跨境电商B2B 营销专员等岗位（群），能够从事外贸接单、制单、跟单、跨境电商 B2B 业务操作等工作的高技能人才。</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黑体" w:hAnsi="黑体" w:eastAsia="黑体" w:cs="黑体"/>
          <w:color w:val="auto"/>
          <w:sz w:val="32"/>
          <w:szCs w:val="32"/>
          <w:highlight w:val="none"/>
          <w:lang w:eastAsia="zh-CN"/>
        </w:rPr>
      </w:pPr>
      <w:r>
        <w:rPr>
          <w:rFonts w:hint="eastAsia" w:ascii="黑体" w:hAnsi="黑体" w:eastAsia="黑体" w:cs="黑体"/>
          <w:color w:val="auto"/>
          <w:sz w:val="32"/>
          <w:szCs w:val="32"/>
          <w:highlight w:val="none"/>
          <w:lang w:val="en-US" w:eastAsia="zh-CN"/>
        </w:rPr>
        <w:t>六</w:t>
      </w:r>
      <w:r>
        <w:rPr>
          <w:rFonts w:hint="eastAsia" w:ascii="黑体" w:hAnsi="黑体" w:eastAsia="黑体" w:cs="黑体"/>
          <w:color w:val="auto"/>
          <w:sz w:val="32"/>
          <w:szCs w:val="32"/>
          <w:highlight w:val="none"/>
        </w:rPr>
        <w:t>、培养</w:t>
      </w:r>
      <w:r>
        <w:rPr>
          <w:rFonts w:hint="eastAsia" w:ascii="黑体" w:hAnsi="黑体" w:eastAsia="黑体" w:cs="黑体"/>
          <w:color w:val="auto"/>
          <w:sz w:val="32"/>
          <w:szCs w:val="32"/>
          <w:highlight w:val="none"/>
          <w:lang w:val="en-US" w:eastAsia="zh-CN"/>
        </w:rPr>
        <w:t>规格</w:t>
      </w:r>
    </w:p>
    <w:p>
      <w:pPr>
        <w:pStyle w:val="3"/>
        <w:keepNext w:val="0"/>
        <w:keepLines w:val="0"/>
        <w:pageBreakBefore w:val="0"/>
        <w:widowControl w:val="0"/>
        <w:kinsoku/>
        <w:wordWrap/>
        <w:topLinePunct w:val="0"/>
        <w:autoSpaceDE/>
        <w:autoSpaceDN/>
        <w:bidi w:val="0"/>
        <w:snapToGrid/>
        <w:spacing w:after="0" w:line="520" w:lineRule="exact"/>
        <w:ind w:right="0" w:firstLine="640" w:firstLineChars="200"/>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本专业</w:t>
      </w:r>
      <w:r>
        <w:rPr>
          <w:rFonts w:hint="eastAsia" w:ascii="仿宋_GB2312" w:hAnsi="仿宋_GB2312" w:eastAsia="仿宋_GB2312" w:cs="仿宋_GB2312"/>
          <w:color w:val="auto"/>
          <w:sz w:val="32"/>
          <w:szCs w:val="32"/>
          <w:highlight w:val="none"/>
          <w:lang w:val="en-US" w:eastAsia="zh-CN"/>
        </w:rPr>
        <w:t>学</w:t>
      </w:r>
      <w:r>
        <w:rPr>
          <w:rFonts w:hint="eastAsia" w:ascii="仿宋_GB2312" w:hAnsi="仿宋_GB2312" w:eastAsia="仿宋_GB2312" w:cs="仿宋_GB2312"/>
          <w:color w:val="auto"/>
          <w:sz w:val="32"/>
          <w:szCs w:val="32"/>
          <w:highlight w:val="none"/>
          <w:lang w:eastAsia="zh-CN"/>
        </w:rPr>
        <w:t>生</w:t>
      </w:r>
      <w:r>
        <w:rPr>
          <w:rFonts w:hint="eastAsia" w:ascii="仿宋_GB2312" w:hAnsi="仿宋_GB2312" w:eastAsia="仿宋_GB2312" w:cs="仿宋_GB2312"/>
          <w:b w:val="0"/>
          <w:bCs w:val="0"/>
          <w:color w:val="auto"/>
          <w:sz w:val="32"/>
          <w:szCs w:val="32"/>
          <w:highlight w:val="none"/>
        </w:rPr>
        <w:t>应在系统学习本专业知识并完成有关实习实训基础上，全面提升知识、能力、素质，掌握并实际运用岗位（群）需要的专业核心技术技能，实现德智体美劳全面发展</w:t>
      </w:r>
      <w:r>
        <w:rPr>
          <w:rFonts w:hint="eastAsia"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lang w:eastAsia="zh-CN"/>
        </w:rPr>
        <w:t>总体上须达到以下要求：</w:t>
      </w:r>
    </w:p>
    <w:p>
      <w:pPr>
        <w:keepNext w:val="0"/>
        <w:keepLines w:val="0"/>
        <w:pageBreakBefore w:val="0"/>
        <w:widowControl w:val="0"/>
        <w:numPr>
          <w:ilvl w:val="0"/>
          <w:numId w:val="1"/>
        </w:numPr>
        <w:kinsoku/>
        <w:wordWrap/>
        <w:overflowPunct w:val="0"/>
        <w:topLinePunct w:val="0"/>
        <w:autoSpaceDE/>
        <w:autoSpaceDN/>
        <w:bidi w:val="0"/>
        <w:adjustRightInd w:val="0"/>
        <w:snapToGrid/>
        <w:spacing w:after="0" w:line="520" w:lineRule="exact"/>
        <w:ind w:right="0" w:rightChars="0" w:firstLine="640" w:firstLineChars="200"/>
        <w:textAlignment w:val="auto"/>
        <w:outlineLvl w:val="0"/>
        <w:rPr>
          <w:rFonts w:hint="eastAsia" w:ascii="楷体" w:hAnsi="楷体" w:eastAsia="楷体" w:cs="楷体"/>
          <w:color w:val="auto"/>
          <w:sz w:val="32"/>
          <w:szCs w:val="32"/>
          <w:highlight w:val="none"/>
          <w:lang w:val="en-US" w:eastAsia="zh-CN"/>
        </w:rPr>
      </w:pPr>
      <w:r>
        <w:rPr>
          <w:rFonts w:hint="eastAsia" w:ascii="楷体" w:hAnsi="楷体" w:eastAsia="楷体" w:cs="楷体"/>
          <w:color w:val="auto"/>
          <w:sz w:val="32"/>
          <w:szCs w:val="32"/>
          <w:highlight w:val="none"/>
        </w:rPr>
        <w:t>知识</w:t>
      </w:r>
      <w:r>
        <w:rPr>
          <w:rFonts w:hint="eastAsia" w:ascii="楷体" w:hAnsi="楷体" w:eastAsia="楷体" w:cs="楷体"/>
          <w:color w:val="auto"/>
          <w:sz w:val="32"/>
          <w:szCs w:val="32"/>
          <w:highlight w:val="none"/>
          <w:lang w:val="en-US" w:eastAsia="zh-CN"/>
        </w:rPr>
        <w:t>目标</w:t>
      </w:r>
    </w:p>
    <w:p>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right="0" w:rightChars="0" w:firstLine="640" w:firstLineChars="200"/>
        <w:jc w:val="both"/>
        <w:textAlignment w:val="auto"/>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 xml:space="preserve">1.掌握与本专业对应职业活动相关的国家法律、行业规定，掌握绿色生产、环境保护、安全防护、质量管理等相关知识与技能，了解相关行业文化，具有爱岗敬业的职业精神，遵 守职业道德准则和行为规范，具备社会责任感和担当精神； </w:t>
      </w:r>
    </w:p>
    <w:p>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right="0" w:rightChars="0" w:firstLine="640" w:firstLineChars="200"/>
        <w:jc w:val="both"/>
        <w:textAlignment w:val="auto"/>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 xml:space="preserve">2.掌握支撑本专业学习和可持续发展必备的语文、数学、外语（英语等）、信息技术等文化基础知识，具有良好的人文素养与科学素养，具备职业生涯规划能力； </w:t>
      </w:r>
    </w:p>
    <w:p>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right="0" w:rightChars="0" w:firstLine="640" w:firstLineChars="200"/>
        <w:jc w:val="both"/>
        <w:textAlignment w:val="auto"/>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 xml:space="preserve">3.具有良好的语言表达能力、文字表达能力、沟通合作能力，具有较强的集体意识和团队合作意识，学习1 门外语并结合本专业加以运用； </w:t>
      </w:r>
    </w:p>
    <w:p>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right="0" w:rightChars="0" w:firstLine="640" w:firstLineChars="200"/>
        <w:jc w:val="both"/>
        <w:textAlignment w:val="auto"/>
        <w:outlineLvl w:val="0"/>
        <w:rPr>
          <w:rFonts w:hint="eastAsia" w:ascii="楷体" w:hAnsi="楷体" w:eastAsia="楷体" w:cs="楷体"/>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4.掌握经济管理、会计核算、外贸单证、外贸跟单、国际结算、国际商法、市场营销、通关物流、外贸风险管理、国际商务礼仪、跨境电子商务等方面的专业基础理论知识。</w:t>
      </w:r>
      <w:r>
        <w:rPr>
          <w:rFonts w:hint="eastAsia" w:ascii="楷体" w:hAnsi="楷体" w:eastAsia="楷体" w:cs="楷体"/>
          <w:color w:val="auto"/>
          <w:sz w:val="32"/>
          <w:szCs w:val="32"/>
          <w:highlight w:val="none"/>
          <w:lang w:val="en-US" w:eastAsia="zh-CN"/>
        </w:rPr>
        <w:t xml:space="preserve"> </w:t>
      </w:r>
    </w:p>
    <w:p>
      <w:pPr>
        <w:keepNext w:val="0"/>
        <w:keepLines w:val="0"/>
        <w:pageBreakBefore w:val="0"/>
        <w:widowControl w:val="0"/>
        <w:numPr>
          <w:ilvl w:val="0"/>
          <w:numId w:val="1"/>
        </w:numPr>
        <w:kinsoku/>
        <w:wordWrap/>
        <w:overflowPunct w:val="0"/>
        <w:topLinePunct w:val="0"/>
        <w:autoSpaceDE/>
        <w:autoSpaceDN/>
        <w:bidi w:val="0"/>
        <w:adjustRightInd w:val="0"/>
        <w:snapToGrid/>
        <w:spacing w:after="0" w:line="520" w:lineRule="exact"/>
        <w:ind w:left="0" w:leftChars="0" w:right="0" w:firstLine="640" w:firstLineChars="200"/>
        <w:textAlignment w:val="auto"/>
        <w:outlineLvl w:val="0"/>
        <w:rPr>
          <w:rFonts w:hint="eastAsia" w:ascii="楷体" w:hAnsi="楷体" w:eastAsia="楷体" w:cs="楷体"/>
          <w:color w:val="auto"/>
          <w:sz w:val="32"/>
          <w:szCs w:val="32"/>
          <w:highlight w:val="none"/>
          <w:lang w:val="en-US" w:eastAsia="zh-CN"/>
        </w:rPr>
      </w:pPr>
      <w:r>
        <w:rPr>
          <w:rFonts w:hint="eastAsia" w:ascii="楷体" w:hAnsi="楷体" w:eastAsia="楷体" w:cs="楷体"/>
          <w:color w:val="auto"/>
          <w:sz w:val="32"/>
          <w:szCs w:val="32"/>
          <w:highlight w:val="none"/>
        </w:rPr>
        <w:t>能力</w:t>
      </w:r>
      <w:r>
        <w:rPr>
          <w:rFonts w:hint="eastAsia" w:ascii="楷体" w:hAnsi="楷体" w:eastAsia="楷体" w:cs="楷体"/>
          <w:color w:val="auto"/>
          <w:sz w:val="32"/>
          <w:szCs w:val="32"/>
          <w:highlight w:val="none"/>
          <w:lang w:val="en-US" w:eastAsia="zh-CN"/>
        </w:rPr>
        <w:t>目标</w:t>
      </w:r>
    </w:p>
    <w:p>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right="0" w:rightChars="0" w:firstLine="640" w:firstLineChars="200"/>
        <w:jc w:val="both"/>
        <w:textAlignment w:val="auto"/>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 xml:space="preserve">1.能够开展进出口贸易的磋商、签约、履约、善后工作； </w:t>
      </w:r>
    </w:p>
    <w:p>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right="0" w:rightChars="0" w:firstLine="640" w:firstLineChars="200"/>
        <w:jc w:val="both"/>
        <w:textAlignment w:val="auto"/>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 xml:space="preserve">2.能够制作、办理和审核各种外贸单证； </w:t>
      </w:r>
    </w:p>
    <w:p>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right="0" w:rightChars="0" w:firstLine="640" w:firstLineChars="200"/>
        <w:jc w:val="both"/>
        <w:textAlignment w:val="auto"/>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 xml:space="preserve">3.能够合理选择供应商，开展原材料跟单、样品跟单、生产进度跟单、产品质量跟单、包装跟单和运输跟单；   </w:t>
      </w:r>
    </w:p>
    <w:p>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right="0" w:rightChars="0" w:firstLine="640" w:firstLineChars="200"/>
        <w:jc w:val="both"/>
        <w:textAlignment w:val="auto"/>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 xml:space="preserve">4.能够开展外贸企业自建站和跨境电商 B2B 平台市场推广、店铺装修、数据分析和运 营、磋商签约、履约和客户管理等工作； </w:t>
      </w:r>
    </w:p>
    <w:p>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right="0" w:rightChars="0" w:firstLine="640" w:firstLineChars="200"/>
        <w:jc w:val="both"/>
        <w:textAlignment w:val="auto"/>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 xml:space="preserve">5.能够开展国际搜索引擎优化、海外社交媒体营销、产品规划和开发、品牌规划和推广等工作； </w:t>
      </w:r>
    </w:p>
    <w:p>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right="0" w:rightChars="0" w:firstLine="640" w:firstLineChars="200"/>
        <w:jc w:val="both"/>
        <w:textAlignment w:val="auto"/>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 xml:space="preserve">6.掌握信息技术基础知识，具有适应本行业数字化和智能化发展需求的数字技能； </w:t>
      </w:r>
    </w:p>
    <w:p>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right="0" w:rightChars="0" w:firstLine="640" w:firstLineChars="200"/>
        <w:jc w:val="both"/>
        <w:textAlignment w:val="auto"/>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7.具有探究学习、终身学习和可持续发展的能力，具有整合知识和综合运用知识分 析问题和解决问题的能力。</w:t>
      </w:r>
    </w:p>
    <w:p>
      <w:pPr>
        <w:keepNext w:val="0"/>
        <w:keepLines w:val="0"/>
        <w:pageBreakBefore w:val="0"/>
        <w:widowControl w:val="0"/>
        <w:numPr>
          <w:ilvl w:val="0"/>
          <w:numId w:val="1"/>
        </w:numPr>
        <w:kinsoku/>
        <w:wordWrap/>
        <w:overflowPunct w:val="0"/>
        <w:topLinePunct w:val="0"/>
        <w:autoSpaceDE/>
        <w:autoSpaceDN/>
        <w:bidi w:val="0"/>
        <w:adjustRightInd w:val="0"/>
        <w:snapToGrid/>
        <w:spacing w:after="0" w:line="520" w:lineRule="exact"/>
        <w:ind w:left="0" w:leftChars="0" w:firstLine="640" w:firstLineChars="200"/>
        <w:textAlignment w:val="auto"/>
        <w:outlineLvl w:val="0"/>
        <w:rPr>
          <w:rFonts w:hint="eastAsia" w:ascii="楷体" w:hAnsi="楷体" w:eastAsia="楷体" w:cs="楷体"/>
          <w:color w:val="auto"/>
          <w:sz w:val="32"/>
          <w:szCs w:val="32"/>
          <w:highlight w:val="none"/>
          <w:lang w:val="en-US" w:eastAsia="zh-CN"/>
        </w:rPr>
      </w:pPr>
      <w:r>
        <w:rPr>
          <w:rFonts w:hint="eastAsia" w:ascii="楷体" w:hAnsi="楷体" w:eastAsia="楷体" w:cs="楷体"/>
          <w:color w:val="auto"/>
          <w:sz w:val="32"/>
          <w:szCs w:val="32"/>
          <w:highlight w:val="none"/>
        </w:rPr>
        <w:t>素质</w:t>
      </w:r>
      <w:r>
        <w:rPr>
          <w:rFonts w:hint="eastAsia" w:ascii="楷体" w:hAnsi="楷体" w:eastAsia="楷体" w:cs="楷体"/>
          <w:color w:val="auto"/>
          <w:sz w:val="32"/>
          <w:szCs w:val="32"/>
          <w:highlight w:val="none"/>
          <w:lang w:val="en-US" w:eastAsia="zh-CN"/>
        </w:rPr>
        <w:t>目标</w:t>
      </w:r>
    </w:p>
    <w:p>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firstLine="640" w:firstLineChars="200"/>
        <w:jc w:val="both"/>
        <w:textAlignment w:val="auto"/>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1.坚定拥护中国共产党领导和中国特色社会主义制度，以习近平新时代中国特色社会主义思想为指导，践行社会主义核心价值观，具有坚定的理想信念、深厚的爱国情感和中华 民族自豪感；</w:t>
      </w:r>
    </w:p>
    <w:p>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firstLine="640" w:firstLineChars="200"/>
        <w:jc w:val="both"/>
        <w:textAlignment w:val="auto"/>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 xml:space="preserve">2.掌握身体运动的基本知识和至少1项体育运动技能，达到国家大学生体质健康测试 合格标准，养成良好的运动习惯、卫生习惯和行为习惯；具备一定的心理调适能力； </w:t>
      </w:r>
    </w:p>
    <w:p>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firstLine="640" w:firstLineChars="200"/>
        <w:jc w:val="both"/>
        <w:textAlignment w:val="auto"/>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 xml:space="preserve">3.掌握必备的美育知识，具有一定的文化修养、审美能力，形成至少1项艺术特长或爱好； </w:t>
      </w:r>
    </w:p>
    <w:p>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firstLine="640" w:firstLineChars="200"/>
        <w:jc w:val="both"/>
        <w:textAlignment w:val="auto"/>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4.树立正确的劳动观，尊重劳动，热爱劳动，具备与本专业职业发展相适应的劳动素养，弘扬劳模精神、劳动精神、工匠精神，弘扬劳动光荣、技能宝贵、创造伟大的时代风尚。</w:t>
      </w:r>
    </w:p>
    <w:p>
      <w:pPr>
        <w:keepNext w:val="0"/>
        <w:keepLines w:val="0"/>
        <w:pageBreakBefore w:val="0"/>
        <w:widowControl w:val="0"/>
        <w:kinsoku/>
        <w:wordWrap/>
        <w:overflowPunct/>
        <w:topLinePunct w:val="0"/>
        <w:autoSpaceDE/>
        <w:autoSpaceDN/>
        <w:bidi w:val="0"/>
        <w:adjustRightInd w:val="0"/>
        <w:snapToGrid w:val="0"/>
        <w:spacing w:after="0" w:line="520" w:lineRule="exact"/>
        <w:ind w:firstLine="640" w:firstLineChars="200"/>
        <w:textAlignment w:val="auto"/>
        <w:rPr>
          <w:rFonts w:hint="eastAsia"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七</w:t>
      </w:r>
      <w:r>
        <w:rPr>
          <w:rFonts w:hint="eastAsia" w:ascii="黑体" w:hAnsi="黑体" w:eastAsia="黑体" w:cs="黑体"/>
          <w:color w:val="auto"/>
          <w:sz w:val="32"/>
          <w:szCs w:val="32"/>
          <w:highlight w:val="none"/>
        </w:rPr>
        <w:t>、课程设置</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主要包括公共基础课程和专业课程。</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楷体" w:hAnsi="楷体" w:eastAsia="楷体" w:cs="楷体"/>
          <w:color w:val="auto"/>
          <w:sz w:val="32"/>
          <w:szCs w:val="32"/>
          <w:highlight w:val="none"/>
        </w:rPr>
      </w:pPr>
      <w:r>
        <w:rPr>
          <w:rFonts w:hint="eastAsia" w:ascii="楷体" w:hAnsi="楷体" w:eastAsia="楷体" w:cs="楷体"/>
          <w:color w:val="auto"/>
          <w:sz w:val="32"/>
          <w:szCs w:val="32"/>
          <w:highlight w:val="none"/>
        </w:rPr>
        <w:t>（一）公共基础课程</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b w:val="0"/>
          <w:bCs w:val="0"/>
          <w:color w:val="auto"/>
          <w:sz w:val="32"/>
          <w:szCs w:val="32"/>
          <w:highlight w:val="none"/>
          <w:lang w:eastAsia="zh-CN"/>
        </w:rPr>
      </w:pPr>
      <w:bookmarkStart w:id="0" w:name="_Toc90734974"/>
      <w:r>
        <w:rPr>
          <w:rFonts w:hint="eastAsia" w:ascii="仿宋_GB2312" w:hAnsi="仿宋_GB2312" w:eastAsia="仿宋_GB2312" w:cs="仿宋_GB2312"/>
          <w:b w:val="0"/>
          <w:bCs w:val="0"/>
          <w:color w:val="auto"/>
          <w:sz w:val="32"/>
          <w:szCs w:val="32"/>
          <w:highlight w:val="none"/>
          <w:lang w:eastAsia="zh-CN"/>
        </w:rPr>
        <w:t>分为公共必修课和公共选修课。</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b w:val="0"/>
          <w:bCs w:val="0"/>
          <w:color w:val="auto"/>
          <w:sz w:val="32"/>
          <w:szCs w:val="32"/>
          <w:highlight w:val="none"/>
          <w:lang w:eastAsia="zh-CN"/>
        </w:rPr>
      </w:pPr>
      <w:r>
        <w:rPr>
          <w:rFonts w:hint="eastAsia" w:ascii="仿宋_GB2312" w:hAnsi="仿宋_GB2312" w:eastAsia="仿宋_GB2312" w:cs="仿宋_GB2312"/>
          <w:b w:val="0"/>
          <w:bCs w:val="0"/>
          <w:color w:val="auto"/>
          <w:sz w:val="32"/>
          <w:szCs w:val="32"/>
          <w:highlight w:val="none"/>
          <w:lang w:eastAsia="zh-CN"/>
        </w:rPr>
        <w:t>必修</w:t>
      </w:r>
      <w:r>
        <w:rPr>
          <w:rFonts w:hint="eastAsia" w:ascii="仿宋_GB2312" w:hAnsi="仿宋_GB2312" w:eastAsia="仿宋_GB2312" w:cs="仿宋_GB2312"/>
          <w:b w:val="0"/>
          <w:bCs w:val="0"/>
          <w:color w:val="auto"/>
          <w:sz w:val="32"/>
          <w:szCs w:val="32"/>
          <w:highlight w:val="none"/>
        </w:rPr>
        <w:t>课程包括</w:t>
      </w:r>
      <w:bookmarkEnd w:id="0"/>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思想道德与法治</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形势与政策</w:t>
      </w:r>
      <w:r>
        <w:rPr>
          <w:rFonts w:hint="eastAsia" w:ascii="仿宋_GB2312" w:hAnsi="仿宋_GB2312" w:eastAsia="仿宋_GB2312" w:cs="仿宋_GB2312"/>
          <w:b w:val="0"/>
          <w:bCs w:val="0"/>
          <w:color w:val="auto"/>
          <w:sz w:val="32"/>
          <w:szCs w:val="32"/>
          <w:highlight w:val="none"/>
          <w:lang w:eastAsia="zh-CN"/>
        </w:rPr>
        <w:t>、国家安全教育、</w:t>
      </w:r>
      <w:r>
        <w:rPr>
          <w:rFonts w:hint="eastAsia" w:ascii="仿宋_GB2312" w:hAnsi="仿宋_GB2312" w:eastAsia="仿宋_GB2312" w:cs="仿宋_GB2312"/>
          <w:b w:val="0"/>
          <w:bCs w:val="0"/>
          <w:color w:val="auto"/>
          <w:sz w:val="32"/>
          <w:szCs w:val="32"/>
          <w:highlight w:val="none"/>
        </w:rPr>
        <w:t>军事理论</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军训</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计算机基础</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高等数学</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大学英语</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lang w:val="en-US" w:eastAsia="zh-CN"/>
        </w:rPr>
        <w:t>大学</w:t>
      </w:r>
      <w:r>
        <w:rPr>
          <w:rFonts w:hint="eastAsia" w:ascii="仿宋_GB2312" w:hAnsi="仿宋_GB2312" w:eastAsia="仿宋_GB2312" w:cs="仿宋_GB2312"/>
          <w:b w:val="0"/>
          <w:bCs w:val="0"/>
          <w:color w:val="auto"/>
          <w:sz w:val="32"/>
          <w:szCs w:val="32"/>
          <w:highlight w:val="none"/>
        </w:rPr>
        <w:t>体育</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大学生职业发展与就业指导</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大学生心理健康教育</w:t>
      </w:r>
      <w:r>
        <w:rPr>
          <w:rFonts w:hint="eastAsia" w:ascii="仿宋_GB2312" w:hAnsi="仿宋_GB2312" w:eastAsia="仿宋_GB2312" w:cs="仿宋_GB2312"/>
          <w:b w:val="0"/>
          <w:bCs w:val="0"/>
          <w:color w:val="auto"/>
          <w:sz w:val="32"/>
          <w:szCs w:val="32"/>
          <w:highlight w:val="none"/>
          <w:lang w:eastAsia="zh-CN"/>
        </w:rPr>
        <w:t>、劳动教育、</w:t>
      </w:r>
      <w:r>
        <w:rPr>
          <w:rFonts w:hint="eastAsia" w:ascii="仿宋_GB2312" w:hAnsi="仿宋_GB2312" w:eastAsia="仿宋_GB2312" w:cs="仿宋_GB2312"/>
          <w:b w:val="0"/>
          <w:bCs w:val="0"/>
          <w:color w:val="auto"/>
          <w:sz w:val="32"/>
          <w:szCs w:val="32"/>
          <w:highlight w:val="none"/>
        </w:rPr>
        <w:t>毛泽东思想和中国特色社会主义理论体系概论</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创新创业教育</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习近平新时代中国特色社会主义思想概论</w:t>
      </w:r>
      <w:r>
        <w:rPr>
          <w:rFonts w:hint="eastAsia" w:ascii="仿宋_GB2312" w:hAnsi="仿宋_GB2312" w:eastAsia="仿宋_GB2312" w:cs="仿宋_GB2312"/>
          <w:b w:val="0"/>
          <w:bCs w:val="0"/>
          <w:color w:val="auto"/>
          <w:sz w:val="32"/>
          <w:szCs w:val="32"/>
          <w:highlight w:val="none"/>
          <w:lang w:eastAsia="zh-CN"/>
        </w:rPr>
        <w:t>。</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b w:val="0"/>
          <w:bCs w:val="0"/>
          <w:color w:val="auto"/>
          <w:sz w:val="32"/>
          <w:szCs w:val="32"/>
          <w:highlight w:val="none"/>
          <w:lang w:eastAsia="zh-CN"/>
        </w:rPr>
      </w:pPr>
      <w:r>
        <w:rPr>
          <w:rFonts w:hint="eastAsia" w:ascii="仿宋_GB2312" w:hAnsi="仿宋_GB2312" w:eastAsia="仿宋_GB2312" w:cs="仿宋_GB2312"/>
          <w:b w:val="0"/>
          <w:bCs w:val="0"/>
          <w:color w:val="auto"/>
          <w:sz w:val="32"/>
          <w:szCs w:val="32"/>
          <w:highlight w:val="none"/>
          <w:lang w:eastAsia="zh-CN"/>
        </w:rPr>
        <w:t>选修课程包括：</w:t>
      </w:r>
      <w:r>
        <w:rPr>
          <w:rFonts w:hint="eastAsia" w:ascii="仿宋_GB2312" w:hAnsi="仿宋_GB2312" w:eastAsia="仿宋_GB2312" w:cs="仿宋_GB2312"/>
          <w:b w:val="0"/>
          <w:bCs w:val="0"/>
          <w:color w:val="auto"/>
          <w:sz w:val="32"/>
          <w:szCs w:val="32"/>
          <w:highlight w:val="none"/>
        </w:rPr>
        <w:t>中国民俗剪纸技法</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影视与鉴赏</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中国共产党简史</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中华人民共和国简史</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改革开放简史</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社会主义发展简史</w:t>
      </w:r>
      <w:r>
        <w:rPr>
          <w:rFonts w:hint="eastAsia" w:ascii="仿宋_GB2312" w:hAnsi="仿宋_GB2312" w:eastAsia="仿宋_GB2312" w:cs="仿宋_GB2312"/>
          <w:b w:val="0"/>
          <w:bCs w:val="0"/>
          <w:color w:val="auto"/>
          <w:sz w:val="32"/>
          <w:szCs w:val="32"/>
          <w:highlight w:val="none"/>
          <w:lang w:eastAsia="zh-CN"/>
        </w:rPr>
        <w:t>、中华优秀传统文化、中华民族共同体概论、</w:t>
      </w:r>
      <w:r>
        <w:rPr>
          <w:rFonts w:hint="eastAsia" w:ascii="仿宋_GB2312" w:hAnsi="仿宋_GB2312" w:eastAsia="仿宋_GB2312" w:cs="仿宋_GB2312"/>
          <w:b w:val="0"/>
          <w:bCs w:val="0"/>
          <w:color w:val="auto"/>
          <w:sz w:val="32"/>
          <w:szCs w:val="32"/>
          <w:highlight w:val="none"/>
          <w:lang w:val="en-US" w:eastAsia="zh-CN"/>
        </w:rPr>
        <w:t>语文、社会责任、金融知识</w:t>
      </w:r>
      <w:r>
        <w:rPr>
          <w:rFonts w:hint="eastAsia" w:ascii="仿宋_GB2312" w:hAnsi="仿宋_GB2312" w:eastAsia="仿宋_GB2312" w:cs="仿宋_GB2312"/>
          <w:b w:val="0"/>
          <w:bCs w:val="0"/>
          <w:color w:val="auto"/>
          <w:sz w:val="32"/>
          <w:szCs w:val="32"/>
          <w:highlight w:val="none"/>
          <w:lang w:eastAsia="zh-CN"/>
        </w:rPr>
        <w:t>。</w:t>
      </w:r>
    </w:p>
    <w:p>
      <w:pPr>
        <w:overflowPunct w:val="0"/>
        <w:adjustRightInd w:val="0"/>
        <w:spacing w:line="520" w:lineRule="exact"/>
        <w:ind w:firstLine="640" w:firstLineChars="200"/>
        <w:jc w:val="center"/>
        <w:outlineLvl w:val="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表2</w:t>
      </w:r>
      <w:r>
        <w:rPr>
          <w:rFonts w:hint="eastAsia" w:ascii="仿宋_GB2312" w:hAnsi="仿宋_GB2312" w:eastAsia="仿宋_GB2312" w:cs="仿宋_GB2312"/>
          <w:color w:val="auto"/>
          <w:sz w:val="32"/>
          <w:szCs w:val="32"/>
          <w:highlight w:val="none"/>
          <w:lang w:val="en-US" w:eastAsia="zh-CN"/>
        </w:rPr>
        <w:t xml:space="preserve"> </w:t>
      </w:r>
      <w:r>
        <w:rPr>
          <w:rFonts w:hint="eastAsia" w:ascii="仿宋_GB2312" w:hAnsi="仿宋_GB2312" w:eastAsia="仿宋_GB2312" w:cs="仿宋_GB2312"/>
          <w:color w:val="auto"/>
          <w:sz w:val="32"/>
          <w:szCs w:val="32"/>
          <w:highlight w:val="none"/>
        </w:rPr>
        <w:t>公共基础课</w:t>
      </w:r>
      <w:r>
        <w:rPr>
          <w:rFonts w:hint="eastAsia" w:ascii="仿宋_GB2312" w:hAnsi="仿宋_GB2312" w:eastAsia="仿宋_GB2312" w:cs="仿宋_GB2312"/>
          <w:color w:val="auto"/>
          <w:sz w:val="32"/>
          <w:szCs w:val="32"/>
          <w:highlight w:val="none"/>
          <w:lang w:val="en-US" w:eastAsia="zh-CN"/>
        </w:rPr>
        <w:t>课程目标、主要教学内容与要求</w:t>
      </w:r>
    </w:p>
    <w:tbl>
      <w:tblPr>
        <w:tblStyle w:val="7"/>
        <w:tblW w:w="1090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32" w:type="dxa"/>
          <w:left w:w="64" w:type="dxa"/>
          <w:bottom w:w="32" w:type="dxa"/>
          <w:right w:w="64" w:type="dxa"/>
        </w:tblCellMar>
      </w:tblPr>
      <w:tblGrid>
        <w:gridCol w:w="608"/>
        <w:gridCol w:w="820"/>
        <w:gridCol w:w="4115"/>
        <w:gridCol w:w="3235"/>
        <w:gridCol w:w="21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2" w:type="dxa"/>
            <w:left w:w="64" w:type="dxa"/>
            <w:bottom w:w="32" w:type="dxa"/>
            <w:right w:w="64" w:type="dxa"/>
          </w:tblCellMar>
        </w:tblPrEx>
        <w:trPr>
          <w:trHeight w:val="0" w:hRule="atLeast"/>
          <w:jc w:val="center"/>
        </w:trPr>
        <w:tc>
          <w:tcPr>
            <w:tcW w:w="608" w:type="dxa"/>
            <w:vAlign w:val="center"/>
          </w:tcPr>
          <w:p>
            <w:pPr>
              <w:snapToGrid w:val="0"/>
              <w:spacing w:line="360" w:lineRule="exact"/>
              <w:jc w:val="center"/>
              <w:rPr>
                <w:rFonts w:hint="eastAsia" w:ascii="仿宋_GB2312" w:hAnsi="仿宋_GB2312" w:eastAsia="仿宋_GB2312" w:cs="仿宋_GB2312"/>
                <w:b w:val="0"/>
                <w:bCs/>
                <w:color w:val="auto"/>
                <w:sz w:val="24"/>
                <w:szCs w:val="24"/>
                <w:highlight w:val="none"/>
                <w:lang w:eastAsia="zh-CN"/>
              </w:rPr>
            </w:pPr>
            <w:r>
              <w:rPr>
                <w:rFonts w:hint="eastAsia" w:ascii="仿宋_GB2312" w:hAnsi="仿宋_GB2312" w:eastAsia="仿宋_GB2312" w:cs="仿宋_GB2312"/>
                <w:b w:val="0"/>
                <w:bCs/>
                <w:color w:val="auto"/>
                <w:sz w:val="24"/>
                <w:szCs w:val="24"/>
                <w:highlight w:val="none"/>
                <w:lang w:eastAsia="zh-CN"/>
              </w:rPr>
              <w:t>序号</w:t>
            </w:r>
          </w:p>
        </w:tc>
        <w:tc>
          <w:tcPr>
            <w:tcW w:w="820" w:type="dxa"/>
            <w:vAlign w:val="center"/>
          </w:tcPr>
          <w:p>
            <w:pPr>
              <w:snapToGrid w:val="0"/>
              <w:spacing w:line="360" w:lineRule="exact"/>
              <w:jc w:val="center"/>
              <w:rPr>
                <w:rFonts w:hint="eastAsia" w:ascii="仿宋_GB2312" w:hAnsi="仿宋_GB2312" w:eastAsia="仿宋_GB2312" w:cs="仿宋_GB2312"/>
                <w:b w:val="0"/>
                <w:bCs/>
                <w:color w:val="auto"/>
                <w:sz w:val="24"/>
                <w:szCs w:val="24"/>
                <w:highlight w:val="none"/>
                <w:lang w:eastAsia="zh-CN"/>
              </w:rPr>
            </w:pPr>
            <w:r>
              <w:rPr>
                <w:rFonts w:hint="eastAsia" w:ascii="仿宋_GB2312" w:hAnsi="仿宋_GB2312" w:eastAsia="仿宋_GB2312" w:cs="仿宋_GB2312"/>
                <w:b w:val="0"/>
                <w:bCs/>
                <w:color w:val="auto"/>
                <w:sz w:val="24"/>
                <w:szCs w:val="24"/>
                <w:highlight w:val="none"/>
                <w:lang w:eastAsia="zh-CN"/>
              </w:rPr>
              <w:t>课程名称</w:t>
            </w:r>
          </w:p>
        </w:tc>
        <w:tc>
          <w:tcPr>
            <w:tcW w:w="4115" w:type="dxa"/>
            <w:vAlign w:val="center"/>
          </w:tcPr>
          <w:p>
            <w:pPr>
              <w:snapToGrid w:val="0"/>
              <w:spacing w:line="360" w:lineRule="exact"/>
              <w:jc w:val="center"/>
              <w:rPr>
                <w:rFonts w:hint="eastAsia" w:ascii="仿宋_GB2312" w:hAnsi="仿宋_GB2312" w:eastAsia="仿宋_GB2312" w:cs="仿宋_GB2312"/>
                <w:b w:val="0"/>
                <w:bCs/>
                <w:color w:val="auto"/>
                <w:sz w:val="24"/>
                <w:szCs w:val="24"/>
                <w:highlight w:val="none"/>
              </w:rPr>
            </w:pPr>
            <w:r>
              <w:rPr>
                <w:rFonts w:hint="eastAsia" w:ascii="仿宋_GB2312" w:hAnsi="仿宋_GB2312" w:eastAsia="仿宋_GB2312" w:cs="仿宋_GB2312"/>
                <w:b w:val="0"/>
                <w:bCs/>
                <w:color w:val="auto"/>
                <w:sz w:val="24"/>
                <w:szCs w:val="24"/>
                <w:highlight w:val="none"/>
                <w:lang w:val="en-US" w:eastAsia="zh-CN"/>
              </w:rPr>
              <w:t>课程目标</w:t>
            </w:r>
          </w:p>
        </w:tc>
        <w:tc>
          <w:tcPr>
            <w:tcW w:w="3235" w:type="dxa"/>
            <w:vAlign w:val="center"/>
          </w:tcPr>
          <w:p>
            <w:pPr>
              <w:snapToGrid w:val="0"/>
              <w:spacing w:line="360" w:lineRule="exact"/>
              <w:jc w:val="center"/>
              <w:rPr>
                <w:rFonts w:hint="eastAsia" w:ascii="仿宋_GB2312" w:hAnsi="仿宋_GB2312" w:eastAsia="仿宋_GB2312" w:cs="仿宋_GB2312"/>
                <w:b w:val="0"/>
                <w:bCs/>
                <w:color w:val="auto"/>
                <w:sz w:val="24"/>
                <w:szCs w:val="24"/>
                <w:highlight w:val="none"/>
              </w:rPr>
            </w:pPr>
            <w:r>
              <w:rPr>
                <w:rFonts w:hint="eastAsia" w:ascii="仿宋_GB2312" w:hAnsi="仿宋_GB2312" w:eastAsia="仿宋_GB2312" w:cs="仿宋_GB2312"/>
                <w:b w:val="0"/>
                <w:bCs/>
                <w:color w:val="auto"/>
                <w:sz w:val="24"/>
                <w:szCs w:val="24"/>
                <w:highlight w:val="none"/>
                <w:lang w:val="en-US" w:eastAsia="zh-CN"/>
              </w:rPr>
              <w:t>主要教学内容</w:t>
            </w:r>
          </w:p>
        </w:tc>
        <w:tc>
          <w:tcPr>
            <w:tcW w:w="2128" w:type="dxa"/>
            <w:vAlign w:val="center"/>
          </w:tcPr>
          <w:p>
            <w:pPr>
              <w:snapToGrid w:val="0"/>
              <w:spacing w:line="360" w:lineRule="exact"/>
              <w:jc w:val="center"/>
              <w:rPr>
                <w:rFonts w:hint="eastAsia" w:ascii="仿宋_GB2312" w:hAnsi="仿宋_GB2312" w:eastAsia="仿宋_GB2312" w:cs="仿宋_GB2312"/>
                <w:b w:val="0"/>
                <w:bCs/>
                <w:color w:val="auto"/>
                <w:sz w:val="24"/>
                <w:szCs w:val="24"/>
                <w:highlight w:val="none"/>
                <w:lang w:eastAsia="zh-CN"/>
              </w:rPr>
            </w:pPr>
            <w:r>
              <w:rPr>
                <w:rFonts w:hint="eastAsia" w:ascii="仿宋_GB2312" w:hAnsi="仿宋_GB2312" w:eastAsia="仿宋_GB2312" w:cs="仿宋_GB2312"/>
                <w:b w:val="0"/>
                <w:bCs/>
                <w:color w:val="auto"/>
                <w:sz w:val="24"/>
                <w:szCs w:val="24"/>
                <w:highlight w:val="none"/>
                <w:lang w:eastAsia="zh-CN"/>
              </w:rPr>
              <w:t>教学要求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2" w:type="dxa"/>
            <w:left w:w="64" w:type="dxa"/>
            <w:bottom w:w="32" w:type="dxa"/>
            <w:right w:w="64" w:type="dxa"/>
          </w:tblCellMar>
        </w:tblPrEx>
        <w:trPr>
          <w:trHeight w:val="0" w:hRule="atLeast"/>
          <w:jc w:val="center"/>
        </w:trPr>
        <w:tc>
          <w:tcPr>
            <w:tcW w:w="608" w:type="dxa"/>
            <w:vAlign w:val="center"/>
          </w:tcPr>
          <w:p>
            <w:pPr>
              <w:keepNext w:val="0"/>
              <w:keepLines w:val="0"/>
              <w:pageBreakBefore w:val="0"/>
              <w:widowControl w:val="0"/>
              <w:kinsoku/>
              <w:wordWrap/>
              <w:overflowPunct/>
              <w:topLinePunct w:val="0"/>
              <w:autoSpaceDE/>
              <w:autoSpaceDN/>
              <w:bidi w:val="0"/>
              <w:adjustRightInd/>
              <w:snapToGrid w:val="0"/>
              <w:spacing w:after="0" w:line="30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1</w:t>
            </w:r>
          </w:p>
        </w:tc>
        <w:tc>
          <w:tcPr>
            <w:tcW w:w="820" w:type="dxa"/>
            <w:vAlign w:val="center"/>
          </w:tcPr>
          <w:p>
            <w:pPr>
              <w:keepNext w:val="0"/>
              <w:keepLines w:val="0"/>
              <w:pageBreakBefore w:val="0"/>
              <w:widowControl w:val="0"/>
              <w:kinsoku/>
              <w:wordWrap/>
              <w:overflowPunct/>
              <w:topLinePunct w:val="0"/>
              <w:autoSpaceDE/>
              <w:autoSpaceDN/>
              <w:bidi w:val="0"/>
              <w:adjustRightInd/>
              <w:snapToGrid w:val="0"/>
              <w:spacing w:after="0" w:line="300" w:lineRule="exact"/>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思想道德与法治</w:t>
            </w:r>
          </w:p>
        </w:tc>
        <w:tc>
          <w:tcPr>
            <w:tcW w:w="4115" w:type="dxa"/>
            <w:vAlign w:val="top"/>
          </w:tcPr>
          <w:p>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b w:val="0"/>
                <w:bCs w:val="0"/>
                <w:color w:val="auto"/>
                <w:sz w:val="24"/>
                <w:szCs w:val="24"/>
                <w:highlight w:val="none"/>
              </w:rPr>
              <w:t>系统掌握本课程的基本原理和理论，了解新时代、人生观、远大理想、中国精神、社会</w:t>
            </w:r>
            <w:r>
              <w:rPr>
                <w:rFonts w:hint="eastAsia" w:ascii="仿宋_GB2312" w:hAnsi="仿宋_GB2312" w:eastAsia="仿宋_GB2312" w:cs="仿宋_GB2312"/>
                <w:b w:val="0"/>
                <w:bCs w:val="0"/>
                <w:color w:val="auto"/>
                <w:sz w:val="24"/>
                <w:szCs w:val="24"/>
                <w:highlight w:val="none"/>
                <w:lang w:eastAsia="zh-CN"/>
              </w:rPr>
              <w:t>主义</w:t>
            </w:r>
            <w:r>
              <w:rPr>
                <w:rFonts w:hint="eastAsia" w:ascii="仿宋_GB2312" w:hAnsi="仿宋_GB2312" w:eastAsia="仿宋_GB2312" w:cs="仿宋_GB2312"/>
                <w:b w:val="0"/>
                <w:bCs w:val="0"/>
                <w:color w:val="auto"/>
                <w:sz w:val="24"/>
                <w:szCs w:val="24"/>
                <w:highlight w:val="none"/>
              </w:rPr>
              <w:t>核心价值观、道德规范、法治等相关内容，构建起个人与国家、社会，个人与职业、婚姻家庭之间命运共同体内在关联的 科学认知体系。</w:t>
            </w:r>
          </w:p>
          <w:p>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w:t>
            </w:r>
            <w:r>
              <w:rPr>
                <w:rFonts w:hint="eastAsia" w:ascii="仿宋_GB2312" w:hAnsi="仿宋_GB2312" w:eastAsia="仿宋_GB2312" w:cs="仿宋_GB2312"/>
                <w:b w:val="0"/>
                <w:bCs w:val="0"/>
                <w:color w:val="auto"/>
                <w:sz w:val="24"/>
                <w:szCs w:val="24"/>
                <w:highlight w:val="none"/>
              </w:rPr>
              <w:t>能够运用基本原理和理论分析判断是非、明辨善恶；认真审视和正视自身言行举止，弃“恶”扬善，从“我”做起、从日常小事做起、从现在做起，逐渐养成自觉践行社会主义核心价值观的习惯。</w:t>
            </w:r>
          </w:p>
          <w:p>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b w:val="0"/>
                <w:bCs w:val="0"/>
                <w:color w:val="auto"/>
                <w:sz w:val="24"/>
                <w:szCs w:val="24"/>
                <w:highlight w:val="none"/>
              </w:rPr>
              <w:t>以习近平新时代中国特色社会主义思想为指导，以引导大学生成长为担当民族复兴大任的时代新人为着眼点，以新时代对青年大学生的新要求为切入点，以人生选择、理想信念、价值观念、道德觉悟、法治素养等为主体内容，以提升大学生思想道德素养和法治素养为目标，教育和激励大学生立大志、明大德、成大才、担大任，在实现中国梦的生动实践中放飞青春梦想，成为自觉担当民族复兴大任的时代新人。</w:t>
            </w:r>
          </w:p>
        </w:tc>
        <w:tc>
          <w:tcPr>
            <w:tcW w:w="3235" w:type="dxa"/>
            <w:vAlign w:val="top"/>
          </w:tcPr>
          <w:p>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val="0"/>
                <w:bCs w:val="0"/>
                <w:color w:val="auto"/>
                <w:sz w:val="24"/>
                <w:szCs w:val="24"/>
                <w:highlight w:val="none"/>
              </w:rPr>
              <w:t>本课程包括三大知识模块：一是思想政治教育，包括绪论、第一至四章，旨在引导帮助大学生树立正确的人生观，确立科学的理想信念，弘扬以爱国主义为核心的民族精神和以改革创新为核心的时代精神，积极培育</w:t>
            </w:r>
            <w:r>
              <w:rPr>
                <w:rFonts w:hint="eastAsia" w:ascii="仿宋_GB2312" w:hAnsi="仿宋_GB2312" w:eastAsia="仿宋_GB2312" w:cs="仿宋_GB2312"/>
                <w:b w:val="0"/>
                <w:bCs w:val="0"/>
                <w:color w:val="auto"/>
                <w:sz w:val="24"/>
                <w:szCs w:val="24"/>
                <w:highlight w:val="none"/>
                <w:lang w:val="en-US" w:eastAsia="zh-CN"/>
              </w:rPr>
              <w:t>和</w:t>
            </w:r>
            <w:r>
              <w:rPr>
                <w:rFonts w:hint="eastAsia" w:ascii="仿宋_GB2312" w:hAnsi="仿宋_GB2312" w:eastAsia="仿宋_GB2312" w:cs="仿宋_GB2312"/>
                <w:b w:val="0"/>
                <w:bCs w:val="0"/>
                <w:color w:val="auto"/>
                <w:sz w:val="24"/>
                <w:szCs w:val="24"/>
                <w:highlight w:val="none"/>
              </w:rPr>
              <w:t>践行社会主义核心价值观。二是道德教育，包括第五章，旨在帮助大学生理解道德的本质和作用，继承中华民族优秀美德和中国革命道德，遵循社会主义道德核心和原则，遵守道德规范，提升个人品德。三是法治教育，包括第六章，主要帮助大学生了解法律特别是社会主义法律的特征和运行，掌握以宪法为核心的中国特色社会主义法律体系的基本内容，领会坚持走中国特色社会主义法治道路的基本原则，引导大学生积极培养法治思维，合理行使法律规定的权利和义务。</w:t>
            </w:r>
          </w:p>
        </w:tc>
        <w:tc>
          <w:tcPr>
            <w:tcW w:w="2128" w:type="dxa"/>
            <w:vAlign w:val="top"/>
          </w:tcPr>
          <w:p>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color w:val="auto"/>
                <w:sz w:val="24"/>
                <w:szCs w:val="24"/>
                <w:highlight w:val="none"/>
                <w:shd w:val="clear" w:color="auto" w:fill="FFFFFF"/>
              </w:rPr>
            </w:pPr>
            <w:r>
              <w:rPr>
                <w:rFonts w:hint="eastAsia" w:ascii="仿宋_GB2312" w:hAnsi="仿宋_GB2312" w:eastAsia="仿宋_GB2312" w:cs="仿宋_GB2312"/>
                <w:color w:val="auto"/>
                <w:sz w:val="24"/>
                <w:szCs w:val="24"/>
                <w:highlight w:val="none"/>
                <w:shd w:val="clear" w:color="auto" w:fill="FFFFFF"/>
              </w:rPr>
              <w:t>通</w:t>
            </w:r>
            <w:r>
              <w:rPr>
                <w:rFonts w:hint="eastAsia" w:ascii="仿宋_GB2312" w:hAnsi="仿宋_GB2312" w:eastAsia="仿宋_GB2312" w:cs="仿宋_GB2312"/>
                <w:color w:val="auto"/>
                <w:sz w:val="24"/>
                <w:szCs w:val="24"/>
                <w:highlight w:val="none"/>
                <w:shd w:val="clear" w:color="auto" w:fill="FFFFFF"/>
                <w:lang w:val="en-US" w:eastAsia="zh-CN"/>
              </w:rPr>
              <w:t>过</w:t>
            </w:r>
            <w:r>
              <w:rPr>
                <w:rFonts w:hint="eastAsia" w:ascii="仿宋_GB2312" w:hAnsi="仿宋_GB2312" w:eastAsia="仿宋_GB2312" w:cs="仿宋_GB2312"/>
                <w:color w:val="auto"/>
                <w:sz w:val="24"/>
                <w:szCs w:val="24"/>
                <w:highlight w:val="none"/>
                <w:shd w:val="clear" w:color="auto" w:fill="FFFFFF"/>
              </w:rPr>
              <w:t>教师的理论讲授和学生的实践体验，让大学生形成崇高的理想信念，弘扬伟大的爱国主义精神，确立正确的人生观和价值观，牢固树立社会主义核心价值观，培养良好的思想道德素质和法律素质，成长为德、智、体、美、劳全面发展的中国特色社会主义伟大事业的合格建设者和可靠接班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2" w:type="dxa"/>
            <w:left w:w="64" w:type="dxa"/>
            <w:bottom w:w="32" w:type="dxa"/>
            <w:right w:w="64" w:type="dxa"/>
          </w:tblCellMar>
        </w:tblPrEx>
        <w:trPr>
          <w:trHeight w:val="0" w:hRule="atLeast"/>
          <w:jc w:val="center"/>
        </w:trPr>
        <w:tc>
          <w:tcPr>
            <w:tcW w:w="608" w:type="dxa"/>
            <w:vAlign w:val="center"/>
          </w:tcPr>
          <w:p>
            <w:pPr>
              <w:keepNext w:val="0"/>
              <w:keepLines w:val="0"/>
              <w:pageBreakBefore w:val="0"/>
              <w:widowControl w:val="0"/>
              <w:kinsoku/>
              <w:wordWrap/>
              <w:overflowPunct/>
              <w:topLinePunct w:val="0"/>
              <w:autoSpaceDE/>
              <w:autoSpaceDN/>
              <w:bidi w:val="0"/>
              <w:adjustRightInd/>
              <w:snapToGrid w:val="0"/>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snapToGrid w:val="0"/>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snapToGrid w:val="0"/>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snapToGrid w:val="0"/>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snapToGrid w:val="0"/>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snapToGrid w:val="0"/>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snapToGrid w:val="0"/>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snapToGrid w:val="0"/>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snapToGrid w:val="0"/>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snapToGrid w:val="0"/>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2</w:t>
            </w:r>
          </w:p>
        </w:tc>
        <w:tc>
          <w:tcPr>
            <w:tcW w:w="820"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after="0" w:line="300" w:lineRule="exact"/>
              <w:jc w:val="left"/>
              <w:textAlignment w:val="auto"/>
              <w:rPr>
                <w:rFonts w:hint="eastAsia" w:ascii="仿宋_GB2312" w:hAnsi="仿宋_GB2312" w:eastAsia="仿宋_GB2312" w:cs="仿宋_GB2312"/>
                <w:b w:val="0"/>
                <w:bCs w:val="0"/>
                <w:color w:val="auto"/>
                <w:sz w:val="24"/>
                <w:szCs w:val="24"/>
                <w:highlight w:val="none"/>
              </w:rPr>
            </w:pPr>
          </w:p>
          <w:p>
            <w:pPr>
              <w:keepNext w:val="0"/>
              <w:keepLines w:val="0"/>
              <w:pageBreakBefore w:val="0"/>
              <w:widowControl w:val="0"/>
              <w:kinsoku/>
              <w:wordWrap/>
              <w:overflowPunct/>
              <w:topLinePunct w:val="0"/>
              <w:autoSpaceDE/>
              <w:autoSpaceDN/>
              <w:bidi w:val="0"/>
              <w:adjustRightInd/>
              <w:snapToGrid w:val="0"/>
              <w:spacing w:after="0" w:line="300" w:lineRule="exact"/>
              <w:jc w:val="left"/>
              <w:textAlignment w:val="auto"/>
              <w:rPr>
                <w:rFonts w:hint="eastAsia" w:ascii="仿宋_GB2312" w:hAnsi="仿宋_GB2312" w:eastAsia="仿宋_GB2312" w:cs="仿宋_GB2312"/>
                <w:b w:val="0"/>
                <w:bCs w:val="0"/>
                <w:color w:val="auto"/>
                <w:sz w:val="24"/>
                <w:szCs w:val="24"/>
                <w:highlight w:val="none"/>
              </w:rPr>
            </w:pPr>
          </w:p>
          <w:p>
            <w:pPr>
              <w:keepNext w:val="0"/>
              <w:keepLines w:val="0"/>
              <w:pageBreakBefore w:val="0"/>
              <w:widowControl w:val="0"/>
              <w:kinsoku/>
              <w:wordWrap/>
              <w:overflowPunct/>
              <w:topLinePunct w:val="0"/>
              <w:autoSpaceDE/>
              <w:autoSpaceDN/>
              <w:bidi w:val="0"/>
              <w:adjustRightInd/>
              <w:snapToGrid w:val="0"/>
              <w:spacing w:after="0" w:line="300" w:lineRule="exact"/>
              <w:jc w:val="left"/>
              <w:textAlignment w:val="auto"/>
              <w:rPr>
                <w:rFonts w:hint="eastAsia" w:ascii="仿宋_GB2312" w:hAnsi="仿宋_GB2312" w:eastAsia="仿宋_GB2312" w:cs="仿宋_GB2312"/>
                <w:b w:val="0"/>
                <w:bCs w:val="0"/>
                <w:color w:val="auto"/>
                <w:sz w:val="24"/>
                <w:szCs w:val="24"/>
                <w:highlight w:val="none"/>
              </w:rPr>
            </w:pPr>
          </w:p>
          <w:p>
            <w:pPr>
              <w:keepNext w:val="0"/>
              <w:keepLines w:val="0"/>
              <w:pageBreakBefore w:val="0"/>
              <w:widowControl w:val="0"/>
              <w:kinsoku/>
              <w:wordWrap/>
              <w:overflowPunct/>
              <w:topLinePunct w:val="0"/>
              <w:autoSpaceDE/>
              <w:autoSpaceDN/>
              <w:bidi w:val="0"/>
              <w:adjustRightInd/>
              <w:snapToGrid w:val="0"/>
              <w:spacing w:after="0" w:line="300" w:lineRule="exact"/>
              <w:jc w:val="left"/>
              <w:textAlignment w:val="auto"/>
              <w:rPr>
                <w:rFonts w:hint="eastAsia" w:ascii="仿宋_GB2312" w:hAnsi="仿宋_GB2312" w:eastAsia="仿宋_GB2312" w:cs="仿宋_GB2312"/>
                <w:b w:val="0"/>
                <w:bCs w:val="0"/>
                <w:color w:val="auto"/>
                <w:sz w:val="24"/>
                <w:szCs w:val="24"/>
                <w:highlight w:val="none"/>
              </w:rPr>
            </w:pPr>
          </w:p>
          <w:p>
            <w:pPr>
              <w:keepNext w:val="0"/>
              <w:keepLines w:val="0"/>
              <w:pageBreakBefore w:val="0"/>
              <w:widowControl w:val="0"/>
              <w:kinsoku/>
              <w:wordWrap/>
              <w:overflowPunct/>
              <w:topLinePunct w:val="0"/>
              <w:autoSpaceDE/>
              <w:autoSpaceDN/>
              <w:bidi w:val="0"/>
              <w:adjustRightInd/>
              <w:snapToGrid w:val="0"/>
              <w:spacing w:after="0" w:line="300" w:lineRule="exact"/>
              <w:jc w:val="left"/>
              <w:textAlignment w:val="auto"/>
              <w:rPr>
                <w:rFonts w:hint="eastAsia" w:ascii="仿宋_GB2312" w:hAnsi="仿宋_GB2312" w:eastAsia="仿宋_GB2312" w:cs="仿宋_GB2312"/>
                <w:b w:val="0"/>
                <w:bCs w:val="0"/>
                <w:color w:val="auto"/>
                <w:sz w:val="24"/>
                <w:szCs w:val="24"/>
                <w:highlight w:val="none"/>
              </w:rPr>
            </w:pPr>
          </w:p>
          <w:p>
            <w:pPr>
              <w:keepNext w:val="0"/>
              <w:keepLines w:val="0"/>
              <w:pageBreakBefore w:val="0"/>
              <w:widowControl w:val="0"/>
              <w:kinsoku/>
              <w:wordWrap/>
              <w:overflowPunct/>
              <w:topLinePunct w:val="0"/>
              <w:autoSpaceDE/>
              <w:autoSpaceDN/>
              <w:bidi w:val="0"/>
              <w:adjustRightInd/>
              <w:snapToGrid w:val="0"/>
              <w:spacing w:after="0" w:line="300" w:lineRule="exact"/>
              <w:jc w:val="left"/>
              <w:textAlignment w:val="auto"/>
              <w:rPr>
                <w:rFonts w:hint="eastAsia" w:ascii="仿宋_GB2312" w:hAnsi="仿宋_GB2312" w:eastAsia="仿宋_GB2312" w:cs="仿宋_GB2312"/>
                <w:b w:val="0"/>
                <w:bCs w:val="0"/>
                <w:color w:val="auto"/>
                <w:sz w:val="24"/>
                <w:szCs w:val="24"/>
                <w:highlight w:val="none"/>
              </w:rPr>
            </w:pPr>
          </w:p>
          <w:p>
            <w:pPr>
              <w:keepNext w:val="0"/>
              <w:keepLines w:val="0"/>
              <w:pageBreakBefore w:val="0"/>
              <w:widowControl w:val="0"/>
              <w:kinsoku/>
              <w:wordWrap/>
              <w:overflowPunct/>
              <w:topLinePunct w:val="0"/>
              <w:autoSpaceDE/>
              <w:autoSpaceDN/>
              <w:bidi w:val="0"/>
              <w:adjustRightInd/>
              <w:snapToGrid w:val="0"/>
              <w:spacing w:after="0" w:line="300" w:lineRule="exact"/>
              <w:jc w:val="left"/>
              <w:textAlignment w:val="auto"/>
              <w:rPr>
                <w:rFonts w:hint="eastAsia" w:ascii="仿宋_GB2312" w:hAnsi="仿宋_GB2312" w:eastAsia="仿宋_GB2312" w:cs="仿宋_GB2312"/>
                <w:b w:val="0"/>
                <w:bCs w:val="0"/>
                <w:color w:val="auto"/>
                <w:sz w:val="24"/>
                <w:szCs w:val="24"/>
                <w:highlight w:val="none"/>
              </w:rPr>
            </w:pPr>
          </w:p>
          <w:p>
            <w:pPr>
              <w:keepNext w:val="0"/>
              <w:keepLines w:val="0"/>
              <w:pageBreakBefore w:val="0"/>
              <w:widowControl w:val="0"/>
              <w:kinsoku/>
              <w:wordWrap/>
              <w:overflowPunct/>
              <w:topLinePunct w:val="0"/>
              <w:autoSpaceDE/>
              <w:autoSpaceDN/>
              <w:bidi w:val="0"/>
              <w:adjustRightInd/>
              <w:snapToGrid w:val="0"/>
              <w:spacing w:after="0" w:line="300" w:lineRule="exact"/>
              <w:jc w:val="left"/>
              <w:textAlignment w:val="auto"/>
              <w:rPr>
                <w:rFonts w:hint="eastAsia" w:ascii="仿宋_GB2312" w:hAnsi="仿宋_GB2312" w:eastAsia="仿宋_GB2312" w:cs="仿宋_GB2312"/>
                <w:b w:val="0"/>
                <w:bCs w:val="0"/>
                <w:color w:val="auto"/>
                <w:sz w:val="24"/>
                <w:szCs w:val="24"/>
                <w:highlight w:val="none"/>
              </w:rPr>
            </w:pPr>
          </w:p>
          <w:p>
            <w:pPr>
              <w:keepNext w:val="0"/>
              <w:keepLines w:val="0"/>
              <w:pageBreakBefore w:val="0"/>
              <w:widowControl w:val="0"/>
              <w:kinsoku/>
              <w:wordWrap/>
              <w:overflowPunct/>
              <w:topLinePunct w:val="0"/>
              <w:autoSpaceDE/>
              <w:autoSpaceDN/>
              <w:bidi w:val="0"/>
              <w:adjustRightInd/>
              <w:snapToGrid w:val="0"/>
              <w:spacing w:after="0" w:line="300" w:lineRule="exact"/>
              <w:jc w:val="left"/>
              <w:textAlignment w:val="auto"/>
              <w:rPr>
                <w:rFonts w:hint="eastAsia" w:ascii="仿宋_GB2312" w:hAnsi="仿宋_GB2312" w:eastAsia="仿宋_GB2312" w:cs="仿宋_GB2312"/>
                <w:b w:val="0"/>
                <w:bCs w:val="0"/>
                <w:color w:val="auto"/>
                <w:sz w:val="24"/>
                <w:szCs w:val="24"/>
                <w:highlight w:val="none"/>
              </w:rPr>
            </w:pPr>
          </w:p>
          <w:p>
            <w:pPr>
              <w:keepNext w:val="0"/>
              <w:keepLines w:val="0"/>
              <w:pageBreakBefore w:val="0"/>
              <w:widowControl w:val="0"/>
              <w:kinsoku/>
              <w:wordWrap/>
              <w:overflowPunct/>
              <w:topLinePunct w:val="0"/>
              <w:autoSpaceDE/>
              <w:autoSpaceDN/>
              <w:bidi w:val="0"/>
              <w:adjustRightInd/>
              <w:snapToGrid w:val="0"/>
              <w:spacing w:after="0" w:line="300" w:lineRule="exact"/>
              <w:jc w:val="left"/>
              <w:textAlignment w:val="auto"/>
              <w:rPr>
                <w:rFonts w:hint="eastAsia" w:ascii="仿宋_GB2312" w:hAnsi="仿宋_GB2312" w:eastAsia="仿宋_GB2312" w:cs="仿宋_GB2312"/>
                <w:b w:val="0"/>
                <w:bCs w:val="0"/>
                <w:color w:val="auto"/>
                <w:sz w:val="24"/>
                <w:szCs w:val="24"/>
                <w:highlight w:val="none"/>
                <w:lang w:val="en-US" w:eastAsia="zh-CN"/>
              </w:rPr>
            </w:pPr>
            <w:r>
              <w:rPr>
                <w:rFonts w:hint="eastAsia" w:ascii="仿宋_GB2312" w:hAnsi="仿宋_GB2312" w:eastAsia="仿宋_GB2312" w:cs="仿宋_GB2312"/>
                <w:b w:val="0"/>
                <w:bCs w:val="0"/>
                <w:color w:val="auto"/>
                <w:sz w:val="24"/>
                <w:szCs w:val="24"/>
                <w:highlight w:val="none"/>
              </w:rPr>
              <w:t>形势与政策</w:t>
            </w:r>
          </w:p>
        </w:tc>
        <w:tc>
          <w:tcPr>
            <w:tcW w:w="4115" w:type="dxa"/>
            <w:shd w:val="clear" w:color="auto" w:fill="auto"/>
            <w:vAlign w:val="top"/>
          </w:tcPr>
          <w:p>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引导和帮助学生掌握认识形势与政策问题的基本理论和基础知识，包括科学分析形势与政策的方法论、形势发展变化的规律、政策的产生和发展、政策的本质和特征等基础知识；了解国内外重大事件和热点</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难点问题，紧跟时代脉搏，融入变革潮流；重点是了解</w:t>
            </w:r>
            <w:r>
              <w:rPr>
                <w:rFonts w:hint="eastAsia" w:ascii="仿宋_GB2312" w:hAnsi="仿宋_GB2312" w:eastAsia="仿宋_GB2312" w:cs="仿宋_GB2312"/>
                <w:b w:val="0"/>
                <w:bCs w:val="0"/>
                <w:color w:val="auto"/>
                <w:sz w:val="24"/>
                <w:szCs w:val="24"/>
                <w:highlight w:val="none"/>
                <w:lang w:val="en-US" w:eastAsia="zh-CN"/>
              </w:rPr>
              <w:t>党的二十</w:t>
            </w:r>
            <w:r>
              <w:rPr>
                <w:rFonts w:hint="eastAsia" w:ascii="仿宋_GB2312" w:hAnsi="仿宋_GB2312" w:eastAsia="仿宋_GB2312" w:cs="仿宋_GB2312"/>
                <w:b w:val="0"/>
                <w:bCs w:val="0"/>
                <w:color w:val="auto"/>
                <w:sz w:val="24"/>
                <w:szCs w:val="24"/>
                <w:highlight w:val="none"/>
              </w:rPr>
              <w:t>大以来形成的一系列政策体系，理解党的路线、方针、政策的正确性。</w:t>
            </w:r>
          </w:p>
          <w:p>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培养学生掌握正确分析形势和理解政策的能力，特别是对国内外重大事件、敏感问题、社会热点、难点、疑点问题的思考、分析和判断能力。</w:t>
            </w:r>
          </w:p>
          <w:p>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b w:val="0"/>
                <w:bCs w:val="0"/>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b w:val="0"/>
                <w:bCs w:val="0"/>
                <w:color w:val="auto"/>
                <w:sz w:val="24"/>
                <w:szCs w:val="24"/>
                <w:highlight w:val="none"/>
              </w:rPr>
              <w:t>使学生感知国情民意，体会党的路线方针政策的正确，把对形势与政策的认识统一到党和国家的科学判断上和正确决策上，</w:t>
            </w:r>
            <w:r>
              <w:rPr>
                <w:rFonts w:hint="eastAsia" w:ascii="仿宋_GB2312" w:hAnsi="仿宋_GB2312" w:eastAsia="仿宋_GB2312" w:cs="仿宋_GB2312"/>
                <w:b w:val="0"/>
                <w:bCs w:val="0"/>
                <w:color w:val="auto"/>
                <w:sz w:val="24"/>
                <w:szCs w:val="24"/>
                <w:highlight w:val="none"/>
                <w:lang w:val="en-US" w:eastAsia="zh-CN"/>
              </w:rPr>
              <w:t>不断增强</w:t>
            </w:r>
            <w:r>
              <w:rPr>
                <w:rFonts w:hint="eastAsia" w:ascii="仿宋_GB2312" w:hAnsi="仿宋_GB2312" w:eastAsia="仿宋_GB2312" w:cs="仿宋_GB2312"/>
                <w:b w:val="0"/>
                <w:bCs w:val="0"/>
                <w:color w:val="auto"/>
                <w:sz w:val="24"/>
                <w:szCs w:val="24"/>
                <w:highlight w:val="none"/>
              </w:rPr>
              <w:t>“四个意识”</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坚定“四个自信”</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做到“两个维护”，为实现中华民族伟大复兴而发奋学习。</w:t>
            </w:r>
          </w:p>
        </w:tc>
        <w:tc>
          <w:tcPr>
            <w:tcW w:w="3235" w:type="dxa"/>
            <w:shd w:val="clear" w:color="auto" w:fill="auto"/>
            <w:vAlign w:val="top"/>
          </w:tcPr>
          <w:p>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根据</w:t>
            </w:r>
            <w:r>
              <w:rPr>
                <w:rFonts w:hint="eastAsia" w:ascii="仿宋_GB2312" w:hAnsi="仿宋_GB2312" w:eastAsia="仿宋_GB2312" w:cs="仿宋_GB2312"/>
                <w:color w:val="auto"/>
                <w:sz w:val="24"/>
                <w:szCs w:val="24"/>
                <w:highlight w:val="none"/>
                <w:lang w:eastAsia="zh-CN"/>
              </w:rPr>
              <w:t>新时代面临的新情况新问题，针对学生关注的热点问题和思想特点，</w:t>
            </w:r>
            <w:r>
              <w:rPr>
                <w:rFonts w:hint="eastAsia" w:ascii="仿宋_GB2312" w:hAnsi="仿宋_GB2312" w:eastAsia="仿宋_GB2312" w:cs="仿宋_GB2312"/>
                <w:color w:val="auto"/>
                <w:sz w:val="24"/>
                <w:szCs w:val="24"/>
                <w:highlight w:val="none"/>
              </w:rPr>
              <w:t>涵盖国际形势、国内形势、社会热点、国家政策等</w:t>
            </w:r>
            <w:r>
              <w:rPr>
                <w:rFonts w:hint="eastAsia" w:ascii="仿宋_GB2312" w:hAnsi="仿宋_GB2312" w:eastAsia="仿宋_GB2312" w:cs="仿宋_GB2312"/>
                <w:color w:val="auto"/>
                <w:sz w:val="24"/>
                <w:szCs w:val="24"/>
                <w:highlight w:val="none"/>
                <w:lang w:val="en-US" w:eastAsia="zh-CN"/>
              </w:rPr>
              <w:t>内容</w:t>
            </w:r>
            <w:r>
              <w:rPr>
                <w:rFonts w:hint="eastAsia" w:ascii="仿宋_GB2312" w:hAnsi="仿宋_GB2312" w:eastAsia="仿宋_GB2312" w:cs="仿宋_GB2312"/>
                <w:color w:val="auto"/>
                <w:sz w:val="24"/>
                <w:szCs w:val="24"/>
                <w:highlight w:val="none"/>
              </w:rPr>
              <w:t>。通过学习，学生了解当前国内外政治、经济、文化、社会等领域的最新动态和趋势，掌握党和国家最新的方针政策和决策部署，为未来的学习和工作提供重要的参考和指导。同时，课程还将培养学生的分析判断能力、政策理解能力和社会实践能力，提升学生的综合素质和社会适应能力。</w:t>
            </w:r>
          </w:p>
        </w:tc>
        <w:tc>
          <w:tcPr>
            <w:tcW w:w="2128" w:type="dxa"/>
            <w:shd w:val="clear" w:color="auto" w:fill="auto"/>
            <w:vAlign w:val="top"/>
          </w:tcPr>
          <w:p>
            <w:pPr>
              <w:keepNext w:val="0"/>
              <w:keepLines w:val="0"/>
              <w:pageBreakBefore w:val="0"/>
              <w:widowControl/>
              <w:suppressLineNumbers w:val="0"/>
              <w:kinsoku/>
              <w:wordWrap/>
              <w:overflowPunct/>
              <w:topLinePunct w:val="0"/>
              <w:autoSpaceDE/>
              <w:autoSpaceDN/>
              <w:bidi w:val="0"/>
              <w:adjustRightInd/>
              <w:snapToGrid w:val="0"/>
              <w:spacing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0"/>
                <w:sz w:val="24"/>
                <w:szCs w:val="24"/>
                <w:highlight w:val="none"/>
                <w:lang w:val="en-US" w:eastAsia="zh-CN" w:bidi="ar"/>
              </w:rPr>
              <w:t>按照中宣部、教育部每年每学期颁发的形势与政策课教学要点、要求和内容，对指定的专题进行教学。</w:t>
            </w:r>
            <w:r>
              <w:rPr>
                <w:rFonts w:hint="eastAsia" w:ascii="仿宋_GB2312" w:hAnsi="仿宋_GB2312" w:eastAsia="仿宋_GB2312" w:cs="仿宋_GB2312"/>
                <w:color w:val="auto"/>
                <w:sz w:val="24"/>
                <w:szCs w:val="24"/>
                <w:highlight w:val="none"/>
              </w:rPr>
              <w:t>教师采取混合式教学和学生研讨，聚焦社会热点、回应学生关切问题，提高学生运用马克思主义理论的立场</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观点</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方法解决实际问题的能力，提高政治辨别力，紧密围绕在以习近平同志为核心的党中央周围，奋进新征程。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2" w:type="dxa"/>
            <w:left w:w="64" w:type="dxa"/>
            <w:bottom w:w="32" w:type="dxa"/>
            <w:right w:w="64" w:type="dxa"/>
          </w:tblCellMar>
        </w:tblPrEx>
        <w:trPr>
          <w:trHeight w:val="0" w:hRule="atLeast"/>
          <w:jc w:val="center"/>
        </w:trPr>
        <w:tc>
          <w:tcPr>
            <w:tcW w:w="608" w:type="dxa"/>
            <w:vAlign w:val="center"/>
          </w:tcPr>
          <w:p>
            <w:pPr>
              <w:keepNext w:val="0"/>
              <w:keepLines w:val="0"/>
              <w:pageBreakBefore w:val="0"/>
              <w:widowControl w:val="0"/>
              <w:kinsoku/>
              <w:wordWrap/>
              <w:overflowPunct/>
              <w:topLinePunct w:val="0"/>
              <w:autoSpaceDE/>
              <w:autoSpaceDN/>
              <w:bidi w:val="0"/>
              <w:adjustRightInd/>
              <w:snapToGrid w:val="0"/>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3</w:t>
            </w:r>
          </w:p>
        </w:tc>
        <w:tc>
          <w:tcPr>
            <w:tcW w:w="820"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after="0" w:line="300" w:lineRule="exact"/>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国家安全教育</w:t>
            </w:r>
          </w:p>
        </w:tc>
        <w:tc>
          <w:tcPr>
            <w:tcW w:w="4115" w:type="dxa"/>
            <w:shd w:val="clear" w:color="auto" w:fill="auto"/>
            <w:vAlign w:val="top"/>
          </w:tcPr>
          <w:p>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color w:val="auto"/>
                <w:sz w:val="24"/>
                <w:szCs w:val="24"/>
                <w:highlight w:val="none"/>
                <w:lang w:val="en-US" w:eastAsia="zh-CN"/>
              </w:rPr>
              <w:t>让学生系统掌握总体国家安全观的内涵和精神实质，理解中国特色国家安全体系，新时代我国国家安全面临的复杂形势，掌握筑牢其他各领域国家安全屏障的具体方法和途径。</w:t>
            </w:r>
          </w:p>
          <w:p>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b/>
                <w:bCs/>
                <w:color w:val="auto"/>
                <w:sz w:val="24"/>
                <w:szCs w:val="24"/>
                <w:highlight w:val="none"/>
                <w:lang w:val="en-US" w:eastAsia="zh-CN"/>
              </w:rPr>
              <w:t>能</w:t>
            </w:r>
            <w:r>
              <w:rPr>
                <w:rFonts w:hint="eastAsia" w:ascii="仿宋_GB2312" w:hAnsi="仿宋_GB2312" w:eastAsia="仿宋_GB2312" w:cs="仿宋_GB2312"/>
                <w:b/>
                <w:bCs/>
                <w:color w:val="auto"/>
                <w:sz w:val="24"/>
                <w:szCs w:val="24"/>
                <w:highlight w:val="none"/>
              </w:rPr>
              <w:t>力目标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lang w:eastAsia="zh-CN"/>
              </w:rPr>
              <w:t>能够建立总体国家安全观，树立中国特色社会主义理想信念，能够做到国家利益至上，维护国家主权、安全和发展利益，能够维护国家正当权益，绝不牺牲国家核心利益；</w:t>
            </w:r>
            <w:r>
              <w:rPr>
                <w:rFonts w:hint="eastAsia" w:ascii="仿宋_GB2312" w:hAnsi="仿宋_GB2312" w:eastAsia="仿宋_GB2312" w:cs="仿宋_GB2312"/>
                <w:color w:val="auto"/>
                <w:sz w:val="24"/>
                <w:szCs w:val="24"/>
                <w:highlight w:val="none"/>
                <w:lang w:val="en-US" w:eastAsia="zh-CN"/>
              </w:rPr>
              <w:t>能够</w:t>
            </w:r>
            <w:r>
              <w:rPr>
                <w:rFonts w:hint="eastAsia" w:ascii="仿宋_GB2312" w:hAnsi="仿宋_GB2312" w:eastAsia="仿宋_GB2312" w:cs="仿宋_GB2312"/>
                <w:color w:val="auto"/>
                <w:sz w:val="24"/>
                <w:szCs w:val="24"/>
                <w:highlight w:val="none"/>
                <w:lang w:eastAsia="zh-CN"/>
              </w:rPr>
              <w:t>增强政治认同，不信谣、不传谣，能够对危害政治安全的违法行为进行举报；能够以实际行动维护</w:t>
            </w:r>
            <w:r>
              <w:rPr>
                <w:rFonts w:hint="eastAsia" w:ascii="仿宋_GB2312" w:hAnsi="仿宋_GB2312" w:eastAsia="仿宋_GB2312" w:cs="仿宋_GB2312"/>
                <w:color w:val="auto"/>
                <w:sz w:val="24"/>
                <w:szCs w:val="24"/>
                <w:highlight w:val="none"/>
                <w:lang w:val="en-US" w:eastAsia="zh-CN"/>
              </w:rPr>
              <w:t>国家</w:t>
            </w:r>
            <w:r>
              <w:rPr>
                <w:rFonts w:hint="eastAsia" w:ascii="仿宋_GB2312" w:hAnsi="仿宋_GB2312" w:eastAsia="仿宋_GB2312" w:cs="仿宋_GB2312"/>
                <w:color w:val="auto"/>
                <w:sz w:val="24"/>
                <w:szCs w:val="24"/>
                <w:highlight w:val="none"/>
                <w:lang w:eastAsia="zh-CN"/>
              </w:rPr>
              <w:t>安全；</w:t>
            </w:r>
          </w:p>
          <w:p>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能够自觉遵守法律，做到诚实守信、廉洁自律；学会合作，为人正派，具有良好的协作、沟通能力和团队精神；严守法纪，坚持原则，自觉践行社会主义核心价值观。树立国家安全意识，培养爱国精神，使其矢志不渝听党话、跟党走，不断成为社会主义合格建设者和可靠接班人。</w:t>
            </w:r>
          </w:p>
          <w:p>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b/>
                <w:bCs/>
                <w:color w:val="auto"/>
                <w:sz w:val="24"/>
                <w:szCs w:val="24"/>
                <w:highlight w:val="none"/>
                <w:lang w:val="en-US" w:eastAsia="zh-CN"/>
              </w:rPr>
              <w:t>课程思政育人目标：</w:t>
            </w:r>
            <w:r>
              <w:rPr>
                <w:rFonts w:hint="eastAsia" w:ascii="仿宋_GB2312" w:hAnsi="仿宋_GB2312" w:eastAsia="仿宋_GB2312" w:cs="仿宋_GB2312"/>
                <w:color w:val="auto"/>
                <w:sz w:val="24"/>
                <w:szCs w:val="24"/>
                <w:highlight w:val="none"/>
                <w:lang w:val="en-US" w:eastAsia="zh-CN"/>
              </w:rPr>
              <w:t>提升学生的国家安全意识，培养学生将理论知识与实践相结合的能力，引导学生运用马克思主义的立场、观点、方法以及总体国家安全观分析和解决问题，构建起维护国家安全的实践能力。使学生树立国家安全底线思维，将国家安全意识转化为自觉行动，强化责任担当。</w:t>
            </w:r>
          </w:p>
        </w:tc>
        <w:tc>
          <w:tcPr>
            <w:tcW w:w="3235" w:type="dxa"/>
            <w:shd w:val="clear" w:color="auto" w:fill="auto"/>
            <w:vAlign w:val="top"/>
          </w:tcPr>
          <w:p>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本课程包含国家安全绪论、政治安全、国土安全、军事安全、经济安全、文化安全、社会安全、科技安全。通过教学，使学生树立国家安全意识，培养学生爱国精神，使其矢志不渝听党话、跟党走，不断成为社会主义合格建设者和可靠接班人。</w:t>
            </w:r>
          </w:p>
        </w:tc>
        <w:tc>
          <w:tcPr>
            <w:tcW w:w="2128" w:type="dxa"/>
            <w:shd w:val="clear" w:color="auto" w:fill="auto"/>
            <w:vAlign w:val="top"/>
          </w:tcPr>
          <w:p>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本课程以坚持总体国家安全观为科学指导，坚持党对国家安全教育的绝对领导，坚持以构建国家安全教育体系为途径，重点围绕理解中华民族命运与国家关系，践行总体国家安全观。学生系统掌握总体国家安全观的内涵和精神实质，理解中国特色国家安全体系，树立国家安全底线思维，将国家安全意识转化为自觉行动，强化学生责任担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2" w:type="dxa"/>
            <w:left w:w="64" w:type="dxa"/>
            <w:bottom w:w="32" w:type="dxa"/>
            <w:right w:w="64" w:type="dxa"/>
          </w:tblCellMar>
        </w:tblPrEx>
        <w:trPr>
          <w:trHeight w:val="0" w:hRule="atLeast"/>
          <w:jc w:val="center"/>
        </w:trPr>
        <w:tc>
          <w:tcPr>
            <w:tcW w:w="608" w:type="dxa"/>
            <w:vAlign w:val="center"/>
          </w:tcPr>
          <w:p>
            <w:pPr>
              <w:keepNext w:val="0"/>
              <w:keepLines w:val="0"/>
              <w:pageBreakBefore w:val="0"/>
              <w:widowControl w:val="0"/>
              <w:kinsoku/>
              <w:wordWrap/>
              <w:overflowPunct/>
              <w:topLinePunct w:val="0"/>
              <w:autoSpaceDE/>
              <w:autoSpaceDN/>
              <w:bidi w:val="0"/>
              <w:adjustRightInd/>
              <w:snapToGrid w:val="0"/>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4</w:t>
            </w:r>
          </w:p>
        </w:tc>
        <w:tc>
          <w:tcPr>
            <w:tcW w:w="820"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军事理论</w:t>
            </w:r>
          </w:p>
        </w:tc>
        <w:tc>
          <w:tcPr>
            <w:tcW w:w="4115" w:type="dxa"/>
            <w:shd w:val="clear" w:color="auto" w:fill="auto"/>
            <w:vAlign w:val="center"/>
          </w:tcPr>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知识目标：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掌握基本的军事理论知识，了解中国国防政策和军事战略，认识信息化战争的特点与规律等。</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能力目标：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培养学生运用所学军事理论知识分析国内外军事事件的能力，以及独立判断和批判性思考的习惯。提升学生的战略思维能力和实际操作技能，提高学生的应急反应速度和自我保护能力，为应对突发事件打下坚实基础。</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素质目标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：激发学生对国家和民族的热爱之情，增强其作为公民的社会责任感和使命感；强化国防观念、国家安全意识与爱国主义精神。‌</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rPr>
                <w:rFonts w:hint="eastAsia" w:ascii="仿宋_GB2312" w:hAnsi="仿宋_GB2312" w:eastAsia="仿宋_GB2312" w:cs="仿宋_GB2312"/>
                <w:color w:val="auto"/>
                <w:kern w:val="2"/>
                <w:sz w:val="24"/>
                <w:szCs w:val="24"/>
                <w:highlight w:val="none"/>
                <w:shd w:val="clear" w:color="auto" w:fill="FFFFFF"/>
                <w:lang w:val="en-US" w:eastAsia="zh-CN" w:bidi="ar-SA"/>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课程思政育人目标：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通过系统的知识传授和能力培养，全面提升学生的综合素质，增强学生国家安全意识和国防观念，为未来成为具有家国情怀、战略视野和创新能力的优秀人才奠定坚实基础。</w:t>
            </w:r>
          </w:p>
        </w:tc>
        <w:tc>
          <w:tcPr>
            <w:tcW w:w="3235" w:type="dxa"/>
            <w:shd w:val="clear" w:color="auto" w:fill="auto"/>
            <w:vAlign w:val="top"/>
          </w:tcPr>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课程内容包括军事基础知识、军事思想、国家安全形势分析、战略环境、军事高技术、现代战争知识等。</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p>
        </w:tc>
        <w:tc>
          <w:tcPr>
            <w:tcW w:w="2128" w:type="dxa"/>
            <w:shd w:val="clear" w:color="auto" w:fill="auto"/>
            <w:vAlign w:val="top"/>
          </w:tcPr>
          <w:p>
            <w:pPr>
              <w:pStyle w:val="6"/>
              <w:keepNext w:val="0"/>
              <w:keepLines w:val="0"/>
              <w:widowControl/>
              <w:suppressLineNumbers w:val="0"/>
              <w:jc w:val="both"/>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本课程以马列主义、毛泽东思想、邓小平理论及习近平强军思想为指导，‌采用多媒体教学、案例研讨，使学生理解总体国家安全观，激发学生献身国防的热情、增强民族自豪感。</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2" w:type="dxa"/>
            <w:left w:w="64" w:type="dxa"/>
            <w:bottom w:w="32" w:type="dxa"/>
            <w:right w:w="64" w:type="dxa"/>
          </w:tblCellMar>
        </w:tblPrEx>
        <w:trPr>
          <w:trHeight w:val="0" w:hRule="atLeast"/>
          <w:jc w:val="center"/>
        </w:trPr>
        <w:tc>
          <w:tcPr>
            <w:tcW w:w="608" w:type="dxa"/>
            <w:vAlign w:val="center"/>
          </w:tcPr>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00" w:lineRule="exact"/>
              <w:ind w:left="0" w:leftChars="0" w:right="0" w:rightChars="0" w:firstLine="0" w:firstLineChars="0"/>
              <w:jc w:val="center"/>
              <w:textAlignment w:val="auto"/>
              <w:rPr>
                <w:rStyle w:val="10"/>
                <w:rFonts w:hint="default"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5</w:t>
            </w:r>
          </w:p>
        </w:tc>
        <w:tc>
          <w:tcPr>
            <w:tcW w:w="820"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Fonts w:hint="eastAsia" w:ascii="仿宋_GB2312" w:hAnsi="仿宋_GB2312" w:eastAsia="仿宋_GB2312" w:cs="仿宋_GB2312"/>
                <w:color w:val="auto"/>
                <w:sz w:val="24"/>
                <w:szCs w:val="24"/>
                <w:highlight w:val="none"/>
                <w:lang w:val="en-US" w:eastAsia="zh-CN"/>
              </w:rPr>
              <w:t>军训</w:t>
            </w:r>
          </w:p>
        </w:tc>
        <w:tc>
          <w:tcPr>
            <w:tcW w:w="4115" w:type="dxa"/>
            <w:shd w:val="clear" w:color="auto" w:fill="auto"/>
            <w:vAlign w:val="center"/>
          </w:tcPr>
          <w:p>
            <w:pPr>
              <w:pStyle w:val="6"/>
              <w:keepNext w:val="0"/>
              <w:keepLines w:val="0"/>
              <w:pageBreakBefore w:val="0"/>
              <w:widowControl/>
              <w:suppressLineNumbers w:val="0"/>
              <w:kinsoku/>
              <w:wordWrap/>
              <w:overflowPunct/>
              <w:topLinePunct w:val="0"/>
              <w:autoSpaceDE/>
              <w:autoSpaceDN/>
              <w:bidi w:val="0"/>
              <w:adjustRightInd/>
              <w:snapToGrid/>
              <w:spacing w:beforeAutospacing="0" w:afterAutospacing="0" w:line="300" w:lineRule="exact"/>
              <w:jc w:val="left"/>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知识目标：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掌握基本的军事技能、完成基础军事训练。</w:t>
            </w:r>
          </w:p>
          <w:p>
            <w:pPr>
              <w:pStyle w:val="6"/>
              <w:keepNext w:val="0"/>
              <w:keepLines w:val="0"/>
              <w:pageBreakBefore w:val="0"/>
              <w:widowControl/>
              <w:suppressLineNumbers w:val="0"/>
              <w:kinsoku/>
              <w:wordWrap/>
              <w:overflowPunct/>
              <w:topLinePunct w:val="0"/>
              <w:autoSpaceDE/>
              <w:autoSpaceDN/>
              <w:bidi w:val="0"/>
              <w:adjustRightInd/>
              <w:snapToGrid/>
              <w:spacing w:beforeAutospacing="0" w:afterAutospacing="0" w:line="300" w:lineRule="exact"/>
              <w:jc w:val="left"/>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能力目标：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结合模拟演练和角色扮演等活动，提升学生的战略思维能力和实际操作技能，增强学生的团队意识和沟通协调能力，提高学生的应急反应速度和自我保护能力，为应对突发事件打下坚实基础。</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素质目标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：培养学生的纪律性和服从意识；强化团队协作精神，锻炼学生的意志力和毅力，培养其面对困难和挑战时不屈不挠的精神风貌，鼓励其为实现中华民族伟大复兴的中国梦贡献力量。</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课程思政育人目标：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通过能力培养，全面提升学生的综合素质，增强学生国防观念，为成为具有家国情怀、战略视野和创新能力的优秀人才奠定坚实基础。</w:t>
            </w:r>
          </w:p>
        </w:tc>
        <w:tc>
          <w:tcPr>
            <w:tcW w:w="3235" w:type="dxa"/>
            <w:shd w:val="clear" w:color="auto" w:fill="auto"/>
            <w:vAlign w:val="top"/>
          </w:tcPr>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课程内容包括队列、战术训练等‌军事技能训练。</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rPr>
                <w:rFonts w:hint="eastAsia" w:ascii="仿宋_GB2312" w:hAnsi="仿宋_GB2312" w:eastAsia="仿宋_GB2312" w:cs="仿宋_GB2312"/>
                <w:color w:val="auto"/>
                <w:sz w:val="24"/>
                <w:szCs w:val="24"/>
                <w:highlight w:val="none"/>
              </w:rPr>
            </w:pPr>
          </w:p>
        </w:tc>
        <w:tc>
          <w:tcPr>
            <w:tcW w:w="2128" w:type="dxa"/>
            <w:shd w:val="clear" w:color="auto" w:fill="auto"/>
            <w:vAlign w:val="top"/>
          </w:tcPr>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rPr>
                <w:rFonts w:hint="eastAsia" w:ascii="仿宋_GB2312" w:hAnsi="仿宋_GB2312" w:eastAsia="仿宋_GB2312" w:cs="仿宋_GB2312"/>
                <w:color w:val="auto"/>
                <w:sz w:val="24"/>
                <w:szCs w:val="24"/>
                <w:highlight w:val="none"/>
              </w:rPr>
            </w:pP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循序渐进，由浅入深，逐步提高学生的军训技能；注重示范指导，通过示范动作带动学生的学习兴趣；强化实践训练，让学生通过实际操作掌握军事技能。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2" w:type="dxa"/>
            <w:left w:w="64" w:type="dxa"/>
            <w:bottom w:w="32" w:type="dxa"/>
            <w:right w:w="64" w:type="dxa"/>
          </w:tblCellMar>
        </w:tblPrEx>
        <w:trPr>
          <w:trHeight w:val="0" w:hRule="atLeast"/>
          <w:jc w:val="center"/>
        </w:trPr>
        <w:tc>
          <w:tcPr>
            <w:tcW w:w="608" w:type="dxa"/>
            <w:vAlign w:val="center"/>
          </w:tcPr>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00" w:lineRule="exact"/>
              <w:ind w:left="0" w:leftChars="0" w:right="0" w:rightChars="0" w:firstLine="0" w:firstLineChars="0"/>
              <w:jc w:val="center"/>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6</w:t>
            </w:r>
          </w:p>
        </w:tc>
        <w:tc>
          <w:tcPr>
            <w:tcW w:w="820" w:type="dxa"/>
            <w:shd w:val="clear" w:color="auto" w:fill="auto"/>
            <w:vAlign w:val="center"/>
          </w:tcPr>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00" w:lineRule="exact"/>
              <w:ind w:left="0" w:leftChars="0" w:right="0" w:rightChars="0" w:firstLine="0" w:firstLineChars="0"/>
              <w:jc w:val="left"/>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计算机基础</w:t>
            </w:r>
          </w:p>
        </w:tc>
        <w:tc>
          <w:tcPr>
            <w:tcW w:w="4115" w:type="dxa"/>
            <w:shd w:val="clear" w:color="auto" w:fill="auto"/>
            <w:vAlign w:val="top"/>
          </w:tcPr>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知识目标：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掌握计算机硬件组成和操作系统基本原理，理解常用办公软件功能特点，了解常用工具软件的分类及基本使用方法，拓展数字化办公技能，帮助学生系统掌握计算机领域的核心理论与前沿动态，为技能应用和职业发展奠定基础。</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能力目标：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培养计算机基本操作能力，熟练使用办公软件处理文档。提升网络应用和信息检索水平，具备解决常见计算机问题的技能。</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素质目标：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培养信息素养和数字思维，</w:t>
            </w:r>
            <w:r>
              <w:rPr>
                <w:rStyle w:val="10"/>
                <w:rFonts w:hint="eastAsia" w:ascii="仿宋_GB2312" w:hAnsi="仿宋_GB2312" w:eastAsia="仿宋_GB2312" w:cs="仿宋_GB2312"/>
                <w:b w:val="0"/>
                <w:bCs w:val="0"/>
                <w:i w:val="0"/>
                <w:iCs w:val="0"/>
                <w:caps w:val="0"/>
                <w:color w:val="auto"/>
                <w:spacing w:val="-6"/>
                <w:kern w:val="0"/>
                <w:sz w:val="24"/>
                <w:szCs w:val="24"/>
                <w:highlight w:val="none"/>
                <w:shd w:val="clear" w:fill="FFFFFF"/>
                <w:lang w:val="en-US" w:eastAsia="zh-CN" w:bidi="ar"/>
              </w:rPr>
              <w:t>提高自主学习新技术能力。树立信息安全意识，养成规范使用计算机的良好习惯。</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00" w:lineRule="exact"/>
              <w:ind w:left="0" w:leftChars="0" w:right="0" w:rightChars="0"/>
              <w:jc w:val="both"/>
              <w:textAlignment w:val="auto"/>
              <w:rPr>
                <w:rFonts w:hint="eastAsia" w:ascii="仿宋_GB2312" w:hAnsi="仿宋_GB2312" w:eastAsia="仿宋_GB2312" w:cs="仿宋_GB2312"/>
                <w:color w:val="auto"/>
                <w:kern w:val="2"/>
                <w:sz w:val="24"/>
                <w:szCs w:val="24"/>
                <w:highlight w:val="none"/>
                <w:lang w:val="en-US" w:eastAsia="zh-CN" w:bidi="ar-SA"/>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课程思政育人目标：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融入科技创新案例，培养科技报国情怀。通过信息伦理教育，强化网络行为规范和责任意识。引导学生树立家国情怀、职业道德和社会责任感，</w:t>
            </w:r>
            <w:r>
              <w:rPr>
                <w:rFonts w:hint="eastAsia" w:ascii="仿宋_GB2312" w:hAnsi="仿宋_GB2312" w:eastAsia="仿宋_GB2312" w:cs="仿宋_GB2312"/>
                <w:b w:val="0"/>
                <w:bCs w:val="0"/>
                <w:color w:val="auto"/>
                <w:kern w:val="2"/>
                <w:sz w:val="24"/>
                <w:szCs w:val="24"/>
                <w:highlight w:val="none"/>
                <w:lang w:val="en-US" w:eastAsia="zh-CN" w:bidi="ar-SA"/>
              </w:rPr>
              <w:t>最终实现“德才兼备、知行合一”的技术人才培养目标，为行业发展与社会进步输送兼具职业道德素养与专业技术能力的复合型人才。</w:t>
            </w:r>
          </w:p>
        </w:tc>
        <w:tc>
          <w:tcPr>
            <w:tcW w:w="3235" w:type="dxa"/>
            <w:shd w:val="clear" w:color="auto" w:fill="auto"/>
            <w:vAlign w:val="top"/>
          </w:tcPr>
          <w:p>
            <w:pPr>
              <w:keepNext w:val="0"/>
              <w:keepLines w:val="0"/>
              <w:pageBreakBefore w:val="0"/>
              <w:widowControl w:val="0"/>
              <w:kinsoku/>
              <w:wordWrap/>
              <w:overflowPunct/>
              <w:topLinePunct w:val="0"/>
              <w:autoSpaceDE/>
              <w:autoSpaceDN/>
              <w:bidi w:val="0"/>
              <w:adjustRightInd/>
              <w:snapToGrid w:val="0"/>
              <w:spacing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课程包含计算机硬件基础、Windows操作系统、Office办公软件、网络基础等模块。重点培养文档处理、数据分析和演示汇报等实用技能，融入专业相关的计算机应用案例。结合新技术发展，介绍云计算、大数据等前沿技术概念。</w:t>
            </w:r>
          </w:p>
        </w:tc>
        <w:tc>
          <w:tcPr>
            <w:tcW w:w="2128" w:type="dxa"/>
            <w:shd w:val="clear" w:color="auto" w:fill="auto"/>
            <w:vAlign w:val="top"/>
          </w:tcPr>
          <w:p>
            <w:pPr>
              <w:keepNext w:val="0"/>
              <w:keepLines w:val="0"/>
              <w:pageBreakBefore w:val="0"/>
              <w:widowControl w:val="0"/>
              <w:kinsoku/>
              <w:wordWrap/>
              <w:overflowPunct/>
              <w:topLinePunct w:val="0"/>
              <w:autoSpaceDE/>
              <w:autoSpaceDN/>
              <w:bidi w:val="0"/>
              <w:adjustRightInd/>
              <w:snapToGrid w:val="0"/>
              <w:spacing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教师需采用任务驱动教学法，设计贴近实际的应用场景。合理运用信息化教学手段，强化实操训练。学生需按时完成实践任务，主动探索软件功能。教学中要注重应用能力培养，突出计算机工具的实用价值，提升学生信息素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2" w:type="dxa"/>
            <w:left w:w="64" w:type="dxa"/>
            <w:bottom w:w="32" w:type="dxa"/>
            <w:right w:w="64" w:type="dxa"/>
          </w:tblCellMar>
        </w:tblPrEx>
        <w:trPr>
          <w:trHeight w:val="0" w:hRule="atLeast"/>
          <w:jc w:val="center"/>
        </w:trPr>
        <w:tc>
          <w:tcPr>
            <w:tcW w:w="608" w:type="dxa"/>
            <w:vAlign w:val="center"/>
          </w:tcPr>
          <w:p>
            <w:pPr>
              <w:keepNext w:val="0"/>
              <w:keepLines w:val="0"/>
              <w:pageBreakBefore w:val="0"/>
              <w:widowControl w:val="0"/>
              <w:kinsoku/>
              <w:wordWrap/>
              <w:overflowPunct/>
              <w:topLinePunct w:val="0"/>
              <w:autoSpaceDE/>
              <w:autoSpaceDN/>
              <w:bidi w:val="0"/>
              <w:adjustRightInd/>
              <w:snapToGrid w:val="0"/>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7</w:t>
            </w:r>
          </w:p>
        </w:tc>
        <w:tc>
          <w:tcPr>
            <w:tcW w:w="820" w:type="dxa"/>
            <w:shd w:val="clear" w:color="auto" w:fill="auto"/>
            <w:vAlign w:val="center"/>
          </w:tcPr>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00" w:lineRule="exact"/>
              <w:ind w:left="0" w:leftChars="0" w:right="0" w:rightChars="0" w:firstLine="0" w:firstLineChars="0"/>
              <w:jc w:val="left"/>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高等数学</w:t>
            </w:r>
          </w:p>
        </w:tc>
        <w:tc>
          <w:tcPr>
            <w:tcW w:w="4115" w:type="dxa"/>
            <w:shd w:val="clear" w:color="auto" w:fill="auto"/>
            <w:vAlign w:val="top"/>
          </w:tcPr>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知识目标：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掌握函数、极限、导数等基础概念，理解微积分基本理论、数学建模方法，为专业课程奠定必要数学基础。</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能力目标：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培养数学运算和逻辑推理能力，提升运用数学工具解决实际问题的水平。增强数据分析和建模能力，适应未来职业发展需求。</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素质目标：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培养严谨求实的科学态度，提高抽象思维和创新能力。树立理论联系实际的观念，增强持续学习和自主探究意识。</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课程思政育人目标：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实现知识传授与价值引领的有机融合，培养学生养成求真务实、精益求精的态度，严谨对待学习与工作，通过融入数学史展现古今数学家的爱国情怀与奉献精神，厚植爱国主义情怀，在思维品质培养中以辩证思维解析数学概念，引导学生透过现象看本质，理解量变与质变、对立统一等规律，鼓励学生在数学问题求解中勇于创新，培养批判性思维和探索精神，同时通过团队合作解决数学建模等问题，增强学生的团队协作意识与社会责任感，使学生在掌握数学知识的同时，实现个人全面发展与社会价值统一。</w:t>
            </w:r>
          </w:p>
        </w:tc>
        <w:tc>
          <w:tcPr>
            <w:tcW w:w="3235" w:type="dxa"/>
            <w:shd w:val="clear" w:color="auto" w:fill="auto"/>
            <w:vAlign w:val="top"/>
          </w:tcPr>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00" w:lineRule="exact"/>
              <w:ind w:left="0" w:leftChars="0" w:right="0" w:rightChars="0" w:firstLine="0" w:firstLine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课程包含函数与极限、导数与微分、积分及应用等基础模块。重点讲解工程实际问题中的数学应用，如最优化问题求解、变化率分析等。融入专业案例，开展数学建模实践，强化数学工具在专业领域的应用能力培养。</w:t>
            </w:r>
          </w:p>
        </w:tc>
        <w:tc>
          <w:tcPr>
            <w:tcW w:w="2128" w:type="dxa"/>
            <w:shd w:val="clear" w:color="auto" w:fill="auto"/>
            <w:vAlign w:val="top"/>
          </w:tcPr>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00" w:lineRule="exact"/>
              <w:ind w:left="0" w:leftChars="0" w:right="0" w:rightChars="0" w:firstLine="0" w:firstLine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教师需结合专业需求设计教学内容，采用问题导向和案例教学方法。合理运用信息化手段，强化直观教学效果。学生需按时完成作业，积极参与课堂讨论。教学中要注重理论联系实际，突出数学应用价值，培养学生解决实际问题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2" w:type="dxa"/>
            <w:left w:w="64" w:type="dxa"/>
            <w:bottom w:w="32" w:type="dxa"/>
            <w:right w:w="64" w:type="dxa"/>
          </w:tblCellMar>
        </w:tblPrEx>
        <w:trPr>
          <w:trHeight w:val="0" w:hRule="atLeast"/>
          <w:jc w:val="center"/>
        </w:trPr>
        <w:tc>
          <w:tcPr>
            <w:tcW w:w="608" w:type="dxa"/>
            <w:vAlign w:val="center"/>
          </w:tcPr>
          <w:p>
            <w:pPr>
              <w:keepNext w:val="0"/>
              <w:keepLines w:val="0"/>
              <w:pageBreakBefore w:val="0"/>
              <w:widowControl w:val="0"/>
              <w:kinsoku/>
              <w:wordWrap/>
              <w:overflowPunct/>
              <w:topLinePunct w:val="0"/>
              <w:autoSpaceDE/>
              <w:autoSpaceDN/>
              <w:bidi w:val="0"/>
              <w:adjustRightInd/>
              <w:snapToGrid w:val="0"/>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snapToGrid w:val="0"/>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snapToGrid w:val="0"/>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snapToGrid w:val="0"/>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snapToGrid w:val="0"/>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default"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8</w:t>
            </w:r>
          </w:p>
        </w:tc>
        <w:tc>
          <w:tcPr>
            <w:tcW w:w="820" w:type="dxa"/>
            <w:shd w:val="clear" w:color="auto" w:fill="auto"/>
            <w:vAlign w:val="center"/>
          </w:tcPr>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00" w:lineRule="exact"/>
              <w:ind w:left="0" w:leftChars="0" w:right="0" w:rightChars="0" w:firstLine="0" w:firstLineChars="0"/>
              <w:jc w:val="left"/>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00" w:lineRule="exact"/>
              <w:ind w:left="0" w:leftChars="0" w:right="0" w:rightChars="0" w:firstLine="0" w:firstLineChars="0"/>
              <w:jc w:val="left"/>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00" w:lineRule="exact"/>
              <w:ind w:left="0" w:leftChars="0" w:right="0" w:rightChars="0" w:firstLine="0" w:firstLineChars="0"/>
              <w:jc w:val="left"/>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00" w:lineRule="exact"/>
              <w:ind w:left="0" w:leftChars="0" w:right="0" w:rightChars="0" w:firstLine="0" w:firstLineChars="0"/>
              <w:jc w:val="left"/>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00" w:lineRule="exact"/>
              <w:ind w:left="0" w:leftChars="0" w:right="0" w:rightChars="0" w:firstLine="0" w:firstLineChars="0"/>
              <w:jc w:val="left"/>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00" w:lineRule="exact"/>
              <w:ind w:left="0" w:leftChars="0" w:right="0" w:rightChars="0" w:firstLine="0" w:firstLineChars="0"/>
              <w:jc w:val="left"/>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大学英语</w:t>
            </w:r>
          </w:p>
        </w:tc>
        <w:tc>
          <w:tcPr>
            <w:tcW w:w="4115" w:type="dxa"/>
            <w:shd w:val="clear" w:color="auto" w:fill="auto"/>
            <w:vAlign w:val="top"/>
          </w:tcPr>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知识目标：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掌握基础词汇和核心语法，学习职场英语表达。了解英语国家文化常识，熟悉专业相关术语。</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00" w:lineRule="exact"/>
              <w:ind w:left="0" w:right="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能力目标：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培养学生掌握语言基础知识和语言技能、具备基本的英语听、说、读、写、译能力，增强其跨文化交际意识和沟通能力，为适应未来职业需求。</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素质目标：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培养自主学习意识，增强跨文化理解能力。树立终身学习理念，提高团队协作和沟通能力。</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00" w:lineRule="exact"/>
              <w:ind w:left="0" w:leftChars="0" w:right="0" w:rightChars="0" w:firstLine="0" w:firstLineChars="0"/>
              <w:jc w:val="both"/>
              <w:textAlignment w:val="auto"/>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课程思政育人目标：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融入工匠精神教育，培养职业操守。通过中外文化对比，培养学生树立正确的世界观、人生观、价值观，明辨西方文化与价值观，增强文化自信和爱国情怀。</w:t>
            </w:r>
          </w:p>
        </w:tc>
        <w:tc>
          <w:tcPr>
            <w:tcW w:w="3235" w:type="dxa"/>
            <w:shd w:val="clear" w:color="auto" w:fill="auto"/>
            <w:vAlign w:val="top"/>
          </w:tcPr>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00" w:lineRule="exact"/>
              <w:ind w:left="0" w:leftChars="0" w:right="0" w:rightChars="0" w:firstLine="0" w:firstLine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课程包含三大模块：基础英语模块重点训练日常交际和职场基础英语；专业英语模块针对不同专业需求，学习相关术语和场景对话；实践应用模块通过模拟职场情境，开展项目任务训练。教学内容突出实用性，融入大量真实职场案例，同时结合行业发展，介绍相关职业规范和标准。</w:t>
            </w:r>
          </w:p>
        </w:tc>
        <w:tc>
          <w:tcPr>
            <w:tcW w:w="2128" w:type="dxa"/>
            <w:shd w:val="clear" w:color="auto" w:fill="auto"/>
            <w:vAlign w:val="top"/>
          </w:tcPr>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00" w:lineRule="exact"/>
              <w:ind w:left="0" w:leftChars="0" w:right="0" w:rightChars="0" w:firstLine="0" w:firstLine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Fonts w:hint="eastAsia" w:ascii="仿宋_GB2312" w:hAnsi="仿宋_GB2312" w:eastAsia="仿宋_GB2312" w:cs="仿宋_GB2312"/>
                <w:color w:val="auto"/>
                <w:sz w:val="24"/>
                <w:szCs w:val="24"/>
                <w:highlight w:val="none"/>
              </w:rPr>
              <w:t>采用情景教学法，设计职场情境任务。结合信息化手段，注重实践能力培养。参与课堂活动，完成实践任务。利用网络资源自主学习，提升应用能力。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2" w:type="dxa"/>
            <w:left w:w="64" w:type="dxa"/>
            <w:bottom w:w="32" w:type="dxa"/>
            <w:right w:w="64" w:type="dxa"/>
          </w:tblCellMar>
        </w:tblPrEx>
        <w:trPr>
          <w:trHeight w:val="0" w:hRule="atLeast"/>
          <w:jc w:val="center"/>
        </w:trPr>
        <w:tc>
          <w:tcPr>
            <w:tcW w:w="608" w:type="dxa"/>
            <w:vAlign w:val="center"/>
          </w:tcPr>
          <w:p>
            <w:pPr>
              <w:keepNext w:val="0"/>
              <w:keepLines w:val="0"/>
              <w:pageBreakBefore w:val="0"/>
              <w:widowControl w:val="0"/>
              <w:kinsoku/>
              <w:wordWrap/>
              <w:overflowPunct/>
              <w:topLinePunct w:val="0"/>
              <w:autoSpaceDE/>
              <w:autoSpaceDN/>
              <w:bidi w:val="0"/>
              <w:adjustRightInd/>
              <w:snapToGrid w:val="0"/>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9</w:t>
            </w:r>
          </w:p>
        </w:tc>
        <w:tc>
          <w:tcPr>
            <w:tcW w:w="820"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after="0" w:line="300" w:lineRule="exact"/>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大学体育</w:t>
            </w:r>
          </w:p>
        </w:tc>
        <w:tc>
          <w:tcPr>
            <w:tcW w:w="4115" w:type="dxa"/>
            <w:shd w:val="clear" w:color="auto" w:fill="auto"/>
            <w:vAlign w:val="top"/>
          </w:tcPr>
          <w:p>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rPr>
              <w:t>掌握体育运动基本理论知识，了解常见运动项目的规则与要领。学习科学锻炼方法和运动损伤预防知识，为终身体育锻炼奠定理论基础。</w:t>
            </w:r>
          </w:p>
          <w:p>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rPr>
              <w:t>发展学生基础运动技能，提升速度、力量、耐力等身体素质。培养1-2项运动特长，</w:t>
            </w:r>
            <w:r>
              <w:rPr>
                <w:rFonts w:hint="eastAsia" w:ascii="仿宋_GB2312" w:hAnsi="仿宋_GB2312" w:eastAsia="仿宋_GB2312" w:cs="仿宋_GB2312"/>
                <w:b w:val="0"/>
                <w:bCs w:val="0"/>
                <w:color w:val="auto"/>
                <w:sz w:val="24"/>
                <w:szCs w:val="24"/>
                <w:highlight w:val="none"/>
              </w:rPr>
              <w:t>提升体育运动能力，提高职业体能水平。</w:t>
            </w:r>
            <w:r>
              <w:rPr>
                <w:rFonts w:hint="eastAsia" w:ascii="仿宋_GB2312" w:hAnsi="仿宋_GB2312" w:eastAsia="仿宋_GB2312" w:cs="仿宋_GB2312"/>
                <w:color w:val="auto"/>
                <w:sz w:val="24"/>
                <w:szCs w:val="24"/>
                <w:highlight w:val="none"/>
              </w:rPr>
              <w:t>增强团队协作能力和体育竞赛组织能力。</w:t>
            </w:r>
          </w:p>
          <w:p>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b w:val="0"/>
                <w:bCs w:val="0"/>
                <w:color w:val="auto"/>
                <w:sz w:val="24"/>
                <w:szCs w:val="24"/>
                <w:highlight w:val="none"/>
                <w:lang w:eastAsia="zh-CN"/>
              </w:rPr>
            </w:pPr>
            <w:r>
              <w:rPr>
                <w:rFonts w:hint="eastAsia" w:ascii="仿宋_GB2312" w:hAnsi="仿宋_GB2312" w:eastAsia="仿宋_GB2312" w:cs="仿宋_GB2312"/>
                <w:b/>
                <w:bCs/>
                <w:color w:val="auto"/>
                <w:sz w:val="24"/>
                <w:szCs w:val="24"/>
                <w:highlight w:val="none"/>
              </w:rPr>
              <w:t>素质目标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遵守体育道德规范和行为准则，发扬体育精神，塑造良好的体育品格，增强责任意识、规则意识和团队意识</w:t>
            </w:r>
            <w:r>
              <w:rPr>
                <w:rFonts w:hint="eastAsia" w:ascii="仿宋_GB2312" w:hAnsi="仿宋_GB2312" w:eastAsia="仿宋_GB2312" w:cs="仿宋_GB2312"/>
                <w:b w:val="0"/>
                <w:bCs w:val="0"/>
                <w:color w:val="auto"/>
                <w:sz w:val="24"/>
                <w:szCs w:val="24"/>
                <w:highlight w:val="none"/>
                <w:lang w:eastAsia="zh-CN"/>
              </w:rPr>
              <w:t>。</w:t>
            </w:r>
          </w:p>
          <w:p>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color w:val="auto"/>
                <w:kern w:val="2"/>
                <w:sz w:val="24"/>
                <w:szCs w:val="24"/>
                <w:highlight w:val="none"/>
                <w:shd w:val="clear" w:color="auto" w:fill="FFFFFF"/>
                <w:lang w:val="en-US" w:eastAsia="zh-CN" w:bidi="ar-SA"/>
              </w:rPr>
            </w:pPr>
            <w:r>
              <w:rPr>
                <w:rFonts w:hint="eastAsia" w:ascii="仿宋_GB2312" w:hAnsi="仿宋_GB2312" w:eastAsia="仿宋_GB2312" w:cs="仿宋_GB2312"/>
                <w:b/>
                <w:bCs/>
                <w:color w:val="auto"/>
                <w:sz w:val="24"/>
                <w:szCs w:val="24"/>
                <w:highlight w:val="none"/>
              </w:rPr>
              <w:t>课程思政育人目标</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以习近平新时代中国特色社会主义思想为指导，坚持知识传授与价值引领相结合， 树立健康第一的教育理念，帮助学生在体育锻炼中享受乐趣、增强体质、健全人格、锤炼意志。培养学生顽强拼搏、奋斗有我的信念，激发学生提升身体素质的责任感。</w:t>
            </w:r>
          </w:p>
        </w:tc>
        <w:tc>
          <w:tcPr>
            <w:tcW w:w="3235" w:type="dxa"/>
            <w:shd w:val="clear" w:color="auto" w:fill="auto"/>
            <w:vAlign w:val="top"/>
          </w:tcPr>
          <w:p>
            <w:pPr>
              <w:keepNext w:val="0"/>
              <w:keepLines w:val="0"/>
              <w:pageBreakBefore w:val="0"/>
              <w:widowControl w:val="0"/>
              <w:kinsoku/>
              <w:wordWrap/>
              <w:overflowPunct/>
              <w:topLinePunct w:val="0"/>
              <w:autoSpaceDE/>
              <w:autoSpaceDN/>
              <w:bidi w:val="0"/>
              <w:adjustRightInd/>
              <w:snapToGrid w:val="0"/>
              <w:spacing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基础体能训练提升身体素质；球类、田径等专项技能教学；特色项目如</w:t>
            </w:r>
            <w:r>
              <w:rPr>
                <w:rFonts w:hint="eastAsia" w:ascii="仿宋_GB2312" w:hAnsi="仿宋_GB2312" w:eastAsia="仿宋_GB2312" w:cs="仿宋_GB2312"/>
                <w:color w:val="auto"/>
                <w:sz w:val="24"/>
                <w:szCs w:val="24"/>
                <w:highlight w:val="none"/>
                <w:lang w:val="en-US" w:eastAsia="zh-CN"/>
              </w:rPr>
              <w:t>武术</w:t>
            </w:r>
            <w:r>
              <w:rPr>
                <w:rFonts w:hint="eastAsia" w:ascii="仿宋_GB2312" w:hAnsi="仿宋_GB2312" w:eastAsia="仿宋_GB2312" w:cs="仿宋_GB2312"/>
                <w:color w:val="auto"/>
                <w:sz w:val="24"/>
                <w:szCs w:val="24"/>
                <w:highlight w:val="none"/>
              </w:rPr>
              <w:t>、健身操等。融入职业体能训练，结合专业特点设计教学内容。</w:t>
            </w:r>
          </w:p>
        </w:tc>
        <w:tc>
          <w:tcPr>
            <w:tcW w:w="2128" w:type="dxa"/>
            <w:shd w:val="clear" w:color="auto" w:fill="auto"/>
            <w:vAlign w:val="top"/>
          </w:tcPr>
          <w:p>
            <w:pPr>
              <w:keepNext w:val="0"/>
              <w:keepLines w:val="0"/>
              <w:pageBreakBefore w:val="0"/>
              <w:widowControl w:val="0"/>
              <w:kinsoku/>
              <w:wordWrap/>
              <w:overflowPunct/>
              <w:topLinePunct w:val="0"/>
              <w:autoSpaceDE/>
              <w:autoSpaceDN/>
              <w:bidi w:val="0"/>
              <w:adjustRightInd/>
              <w:snapToGrid w:val="0"/>
              <w:spacing w:line="300" w:lineRule="exact"/>
              <w:jc w:val="both"/>
              <w:textAlignment w:val="auto"/>
              <w:rPr>
                <w:rFonts w:hint="eastAsia" w:ascii="仿宋_GB2312" w:hAnsi="仿宋_GB2312" w:eastAsia="仿宋_GB2312" w:cs="仿宋_GB2312"/>
                <w:color w:val="auto"/>
                <w:kern w:val="2"/>
                <w:sz w:val="24"/>
                <w:szCs w:val="24"/>
                <w:highlight w:val="none"/>
                <w:shd w:val="clear" w:color="auto" w:fill="FFFFFF"/>
                <w:lang w:val="en-US" w:eastAsia="zh-CN" w:bidi="ar-SA"/>
              </w:rPr>
            </w:pPr>
            <w:r>
              <w:rPr>
                <w:rFonts w:hint="eastAsia" w:ascii="仿宋_GB2312" w:hAnsi="仿宋_GB2312" w:eastAsia="仿宋_GB2312" w:cs="仿宋_GB2312"/>
                <w:color w:val="auto"/>
                <w:sz w:val="24"/>
                <w:szCs w:val="24"/>
                <w:highlight w:val="none"/>
                <w:lang w:val="en-US" w:eastAsia="zh-CN"/>
              </w:rPr>
              <w:t>教师需</w:t>
            </w:r>
            <w:r>
              <w:rPr>
                <w:rFonts w:hint="eastAsia" w:ascii="仿宋_GB2312" w:hAnsi="仿宋_GB2312" w:eastAsia="仿宋_GB2312" w:cs="仿宋_GB2312"/>
                <w:color w:val="auto"/>
                <w:sz w:val="24"/>
                <w:szCs w:val="24"/>
                <w:highlight w:val="none"/>
              </w:rPr>
              <w:t>采用示范教学与分组练习相结合的方式，注重因材施教。合理运用信息化教学手段，创新教学方法。学生需按时出勤，积极参与训练，完成课后锻炼任务。教学过程中要注重安全教育，培养学生终身体育意识，营造积极向上的体育文化氛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2" w:type="dxa"/>
            <w:left w:w="64" w:type="dxa"/>
            <w:bottom w:w="32" w:type="dxa"/>
            <w:right w:w="64" w:type="dxa"/>
          </w:tblCellMar>
        </w:tblPrEx>
        <w:trPr>
          <w:trHeight w:val="0" w:hRule="atLeast"/>
          <w:jc w:val="center"/>
        </w:trPr>
        <w:tc>
          <w:tcPr>
            <w:tcW w:w="608" w:type="dxa"/>
            <w:vAlign w:val="center"/>
          </w:tcPr>
          <w:p>
            <w:pPr>
              <w:keepNext w:val="0"/>
              <w:keepLines w:val="0"/>
              <w:pageBreakBefore w:val="0"/>
              <w:widowControl w:val="0"/>
              <w:kinsoku/>
              <w:wordWrap/>
              <w:overflowPunct/>
              <w:topLinePunct w:val="0"/>
              <w:autoSpaceDE/>
              <w:autoSpaceDN/>
              <w:bidi w:val="0"/>
              <w:adjustRightInd/>
              <w:snapToGrid w:val="0"/>
              <w:spacing w:after="0" w:line="300" w:lineRule="exact"/>
              <w:jc w:val="center"/>
              <w:textAlignment w:val="auto"/>
              <w:rPr>
                <w:rFonts w:hint="default"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10</w:t>
            </w:r>
          </w:p>
        </w:tc>
        <w:tc>
          <w:tcPr>
            <w:tcW w:w="820"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after="0" w:line="300" w:lineRule="exact"/>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大学生职业发展与就业指导</w:t>
            </w:r>
          </w:p>
        </w:tc>
        <w:tc>
          <w:tcPr>
            <w:tcW w:w="4115" w:type="dxa"/>
            <w:shd w:val="clear" w:color="auto" w:fill="auto"/>
            <w:vAlign w:val="top"/>
          </w:tcPr>
          <w:p>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color w:val="auto"/>
                <w:sz w:val="24"/>
                <w:szCs w:val="24"/>
                <w:highlight w:val="none"/>
              </w:rPr>
              <w:t>掌握职业生涯规划基本理论，了解就业政策与劳动法规。学习求职材料制作规范，熟悉职场礼仪与职业素养要求。</w:t>
            </w:r>
          </w:p>
          <w:p>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rPr>
              <w:t>培养职业规划与决策能力，提升简历制作与面试技巧</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提高学生求职应职技巧，</w:t>
            </w:r>
            <w:r>
              <w:rPr>
                <w:rFonts w:hint="eastAsia" w:ascii="仿宋_GB2312" w:hAnsi="仿宋_GB2312" w:eastAsia="仿宋_GB2312" w:cs="仿宋_GB2312"/>
                <w:color w:val="auto"/>
                <w:sz w:val="24"/>
                <w:szCs w:val="24"/>
                <w:highlight w:val="none"/>
              </w:rPr>
              <w:t>增强就业信息获取能力，掌握职场适应与职业发展方法。</w:t>
            </w:r>
          </w:p>
          <w:p>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素质目标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分析当前大学生面临的就业形势，帮助学生及时了解就业市场的需求形势和国家、地方有关大学生就业的政策，按照社会需求确立就业心理，树立正确的就业观念和就业取向。</w:t>
            </w:r>
          </w:p>
          <w:p>
            <w:pPr>
              <w:keepNext w:val="0"/>
              <w:keepLines w:val="0"/>
              <w:pageBreakBefore w:val="0"/>
              <w:widowControl w:val="0"/>
              <w:kinsoku/>
              <w:wordWrap/>
              <w:overflowPunct/>
              <w:topLinePunct w:val="0"/>
              <w:autoSpaceDE/>
              <w:autoSpaceDN/>
              <w:bidi w:val="0"/>
              <w:adjustRightInd/>
              <w:snapToGrid w:val="0"/>
              <w:spacing w:line="300" w:lineRule="exact"/>
              <w:jc w:val="both"/>
              <w:textAlignment w:val="auto"/>
              <w:rPr>
                <w:rFonts w:hint="eastAsia" w:ascii="仿宋_GB2312" w:hAnsi="仿宋_GB2312" w:eastAsia="仿宋_GB2312" w:cs="仿宋_GB2312"/>
                <w:b w:val="0"/>
                <w:bCs w:val="0"/>
                <w:color w:val="auto"/>
                <w:kern w:val="2"/>
                <w:sz w:val="24"/>
                <w:szCs w:val="24"/>
                <w:highlight w:val="none"/>
                <w:lang w:val="en-US" w:eastAsia="zh-CN" w:bidi="ar-SA"/>
              </w:rPr>
            </w:pPr>
            <w:r>
              <w:rPr>
                <w:rFonts w:hint="eastAsia" w:ascii="仿宋_GB2312" w:hAnsi="仿宋_GB2312" w:eastAsia="仿宋_GB2312" w:cs="仿宋_GB2312"/>
                <w:b/>
                <w:bCs/>
                <w:color w:val="auto"/>
                <w:sz w:val="24"/>
                <w:szCs w:val="24"/>
                <w:highlight w:val="none"/>
              </w:rPr>
              <w:t>课程思政育人目标：</w:t>
            </w:r>
            <w:r>
              <w:rPr>
                <w:rFonts w:hint="eastAsia" w:ascii="仿宋_GB2312" w:hAnsi="仿宋_GB2312" w:eastAsia="仿宋_GB2312" w:cs="仿宋_GB2312"/>
                <w:b w:val="0"/>
                <w:bCs w:val="0"/>
                <w:color w:val="auto"/>
                <w:sz w:val="24"/>
                <w:szCs w:val="24"/>
                <w:highlight w:val="none"/>
              </w:rPr>
              <w:t>通过加强就业形势和政策的宣传教育，</w:t>
            </w:r>
            <w:r>
              <w:rPr>
                <w:rFonts w:hint="eastAsia" w:ascii="仿宋_GB2312" w:hAnsi="仿宋_GB2312" w:eastAsia="仿宋_GB2312" w:cs="仿宋_GB2312"/>
                <w:b w:val="0"/>
                <w:bCs w:val="0"/>
                <w:color w:val="auto"/>
                <w:kern w:val="2"/>
                <w:sz w:val="24"/>
                <w:szCs w:val="24"/>
                <w:highlight w:val="none"/>
                <w:lang w:val="en-US" w:eastAsia="zh-CN" w:bidi="ar-SA"/>
              </w:rPr>
              <w:t>引导广大学生深刻认识到党和国家“以人民为中心”的发展理念，切实增强对国家保就业、稳增长工作的信心，充分感知国家在相关领域的坚实能力。</w:t>
            </w:r>
          </w:p>
        </w:tc>
        <w:tc>
          <w:tcPr>
            <w:tcW w:w="3235" w:type="dxa"/>
            <w:shd w:val="clear" w:color="auto" w:fill="auto"/>
            <w:vAlign w:val="top"/>
          </w:tcPr>
          <w:p>
            <w:pPr>
              <w:keepNext w:val="0"/>
              <w:keepLines w:val="0"/>
              <w:pageBreakBefore w:val="0"/>
              <w:widowControl w:val="0"/>
              <w:kinsoku/>
              <w:wordWrap/>
              <w:overflowPunct/>
              <w:topLinePunct w:val="0"/>
              <w:autoSpaceDE/>
              <w:autoSpaceDN/>
              <w:bidi w:val="0"/>
              <w:adjustRightInd/>
              <w:snapToGrid w:val="0"/>
              <w:spacing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课程包含职业认知、职业规划、求职技能、职场适应四大模块。通过职业测评、行业分析、简历制作、模拟面试等实践活动，帮助学生了解职业世界，掌握求职技巧。结合专业特点，开展行业专家讲座、企业参观等特色教学活动，强化职业认知与规划能力。</w:t>
            </w:r>
          </w:p>
        </w:tc>
        <w:tc>
          <w:tcPr>
            <w:tcW w:w="2128" w:type="dxa"/>
            <w:shd w:val="clear" w:color="auto" w:fill="auto"/>
            <w:vAlign w:val="top"/>
          </w:tcPr>
          <w:p>
            <w:pPr>
              <w:keepNext w:val="0"/>
              <w:keepLines w:val="0"/>
              <w:pageBreakBefore w:val="0"/>
              <w:widowControl w:val="0"/>
              <w:kinsoku/>
              <w:wordWrap/>
              <w:overflowPunct/>
              <w:topLinePunct w:val="0"/>
              <w:autoSpaceDE/>
              <w:autoSpaceDN/>
              <w:bidi w:val="0"/>
              <w:adjustRightInd/>
              <w:snapToGrid w:val="0"/>
              <w:spacing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教师需结合专业特色，采用案例教学、情景模拟等互动式教学方法，注重实践环节设计。学生需主动参与课堂活动，完成职业探索任务，积极进行自我认知与职业规划。教学过程中要注重个性化指导，针对不同学生特点提供差异化就业建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2" w:type="dxa"/>
            <w:left w:w="64" w:type="dxa"/>
            <w:bottom w:w="32" w:type="dxa"/>
            <w:right w:w="64" w:type="dxa"/>
          </w:tblCellMar>
        </w:tblPrEx>
        <w:trPr>
          <w:trHeight w:val="0" w:hRule="atLeast"/>
          <w:jc w:val="center"/>
        </w:trPr>
        <w:tc>
          <w:tcPr>
            <w:tcW w:w="608" w:type="dxa"/>
            <w:vAlign w:val="center"/>
          </w:tcPr>
          <w:p>
            <w:pPr>
              <w:keepNext w:val="0"/>
              <w:keepLines w:val="0"/>
              <w:pageBreakBefore w:val="0"/>
              <w:widowControl w:val="0"/>
              <w:kinsoku/>
              <w:wordWrap/>
              <w:overflowPunct/>
              <w:topLinePunct w:val="0"/>
              <w:autoSpaceDE/>
              <w:autoSpaceDN/>
              <w:bidi w:val="0"/>
              <w:adjustRightInd/>
              <w:snapToGrid w:val="0"/>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11</w:t>
            </w:r>
          </w:p>
        </w:tc>
        <w:tc>
          <w:tcPr>
            <w:tcW w:w="820"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after="0" w:line="300" w:lineRule="exact"/>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大学生心理健康教育</w:t>
            </w:r>
          </w:p>
        </w:tc>
        <w:tc>
          <w:tcPr>
            <w:tcW w:w="4115" w:type="dxa"/>
            <w:shd w:val="clear" w:color="auto" w:fill="auto"/>
            <w:vAlign w:val="top"/>
          </w:tcPr>
          <w:p>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rPr>
              <w:t>掌握心理健康基本概念和标准，了解常见心理问题表现及成因。</w:t>
            </w:r>
            <w:r>
              <w:rPr>
                <w:rFonts w:hint="eastAsia" w:ascii="仿宋_GB2312" w:hAnsi="仿宋_GB2312" w:eastAsia="仿宋_GB2312" w:cs="仿宋_GB2312"/>
                <w:color w:val="auto"/>
                <w:sz w:val="24"/>
                <w:szCs w:val="24"/>
                <w:highlight w:val="none"/>
                <w:lang w:val="en-US" w:eastAsia="zh-CN"/>
              </w:rPr>
              <w:t>掌握</w:t>
            </w:r>
            <w:r>
              <w:rPr>
                <w:rFonts w:hint="eastAsia" w:ascii="仿宋_GB2312" w:hAnsi="仿宋_GB2312" w:eastAsia="仿宋_GB2312" w:cs="仿宋_GB2312"/>
                <w:color w:val="auto"/>
                <w:sz w:val="24"/>
                <w:szCs w:val="24"/>
                <w:highlight w:val="none"/>
              </w:rPr>
              <w:t>情绪管理、压力应对等心理调适方法，增强自我认知能力。</w:t>
            </w:r>
          </w:p>
          <w:p>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rPr>
              <w:t>培养</w:t>
            </w:r>
            <w:r>
              <w:rPr>
                <w:rFonts w:hint="eastAsia" w:ascii="仿宋_GB2312" w:hAnsi="仿宋_GB2312" w:eastAsia="仿宋_GB2312" w:cs="仿宋_GB2312"/>
                <w:color w:val="auto"/>
                <w:sz w:val="24"/>
                <w:szCs w:val="24"/>
                <w:highlight w:val="none"/>
                <w:lang w:val="en-US" w:eastAsia="zh-CN"/>
              </w:rPr>
              <w:t>学生</w:t>
            </w:r>
            <w:r>
              <w:rPr>
                <w:rFonts w:hint="eastAsia" w:ascii="仿宋_GB2312" w:hAnsi="仿宋_GB2312" w:eastAsia="仿宋_GB2312" w:cs="仿宋_GB2312"/>
                <w:color w:val="auto"/>
                <w:sz w:val="24"/>
                <w:szCs w:val="24"/>
                <w:highlight w:val="none"/>
              </w:rPr>
              <w:t>情绪调节与压力管理能力，提升人际沟通与冲突解决水平。使学生掌握心理自助技巧，具备初步心理问题识别与求助能力。</w:t>
            </w:r>
          </w:p>
          <w:p>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rPr>
              <w:t>素质目标</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color w:val="auto"/>
                <w:sz w:val="24"/>
                <w:szCs w:val="24"/>
                <w:highlight w:val="none"/>
              </w:rPr>
              <w:t>培养</w:t>
            </w:r>
            <w:r>
              <w:rPr>
                <w:rFonts w:hint="eastAsia" w:ascii="仿宋_GB2312" w:hAnsi="仿宋_GB2312" w:eastAsia="仿宋_GB2312" w:cs="仿宋_GB2312"/>
                <w:color w:val="auto"/>
                <w:sz w:val="24"/>
                <w:szCs w:val="24"/>
                <w:highlight w:val="none"/>
                <w:lang w:val="en-US" w:eastAsia="zh-CN"/>
              </w:rPr>
              <w:t>学生</w:t>
            </w:r>
            <w:r>
              <w:rPr>
                <w:rFonts w:hint="eastAsia" w:ascii="仿宋_GB2312" w:hAnsi="仿宋_GB2312" w:eastAsia="仿宋_GB2312" w:cs="仿宋_GB2312"/>
                <w:color w:val="auto"/>
                <w:sz w:val="24"/>
                <w:szCs w:val="24"/>
                <w:highlight w:val="none"/>
              </w:rPr>
              <w:t>积极乐观的人生态度，增强心理韧性和适应能力。树立正确的自我认知，形成健康的生活方式与行为习惯。</w:t>
            </w:r>
          </w:p>
          <w:p>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b w:val="0"/>
                <w:bCs w:val="0"/>
                <w:color w:val="auto"/>
                <w:sz w:val="24"/>
                <w:szCs w:val="24"/>
                <w:highlight w:val="none"/>
                <w:lang w:val="en-US" w:eastAsia="zh-CN"/>
              </w:rPr>
            </w:pPr>
            <w:r>
              <w:rPr>
                <w:rFonts w:hint="eastAsia" w:ascii="仿宋_GB2312" w:hAnsi="仿宋_GB2312" w:eastAsia="仿宋_GB2312" w:cs="仿宋_GB2312"/>
                <w:b/>
                <w:bCs/>
                <w:color w:val="auto"/>
                <w:sz w:val="24"/>
                <w:szCs w:val="24"/>
                <w:highlight w:val="none"/>
              </w:rPr>
              <w:t>课程思政育人目标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坚持育心与育德相结合，引导学生以自尊自信、理性平和、积极向上的健康心态正 确对待和处理成长中的心理困惑和问题，始终围绕社会主义核心价值观来发展和完善自身人格，将个人自我实现的追求与社会发展结合起来。</w:t>
            </w:r>
          </w:p>
        </w:tc>
        <w:tc>
          <w:tcPr>
            <w:tcW w:w="3235" w:type="dxa"/>
            <w:shd w:val="clear" w:color="auto" w:fill="auto"/>
            <w:vAlign w:val="top"/>
          </w:tcPr>
          <w:p>
            <w:pPr>
              <w:keepNext w:val="0"/>
              <w:keepLines w:val="0"/>
              <w:pageBreakBefore w:val="0"/>
              <w:widowControl w:val="0"/>
              <w:kinsoku/>
              <w:wordWrap/>
              <w:overflowPunct/>
              <w:topLinePunct w:val="0"/>
              <w:autoSpaceDE/>
              <w:autoSpaceDN/>
              <w:bidi w:val="0"/>
              <w:adjustRightInd/>
              <w:snapToGrid w:val="0"/>
              <w:spacing w:line="300" w:lineRule="exact"/>
              <w:jc w:val="both"/>
              <w:textAlignment w:val="auto"/>
              <w:rPr>
                <w:rFonts w:hint="eastAsia" w:ascii="仿宋_GB2312" w:hAnsi="仿宋_GB2312" w:eastAsia="仿宋_GB2312" w:cs="仿宋_GB2312"/>
                <w:color w:val="auto"/>
                <w:kern w:val="2"/>
                <w:sz w:val="24"/>
                <w:szCs w:val="24"/>
                <w:highlight w:val="none"/>
                <w:shd w:val="clear" w:color="auto" w:fill="FFFFFF"/>
                <w:lang w:val="en-US" w:eastAsia="zh-CN" w:bidi="ar-SA"/>
              </w:rPr>
            </w:pPr>
            <w:r>
              <w:rPr>
                <w:rFonts w:hint="eastAsia" w:ascii="仿宋_GB2312" w:hAnsi="仿宋_GB2312" w:eastAsia="仿宋_GB2312" w:cs="仿宋_GB2312"/>
                <w:color w:val="auto"/>
                <w:sz w:val="24"/>
                <w:szCs w:val="24"/>
                <w:highlight w:val="none"/>
              </w:rPr>
              <w:t>课程包含心理健康基础知识、情绪管理、人际交往、压力应对等模块。通过案例分析、团体辅导等形式，帮助学生掌握心理调适技能。结合学生特点，重点讲解职业心理适应、就业压力疏导等内容，提升学生心理素质。</w:t>
            </w:r>
          </w:p>
        </w:tc>
        <w:tc>
          <w:tcPr>
            <w:tcW w:w="2128" w:type="dxa"/>
            <w:shd w:val="clear" w:color="auto" w:fill="auto"/>
            <w:vAlign w:val="top"/>
          </w:tcPr>
          <w:p>
            <w:pPr>
              <w:keepNext w:val="0"/>
              <w:keepLines w:val="0"/>
              <w:pageBreakBefore w:val="0"/>
              <w:widowControl w:val="0"/>
              <w:kinsoku/>
              <w:wordWrap/>
              <w:overflowPunct/>
              <w:topLinePunct w:val="0"/>
              <w:autoSpaceDE/>
              <w:autoSpaceDN/>
              <w:bidi w:val="0"/>
              <w:adjustRightInd/>
              <w:snapToGrid w:val="0"/>
              <w:spacing w:line="300" w:lineRule="exact"/>
              <w:jc w:val="both"/>
              <w:textAlignment w:val="auto"/>
              <w:rPr>
                <w:rFonts w:hint="eastAsia" w:ascii="仿宋_GB2312" w:hAnsi="仿宋_GB2312" w:eastAsia="仿宋_GB2312" w:cs="仿宋_GB2312"/>
                <w:color w:val="auto"/>
                <w:kern w:val="2"/>
                <w:sz w:val="24"/>
                <w:szCs w:val="24"/>
                <w:highlight w:val="none"/>
                <w:shd w:val="clear" w:color="auto" w:fill="FFFFFF"/>
                <w:lang w:val="en-US" w:eastAsia="zh-CN" w:bidi="ar-SA"/>
              </w:rPr>
            </w:pPr>
            <w:r>
              <w:rPr>
                <w:rFonts w:hint="eastAsia" w:ascii="仿宋_GB2312" w:hAnsi="仿宋_GB2312" w:eastAsia="仿宋_GB2312" w:cs="仿宋_GB2312"/>
                <w:color w:val="auto"/>
                <w:sz w:val="24"/>
                <w:szCs w:val="24"/>
                <w:highlight w:val="none"/>
              </w:rPr>
              <w:t>教师需采用互动体验式教学，创设安全开放的课堂氛围。结合学生实际需求，设计实践性教学活动。学生需积极参与课堂互动，完成心理训练任务。教学中要注重隐私保护，引导学生科学看待心理问题，提升心理健康素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2" w:type="dxa"/>
            <w:left w:w="64" w:type="dxa"/>
            <w:bottom w:w="32" w:type="dxa"/>
            <w:right w:w="64" w:type="dxa"/>
          </w:tblCellMar>
        </w:tblPrEx>
        <w:trPr>
          <w:trHeight w:val="0" w:hRule="atLeast"/>
          <w:jc w:val="center"/>
        </w:trPr>
        <w:tc>
          <w:tcPr>
            <w:tcW w:w="608" w:type="dxa"/>
            <w:vAlign w:val="center"/>
          </w:tcPr>
          <w:p>
            <w:pPr>
              <w:keepNext w:val="0"/>
              <w:keepLines w:val="0"/>
              <w:pageBreakBefore w:val="0"/>
              <w:widowControl w:val="0"/>
              <w:kinsoku/>
              <w:wordWrap/>
              <w:overflowPunct/>
              <w:topLinePunct w:val="0"/>
              <w:autoSpaceDE/>
              <w:autoSpaceDN/>
              <w:bidi w:val="0"/>
              <w:adjustRightInd/>
              <w:snapToGrid w:val="0"/>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12</w:t>
            </w:r>
          </w:p>
        </w:tc>
        <w:tc>
          <w:tcPr>
            <w:tcW w:w="820"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after="0" w:line="300" w:lineRule="exact"/>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劳动教育</w:t>
            </w:r>
          </w:p>
        </w:tc>
        <w:tc>
          <w:tcPr>
            <w:tcW w:w="4115" w:type="dxa"/>
            <w:shd w:val="clear" w:color="auto" w:fill="auto"/>
            <w:vAlign w:val="top"/>
          </w:tcPr>
          <w:p>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val="0"/>
                <w:bCs w:val="0"/>
                <w:color w:val="auto"/>
                <w:sz w:val="24"/>
                <w:szCs w:val="24"/>
                <w:highlight w:val="none"/>
              </w:rPr>
              <w:t>：</w:t>
            </w:r>
            <w:r>
              <w:rPr>
                <w:rFonts w:hint="eastAsia" w:ascii="仿宋_GB2312" w:hAnsi="仿宋_GB2312" w:eastAsia="仿宋_GB2312" w:cs="仿宋_GB2312"/>
                <w:color w:val="auto"/>
                <w:sz w:val="24"/>
                <w:szCs w:val="24"/>
                <w:highlight w:val="none"/>
                <w:lang w:val="en-US" w:eastAsia="zh-CN"/>
              </w:rPr>
              <w:t>培养基本劳动技能，提升实践操作能力。掌握团队协作方法，增强问题解决与创新应用能力，适应未来职业劳动需求。</w:t>
            </w:r>
          </w:p>
          <w:p>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：培育吃苦耐劳精神，树立劳动光荣意识。增强责任担当，培养勤俭节约品质，形成尊重劳动、热爱劳动的良好品格。</w:t>
            </w:r>
          </w:p>
          <w:p>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素质目标：</w:t>
            </w:r>
            <w:r>
              <w:rPr>
                <w:rFonts w:hint="eastAsia" w:ascii="仿宋_GB2312" w:hAnsi="仿宋_GB2312" w:eastAsia="仿宋_GB2312" w:cs="仿宋_GB2312"/>
                <w:b w:val="0"/>
                <w:bCs w:val="0"/>
                <w:color w:val="auto"/>
                <w:sz w:val="24"/>
                <w:szCs w:val="24"/>
                <w:highlight w:val="none"/>
              </w:rPr>
              <w:t>培养学生的劳动观念，树立尊重劳动、热爱劳动、珍惜劳动成果的意识；引导学生形成正确的劳动价值观，理解劳动的社会意义和个人价值；培养新时代坚定的马克思主义者和具有工匠精神的社会主义建设者。</w:t>
            </w:r>
          </w:p>
          <w:p>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课程思政育人目标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lang w:val="en-US" w:eastAsia="zh-CN"/>
              </w:rPr>
              <w:t>弘扬劳模精神与工匠精神，强化劳动育人功能。</w:t>
            </w:r>
            <w:r>
              <w:rPr>
                <w:rFonts w:hint="eastAsia" w:ascii="仿宋_GB2312" w:hAnsi="仿宋_GB2312" w:eastAsia="仿宋_GB2312" w:cs="仿宋_GB2312"/>
                <w:b w:val="0"/>
                <w:bCs w:val="0"/>
                <w:color w:val="auto"/>
                <w:sz w:val="24"/>
                <w:szCs w:val="24"/>
                <w:highlight w:val="none"/>
              </w:rPr>
              <w:t>引导学生做社会主义核心价值观的积极践行者，培养新时代坚定的马克思主义者和具有工匠精神的社会主义建设者。</w:t>
            </w:r>
          </w:p>
          <w:p>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b w:val="0"/>
                <w:bCs w:val="0"/>
                <w:color w:val="auto"/>
                <w:sz w:val="24"/>
                <w:szCs w:val="24"/>
                <w:highlight w:val="none"/>
                <w:lang w:val="en-US" w:eastAsia="zh-CN"/>
              </w:rPr>
            </w:pPr>
          </w:p>
        </w:tc>
        <w:tc>
          <w:tcPr>
            <w:tcW w:w="3235" w:type="dxa"/>
            <w:shd w:val="clear" w:color="auto" w:fill="auto"/>
            <w:vAlign w:val="top"/>
          </w:tcPr>
          <w:p>
            <w:pPr>
              <w:keepNext w:val="0"/>
              <w:keepLines w:val="0"/>
              <w:pageBreakBefore w:val="0"/>
              <w:widowControl w:val="0"/>
              <w:kinsoku/>
              <w:wordWrap/>
              <w:overflowPunct/>
              <w:topLinePunct w:val="0"/>
              <w:autoSpaceDE/>
              <w:autoSpaceDN/>
              <w:bidi w:val="0"/>
              <w:adjustRightInd/>
              <w:snapToGrid w:val="0"/>
              <w:spacing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主要包括工具使用、设备操作等基础训练；实践环节组织校园服务、专业实习等多样化活动。结合专业特色，设计职业劳动项目，融入新技术、新工艺内容，提升学生劳动素养与职业适应能力。</w:t>
            </w:r>
          </w:p>
        </w:tc>
        <w:tc>
          <w:tcPr>
            <w:tcW w:w="2128" w:type="dxa"/>
            <w:shd w:val="clear" w:color="auto" w:fill="auto"/>
            <w:vAlign w:val="top"/>
          </w:tcPr>
          <w:p>
            <w:pPr>
              <w:keepNext w:val="0"/>
              <w:keepLines w:val="0"/>
              <w:pageBreakBefore w:val="0"/>
              <w:widowControl w:val="0"/>
              <w:kinsoku/>
              <w:wordWrap/>
              <w:overflowPunct/>
              <w:topLinePunct w:val="0"/>
              <w:autoSpaceDE/>
              <w:autoSpaceDN/>
              <w:bidi w:val="0"/>
              <w:adjustRightInd/>
              <w:snapToGrid w:val="0"/>
              <w:spacing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教师需结合专业特点设计教学内容，注重劳动安全教育，规范操作流程。学生需积极参与劳动实践，认真完成劳动任务。教学过程中要突出劳动育人功能，强化劳动价值观教育，注重培养学生的劳动习惯和职业精神，促进德智体美劳全面发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2" w:type="dxa"/>
            <w:left w:w="64" w:type="dxa"/>
            <w:bottom w:w="32" w:type="dxa"/>
            <w:right w:w="64" w:type="dxa"/>
          </w:tblCellMar>
        </w:tblPrEx>
        <w:trPr>
          <w:trHeight w:val="0" w:hRule="atLeast"/>
          <w:jc w:val="center"/>
        </w:trPr>
        <w:tc>
          <w:tcPr>
            <w:tcW w:w="608" w:type="dxa"/>
            <w:vAlign w:val="center"/>
          </w:tcPr>
          <w:p>
            <w:pPr>
              <w:keepNext w:val="0"/>
              <w:keepLines w:val="0"/>
              <w:pageBreakBefore w:val="0"/>
              <w:widowControl w:val="0"/>
              <w:kinsoku/>
              <w:wordWrap/>
              <w:overflowPunct/>
              <w:topLinePunct w:val="0"/>
              <w:autoSpaceDE/>
              <w:autoSpaceDN/>
              <w:bidi w:val="0"/>
              <w:adjustRightInd/>
              <w:snapToGrid w:val="0"/>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13</w:t>
            </w:r>
          </w:p>
        </w:tc>
        <w:tc>
          <w:tcPr>
            <w:tcW w:w="820"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after="0" w:line="300" w:lineRule="exact"/>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毛泽东思想和中国特色社会主义理论体系概论</w:t>
            </w:r>
          </w:p>
        </w:tc>
        <w:tc>
          <w:tcPr>
            <w:tcW w:w="4115" w:type="dxa"/>
            <w:shd w:val="clear" w:color="auto" w:fill="auto"/>
            <w:vAlign w:val="top"/>
          </w:tcPr>
          <w:p>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val="0"/>
                <w:bCs w:val="0"/>
                <w:color w:val="auto"/>
                <w:sz w:val="24"/>
                <w:szCs w:val="24"/>
                <w:highlight w:val="none"/>
              </w:rPr>
              <w:t>全面理解马克思主义中国化理论成果的科学内涵、理论体系、思想精髓、精神实质</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系统把握马克思主义中国化理论成果所蕴含的马克思主义立场、观点和方法。</w:t>
            </w:r>
          </w:p>
          <w:p>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b w:val="0"/>
                <w:bCs w:val="0"/>
                <w:color w:val="auto"/>
                <w:sz w:val="24"/>
                <w:szCs w:val="24"/>
                <w:highlight w:val="none"/>
              </w:rPr>
              <w:t>学会用马克思主义中国化理论成果分析和解决现实问题，把理论与实践、理想与现实、主观与客观统一起来，自觉投身于中国特色社会主义伟大实践。</w:t>
            </w:r>
          </w:p>
          <w:p>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b w:val="0"/>
                <w:bCs w:val="0"/>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w:t>
            </w:r>
            <w:r>
              <w:rPr>
                <w:rFonts w:hint="eastAsia" w:ascii="仿宋_GB2312" w:hAnsi="仿宋_GB2312" w:eastAsia="仿宋_GB2312" w:cs="仿宋_GB2312"/>
                <w:b/>
                <w:bCs/>
                <w:color w:val="auto"/>
                <w:sz w:val="24"/>
                <w:szCs w:val="24"/>
                <w:highlight w:val="none"/>
              </w:rPr>
              <w:t>目标</w:t>
            </w:r>
            <w:r>
              <w:rPr>
                <w:rFonts w:hint="eastAsia" w:ascii="仿宋_GB2312" w:hAnsi="仿宋_GB2312" w:eastAsia="仿宋_GB2312" w:cs="仿宋_GB2312"/>
                <w:b w:val="0"/>
                <w:bCs w:val="0"/>
                <w:color w:val="auto"/>
                <w:sz w:val="24"/>
                <w:szCs w:val="24"/>
                <w:highlight w:val="none"/>
              </w:rPr>
              <w:t>：引导大学生树立科学的世界观、历史观、大局观，深刻理解“中国共产党为什么能” “马克思主义为什么行”“中国特色社会主义为什么好”，</w:t>
            </w:r>
            <w:r>
              <w:rPr>
                <w:rFonts w:hint="eastAsia" w:ascii="仿宋_GB2312" w:hAnsi="仿宋_GB2312" w:eastAsia="仿宋_GB2312" w:cs="仿宋_GB2312"/>
                <w:b w:val="0"/>
                <w:bCs w:val="0"/>
                <w:color w:val="auto"/>
                <w:sz w:val="24"/>
                <w:szCs w:val="24"/>
                <w:highlight w:val="none"/>
                <w:lang w:val="en-US" w:eastAsia="zh-CN"/>
              </w:rPr>
              <w:t>自觉</w:t>
            </w:r>
            <w:r>
              <w:rPr>
                <w:rFonts w:hint="eastAsia" w:ascii="仿宋_GB2312" w:hAnsi="仿宋_GB2312" w:eastAsia="仿宋_GB2312" w:cs="仿宋_GB2312"/>
                <w:b w:val="0"/>
                <w:bCs w:val="0"/>
                <w:color w:val="auto"/>
                <w:sz w:val="24"/>
                <w:szCs w:val="24"/>
                <w:highlight w:val="none"/>
                <w:lang w:eastAsia="zh-CN"/>
              </w:rPr>
              <w:t>增强“四个意识”、坚定“四个自信”、</w:t>
            </w:r>
            <w:r>
              <w:rPr>
                <w:rFonts w:hint="eastAsia" w:ascii="仿宋_GB2312" w:hAnsi="仿宋_GB2312" w:eastAsia="仿宋_GB2312" w:cs="仿宋_GB2312"/>
                <w:b w:val="0"/>
                <w:bCs w:val="0"/>
                <w:color w:val="auto"/>
                <w:sz w:val="24"/>
                <w:szCs w:val="24"/>
                <w:highlight w:val="none"/>
              </w:rPr>
              <w:t>做到“两个维护”，</w:t>
            </w:r>
            <w:r>
              <w:rPr>
                <w:rFonts w:hint="eastAsia" w:ascii="仿宋_GB2312" w:hAnsi="仿宋_GB2312" w:eastAsia="仿宋_GB2312" w:cs="仿宋_GB2312"/>
                <w:b w:val="0"/>
                <w:bCs w:val="0"/>
                <w:color w:val="auto"/>
                <w:sz w:val="24"/>
                <w:szCs w:val="24"/>
                <w:highlight w:val="none"/>
                <w:lang w:val="en-US" w:eastAsia="zh-CN"/>
              </w:rPr>
              <w:t>努力学习</w:t>
            </w:r>
            <w:r>
              <w:rPr>
                <w:rFonts w:hint="eastAsia" w:ascii="仿宋_GB2312" w:hAnsi="仿宋_GB2312" w:eastAsia="仿宋_GB2312" w:cs="仿宋_GB2312"/>
                <w:i w:val="0"/>
                <w:iCs w:val="0"/>
                <w:caps w:val="0"/>
                <w:color w:val="auto"/>
                <w:spacing w:val="0"/>
                <w:sz w:val="24"/>
                <w:szCs w:val="24"/>
                <w:highlight w:val="none"/>
                <w:shd w:val="clear" w:fill="FFFFFF"/>
              </w:rPr>
              <w:t>文化知识，增强自己的本领</w:t>
            </w:r>
            <w:r>
              <w:rPr>
                <w:rFonts w:hint="eastAsia" w:ascii="仿宋_GB2312" w:hAnsi="仿宋_GB2312" w:eastAsia="仿宋_GB2312" w:cs="仿宋_GB2312"/>
                <w:i w:val="0"/>
                <w:iCs w:val="0"/>
                <w:caps w:val="0"/>
                <w:color w:val="auto"/>
                <w:spacing w:val="0"/>
                <w:sz w:val="24"/>
                <w:szCs w:val="24"/>
                <w:highlight w:val="none"/>
                <w:shd w:val="clear" w:fill="FFFFFF"/>
                <w:lang w:eastAsia="zh-CN"/>
              </w:rPr>
              <w:t>，</w:t>
            </w:r>
            <w:r>
              <w:rPr>
                <w:rFonts w:hint="eastAsia" w:ascii="仿宋_GB2312" w:hAnsi="仿宋_GB2312" w:eastAsia="仿宋_GB2312" w:cs="仿宋_GB2312"/>
                <w:b w:val="0"/>
                <w:bCs w:val="0"/>
                <w:color w:val="auto"/>
                <w:sz w:val="24"/>
                <w:szCs w:val="24"/>
                <w:highlight w:val="none"/>
              </w:rPr>
              <w:t>为实现中华民族伟大复兴中国梦而努力。</w:t>
            </w:r>
          </w:p>
        </w:tc>
        <w:tc>
          <w:tcPr>
            <w:tcW w:w="3235" w:type="dxa"/>
            <w:shd w:val="clear" w:color="auto" w:fill="auto"/>
            <w:vAlign w:val="top"/>
          </w:tcPr>
          <w:p>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val="0"/>
                <w:bCs w:val="0"/>
                <w:color w:val="auto"/>
                <w:sz w:val="24"/>
                <w:szCs w:val="24"/>
                <w:highlight w:val="none"/>
                <w:lang w:val="en-US" w:eastAsia="zh-CN"/>
              </w:rPr>
              <w:t>课程</w:t>
            </w:r>
            <w:r>
              <w:rPr>
                <w:rFonts w:hint="eastAsia" w:ascii="仿宋_GB2312" w:hAnsi="仿宋_GB2312" w:eastAsia="仿宋_GB2312" w:cs="仿宋_GB2312"/>
                <w:b w:val="0"/>
                <w:bCs w:val="0"/>
                <w:color w:val="auto"/>
                <w:sz w:val="24"/>
                <w:szCs w:val="24"/>
                <w:highlight w:val="none"/>
              </w:rPr>
              <w:t>包括三大知识模块：一是马克思主义中国化的科学内涵和理论成果；二是阐述毛泽东思想的时 代背景、主要内容和历史地位；三是分别阐述邓小平理论、“三个代表”重要思想、科学发展观形成的社会历史条件、形成发展过程、主要内容和历史地位。</w:t>
            </w:r>
          </w:p>
          <w:p>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color w:val="auto"/>
                <w:sz w:val="24"/>
                <w:szCs w:val="24"/>
                <w:highlight w:val="none"/>
              </w:rPr>
            </w:pPr>
          </w:p>
          <w:p>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p>
        </w:tc>
        <w:tc>
          <w:tcPr>
            <w:tcW w:w="2128" w:type="dxa"/>
            <w:shd w:val="clear" w:color="auto" w:fill="auto"/>
            <w:vAlign w:val="top"/>
          </w:tcPr>
          <w:p>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通过教师运用信息化技术进行史论结合、案例丰富的讲授，引导学生系统掌握马克思主义基本原理和马克思主义中国化理论成果，了解党史、新中国史、改革开放史、社会主义发展史，认识世情、国情、党情，培养运用马克思主义立场观点方法分析和解决问题的能力； 矢志不渝听党话</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跟党走，争做社会主义合格建设者和 可靠接班人。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2" w:type="dxa"/>
            <w:left w:w="64" w:type="dxa"/>
            <w:bottom w:w="32" w:type="dxa"/>
            <w:right w:w="64" w:type="dxa"/>
          </w:tblCellMar>
        </w:tblPrEx>
        <w:trPr>
          <w:trHeight w:val="0" w:hRule="atLeast"/>
          <w:jc w:val="center"/>
        </w:trPr>
        <w:tc>
          <w:tcPr>
            <w:tcW w:w="608" w:type="dxa"/>
            <w:vAlign w:val="center"/>
          </w:tcPr>
          <w:p>
            <w:pPr>
              <w:keepNext w:val="0"/>
              <w:keepLines w:val="0"/>
              <w:pageBreakBefore w:val="0"/>
              <w:widowControl w:val="0"/>
              <w:kinsoku/>
              <w:wordWrap/>
              <w:overflowPunct/>
              <w:topLinePunct w:val="0"/>
              <w:autoSpaceDE/>
              <w:autoSpaceDN/>
              <w:bidi w:val="0"/>
              <w:adjustRightInd/>
              <w:snapToGrid w:val="0"/>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14</w:t>
            </w:r>
          </w:p>
        </w:tc>
        <w:tc>
          <w:tcPr>
            <w:tcW w:w="820"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after="0" w:line="300" w:lineRule="exact"/>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创新创业教育</w:t>
            </w:r>
          </w:p>
        </w:tc>
        <w:tc>
          <w:tcPr>
            <w:tcW w:w="4115" w:type="dxa"/>
            <w:shd w:val="clear" w:color="auto" w:fill="auto"/>
            <w:vAlign w:val="top"/>
          </w:tcPr>
          <w:p>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val="0"/>
                <w:bCs w:val="0"/>
                <w:color w:val="auto"/>
                <w:sz w:val="24"/>
                <w:szCs w:val="24"/>
                <w:highlight w:val="none"/>
              </w:rPr>
              <w:t>熟悉创新思维的内涵及其基本训练方法；</w:t>
            </w:r>
            <w:r>
              <w:rPr>
                <w:rFonts w:hint="eastAsia" w:ascii="仿宋_GB2312" w:hAnsi="仿宋_GB2312" w:eastAsia="仿宋_GB2312" w:cs="仿宋_GB2312"/>
                <w:color w:val="auto"/>
                <w:sz w:val="24"/>
                <w:szCs w:val="24"/>
                <w:highlight w:val="none"/>
                <w:lang w:val="en-US" w:eastAsia="zh-CN"/>
              </w:rPr>
              <w:t>了解商业模式设计要点，</w:t>
            </w:r>
            <w:r>
              <w:rPr>
                <w:rFonts w:hint="eastAsia" w:ascii="仿宋_GB2312" w:hAnsi="仿宋_GB2312" w:eastAsia="仿宋_GB2312" w:cs="仿宋_GB2312"/>
                <w:b w:val="0"/>
                <w:bCs w:val="0"/>
                <w:color w:val="auto"/>
                <w:sz w:val="24"/>
                <w:szCs w:val="24"/>
                <w:highlight w:val="none"/>
              </w:rPr>
              <w:t>掌握常用的创新方法；掌握保护创新成果的方法</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color w:val="auto"/>
                <w:sz w:val="24"/>
                <w:szCs w:val="24"/>
                <w:highlight w:val="none"/>
                <w:lang w:val="en-US" w:eastAsia="zh-CN"/>
              </w:rPr>
              <w:t>了解创新创业政策法规。</w:t>
            </w:r>
          </w:p>
          <w:p>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b w:val="0"/>
                <w:bCs w:val="0"/>
                <w:color w:val="auto"/>
                <w:sz w:val="24"/>
                <w:szCs w:val="24"/>
                <w:highlight w:val="none"/>
              </w:rPr>
              <w:t xml:space="preserve"> </w:t>
            </w:r>
            <w:r>
              <w:rPr>
                <w:rFonts w:hint="eastAsia" w:ascii="仿宋_GB2312" w:hAnsi="仿宋_GB2312" w:eastAsia="仿宋_GB2312" w:cs="仿宋_GB2312"/>
                <w:color w:val="auto"/>
                <w:sz w:val="24"/>
                <w:szCs w:val="24"/>
                <w:highlight w:val="none"/>
                <w:lang w:val="en-US" w:eastAsia="zh-CN"/>
              </w:rPr>
              <w:t>培养创新思维与机会识别能力，提升商业计划书撰写水平。增强资源整合与项目管理能力，掌握创业风险防范与应对方法。</w:t>
            </w:r>
          </w:p>
          <w:p>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素质目标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lang w:val="en-US" w:eastAsia="zh-CN"/>
              </w:rPr>
              <w:t>培育开拓进取精神，树立正确的创业价值观。增强团队协作意识，培养抗压能力与责任担当，形成积极向上的创业心态。</w:t>
            </w:r>
          </w:p>
          <w:p>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b/>
                <w:bCs/>
                <w:color w:val="auto"/>
                <w:sz w:val="24"/>
                <w:szCs w:val="24"/>
                <w:highlight w:val="none"/>
              </w:rPr>
              <w:t>课程思政育人目标：</w:t>
            </w:r>
            <w:r>
              <w:rPr>
                <w:rFonts w:hint="eastAsia" w:ascii="仿宋_GB2312" w:hAnsi="仿宋_GB2312" w:eastAsia="仿宋_GB2312" w:cs="仿宋_GB2312"/>
                <w:b w:val="0"/>
                <w:bCs w:val="0"/>
                <w:color w:val="auto"/>
                <w:sz w:val="24"/>
                <w:szCs w:val="24"/>
                <w:highlight w:val="none"/>
              </w:rPr>
              <w:t>融入企业家精神教育，强化社会责任意识。通过创新创业案例培育家国情怀，引导学生将个人发展融入国家创新驱动</w:t>
            </w:r>
            <w:r>
              <w:rPr>
                <w:rFonts w:hint="eastAsia" w:ascii="仿宋_GB2312" w:hAnsi="仿宋_GB2312" w:eastAsia="仿宋_GB2312" w:cs="仿宋_GB2312"/>
                <w:b w:val="0"/>
                <w:bCs w:val="0"/>
                <w:color w:val="auto"/>
                <w:sz w:val="24"/>
                <w:szCs w:val="24"/>
                <w:highlight w:val="none"/>
                <w:lang w:val="en-US" w:eastAsia="zh-CN"/>
              </w:rPr>
              <w:t>发展</w:t>
            </w:r>
            <w:r>
              <w:rPr>
                <w:rFonts w:hint="eastAsia" w:ascii="仿宋_GB2312" w:hAnsi="仿宋_GB2312" w:eastAsia="仿宋_GB2312" w:cs="仿宋_GB2312"/>
                <w:b w:val="0"/>
                <w:bCs w:val="0"/>
                <w:color w:val="auto"/>
                <w:sz w:val="24"/>
                <w:szCs w:val="24"/>
                <w:highlight w:val="none"/>
              </w:rPr>
              <w:t>战略。</w:t>
            </w:r>
          </w:p>
        </w:tc>
        <w:tc>
          <w:tcPr>
            <w:tcW w:w="3235" w:type="dxa"/>
            <w:shd w:val="clear" w:color="auto" w:fill="auto"/>
            <w:vAlign w:val="top"/>
          </w:tcPr>
          <w:p>
            <w:pPr>
              <w:keepNext w:val="0"/>
              <w:keepLines w:val="0"/>
              <w:pageBreakBefore w:val="0"/>
              <w:widowControl w:val="0"/>
              <w:kinsoku/>
              <w:wordWrap/>
              <w:overflowPunct/>
              <w:topLinePunct w:val="0"/>
              <w:autoSpaceDE/>
              <w:autoSpaceDN/>
              <w:bidi w:val="0"/>
              <w:adjustRightInd/>
              <w:snapToGrid w:val="0"/>
              <w:spacing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课程包含创新思维训练、创业基础知识、商业计划设计、创业模拟实践四大模块。通过案例分析、工作坊等形式开展创新方法训练，组织商业模式设计、路演展示等实践活动。结合区域经济发展需求，引入真实创业项目，开展校企合作实践，强化学生创新创业能力培养。</w:t>
            </w:r>
          </w:p>
        </w:tc>
        <w:tc>
          <w:tcPr>
            <w:tcW w:w="2128" w:type="dxa"/>
            <w:shd w:val="clear" w:color="auto" w:fill="auto"/>
            <w:vAlign w:val="top"/>
          </w:tcPr>
          <w:p>
            <w:pPr>
              <w:keepNext w:val="0"/>
              <w:keepLines w:val="0"/>
              <w:pageBreakBefore w:val="0"/>
              <w:widowControl w:val="0"/>
              <w:kinsoku/>
              <w:wordWrap/>
              <w:overflowPunct/>
              <w:topLinePunct w:val="0"/>
              <w:autoSpaceDE/>
              <w:autoSpaceDN/>
              <w:bidi w:val="0"/>
              <w:adjustRightInd/>
              <w:snapToGrid w:val="0"/>
              <w:spacing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教师需采用项目驱动式教学，设计真实创业情境任务。邀请企业家参与教学，保持教学内容的前沿性。学生需主动参与创新实践，完成商业计划设计。教学中要注重理论与实践结合，突出创新思维培养，强化创业伦理教育，提升学生创新创业综合素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2" w:type="dxa"/>
            <w:left w:w="64" w:type="dxa"/>
            <w:bottom w:w="32" w:type="dxa"/>
            <w:right w:w="64" w:type="dxa"/>
          </w:tblCellMar>
        </w:tblPrEx>
        <w:trPr>
          <w:trHeight w:val="0" w:hRule="atLeast"/>
          <w:jc w:val="center"/>
        </w:trPr>
        <w:tc>
          <w:tcPr>
            <w:tcW w:w="608" w:type="dxa"/>
            <w:vAlign w:val="center"/>
          </w:tcPr>
          <w:p>
            <w:pPr>
              <w:keepNext w:val="0"/>
              <w:keepLines w:val="0"/>
              <w:pageBreakBefore w:val="0"/>
              <w:widowControl w:val="0"/>
              <w:kinsoku/>
              <w:wordWrap/>
              <w:overflowPunct/>
              <w:topLinePunct w:val="0"/>
              <w:autoSpaceDE/>
              <w:autoSpaceDN/>
              <w:bidi w:val="0"/>
              <w:adjustRightInd/>
              <w:snapToGrid w:val="0"/>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15</w:t>
            </w:r>
          </w:p>
        </w:tc>
        <w:tc>
          <w:tcPr>
            <w:tcW w:w="820" w:type="dxa"/>
            <w:vAlign w:val="center"/>
          </w:tcPr>
          <w:p>
            <w:pPr>
              <w:keepNext w:val="0"/>
              <w:keepLines w:val="0"/>
              <w:pageBreakBefore w:val="0"/>
              <w:widowControl w:val="0"/>
              <w:kinsoku/>
              <w:wordWrap/>
              <w:overflowPunct/>
              <w:topLinePunct w:val="0"/>
              <w:autoSpaceDE/>
              <w:autoSpaceDN/>
              <w:bidi w:val="0"/>
              <w:adjustRightInd/>
              <w:snapToGrid w:val="0"/>
              <w:spacing w:after="0" w:line="300" w:lineRule="exact"/>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习近平新时代中国特色社会主义思想概论</w:t>
            </w:r>
          </w:p>
        </w:tc>
        <w:tc>
          <w:tcPr>
            <w:tcW w:w="4115" w:type="dxa"/>
            <w:vAlign w:val="top"/>
          </w:tcPr>
          <w:p>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深刻理解习近平新时代中国特色社会主义思想是马克思主义中国化的最新理论成果；系统把握习近平新时代中国特色社会主义思想的核心观点和基本方略。</w:t>
            </w:r>
          </w:p>
          <w:p>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b w:val="0"/>
                <w:bCs w:val="0"/>
                <w:color w:val="auto"/>
                <w:sz w:val="24"/>
                <w:szCs w:val="24"/>
                <w:highlight w:val="none"/>
                <w:lang w:val="en-US" w:eastAsia="zh-CN"/>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提升大学生运用所学新思想、新理论分析和解决现实问题的能力；增强大学生全面贯彻党的基本理论和基本方略的自觉性和主动性。</w:t>
            </w:r>
          </w:p>
          <w:p>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b w:val="0"/>
                <w:bCs w:val="0"/>
                <w:color w:val="auto"/>
                <w:sz w:val="24"/>
                <w:szCs w:val="24"/>
                <w:highlight w:val="none"/>
              </w:rPr>
              <w:t>引导大学生自觉运用习近平新时代中国特色社会主义思想武装头脑，积极投身到建设新时代中国特色社会主义的伟大历史进程中，实现中国梦。 帮助大学生</w:t>
            </w:r>
            <w:r>
              <w:rPr>
                <w:rFonts w:hint="eastAsia" w:ascii="仿宋_GB2312" w:hAnsi="仿宋_GB2312" w:eastAsia="仿宋_GB2312" w:cs="仿宋_GB2312"/>
                <w:b w:val="0"/>
                <w:bCs w:val="0"/>
                <w:color w:val="auto"/>
                <w:sz w:val="24"/>
                <w:szCs w:val="24"/>
                <w:highlight w:val="none"/>
                <w:lang w:eastAsia="zh-CN"/>
              </w:rPr>
              <w:t>增强“四个意识”、坚定“四个自信”、做到“两个维护”</w:t>
            </w:r>
            <w:r>
              <w:rPr>
                <w:rFonts w:hint="eastAsia" w:ascii="仿宋_GB2312" w:hAnsi="仿宋_GB2312" w:eastAsia="仿宋_GB2312" w:cs="仿宋_GB2312"/>
                <w:b w:val="0"/>
                <w:bCs w:val="0"/>
                <w:color w:val="auto"/>
                <w:sz w:val="24"/>
                <w:szCs w:val="24"/>
                <w:highlight w:val="none"/>
              </w:rPr>
              <w:t xml:space="preserve">。 </w:t>
            </w:r>
          </w:p>
        </w:tc>
        <w:tc>
          <w:tcPr>
            <w:tcW w:w="3235" w:type="dxa"/>
            <w:vAlign w:val="top"/>
          </w:tcPr>
          <w:p>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课程主要的知识模块</w:t>
            </w:r>
            <w:r>
              <w:rPr>
                <w:rFonts w:hint="eastAsia" w:ascii="仿宋_GB2312" w:hAnsi="仿宋_GB2312" w:eastAsia="仿宋_GB2312" w:cs="仿宋_GB2312"/>
                <w:color w:val="auto"/>
                <w:sz w:val="24"/>
                <w:szCs w:val="24"/>
                <w:highlight w:val="none"/>
                <w:lang w:val="en-US" w:eastAsia="zh-CN"/>
              </w:rPr>
              <w:t>包括</w:t>
            </w:r>
            <w:r>
              <w:rPr>
                <w:rFonts w:hint="eastAsia" w:ascii="仿宋_GB2312" w:hAnsi="仿宋_GB2312" w:eastAsia="仿宋_GB2312" w:cs="仿宋_GB2312"/>
                <w:color w:val="auto"/>
                <w:sz w:val="24"/>
                <w:szCs w:val="24"/>
                <w:highlight w:val="none"/>
              </w:rPr>
              <w:t>：习近平新时代中国特色社会主义思想及其历史地位、坚持和发展中国特色社会主义的总任务、</w:t>
            </w:r>
            <w:r>
              <w:rPr>
                <w:rFonts w:hint="eastAsia" w:ascii="仿宋_GB2312" w:hAnsi="仿宋_GB2312" w:eastAsia="仿宋_GB2312" w:cs="仿宋_GB2312"/>
                <w:color w:val="auto"/>
                <w:sz w:val="24"/>
                <w:szCs w:val="24"/>
                <w:highlight w:val="none"/>
                <w:lang w:val="en-US" w:eastAsia="zh-CN"/>
              </w:rPr>
              <w:t xml:space="preserve"> </w:t>
            </w:r>
            <w:r>
              <w:rPr>
                <w:rFonts w:hint="eastAsia" w:ascii="仿宋_GB2312" w:hAnsi="仿宋_GB2312" w:eastAsia="仿宋_GB2312" w:cs="仿宋_GB2312"/>
                <w:color w:val="auto"/>
                <w:sz w:val="24"/>
                <w:szCs w:val="24"/>
                <w:highlight w:val="none"/>
              </w:rPr>
              <w:t>“五位一体”总体布局、“四个全面”战略布局、实现中华民族伟大复兴的重要保障、中国特色大国外交、坚持和加强党的领导</w:t>
            </w:r>
            <w:r>
              <w:rPr>
                <w:rFonts w:hint="eastAsia" w:ascii="仿宋_GB2312" w:hAnsi="仿宋_GB2312" w:eastAsia="仿宋_GB2312" w:cs="仿宋_GB2312"/>
                <w:color w:val="auto"/>
                <w:sz w:val="24"/>
                <w:szCs w:val="24"/>
                <w:highlight w:val="none"/>
                <w:lang w:val="en-US" w:eastAsia="zh-CN"/>
              </w:rPr>
              <w:t>等内容。</w:t>
            </w:r>
          </w:p>
        </w:tc>
        <w:tc>
          <w:tcPr>
            <w:tcW w:w="2128" w:type="dxa"/>
            <w:vAlign w:val="top"/>
          </w:tcPr>
          <w:p>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 xml:space="preserve">通过教师的混合式教学 </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史论结合 、案例丰富的教学，让学生感悟党的创新理论的思想伟力，坚持用马克思主义理论指导实践，做 “学思想、强党性、重实践、建新功”的新时代青年。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2" w:type="dxa"/>
            <w:left w:w="64" w:type="dxa"/>
            <w:bottom w:w="32" w:type="dxa"/>
            <w:right w:w="64" w:type="dxa"/>
          </w:tblCellMar>
        </w:tblPrEx>
        <w:trPr>
          <w:trHeight w:val="0" w:hRule="atLeast"/>
          <w:jc w:val="center"/>
        </w:trPr>
        <w:tc>
          <w:tcPr>
            <w:tcW w:w="608" w:type="dxa"/>
            <w:vAlign w:val="center"/>
          </w:tcPr>
          <w:p>
            <w:pPr>
              <w:keepNext w:val="0"/>
              <w:keepLines w:val="0"/>
              <w:pageBreakBefore w:val="0"/>
              <w:widowControl w:val="0"/>
              <w:kinsoku/>
              <w:wordWrap/>
              <w:overflowPunct/>
              <w:topLinePunct w:val="0"/>
              <w:autoSpaceDE/>
              <w:autoSpaceDN/>
              <w:bidi w:val="0"/>
              <w:adjustRightInd/>
              <w:snapToGrid w:val="0"/>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16</w:t>
            </w:r>
          </w:p>
        </w:tc>
        <w:tc>
          <w:tcPr>
            <w:tcW w:w="820"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after="0" w:line="300" w:lineRule="exact"/>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中国民俗剪纸技法</w:t>
            </w:r>
          </w:p>
        </w:tc>
        <w:tc>
          <w:tcPr>
            <w:tcW w:w="4115" w:type="dxa"/>
            <w:shd w:val="clear" w:color="auto" w:fill="auto"/>
            <w:vAlign w:val="top"/>
          </w:tcPr>
          <w:p>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了解剪纸的历史与文化内涵和掌握剪纸的基本知识。</w:t>
            </w:r>
            <w:r>
              <w:rPr>
                <w:rFonts w:hint="eastAsia" w:ascii="仿宋_GB2312" w:hAnsi="仿宋_GB2312" w:eastAsia="仿宋_GB2312" w:cs="仿宋_GB2312"/>
                <w:color w:val="auto"/>
                <w:sz w:val="24"/>
                <w:szCs w:val="24"/>
                <w:highlight w:val="none"/>
                <w:lang w:val="en-US" w:eastAsia="zh-CN"/>
              </w:rPr>
              <w:t>掌握剪纸艺术的历史渊源与文化内涵，了解不同地域的剪纸风格特点。学习传统剪纸纹样寓意，掌握基础剪纸工具使用方法与安全规范。</w:t>
            </w:r>
          </w:p>
          <w:p>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Fonts w:hint="eastAsia" w:ascii="仿宋_GB2312" w:hAnsi="仿宋_GB2312" w:eastAsia="仿宋_GB2312" w:cs="仿宋_GB2312"/>
                <w:b/>
                <w:bCs/>
                <w:color w:val="auto"/>
                <w:sz w:val="24"/>
                <w:szCs w:val="24"/>
                <w:highlight w:val="none"/>
                <w:lang w:val="en-US" w:eastAsia="zh-CN"/>
              </w:rPr>
              <w:t>能力目标：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学生能够熟练掌握剪纸的基本技法、剪纸的构图技巧，</w:t>
            </w:r>
            <w:r>
              <w:rPr>
                <w:rFonts w:hint="eastAsia" w:ascii="仿宋_GB2312" w:hAnsi="仿宋_GB2312" w:eastAsia="仿宋_GB2312" w:cs="仿宋_GB2312"/>
                <w:color w:val="auto"/>
                <w:sz w:val="24"/>
                <w:szCs w:val="24"/>
                <w:highlight w:val="none"/>
                <w:lang w:val="en-US" w:eastAsia="zh-CN"/>
              </w:rPr>
              <w:t>培养图案设计与剪刀运用能力，掌握对称、连续等基础剪纸技法。</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学会运用多种剪纸技法进行创作，鼓励学生在传统剪纸技法的基础上进行创新，结合现代设计理念和元素，创作出具有时代感和个性的剪纸作品。</w:t>
            </w:r>
          </w:p>
          <w:p>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培育耐心细致的工作态度，提升审美鉴赏能力。增强文化自信，传承非遗技艺，培养创新思维与艺术表现力。</w:t>
            </w:r>
          </w:p>
          <w:p>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b/>
                <w:bCs/>
                <w:color w:val="auto"/>
                <w:sz w:val="24"/>
                <w:szCs w:val="24"/>
                <w:highlight w:val="none"/>
                <w:lang w:val="en-US" w:eastAsia="zh-CN"/>
              </w:rPr>
              <w:t>课程思政育人目标：</w:t>
            </w:r>
            <w:r>
              <w:rPr>
                <w:rFonts w:hint="eastAsia" w:ascii="仿宋_GB2312" w:hAnsi="仿宋_GB2312" w:eastAsia="仿宋_GB2312" w:cs="仿宋_GB2312"/>
                <w:color w:val="auto"/>
                <w:sz w:val="24"/>
                <w:szCs w:val="24"/>
                <w:highlight w:val="none"/>
                <w:lang w:val="en-US" w:eastAsia="zh-CN"/>
              </w:rPr>
              <w:t>通过剪纸艺术，弘扬中华优秀传统文化，增强民族自豪感。在技艺传承中培育工匠精神，树立文化传承的责任意识。</w:t>
            </w:r>
          </w:p>
        </w:tc>
        <w:tc>
          <w:tcPr>
            <w:tcW w:w="3235" w:type="dxa"/>
            <w:shd w:val="clear" w:color="auto" w:fill="auto"/>
            <w:vAlign w:val="top"/>
          </w:tcPr>
          <w:p>
            <w:pPr>
              <w:keepNext w:val="0"/>
              <w:keepLines w:val="0"/>
              <w:pageBreakBefore w:val="0"/>
              <w:widowControl w:val="0"/>
              <w:kinsoku/>
              <w:wordWrap/>
              <w:overflowPunct/>
              <w:topLinePunct w:val="0"/>
              <w:autoSpaceDE/>
              <w:autoSpaceDN/>
              <w:bidi w:val="0"/>
              <w:adjustRightInd/>
              <w:snapToGrid w:val="0"/>
              <w:spacing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课程包含剪纸文化理论、基础技法训练、创意设计实践三大模块。理论部分讲解剪纸发展历史与地域特色；技法训练包括对称剪、镂空剪等基础技法；实践环节设计传统纹样临摹与创新作品制作。结合现代设计理念，融入专业特色，开展主题性剪纸创作，如节庆装饰、文创产品设计等实践项目。</w:t>
            </w:r>
          </w:p>
        </w:tc>
        <w:tc>
          <w:tcPr>
            <w:tcW w:w="2128" w:type="dxa"/>
            <w:shd w:val="clear" w:color="auto" w:fill="auto"/>
            <w:vAlign w:val="top"/>
          </w:tcPr>
          <w:p>
            <w:pPr>
              <w:keepNext w:val="0"/>
              <w:keepLines w:val="0"/>
              <w:pageBreakBefore w:val="0"/>
              <w:widowControl w:val="0"/>
              <w:kinsoku/>
              <w:wordWrap/>
              <w:overflowPunct/>
              <w:topLinePunct w:val="0"/>
              <w:autoSpaceDE/>
              <w:autoSpaceDN/>
              <w:bidi w:val="0"/>
              <w:adjustRightInd/>
              <w:snapToGrid w:val="0"/>
              <w:spacing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教师需采用示范教学与个别指导相结合的方式，注重传统技艺的规范性。准备充足的教学素材与工具，创设良好的创作环境。学生需认真完成课堂练习，积极参与创作实践。教学中要突出文化传承价值，注重培养学生的审美能力与创新意识，鼓励将传统技艺与现代设计相结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2" w:type="dxa"/>
            <w:left w:w="64" w:type="dxa"/>
            <w:bottom w:w="32" w:type="dxa"/>
            <w:right w:w="64" w:type="dxa"/>
          </w:tblCellMar>
        </w:tblPrEx>
        <w:trPr>
          <w:trHeight w:val="0" w:hRule="atLeast"/>
          <w:jc w:val="center"/>
        </w:trPr>
        <w:tc>
          <w:tcPr>
            <w:tcW w:w="608" w:type="dxa"/>
            <w:vAlign w:val="center"/>
          </w:tcPr>
          <w:p>
            <w:pPr>
              <w:keepNext w:val="0"/>
              <w:keepLines w:val="0"/>
              <w:pageBreakBefore w:val="0"/>
              <w:widowControl w:val="0"/>
              <w:kinsoku/>
              <w:wordWrap/>
              <w:overflowPunct/>
              <w:topLinePunct w:val="0"/>
              <w:autoSpaceDE/>
              <w:autoSpaceDN/>
              <w:bidi w:val="0"/>
              <w:adjustRightInd/>
              <w:snapToGrid w:val="0"/>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17</w:t>
            </w:r>
          </w:p>
        </w:tc>
        <w:tc>
          <w:tcPr>
            <w:tcW w:w="820"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after="0" w:line="300" w:lineRule="exact"/>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影视与鉴赏</w:t>
            </w:r>
          </w:p>
        </w:tc>
        <w:tc>
          <w:tcPr>
            <w:tcW w:w="4115" w:type="dxa"/>
            <w:shd w:val="clear" w:color="auto" w:fill="auto"/>
            <w:vAlign w:val="top"/>
          </w:tcPr>
          <w:p>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掌握影视基础知识，了解影视艺术的基本概念、发展历程、主要类型和流派。掌握影视制作的基本流程，鉴赏不同类型影视作品的基本方法和技巧，</w:t>
            </w:r>
            <w:r>
              <w:rPr>
                <w:rFonts w:hint="eastAsia" w:ascii="仿宋_GB2312" w:hAnsi="仿宋_GB2312" w:eastAsia="仿宋_GB2312" w:cs="仿宋_GB2312"/>
                <w:color w:val="auto"/>
                <w:sz w:val="24"/>
                <w:szCs w:val="24"/>
                <w:highlight w:val="none"/>
                <w:lang w:val="en-US" w:eastAsia="zh-CN"/>
              </w:rPr>
              <w:t>掌握影视创作基本流程。</w:t>
            </w:r>
          </w:p>
          <w:p>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培养影视作品分析鉴赏能力，提升视听语言理解水平。掌握影视评论写作方法，具备基础影视审美判断能力。</w:t>
            </w:r>
          </w:p>
          <w:p>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培育艺术审美情趣，提高文化修养水平。增强创新思维能力，树立正确的价值观和艺术观。</w:t>
            </w:r>
          </w:p>
          <w:p>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课程思政育人目标：</w:t>
            </w:r>
            <w:r>
              <w:rPr>
                <w:rFonts w:hint="eastAsia" w:ascii="仿宋_GB2312" w:hAnsi="仿宋_GB2312" w:eastAsia="仿宋_GB2312" w:cs="仿宋_GB2312"/>
                <w:color w:val="auto"/>
                <w:sz w:val="24"/>
                <w:szCs w:val="24"/>
                <w:highlight w:val="none"/>
                <w:lang w:val="en-US" w:eastAsia="zh-CN"/>
              </w:rPr>
              <w:t>通过优秀影视作品弘扬社会主义核心价值观。在艺术鉴赏中增强文化自信，培养家国情怀和人文精神。</w:t>
            </w:r>
          </w:p>
        </w:tc>
        <w:tc>
          <w:tcPr>
            <w:tcW w:w="3235" w:type="dxa"/>
            <w:shd w:val="clear" w:color="auto" w:fill="auto"/>
            <w:vAlign w:val="top"/>
          </w:tcPr>
          <w:p>
            <w:pPr>
              <w:keepNext w:val="0"/>
              <w:keepLines w:val="0"/>
              <w:pageBreakBefore w:val="0"/>
              <w:widowControl w:val="0"/>
              <w:kinsoku/>
              <w:wordWrap/>
              <w:overflowPunct/>
              <w:topLinePunct w:val="0"/>
              <w:autoSpaceDE/>
              <w:autoSpaceDN/>
              <w:bidi w:val="0"/>
              <w:adjustRightInd/>
              <w:snapToGrid w:val="0"/>
              <w:spacing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课程包含影视艺术基础理论、经典作品赏析、创作实践三个模块。理论部分讲解影视语言、类型特征等基础知识；赏析环节重点分析中外经典影片；实践模块组织短片创作、影评写作等活动。结合时代特色，选取反映社会发展的优秀作品，开展主题式影视教育活动。</w:t>
            </w:r>
          </w:p>
        </w:tc>
        <w:tc>
          <w:tcPr>
            <w:tcW w:w="2128" w:type="dxa"/>
            <w:shd w:val="clear" w:color="auto" w:fill="auto"/>
            <w:vAlign w:val="top"/>
          </w:tcPr>
          <w:p>
            <w:pPr>
              <w:keepNext w:val="0"/>
              <w:keepLines w:val="0"/>
              <w:pageBreakBefore w:val="0"/>
              <w:widowControl w:val="0"/>
              <w:kinsoku/>
              <w:wordWrap/>
              <w:overflowPunct/>
              <w:topLinePunct w:val="0"/>
              <w:autoSpaceDE/>
              <w:autoSpaceDN/>
              <w:bidi w:val="0"/>
              <w:adjustRightInd/>
              <w:snapToGrid w:val="0"/>
              <w:spacing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教师需采用案例教学与互动讨论相结合的方式，精选具有教育意义的影视作品。学生需积极参与课堂讨论，完成鉴赏作业。教学中要注重价值引导，突出美育功能，培养学生批判性思维能力，提升艺术素养和人文情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2" w:type="dxa"/>
            <w:left w:w="64" w:type="dxa"/>
            <w:bottom w:w="32" w:type="dxa"/>
            <w:right w:w="64" w:type="dxa"/>
          </w:tblCellMar>
        </w:tblPrEx>
        <w:trPr>
          <w:trHeight w:val="0" w:hRule="atLeast"/>
          <w:jc w:val="center"/>
        </w:trPr>
        <w:tc>
          <w:tcPr>
            <w:tcW w:w="608" w:type="dxa"/>
            <w:vAlign w:val="center"/>
          </w:tcPr>
          <w:p>
            <w:pPr>
              <w:keepNext w:val="0"/>
              <w:keepLines w:val="0"/>
              <w:pageBreakBefore w:val="0"/>
              <w:widowControl w:val="0"/>
              <w:kinsoku/>
              <w:wordWrap/>
              <w:overflowPunct/>
              <w:topLinePunct w:val="0"/>
              <w:autoSpaceDE/>
              <w:autoSpaceDN/>
              <w:bidi w:val="0"/>
              <w:adjustRightInd/>
              <w:snapToGrid w:val="0"/>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18</w:t>
            </w:r>
          </w:p>
        </w:tc>
        <w:tc>
          <w:tcPr>
            <w:tcW w:w="820"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after="0" w:line="300" w:lineRule="exact"/>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中国共产党简史</w:t>
            </w:r>
          </w:p>
        </w:tc>
        <w:tc>
          <w:tcPr>
            <w:tcW w:w="4115" w:type="dxa"/>
            <w:shd w:val="clear" w:color="auto" w:fill="auto"/>
            <w:vAlign w:val="top"/>
          </w:tcPr>
          <w:p>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color w:val="auto"/>
                <w:sz w:val="24"/>
                <w:szCs w:val="24"/>
                <w:highlight w:val="none"/>
              </w:rPr>
              <w:t>把握中国共产党历史发展脉络，了解中国共产党百年奋</w:t>
            </w:r>
            <w:r>
              <w:rPr>
                <w:rFonts w:hint="eastAsia" w:ascii="仿宋_GB2312" w:hAnsi="仿宋_GB2312" w:eastAsia="仿宋_GB2312" w:cs="仿宋_GB2312"/>
                <w:color w:val="auto"/>
                <w:sz w:val="24"/>
                <w:szCs w:val="24"/>
                <w:highlight w:val="none"/>
                <w:lang w:eastAsia="zh-CN"/>
              </w:rPr>
              <w:t>斗的</w:t>
            </w:r>
            <w:r>
              <w:rPr>
                <w:rFonts w:hint="eastAsia" w:ascii="仿宋_GB2312" w:hAnsi="仿宋_GB2312" w:eastAsia="仿宋_GB2312" w:cs="仿宋_GB2312"/>
                <w:color w:val="auto"/>
                <w:sz w:val="24"/>
                <w:szCs w:val="24"/>
                <w:highlight w:val="none"/>
              </w:rPr>
              <w:t>重大历史成就与历史经验；了解中国共产党是如何团结带领中国人民克服千难万险，创造了一个又一个彪炳史册的人间奇迹；了解一代又一代优秀中国共产党人的为民情怀与高尚情操。</w:t>
            </w:r>
          </w:p>
          <w:p>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深刻领会“四大选择”，即历史和人民怎样选择了马克思主义、怎样选择了中国共产党、怎样选择了社会主义道路、选择了改革开放；历史和人民怎样经过艰辛曲折的社会主义建设道路的探索，进一步增强拥护中国共产党的领导和接受马克思主义指导的自觉性。通过课堂教学，运用参与式教学方法，鼓励学生开展自主性学习、合作性学习，帮助学生提高解决问题的能力，要求他们理论联系实际，力争解决现实社会遇到的各种问题。</w:t>
            </w:r>
          </w:p>
          <w:p>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 理解中国特色社会主义进入新时代的发展历程和时代特点。了解改革开放以来，我们寻找到了中国特色社会主义道路，形成了中国特色社会主义理论体系，并在中国特色社会主义理论体系指引下振兴中华民族的历程，从而自觉地继承和发扬近代以来中国共产党人的优秀品质，进一步增强民族自尊心、自信心和自豪感， 坚定对马克思主义的信仰、对中国共产党的信任、对社会主义的信心。促进学生政治素质和思想道德素质的提高，充分理解实行改革开放和实现中华民族伟大复兴中国梦的重大历史意义。</w:t>
            </w:r>
          </w:p>
        </w:tc>
        <w:tc>
          <w:tcPr>
            <w:tcW w:w="3235" w:type="dxa"/>
            <w:shd w:val="clear" w:color="auto" w:fill="auto"/>
            <w:vAlign w:val="top"/>
          </w:tcPr>
          <w:p>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课程内容包括中国共产党的创建和投身大革命的洪流、掀起土地革命的风暴、全民族抗日战争的中流砥柱、夺取新民主主义革命的全国性胜利、中华人民共和国的成立和社会主义制度的建立、社会主义建设的探索和曲折发展、伟大历史转折和中国特色社会主义的开创、把中国特色社会主义全面推向21世纪、在新的形势下坚持和发展中国特色社会主义、中国特色社会主义进入新时代等。通过学习，学生将全面了解中国共产党领导中国人民进行革命、建设、改革的光辉历程，深刻认识党在各个历史时期的伟大成就和宝贵经验，为成为一名合格的共产党员、成为一名社会主义建设者奠定坚实的思想基础。</w:t>
            </w:r>
          </w:p>
        </w:tc>
        <w:tc>
          <w:tcPr>
            <w:tcW w:w="2128" w:type="dxa"/>
            <w:shd w:val="clear" w:color="auto" w:fill="auto"/>
            <w:vAlign w:val="top"/>
          </w:tcPr>
          <w:p>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通过教师的理论讲授和丰富的史料佐证，以及线上线下参观历史纪念馆，引导学生树立正确的历史观，做到“</w:t>
            </w:r>
            <w:r>
              <w:rPr>
                <w:rFonts w:hint="eastAsia" w:ascii="仿宋_GB2312" w:hAnsi="仿宋_GB2312" w:eastAsia="仿宋_GB2312" w:cs="仿宋_GB2312"/>
                <w:color w:val="auto"/>
                <w:sz w:val="24"/>
                <w:szCs w:val="24"/>
                <w:highlight w:val="none"/>
                <w:lang w:eastAsia="zh-CN"/>
              </w:rPr>
              <w:t>学史明理、学史增信、学史崇德、学史力行</w:t>
            </w:r>
            <w:r>
              <w:rPr>
                <w:rFonts w:hint="eastAsia" w:ascii="仿宋_GB2312" w:hAnsi="仿宋_GB2312" w:eastAsia="仿宋_GB2312" w:cs="仿宋_GB2312"/>
                <w:color w:val="auto"/>
                <w:sz w:val="24"/>
                <w:szCs w:val="24"/>
                <w:highlight w:val="none"/>
              </w:rPr>
              <w:t>”，感悟党的伟大，做“青春心向党</w:t>
            </w:r>
            <w:r>
              <w:rPr>
                <w:rFonts w:hint="eastAsia" w:ascii="仿宋_GB2312" w:hAnsi="仿宋_GB2312" w:eastAsia="仿宋_GB2312" w:cs="仿宋_GB2312"/>
                <w:color w:val="auto"/>
                <w:sz w:val="24"/>
                <w:szCs w:val="24"/>
                <w:highlight w:val="none"/>
                <w:lang w:val="en-US" w:eastAsia="zh-CN"/>
              </w:rPr>
              <w:t xml:space="preserve"> </w:t>
            </w:r>
            <w:r>
              <w:rPr>
                <w:rFonts w:hint="eastAsia" w:ascii="仿宋_GB2312" w:hAnsi="仿宋_GB2312" w:eastAsia="仿宋_GB2312" w:cs="仿宋_GB2312"/>
                <w:color w:val="auto"/>
                <w:sz w:val="24"/>
                <w:szCs w:val="24"/>
                <w:highlight w:val="none"/>
              </w:rPr>
              <w:t>踔厉奋发建新功”的新时代青年。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2" w:type="dxa"/>
            <w:left w:w="64" w:type="dxa"/>
            <w:bottom w:w="32" w:type="dxa"/>
            <w:right w:w="64" w:type="dxa"/>
          </w:tblCellMar>
        </w:tblPrEx>
        <w:trPr>
          <w:trHeight w:val="0" w:hRule="atLeast"/>
          <w:jc w:val="center"/>
        </w:trPr>
        <w:tc>
          <w:tcPr>
            <w:tcW w:w="60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after="0" w:line="300" w:lineRule="exact"/>
              <w:jc w:val="center"/>
              <w:textAlignment w:val="auto"/>
              <w:rPr>
                <w:rFonts w:hint="eastAsia" w:ascii="仿宋_GB2312" w:hAnsi="仿宋_GB2312" w:eastAsia="仿宋_GB2312" w:cs="仿宋_GB2312"/>
                <w:color w:val="auto"/>
                <w:kern w:val="2"/>
                <w:sz w:val="24"/>
                <w:szCs w:val="24"/>
                <w:highlight w:val="none"/>
                <w:lang w:val="en-US" w:eastAsia="zh-CN" w:bidi="ar-SA"/>
              </w:rPr>
            </w:pPr>
          </w:p>
          <w:p>
            <w:pPr>
              <w:keepNext w:val="0"/>
              <w:keepLines w:val="0"/>
              <w:pageBreakBefore w:val="0"/>
              <w:widowControl w:val="0"/>
              <w:kinsoku/>
              <w:wordWrap/>
              <w:overflowPunct/>
              <w:topLinePunct w:val="0"/>
              <w:autoSpaceDE/>
              <w:autoSpaceDN/>
              <w:bidi w:val="0"/>
              <w:adjustRightInd/>
              <w:snapToGrid w:val="0"/>
              <w:spacing w:after="0" w:line="300" w:lineRule="exact"/>
              <w:jc w:val="center"/>
              <w:textAlignment w:val="auto"/>
              <w:rPr>
                <w:rFonts w:hint="eastAsia" w:ascii="仿宋_GB2312" w:hAnsi="仿宋_GB2312" w:eastAsia="仿宋_GB2312" w:cs="仿宋_GB2312"/>
                <w:color w:val="auto"/>
                <w:kern w:val="2"/>
                <w:sz w:val="24"/>
                <w:szCs w:val="24"/>
                <w:highlight w:val="none"/>
                <w:lang w:val="en-US" w:eastAsia="zh-CN" w:bidi="ar-SA"/>
              </w:rPr>
            </w:pPr>
          </w:p>
          <w:p>
            <w:pPr>
              <w:keepNext w:val="0"/>
              <w:keepLines w:val="0"/>
              <w:pageBreakBefore w:val="0"/>
              <w:widowControl w:val="0"/>
              <w:kinsoku/>
              <w:wordWrap/>
              <w:overflowPunct/>
              <w:topLinePunct w:val="0"/>
              <w:autoSpaceDE/>
              <w:autoSpaceDN/>
              <w:bidi w:val="0"/>
              <w:adjustRightInd/>
              <w:snapToGrid w:val="0"/>
              <w:spacing w:after="0" w:line="300" w:lineRule="exact"/>
              <w:jc w:val="center"/>
              <w:textAlignment w:val="auto"/>
              <w:rPr>
                <w:rFonts w:hint="eastAsia" w:ascii="仿宋_GB2312" w:hAnsi="仿宋_GB2312" w:eastAsia="仿宋_GB2312" w:cs="仿宋_GB2312"/>
                <w:color w:val="auto"/>
                <w:kern w:val="2"/>
                <w:sz w:val="24"/>
                <w:szCs w:val="24"/>
                <w:highlight w:val="none"/>
                <w:lang w:val="en-US" w:eastAsia="zh-CN" w:bidi="ar-SA"/>
              </w:rPr>
            </w:pPr>
          </w:p>
          <w:p>
            <w:pPr>
              <w:keepNext w:val="0"/>
              <w:keepLines w:val="0"/>
              <w:pageBreakBefore w:val="0"/>
              <w:widowControl w:val="0"/>
              <w:kinsoku/>
              <w:wordWrap/>
              <w:overflowPunct/>
              <w:topLinePunct w:val="0"/>
              <w:autoSpaceDE/>
              <w:autoSpaceDN/>
              <w:bidi w:val="0"/>
              <w:adjustRightInd/>
              <w:snapToGrid w:val="0"/>
              <w:spacing w:after="0" w:line="300" w:lineRule="exact"/>
              <w:jc w:val="center"/>
              <w:textAlignment w:val="auto"/>
              <w:rPr>
                <w:rFonts w:hint="eastAsia" w:ascii="仿宋_GB2312" w:hAnsi="仿宋_GB2312" w:eastAsia="仿宋_GB2312" w:cs="仿宋_GB2312"/>
                <w:color w:val="auto"/>
                <w:kern w:val="2"/>
                <w:sz w:val="24"/>
                <w:szCs w:val="24"/>
                <w:highlight w:val="none"/>
                <w:lang w:val="en-US" w:eastAsia="zh-CN" w:bidi="ar-SA"/>
              </w:rPr>
            </w:pPr>
          </w:p>
          <w:p>
            <w:pPr>
              <w:keepNext w:val="0"/>
              <w:keepLines w:val="0"/>
              <w:pageBreakBefore w:val="0"/>
              <w:widowControl w:val="0"/>
              <w:kinsoku/>
              <w:wordWrap/>
              <w:overflowPunct/>
              <w:topLinePunct w:val="0"/>
              <w:autoSpaceDE/>
              <w:autoSpaceDN/>
              <w:bidi w:val="0"/>
              <w:adjustRightInd/>
              <w:snapToGrid w:val="0"/>
              <w:spacing w:after="0" w:line="300" w:lineRule="exact"/>
              <w:jc w:val="center"/>
              <w:textAlignment w:val="auto"/>
              <w:rPr>
                <w:rFonts w:hint="eastAsia" w:ascii="仿宋_GB2312" w:hAnsi="仿宋_GB2312" w:eastAsia="仿宋_GB2312" w:cs="仿宋_GB2312"/>
                <w:color w:val="auto"/>
                <w:kern w:val="2"/>
                <w:sz w:val="24"/>
                <w:szCs w:val="24"/>
                <w:highlight w:val="none"/>
                <w:lang w:val="en-US" w:eastAsia="zh-CN" w:bidi="ar-SA"/>
              </w:rPr>
            </w:pPr>
          </w:p>
          <w:p>
            <w:pPr>
              <w:keepNext w:val="0"/>
              <w:keepLines w:val="0"/>
              <w:pageBreakBefore w:val="0"/>
              <w:widowControl w:val="0"/>
              <w:kinsoku/>
              <w:wordWrap/>
              <w:overflowPunct/>
              <w:topLinePunct w:val="0"/>
              <w:autoSpaceDE/>
              <w:autoSpaceDN/>
              <w:bidi w:val="0"/>
              <w:adjustRightInd/>
              <w:snapToGrid w:val="0"/>
              <w:spacing w:after="0" w:line="300" w:lineRule="exact"/>
              <w:jc w:val="center"/>
              <w:textAlignment w:val="auto"/>
              <w:rPr>
                <w:rFonts w:hint="eastAsia" w:ascii="仿宋_GB2312" w:hAnsi="仿宋_GB2312" w:eastAsia="仿宋_GB2312" w:cs="仿宋_GB2312"/>
                <w:color w:val="auto"/>
                <w:kern w:val="2"/>
                <w:sz w:val="24"/>
                <w:szCs w:val="24"/>
                <w:highlight w:val="none"/>
                <w:lang w:val="en-US" w:eastAsia="zh-CN" w:bidi="ar-SA"/>
              </w:rPr>
            </w:pPr>
          </w:p>
          <w:p>
            <w:pPr>
              <w:keepNext w:val="0"/>
              <w:keepLines w:val="0"/>
              <w:pageBreakBefore w:val="0"/>
              <w:widowControl w:val="0"/>
              <w:kinsoku/>
              <w:wordWrap/>
              <w:overflowPunct/>
              <w:topLinePunct w:val="0"/>
              <w:autoSpaceDE/>
              <w:autoSpaceDN/>
              <w:bidi w:val="0"/>
              <w:adjustRightInd/>
              <w:snapToGrid w:val="0"/>
              <w:spacing w:after="0" w:line="300" w:lineRule="exact"/>
              <w:jc w:val="center"/>
              <w:textAlignment w:val="auto"/>
              <w:rPr>
                <w:rFonts w:hint="default"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19</w:t>
            </w:r>
          </w:p>
        </w:tc>
        <w:tc>
          <w:tcPr>
            <w:tcW w:w="820"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after="0" w:line="300" w:lineRule="exact"/>
              <w:jc w:val="left"/>
              <w:textAlignment w:val="auto"/>
              <w:rPr>
                <w:rFonts w:hint="eastAsia" w:ascii="仿宋_GB2312" w:hAnsi="仿宋_GB2312" w:eastAsia="仿宋_GB2312" w:cs="仿宋_GB2312"/>
                <w:color w:val="auto"/>
                <w:sz w:val="24"/>
                <w:szCs w:val="24"/>
                <w:highlight w:val="none"/>
              </w:rPr>
            </w:pPr>
          </w:p>
          <w:p>
            <w:pPr>
              <w:keepNext w:val="0"/>
              <w:keepLines w:val="0"/>
              <w:pageBreakBefore w:val="0"/>
              <w:widowControl w:val="0"/>
              <w:kinsoku/>
              <w:wordWrap/>
              <w:overflowPunct/>
              <w:topLinePunct w:val="0"/>
              <w:autoSpaceDE/>
              <w:autoSpaceDN/>
              <w:bidi w:val="0"/>
              <w:adjustRightInd/>
              <w:snapToGrid w:val="0"/>
              <w:spacing w:after="0" w:line="300" w:lineRule="exact"/>
              <w:jc w:val="left"/>
              <w:textAlignment w:val="auto"/>
              <w:rPr>
                <w:rFonts w:hint="eastAsia" w:ascii="仿宋_GB2312" w:hAnsi="仿宋_GB2312" w:eastAsia="仿宋_GB2312" w:cs="仿宋_GB2312"/>
                <w:color w:val="auto"/>
                <w:sz w:val="24"/>
                <w:szCs w:val="24"/>
                <w:highlight w:val="none"/>
              </w:rPr>
            </w:pPr>
          </w:p>
          <w:p>
            <w:pPr>
              <w:keepNext w:val="0"/>
              <w:keepLines w:val="0"/>
              <w:pageBreakBefore w:val="0"/>
              <w:widowControl w:val="0"/>
              <w:kinsoku/>
              <w:wordWrap/>
              <w:overflowPunct/>
              <w:topLinePunct w:val="0"/>
              <w:autoSpaceDE/>
              <w:autoSpaceDN/>
              <w:bidi w:val="0"/>
              <w:adjustRightInd/>
              <w:snapToGrid w:val="0"/>
              <w:spacing w:after="0" w:line="300" w:lineRule="exact"/>
              <w:jc w:val="left"/>
              <w:textAlignment w:val="auto"/>
              <w:rPr>
                <w:rFonts w:hint="eastAsia" w:ascii="仿宋_GB2312" w:hAnsi="仿宋_GB2312" w:eastAsia="仿宋_GB2312" w:cs="仿宋_GB2312"/>
                <w:color w:val="auto"/>
                <w:sz w:val="24"/>
                <w:szCs w:val="24"/>
                <w:highlight w:val="none"/>
              </w:rPr>
            </w:pPr>
          </w:p>
          <w:p>
            <w:pPr>
              <w:keepNext w:val="0"/>
              <w:keepLines w:val="0"/>
              <w:pageBreakBefore w:val="0"/>
              <w:widowControl w:val="0"/>
              <w:kinsoku/>
              <w:wordWrap/>
              <w:overflowPunct/>
              <w:topLinePunct w:val="0"/>
              <w:autoSpaceDE/>
              <w:autoSpaceDN/>
              <w:bidi w:val="0"/>
              <w:adjustRightInd/>
              <w:snapToGrid w:val="0"/>
              <w:spacing w:after="0" w:line="300" w:lineRule="exact"/>
              <w:jc w:val="left"/>
              <w:textAlignment w:val="auto"/>
              <w:rPr>
                <w:rFonts w:hint="eastAsia" w:ascii="仿宋_GB2312" w:hAnsi="仿宋_GB2312" w:eastAsia="仿宋_GB2312" w:cs="仿宋_GB2312"/>
                <w:color w:val="auto"/>
                <w:sz w:val="24"/>
                <w:szCs w:val="24"/>
                <w:highlight w:val="none"/>
              </w:rPr>
            </w:pPr>
          </w:p>
          <w:p>
            <w:pPr>
              <w:keepNext w:val="0"/>
              <w:keepLines w:val="0"/>
              <w:pageBreakBefore w:val="0"/>
              <w:widowControl w:val="0"/>
              <w:kinsoku/>
              <w:wordWrap/>
              <w:overflowPunct/>
              <w:topLinePunct w:val="0"/>
              <w:autoSpaceDE/>
              <w:autoSpaceDN/>
              <w:bidi w:val="0"/>
              <w:adjustRightInd/>
              <w:snapToGrid w:val="0"/>
              <w:spacing w:after="0" w:line="300" w:lineRule="exact"/>
              <w:jc w:val="left"/>
              <w:textAlignment w:val="auto"/>
              <w:rPr>
                <w:rFonts w:hint="eastAsia" w:ascii="仿宋_GB2312" w:hAnsi="仿宋_GB2312" w:eastAsia="仿宋_GB2312" w:cs="仿宋_GB2312"/>
                <w:color w:val="auto"/>
                <w:sz w:val="24"/>
                <w:szCs w:val="24"/>
                <w:highlight w:val="none"/>
              </w:rPr>
            </w:pPr>
          </w:p>
          <w:p>
            <w:pPr>
              <w:keepNext w:val="0"/>
              <w:keepLines w:val="0"/>
              <w:pageBreakBefore w:val="0"/>
              <w:widowControl w:val="0"/>
              <w:kinsoku/>
              <w:wordWrap/>
              <w:overflowPunct/>
              <w:topLinePunct w:val="0"/>
              <w:autoSpaceDE/>
              <w:autoSpaceDN/>
              <w:bidi w:val="0"/>
              <w:adjustRightInd/>
              <w:snapToGrid w:val="0"/>
              <w:spacing w:after="0" w:line="300" w:lineRule="exact"/>
              <w:jc w:val="left"/>
              <w:textAlignment w:val="auto"/>
              <w:rPr>
                <w:rFonts w:hint="eastAsia" w:ascii="仿宋_GB2312" w:hAnsi="仿宋_GB2312" w:eastAsia="仿宋_GB2312" w:cs="仿宋_GB2312"/>
                <w:color w:val="auto"/>
                <w:sz w:val="24"/>
                <w:szCs w:val="24"/>
                <w:highlight w:val="none"/>
              </w:rPr>
            </w:pPr>
          </w:p>
          <w:p>
            <w:pPr>
              <w:keepNext w:val="0"/>
              <w:keepLines w:val="0"/>
              <w:pageBreakBefore w:val="0"/>
              <w:widowControl w:val="0"/>
              <w:kinsoku/>
              <w:wordWrap/>
              <w:overflowPunct/>
              <w:topLinePunct w:val="0"/>
              <w:autoSpaceDE/>
              <w:autoSpaceDN/>
              <w:bidi w:val="0"/>
              <w:adjustRightInd/>
              <w:snapToGrid w:val="0"/>
              <w:spacing w:after="0" w:line="300" w:lineRule="exact"/>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中华人民共和国简史</w:t>
            </w:r>
          </w:p>
        </w:tc>
        <w:tc>
          <w:tcPr>
            <w:tcW w:w="4115" w:type="dxa"/>
            <w:shd w:val="clear" w:color="auto" w:fill="auto"/>
            <w:vAlign w:val="top"/>
          </w:tcPr>
          <w:p>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i w:val="0"/>
                <w:iCs w:val="0"/>
                <w:caps w:val="0"/>
                <w:color w:val="auto"/>
                <w:spacing w:val="0"/>
                <w:kern w:val="0"/>
                <w:sz w:val="24"/>
                <w:szCs w:val="24"/>
                <w:highlight w:val="none"/>
                <w:shd w:val="clear" w:color="auto" w:fill="FFFFFF"/>
                <w:lang w:val="en-US" w:eastAsia="zh-CN" w:bidi="ar"/>
              </w:rPr>
              <w:t>了解当代中国社会主义革命、建设和改革的具体历史条件和历史方位，其对国际共产主义运动的贡献。全面了解新中国历史的发展进程、历史分期、主要成就、探索进程中的曲折及重要经验教训、历史启示。掌握观察、分析、解决社会问题的基本方法和历史思维及辩证思维的能力。了解新中国成立的历史背景、历史意义，新中国成立初期的内外形势。恢复国民经济、巩固新生政权的主要措施及成效。新中国走社会主义道路的历史必然性。三大改造的主要过程、评价，“一五”计划的编制与实施。社会主义建设艰辛探索的主要过程、成就、失误及经验教训。</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val="0"/>
              <w:spacing w:before="0" w:beforeAutospacing="0" w:after="0" w:afterAutospacing="0" w:line="300" w:lineRule="exact"/>
              <w:ind w:right="0"/>
              <w:jc w:val="both"/>
              <w:textAlignment w:val="auto"/>
              <w:rPr>
                <w:rFonts w:hint="eastAsia" w:ascii="仿宋_GB2312" w:hAnsi="仿宋_GB2312" w:eastAsia="仿宋_GB2312" w:cs="仿宋_GB2312"/>
                <w:i w:val="0"/>
                <w:iCs w:val="0"/>
                <w:caps w:val="0"/>
                <w:color w:val="auto"/>
                <w:spacing w:val="0"/>
                <w:sz w:val="24"/>
                <w:szCs w:val="24"/>
                <w:highlight w:val="none"/>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i w:val="0"/>
                <w:iCs w:val="0"/>
                <w:caps w:val="0"/>
                <w:color w:val="auto"/>
                <w:spacing w:val="0"/>
                <w:kern w:val="0"/>
                <w:sz w:val="24"/>
                <w:szCs w:val="24"/>
                <w:highlight w:val="none"/>
                <w:shd w:val="clear" w:color="auto" w:fill="FFFFFF"/>
                <w:lang w:val="en-US" w:eastAsia="zh-CN" w:bidi="ar"/>
              </w:rPr>
              <w:t>学习新中国史研究的根本意义在于总结历史、立足现实、面向未来，不断深化对共产党执政规律、社会主义建设规律、人类社会发展规律的认识，总结治国理政经验，发挥思政育人功能，为实现中华民族伟大复兴的中国梦提供坚实的理论支撑。</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val="0"/>
              <w:spacing w:before="0" w:beforeAutospacing="0" w:after="0" w:afterAutospacing="0" w:line="300" w:lineRule="exact"/>
              <w:ind w:right="0" w:rightChars="0"/>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b/>
                <w:bCs/>
                <w:i w:val="0"/>
                <w:iCs w:val="0"/>
                <w:caps w:val="0"/>
                <w:color w:val="auto"/>
                <w:spacing w:val="0"/>
                <w:sz w:val="24"/>
                <w:szCs w:val="24"/>
                <w:highlight w:val="none"/>
                <w:lang w:val="en-US" w:eastAsia="zh-CN"/>
              </w:rPr>
              <w:t>素质目标：</w:t>
            </w:r>
            <w:r>
              <w:rPr>
                <w:rFonts w:hint="eastAsia" w:ascii="仿宋_GB2312" w:hAnsi="仿宋_GB2312" w:eastAsia="仿宋_GB2312" w:cs="仿宋_GB2312"/>
                <w:i w:val="0"/>
                <w:iCs w:val="0"/>
                <w:caps w:val="0"/>
                <w:color w:val="auto"/>
                <w:spacing w:val="0"/>
                <w:sz w:val="24"/>
                <w:szCs w:val="24"/>
                <w:highlight w:val="none"/>
                <w:lang w:val="en-US" w:eastAsia="zh-CN"/>
              </w:rPr>
              <w:t>引导学生</w:t>
            </w:r>
            <w:r>
              <w:rPr>
                <w:rFonts w:hint="eastAsia" w:ascii="仿宋_GB2312" w:hAnsi="仿宋_GB2312" w:eastAsia="仿宋_GB2312" w:cs="仿宋_GB2312"/>
                <w:i w:val="0"/>
                <w:iCs w:val="0"/>
                <w:caps w:val="0"/>
                <w:color w:val="auto"/>
                <w:spacing w:val="0"/>
                <w:kern w:val="0"/>
                <w:sz w:val="24"/>
                <w:szCs w:val="24"/>
                <w:highlight w:val="none"/>
                <w:shd w:val="clear" w:color="auto" w:fill="FFFFFF"/>
                <w:lang w:val="en-US" w:eastAsia="zh-CN" w:bidi="ar"/>
              </w:rPr>
              <w:t>了解在中国进行社会主义革命和建设的历史决定性及探索中主要成就、探索过程的艰辛曲折，坚定走中国特色社会主义道路的信念和信心；学会观察、分析和解决问题的科学方法，不断培养和提升辩证思维能力。</w:t>
            </w:r>
          </w:p>
        </w:tc>
        <w:tc>
          <w:tcPr>
            <w:tcW w:w="3235" w:type="dxa"/>
            <w:shd w:val="clear" w:color="auto" w:fill="auto"/>
            <w:vAlign w:val="top"/>
          </w:tcPr>
          <w:p>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课程主要包括：</w:t>
            </w:r>
            <w:r>
              <w:rPr>
                <w:rFonts w:hint="eastAsia" w:ascii="仿宋_GB2312" w:hAnsi="仿宋_GB2312" w:eastAsia="仿宋_GB2312" w:cs="仿宋_GB2312"/>
                <w:color w:val="auto"/>
                <w:sz w:val="24"/>
                <w:szCs w:val="24"/>
                <w:highlight w:val="none"/>
              </w:rPr>
              <w:t>新中国成立和社会主义基本制度的确立</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社会主义建设的艰辛探索和曲折发展</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改革开放与中国特色社会主义的开创</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建立社会主义市场经济体制和把中国特色社会主义全面推向21世纪</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lang w:val="en-US" w:eastAsia="zh-CN"/>
              </w:rPr>
              <w:t>全面建设</w:t>
            </w:r>
            <w:r>
              <w:rPr>
                <w:rFonts w:hint="eastAsia" w:ascii="仿宋_GB2312" w:hAnsi="仿宋_GB2312" w:eastAsia="仿宋_GB2312" w:cs="仿宋_GB2312"/>
                <w:color w:val="auto"/>
                <w:sz w:val="24"/>
                <w:szCs w:val="24"/>
                <w:highlight w:val="none"/>
              </w:rPr>
              <w:t>小康社会与新的形势下坚持和发展中国特色社会主义</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中国特色社会主义进入新时代和实现中华民族伟大复兴的中国梦</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决胜全面建成小康社会和开启全面建成社会主义现代化强国新征程</w:t>
            </w:r>
          </w:p>
          <w:p>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等方面。通过学习，学生将深入了解中华人民共和国在各个历史阶段的发展变化，认识到中国特色社会主义道路的历史必然性和正确性，增强对国家的热爱和对未来的信心。</w:t>
            </w:r>
          </w:p>
        </w:tc>
        <w:tc>
          <w:tcPr>
            <w:tcW w:w="2128" w:type="dxa"/>
            <w:shd w:val="clear" w:color="auto" w:fill="auto"/>
            <w:vAlign w:val="top"/>
          </w:tcPr>
          <w:p>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通</w:t>
            </w:r>
            <w:r>
              <w:rPr>
                <w:rFonts w:hint="eastAsia" w:ascii="仿宋_GB2312" w:hAnsi="仿宋_GB2312" w:eastAsia="仿宋_GB2312" w:cs="仿宋_GB2312"/>
                <w:color w:val="auto"/>
                <w:sz w:val="24"/>
                <w:szCs w:val="24"/>
                <w:highlight w:val="none"/>
              </w:rPr>
              <w:t>过课堂讲解、案例分析、小组讨论、模拟实践等方式，促进学生进一步增强民族自尊心、自信心和自豪感</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 xml:space="preserve"> 坚定对马克思主义的信仰、对中国共产党的信任、对社会主义的信心。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2" w:type="dxa"/>
            <w:left w:w="64" w:type="dxa"/>
            <w:bottom w:w="32" w:type="dxa"/>
            <w:right w:w="64" w:type="dxa"/>
          </w:tblCellMar>
        </w:tblPrEx>
        <w:trPr>
          <w:trHeight w:val="0" w:hRule="atLeast"/>
          <w:jc w:val="center"/>
        </w:trPr>
        <w:tc>
          <w:tcPr>
            <w:tcW w:w="60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after="0" w:line="300" w:lineRule="exact"/>
              <w:jc w:val="center"/>
              <w:textAlignment w:val="auto"/>
              <w:rPr>
                <w:rFonts w:hint="default"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20</w:t>
            </w:r>
          </w:p>
        </w:tc>
        <w:tc>
          <w:tcPr>
            <w:tcW w:w="820"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after="0" w:line="300" w:lineRule="exact"/>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改革开放简史</w:t>
            </w:r>
          </w:p>
        </w:tc>
        <w:tc>
          <w:tcPr>
            <w:tcW w:w="4115" w:type="dxa"/>
            <w:shd w:val="clear" w:color="auto" w:fill="auto"/>
            <w:vAlign w:val="top"/>
          </w:tcPr>
          <w:p>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b/>
                <w:bCs/>
                <w:color w:val="auto"/>
                <w:kern w:val="2"/>
                <w:sz w:val="24"/>
                <w:szCs w:val="24"/>
                <w:highlight w:val="none"/>
                <w:lang w:val="en-US" w:eastAsia="zh-CN" w:bidi="ar-SA"/>
              </w:rPr>
              <w:t>知识目标</w:t>
            </w:r>
            <w:r>
              <w:rPr>
                <w:rFonts w:hint="eastAsia" w:ascii="仿宋_GB2312" w:hAnsi="仿宋_GB2312" w:eastAsia="仿宋_GB2312" w:cs="仿宋_GB2312"/>
                <w:color w:val="auto"/>
                <w:kern w:val="2"/>
                <w:sz w:val="24"/>
                <w:szCs w:val="24"/>
                <w:highlight w:val="none"/>
                <w:lang w:val="en-US" w:eastAsia="zh-CN" w:bidi="ar-SA"/>
              </w:rPr>
              <w:t>：帮助大学生了解我国改革开放的历史，把握一个国家、一个民族从贫穷落后到繁荣富强的规律，特别是党的十八大以来我国全面深化改革开放的新理念、新思想、新战略以及取得的重大成就和经验。掌握改革开放以来中国特色社会主义建设事业取得的历史性成就、作出的重大历史贡献，懂得进一步深化改革开放必须坚持的重要经验。</w:t>
            </w:r>
          </w:p>
          <w:p>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b/>
                <w:bCs/>
                <w:color w:val="auto"/>
                <w:kern w:val="2"/>
                <w:sz w:val="24"/>
                <w:szCs w:val="24"/>
                <w:highlight w:val="none"/>
                <w:lang w:val="en-US" w:eastAsia="zh-CN" w:bidi="ar-SA"/>
              </w:rPr>
              <w:t>能力目标：</w:t>
            </w:r>
            <w:r>
              <w:rPr>
                <w:rFonts w:hint="eastAsia" w:ascii="仿宋_GB2312" w:hAnsi="仿宋_GB2312" w:eastAsia="仿宋_GB2312" w:cs="仿宋_GB2312"/>
                <w:color w:val="auto"/>
                <w:kern w:val="2"/>
                <w:sz w:val="24"/>
                <w:szCs w:val="24"/>
                <w:highlight w:val="none"/>
                <w:lang w:val="en-US" w:eastAsia="zh-CN" w:bidi="ar-SA"/>
              </w:rPr>
              <w:t>帮助学生更加熟练地运用辩证唯物主义和历史唯物主义的立场、观点、方法，全面正确认识我国改革开放取得的伟大成就，客观应对改革开放中的矛盾和问题，以更加积极主动的心态投身改革开放的伟大事业中。</w:t>
            </w:r>
          </w:p>
          <w:p>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b/>
                <w:bCs/>
                <w:color w:val="auto"/>
                <w:kern w:val="2"/>
                <w:sz w:val="24"/>
                <w:szCs w:val="24"/>
                <w:highlight w:val="none"/>
                <w:lang w:val="en-US" w:eastAsia="zh-CN" w:bidi="ar-SA"/>
              </w:rPr>
              <w:t>素质目标：</w:t>
            </w:r>
            <w:r>
              <w:rPr>
                <w:rFonts w:hint="eastAsia" w:ascii="仿宋_GB2312" w:hAnsi="仿宋_GB2312" w:eastAsia="仿宋_GB2312" w:cs="仿宋_GB2312"/>
                <w:color w:val="auto"/>
                <w:kern w:val="2"/>
                <w:sz w:val="24"/>
                <w:szCs w:val="24"/>
                <w:highlight w:val="none"/>
                <w:lang w:val="en-US" w:eastAsia="zh-CN" w:bidi="ar-SA"/>
              </w:rPr>
              <w:t>使学生能够充分理解我国改革开放各个时期的路线、政策和目标，增强自觉执行党的路线、方针、政策的自觉性，增强“四个意识”、坚定“四个自信”、做到“两个维护”，紧密结合全面建设社会主义现代化国家的实际，把理论与实践、知与行统一起来，自觉投身于中国特色社会主义的伟大实践，为实现中华民族伟大复兴作出应有的贡献。</w:t>
            </w:r>
          </w:p>
        </w:tc>
        <w:tc>
          <w:tcPr>
            <w:tcW w:w="3235" w:type="dxa"/>
            <w:shd w:val="clear" w:color="auto" w:fill="auto"/>
            <w:vAlign w:val="top"/>
          </w:tcPr>
          <w:p>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课程内容涵盖</w:t>
            </w:r>
            <w:r>
              <w:rPr>
                <w:rFonts w:hint="eastAsia" w:ascii="仿宋_GB2312" w:hAnsi="仿宋_GB2312" w:eastAsia="仿宋_GB2312" w:cs="仿宋_GB2312"/>
                <w:color w:val="auto"/>
                <w:sz w:val="24"/>
                <w:szCs w:val="24"/>
                <w:highlight w:val="none"/>
              </w:rPr>
              <w:t>改革开放拉开大幕</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改革开放全面展开</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改革开放开创新局面</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改革开放在科学发展中深化</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改革开放进入新时代</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坚定不移推进全面深化改革</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坚定不移扩大高水平对外开放</w:t>
            </w:r>
            <w:r>
              <w:rPr>
                <w:rFonts w:hint="eastAsia" w:ascii="仿宋_GB2312" w:hAnsi="仿宋_GB2312" w:eastAsia="仿宋_GB2312" w:cs="仿宋_GB2312"/>
                <w:color w:val="auto"/>
                <w:sz w:val="24"/>
                <w:szCs w:val="24"/>
                <w:highlight w:val="none"/>
                <w:lang w:val="en-US" w:eastAsia="zh-CN"/>
              </w:rPr>
              <w:t>等。</w:t>
            </w:r>
            <w:r>
              <w:rPr>
                <w:rFonts w:hint="eastAsia" w:ascii="仿宋_GB2312" w:hAnsi="仿宋_GB2312" w:eastAsia="仿宋_GB2312" w:cs="仿宋_GB2312"/>
                <w:color w:val="auto"/>
                <w:sz w:val="24"/>
                <w:szCs w:val="24"/>
                <w:highlight w:val="none"/>
              </w:rPr>
              <w:t>通过学习，学生将了解改革开放是如何推动中国经济、政治、文化和社会等领域的深刻变革，如何使中国逐步走向世界舞台的中央，以及改革开放对中国和世界产生的深远影响。这将有助于学生更好地认识和理解中国特色社会主义的发展道路，坚定对中国特色社会主义的信心和决心。</w:t>
            </w:r>
          </w:p>
        </w:tc>
        <w:tc>
          <w:tcPr>
            <w:tcW w:w="2128" w:type="dxa"/>
            <w:shd w:val="clear" w:color="auto" w:fill="auto"/>
            <w:vAlign w:val="top"/>
          </w:tcPr>
          <w:p>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通过专题讲授法、情境教学法</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lang w:val="en-US" w:eastAsia="zh-CN"/>
              </w:rPr>
              <w:t>案例教学法等</w:t>
            </w:r>
            <w:r>
              <w:rPr>
                <w:rFonts w:hint="eastAsia" w:ascii="仿宋_GB2312" w:hAnsi="仿宋_GB2312" w:eastAsia="仿宋_GB2312" w:cs="仿宋_GB2312"/>
                <w:color w:val="auto"/>
                <w:sz w:val="24"/>
                <w:szCs w:val="24"/>
                <w:highlight w:val="none"/>
              </w:rPr>
              <w:t>，让学生能够系统把握中国改革开放事业的辉煌成就、重大贡献、重要经验和深刻启示。</w:t>
            </w:r>
            <w:r>
              <w:rPr>
                <w:rFonts w:hint="eastAsia" w:ascii="仿宋_GB2312" w:hAnsi="仿宋_GB2312" w:eastAsia="仿宋_GB2312" w:cs="仿宋_GB2312"/>
                <w:color w:val="auto"/>
                <w:sz w:val="24"/>
                <w:szCs w:val="24"/>
                <w:highlight w:val="none"/>
                <w:lang w:val="en-US" w:eastAsia="zh-CN"/>
              </w:rPr>
              <w:t>引导大学生在全面了解中国改革开放的历史进程中，中国共产党为国家和民族作出的伟大贡献，深刻感悟中国共产党始终不渝为人民的初心宗旨，弄清楚中国共产党为什么能、马克思主义为什么行、中国特色社会主义为什么好等基本道理，坚定不移听党话、跟党走，在全面建设社会主义现代化国家、实现中华民族伟大复兴的实践中建功立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2" w:type="dxa"/>
            <w:left w:w="64" w:type="dxa"/>
            <w:bottom w:w="32" w:type="dxa"/>
            <w:right w:w="64" w:type="dxa"/>
          </w:tblCellMar>
        </w:tblPrEx>
        <w:trPr>
          <w:trHeight w:val="0" w:hRule="atLeast"/>
          <w:jc w:val="center"/>
        </w:trPr>
        <w:tc>
          <w:tcPr>
            <w:tcW w:w="608" w:type="dxa"/>
            <w:vAlign w:val="center"/>
          </w:tcPr>
          <w:p>
            <w:pPr>
              <w:keepNext w:val="0"/>
              <w:keepLines w:val="0"/>
              <w:pageBreakBefore w:val="0"/>
              <w:widowControl w:val="0"/>
              <w:kinsoku/>
              <w:wordWrap/>
              <w:overflowPunct/>
              <w:topLinePunct w:val="0"/>
              <w:autoSpaceDE/>
              <w:autoSpaceDN/>
              <w:bidi w:val="0"/>
              <w:adjustRightInd/>
              <w:snapToGrid w:val="0"/>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21</w:t>
            </w:r>
          </w:p>
        </w:tc>
        <w:tc>
          <w:tcPr>
            <w:tcW w:w="820"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after="0" w:line="300" w:lineRule="exact"/>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社会主义发展简史</w:t>
            </w:r>
          </w:p>
        </w:tc>
        <w:tc>
          <w:tcPr>
            <w:tcW w:w="4115" w:type="dxa"/>
            <w:shd w:val="clear" w:color="auto" w:fill="auto"/>
            <w:vAlign w:val="top"/>
          </w:tcPr>
          <w:p>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color w:val="auto"/>
                <w:sz w:val="24"/>
                <w:szCs w:val="24"/>
                <w:highlight w:val="none"/>
              </w:rPr>
              <w:t>帮助大学生重点了解空想社会主义的产生和发展，了解科学社会主义的产生和发展，了解世界和中国对社会主义道路和制度的探索和实践，了解新时代中国特色社会主义的理论创造和伟大实践</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从而增强对社会主义制度的认识与信心。</w:t>
            </w:r>
          </w:p>
          <w:p>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有助于大学生开阔眼界，扩大视野，增长知识，学会把中国特色社会主义理论置于社会主义发生、发展和演变的历史长河中加以认识和把握；有助于大学生全面总结社会主义历史经验，正确看待历史遗产，在总结和借鉴正反两方面社会主义历史经验的基础上，加深对中国特色社会主义理论体系的理解；有助于大学生划清科学社会主义与非科学社会主义的界线，提高大学生的鉴别、分析和批判能力。</w:t>
            </w:r>
          </w:p>
          <w:p>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帮助大学生正确认识和理解社会主义制度的优越性，进一步增强大学生道路自信、理论自信、制度自信、文化自信，进一步提升大学生坚持和发展中国特色社会主义理论的自觉性和坚定性。</w:t>
            </w:r>
          </w:p>
        </w:tc>
        <w:tc>
          <w:tcPr>
            <w:tcW w:w="3235" w:type="dxa"/>
            <w:shd w:val="clear" w:color="auto" w:fill="auto"/>
            <w:vAlign w:val="top"/>
          </w:tcPr>
          <w:p>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课程内容涵盖空想社会主义的产生与发展</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科学社会主义的</w:t>
            </w:r>
            <w:r>
              <w:rPr>
                <w:rFonts w:hint="eastAsia" w:ascii="仿宋_GB2312" w:hAnsi="仿宋_GB2312" w:eastAsia="仿宋_GB2312" w:cs="仿宋_GB2312"/>
                <w:color w:val="auto"/>
                <w:sz w:val="24"/>
                <w:szCs w:val="24"/>
                <w:highlight w:val="none"/>
                <w:lang w:val="en-US" w:eastAsia="zh-CN"/>
              </w:rPr>
              <w:t>创立、</w:t>
            </w:r>
            <w:r>
              <w:rPr>
                <w:rFonts w:hint="eastAsia" w:ascii="仿宋_GB2312" w:hAnsi="仿宋_GB2312" w:eastAsia="仿宋_GB2312" w:cs="仿宋_GB2312"/>
                <w:color w:val="auto"/>
                <w:sz w:val="24"/>
                <w:szCs w:val="24"/>
                <w:highlight w:val="none"/>
              </w:rPr>
              <w:t>社会主义</w:t>
            </w:r>
            <w:r>
              <w:rPr>
                <w:rFonts w:hint="eastAsia" w:ascii="仿宋_GB2312" w:hAnsi="仿宋_GB2312" w:eastAsia="仿宋_GB2312" w:cs="仿宋_GB2312"/>
                <w:color w:val="auto"/>
                <w:sz w:val="24"/>
                <w:szCs w:val="24"/>
                <w:highlight w:val="none"/>
                <w:lang w:val="en-US" w:eastAsia="zh-CN"/>
              </w:rPr>
              <w:t>从理论到实践、社会主义在多国发展、中国特色社会主义的开创与发展</w:t>
            </w:r>
            <w:r>
              <w:rPr>
                <w:rFonts w:hint="eastAsia" w:ascii="仿宋_GB2312" w:hAnsi="仿宋_GB2312" w:eastAsia="仿宋_GB2312" w:cs="仿宋_GB2312"/>
                <w:color w:val="auto"/>
                <w:sz w:val="24"/>
                <w:szCs w:val="24"/>
                <w:highlight w:val="none"/>
              </w:rPr>
              <w:t>。通过学习，学生将了解社会主义思想的起源、发展和变革，掌握社会主义制度在不同国家的实践经验和教训，为理解和坚持中国特色社会主义提供历史依据和理论支持。</w:t>
            </w:r>
          </w:p>
        </w:tc>
        <w:tc>
          <w:tcPr>
            <w:tcW w:w="2128" w:type="dxa"/>
            <w:shd w:val="clear" w:color="auto" w:fill="auto"/>
            <w:vAlign w:val="top"/>
          </w:tcPr>
          <w:p>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课堂教学应采用启发式、研讨式、案例式、参与式、体验式、实践式等方法，充分调动学生的主体作用。在课程组织上应将理论讲授和社会实践融合在一起，贴近生活，贴近实际，使学生在现实生活中感受到历史的气息，既</w:t>
            </w:r>
            <w:r>
              <w:rPr>
                <w:rFonts w:hint="eastAsia" w:ascii="仿宋_GB2312" w:hAnsi="仿宋_GB2312" w:eastAsia="仿宋_GB2312" w:cs="仿宋_GB2312"/>
                <w:color w:val="auto"/>
                <w:sz w:val="24"/>
                <w:szCs w:val="24"/>
                <w:highlight w:val="none"/>
                <w:lang w:val="en-US" w:eastAsia="zh-CN"/>
              </w:rPr>
              <w:t>能激发学生的学习情趣</w:t>
            </w:r>
            <w:r>
              <w:rPr>
                <w:rFonts w:hint="eastAsia" w:ascii="仿宋_GB2312" w:hAnsi="仿宋_GB2312" w:eastAsia="仿宋_GB2312" w:cs="仿宋_GB2312"/>
                <w:color w:val="auto"/>
                <w:sz w:val="24"/>
                <w:szCs w:val="24"/>
                <w:highlight w:val="none"/>
              </w:rPr>
              <w:t>，又有利于提高学生的认知、动手和研究能力，进而</w:t>
            </w:r>
            <w:r>
              <w:rPr>
                <w:rFonts w:hint="eastAsia" w:ascii="仿宋_GB2312" w:hAnsi="仿宋_GB2312" w:eastAsia="仿宋_GB2312" w:cs="仿宋_GB2312"/>
                <w:color w:val="auto"/>
                <w:sz w:val="24"/>
                <w:szCs w:val="24"/>
                <w:highlight w:val="none"/>
                <w:lang w:eastAsia="zh-CN"/>
              </w:rPr>
              <w:t>增强</w:t>
            </w:r>
            <w:r>
              <w:rPr>
                <w:rFonts w:hint="eastAsia" w:ascii="仿宋_GB2312" w:hAnsi="仿宋_GB2312" w:eastAsia="仿宋_GB2312" w:cs="仿宋_GB2312"/>
                <w:color w:val="auto"/>
                <w:sz w:val="24"/>
                <w:szCs w:val="24"/>
                <w:highlight w:val="none"/>
                <w:lang w:val="en-US" w:eastAsia="zh-CN"/>
              </w:rPr>
              <w:t>学生的爱国情怀</w:t>
            </w:r>
            <w:r>
              <w:rPr>
                <w:rFonts w:hint="eastAsia" w:ascii="仿宋_GB2312" w:hAnsi="仿宋_GB2312" w:eastAsia="仿宋_GB2312" w:cs="仿宋_GB2312"/>
                <w:color w:val="auto"/>
                <w:sz w:val="24"/>
                <w:szCs w:val="24"/>
                <w:highlight w:val="none"/>
              </w:rPr>
              <w:t>、自信心和民族自豪感，帮助学生掌握关于当代社会主义的基本知识，以更深刻的视角理解认识当代中国社会，强化共产主义世界观。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2" w:type="dxa"/>
            <w:left w:w="64" w:type="dxa"/>
            <w:bottom w:w="32" w:type="dxa"/>
            <w:right w:w="64" w:type="dxa"/>
          </w:tblCellMar>
        </w:tblPrEx>
        <w:trPr>
          <w:trHeight w:val="0" w:hRule="atLeast"/>
          <w:jc w:val="center"/>
        </w:trPr>
        <w:tc>
          <w:tcPr>
            <w:tcW w:w="608" w:type="dxa"/>
            <w:vAlign w:val="center"/>
          </w:tcPr>
          <w:p>
            <w:pPr>
              <w:keepNext w:val="0"/>
              <w:keepLines w:val="0"/>
              <w:pageBreakBefore w:val="0"/>
              <w:widowControl w:val="0"/>
              <w:kinsoku/>
              <w:wordWrap/>
              <w:overflowPunct/>
              <w:topLinePunct w:val="0"/>
              <w:autoSpaceDE/>
              <w:autoSpaceDN/>
              <w:bidi w:val="0"/>
              <w:adjustRightInd/>
              <w:snapToGrid w:val="0"/>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snapToGrid w:val="0"/>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snapToGrid w:val="0"/>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22</w:t>
            </w:r>
          </w:p>
        </w:tc>
        <w:tc>
          <w:tcPr>
            <w:tcW w:w="820"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after="0" w:line="300" w:lineRule="exact"/>
              <w:jc w:val="left"/>
              <w:textAlignment w:val="auto"/>
              <w:rPr>
                <w:rFonts w:hint="eastAsia" w:ascii="仿宋_GB2312" w:hAnsi="仿宋_GB2312" w:eastAsia="仿宋_GB2312" w:cs="仿宋_GB2312"/>
                <w:color w:val="auto"/>
                <w:sz w:val="24"/>
                <w:szCs w:val="24"/>
                <w:highlight w:val="none"/>
              </w:rPr>
            </w:pPr>
          </w:p>
          <w:p>
            <w:pPr>
              <w:keepNext w:val="0"/>
              <w:keepLines w:val="0"/>
              <w:pageBreakBefore w:val="0"/>
              <w:widowControl w:val="0"/>
              <w:kinsoku/>
              <w:wordWrap/>
              <w:overflowPunct/>
              <w:topLinePunct w:val="0"/>
              <w:autoSpaceDE/>
              <w:autoSpaceDN/>
              <w:bidi w:val="0"/>
              <w:adjustRightInd/>
              <w:snapToGrid w:val="0"/>
              <w:spacing w:after="0" w:line="300" w:lineRule="exact"/>
              <w:jc w:val="left"/>
              <w:textAlignment w:val="auto"/>
              <w:rPr>
                <w:rFonts w:hint="eastAsia" w:ascii="仿宋_GB2312" w:hAnsi="仿宋_GB2312" w:eastAsia="仿宋_GB2312" w:cs="仿宋_GB2312"/>
                <w:color w:val="auto"/>
                <w:sz w:val="24"/>
                <w:szCs w:val="24"/>
                <w:highlight w:val="none"/>
              </w:rPr>
            </w:pPr>
          </w:p>
          <w:p>
            <w:pPr>
              <w:keepNext w:val="0"/>
              <w:keepLines w:val="0"/>
              <w:pageBreakBefore w:val="0"/>
              <w:widowControl w:val="0"/>
              <w:kinsoku/>
              <w:wordWrap/>
              <w:overflowPunct/>
              <w:topLinePunct w:val="0"/>
              <w:autoSpaceDE/>
              <w:autoSpaceDN/>
              <w:bidi w:val="0"/>
              <w:adjustRightInd/>
              <w:snapToGrid w:val="0"/>
              <w:spacing w:after="0" w:line="300" w:lineRule="exact"/>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中华优秀传统文化</w:t>
            </w:r>
          </w:p>
        </w:tc>
        <w:tc>
          <w:tcPr>
            <w:tcW w:w="4115" w:type="dxa"/>
            <w:shd w:val="clear" w:color="auto" w:fill="auto"/>
            <w:vAlign w:val="top"/>
          </w:tcPr>
          <w:p>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掌握并传承中</w:t>
            </w:r>
            <w:r>
              <w:rPr>
                <w:rFonts w:hint="eastAsia" w:ascii="仿宋_GB2312" w:hAnsi="仿宋_GB2312" w:eastAsia="仿宋_GB2312" w:cs="仿宋_GB2312"/>
                <w:b w:val="0"/>
                <w:bCs w:val="0"/>
                <w:color w:val="auto"/>
                <w:sz w:val="24"/>
                <w:szCs w:val="24"/>
                <w:highlight w:val="none"/>
                <w:lang w:val="en-US" w:eastAsia="zh-CN"/>
              </w:rPr>
              <w:t>华优秀</w:t>
            </w:r>
            <w:r>
              <w:rPr>
                <w:rFonts w:hint="eastAsia" w:ascii="仿宋_GB2312" w:hAnsi="仿宋_GB2312" w:eastAsia="仿宋_GB2312" w:cs="仿宋_GB2312"/>
                <w:b w:val="0"/>
                <w:bCs w:val="0"/>
                <w:color w:val="auto"/>
                <w:sz w:val="24"/>
                <w:szCs w:val="24"/>
                <w:highlight w:val="none"/>
              </w:rPr>
              <w:t>传统文化的基本内涵</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主要内容</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基本精神，了解了中国传统哲学、文学、</w:t>
            </w:r>
            <w:r>
              <w:rPr>
                <w:rFonts w:hint="eastAsia" w:ascii="仿宋_GB2312" w:hAnsi="仿宋_GB2312" w:eastAsia="仿宋_GB2312" w:cs="仿宋_GB2312"/>
                <w:b w:val="0"/>
                <w:bCs w:val="0"/>
                <w:color w:val="auto"/>
                <w:sz w:val="24"/>
                <w:szCs w:val="24"/>
                <w:highlight w:val="none"/>
                <w:lang w:val="en-US" w:eastAsia="zh-CN"/>
              </w:rPr>
              <w:t>仪式</w:t>
            </w:r>
            <w:r>
              <w:rPr>
                <w:rFonts w:hint="eastAsia" w:ascii="仿宋_GB2312" w:hAnsi="仿宋_GB2312" w:eastAsia="仿宋_GB2312" w:cs="仿宋_GB2312"/>
                <w:b w:val="0"/>
                <w:bCs w:val="0"/>
                <w:color w:val="auto"/>
                <w:sz w:val="24"/>
                <w:szCs w:val="24"/>
                <w:highlight w:val="none"/>
              </w:rPr>
              <w:t>文化精髓，扩大学生视野，读懂更多的经典名著名篇，熟悉中国古代的艺术、科技、文化成果，弘扬中国传统礼仪、风俗及美食文化。</w:t>
            </w:r>
          </w:p>
          <w:p>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掌握鉴赏中华优秀传统文化及其载体的能力；养成传统美德、树立文化自信、掌握文化精粹；培养发掘中华优秀传统文化的生成规律和闪光点的能力；能坚持创造性转化、创新性发展中华优秀传统文化。</w:t>
            </w:r>
          </w:p>
          <w:p>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素质目标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lang w:val="en-US" w:eastAsia="zh-CN"/>
              </w:rPr>
              <w:t>培养学生具有对中华优秀传统文化的热爱敬畏之情；具有强烈的民族精神、人文精神和科学精神；</w:t>
            </w:r>
            <w:r>
              <w:rPr>
                <w:rFonts w:hint="eastAsia" w:ascii="仿宋_GB2312" w:hAnsi="仿宋_GB2312" w:eastAsia="仿宋_GB2312" w:cs="仿宋_GB2312"/>
                <w:b w:val="0"/>
                <w:bCs w:val="0"/>
                <w:color w:val="auto"/>
                <w:sz w:val="24"/>
                <w:szCs w:val="24"/>
                <w:highlight w:val="none"/>
              </w:rPr>
              <w:t>弘扬中华优秀传统文化</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树立中华优秀传统文化是我们每一个中国人的血脉和灵魂的情感；提升人格修养，培养文化情怀，</w:t>
            </w:r>
            <w:r>
              <w:rPr>
                <w:rFonts w:hint="eastAsia" w:ascii="仿宋_GB2312" w:hAnsi="仿宋_GB2312" w:eastAsia="仿宋_GB2312" w:cs="仿宋_GB2312"/>
                <w:b w:val="0"/>
                <w:bCs w:val="0"/>
                <w:color w:val="auto"/>
                <w:sz w:val="24"/>
                <w:szCs w:val="24"/>
                <w:highlight w:val="none"/>
                <w:lang w:val="en-US" w:eastAsia="zh-CN"/>
              </w:rPr>
              <w:t>具有较好的审美情趣和审美能力，</w:t>
            </w:r>
            <w:r>
              <w:rPr>
                <w:rFonts w:hint="eastAsia" w:ascii="仿宋_GB2312" w:hAnsi="仿宋_GB2312" w:eastAsia="仿宋_GB2312" w:cs="仿宋_GB2312"/>
                <w:b w:val="0"/>
                <w:bCs w:val="0"/>
                <w:color w:val="auto"/>
                <w:sz w:val="24"/>
                <w:szCs w:val="24"/>
                <w:highlight w:val="none"/>
              </w:rPr>
              <w:t>具备一定的优秀传统文化素养。</w:t>
            </w:r>
          </w:p>
          <w:p>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b w:val="0"/>
                <w:bCs w:val="0"/>
                <w:color w:val="auto"/>
                <w:sz w:val="24"/>
                <w:szCs w:val="24"/>
                <w:highlight w:val="none"/>
                <w:lang w:val="en-US" w:eastAsia="zh-CN"/>
              </w:rPr>
            </w:pPr>
          </w:p>
        </w:tc>
        <w:tc>
          <w:tcPr>
            <w:tcW w:w="3235" w:type="dxa"/>
            <w:shd w:val="clear" w:color="auto" w:fill="auto"/>
            <w:vAlign w:val="top"/>
          </w:tcPr>
          <w:p>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课程涵盖中华优秀传统文化的多个方面，包括传统文学历史、哲学思想、传统技艺、传统建筑、传统演艺、传统书画、传统饮食、传统医药、传统风俗、传统道德等。通过经典文献解读、历史故事讲述、艺术作品赏析等形式，系统介绍传统文化的基本内容与特点。同时，结合现代社会背景，探讨传统文化在当代的价值与应用，如道德伦理、社会治理、生态文明建设等方面的启示。</w:t>
            </w:r>
          </w:p>
          <w:p>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color w:val="auto"/>
                <w:sz w:val="24"/>
                <w:szCs w:val="24"/>
                <w:highlight w:val="none"/>
              </w:rPr>
            </w:pPr>
          </w:p>
        </w:tc>
        <w:tc>
          <w:tcPr>
            <w:tcW w:w="2128" w:type="dxa"/>
            <w:shd w:val="clear" w:color="auto" w:fill="auto"/>
            <w:vAlign w:val="top"/>
          </w:tcPr>
          <w:p>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课堂上通过案例欣赏，要求学生积极参与课堂讨论，认真完成课后作业与阅读任务，深入理解并掌握课程知识。鼓励学生主动思考传统文化的现代意义，运用所学知识解决实际问题。同时，强调实践与体验的重要性，组织学生参与文化考察、艺术实践等活动，增强对传统文化的直观感受与亲身体验。通过多元化的考核方式，既系统介绍中国传统文化的基本精神和基本知识，又着力引导学生从文化的视野分析、解读当代社会的种种现象，全面评估学生的学习成效与综合素养。培养学生对民族文化的感情和担当大任的历史责任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2" w:type="dxa"/>
            <w:left w:w="64" w:type="dxa"/>
            <w:bottom w:w="32" w:type="dxa"/>
            <w:right w:w="64" w:type="dxa"/>
          </w:tblCellMar>
        </w:tblPrEx>
        <w:trPr>
          <w:trHeight w:val="0" w:hRule="atLeast"/>
          <w:jc w:val="center"/>
        </w:trPr>
        <w:tc>
          <w:tcPr>
            <w:tcW w:w="608" w:type="dxa"/>
            <w:vAlign w:val="center"/>
          </w:tcPr>
          <w:p>
            <w:pPr>
              <w:keepNext w:val="0"/>
              <w:keepLines w:val="0"/>
              <w:pageBreakBefore w:val="0"/>
              <w:widowControl w:val="0"/>
              <w:kinsoku/>
              <w:wordWrap/>
              <w:overflowPunct/>
              <w:topLinePunct w:val="0"/>
              <w:autoSpaceDE/>
              <w:autoSpaceDN/>
              <w:bidi w:val="0"/>
              <w:adjustRightInd/>
              <w:snapToGrid w:val="0"/>
              <w:spacing w:after="0" w:line="300" w:lineRule="exact"/>
              <w:jc w:val="center"/>
              <w:textAlignment w:val="auto"/>
              <w:rPr>
                <w:rFonts w:hint="default"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23</w:t>
            </w:r>
          </w:p>
        </w:tc>
        <w:tc>
          <w:tcPr>
            <w:tcW w:w="820" w:type="dxa"/>
            <w:vAlign w:val="center"/>
          </w:tcPr>
          <w:p>
            <w:pPr>
              <w:keepNext w:val="0"/>
              <w:keepLines w:val="0"/>
              <w:pageBreakBefore w:val="0"/>
              <w:widowControl w:val="0"/>
              <w:kinsoku/>
              <w:wordWrap/>
              <w:overflowPunct/>
              <w:topLinePunct w:val="0"/>
              <w:autoSpaceDE/>
              <w:autoSpaceDN/>
              <w:bidi w:val="0"/>
              <w:adjustRightInd/>
              <w:snapToGrid w:val="0"/>
              <w:spacing w:after="0" w:line="300" w:lineRule="exact"/>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中华民族共同体概论</w:t>
            </w:r>
          </w:p>
        </w:tc>
        <w:tc>
          <w:tcPr>
            <w:tcW w:w="4115" w:type="dxa"/>
            <w:vAlign w:val="top"/>
          </w:tcPr>
          <w:p>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val="0"/>
                <w:bCs w:val="0"/>
                <w:color w:val="auto"/>
                <w:sz w:val="24"/>
                <w:szCs w:val="24"/>
                <w:highlight w:val="none"/>
                <w:lang w:eastAsia="zh-CN"/>
              </w:rPr>
              <w:t>：</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全面深入学习贯彻中央民族工作会议精神和习近平总书记关于加强和改进民族工作的重要思想，了解中华民族共同体的历史和现实，认识中华民族共同体的内涵与特征等中华民族共同体的基本常识，从历史中把握中华民族共同体演变的千年历程，树立正确的中华民族历史观。</w:t>
            </w:r>
          </w:p>
          <w:p>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引导学生牢固树立“休戚与共、荣辱与共、生死与共、命运与共”的共同体理念，牢固树立正确的国家观、历史观、民族观、文化观、宗教观，增强学生对伟大祖国、中华民族、中华文化、中国共产党、中国特色社会主义的认同，为实现中华民族伟大复兴的中国梦不懈奋斗，不断巩固中华民族共同体思想基础。</w:t>
            </w:r>
            <w:r>
              <w:rPr>
                <w:rFonts w:hint="eastAsia" w:ascii="仿宋_GB2312" w:hAnsi="仿宋_GB2312" w:eastAsia="仿宋_GB2312" w:cs="仿宋_GB2312"/>
                <w:color w:val="auto"/>
                <w:sz w:val="24"/>
                <w:szCs w:val="24"/>
                <w:highlight w:val="none"/>
                <w:lang w:val="en-US" w:eastAsia="zh-CN"/>
              </w:rPr>
              <w:t>紧扣铸牢中华民族共同体意识的基本任务，自觉推动中华民族共同体建设。</w:t>
            </w:r>
          </w:p>
          <w:p>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引导学生树立正确的中华民族历史观，不断增强“五个认同”，树立“四个与共”的理念，铸牢中华民族共同体意识，铸就中国心、铸造中华魂；学生能积极参与各民族交往交流交融；学生会思考在铸牢中华民族共同体意识的社会大势中规划人生蓝图，树立为中华民族伟大复兴贡献力量的高远理想，努力为实现中华民族复兴伟业贡献力量。</w:t>
            </w:r>
          </w:p>
        </w:tc>
        <w:tc>
          <w:tcPr>
            <w:tcW w:w="3235" w:type="dxa"/>
            <w:vAlign w:val="top"/>
          </w:tcPr>
          <w:p>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课程共设十六讲，系统涵盖多方面内容：从中华民族共同体的基础理论、正确历史观树立入手，按史前至清前中期的历史脉络，梳理了中华民族共同体的起源、演进、初步形成、大交融、繁盛、内聚发展、大统合、稳固壮大及格局底定过程；随后聚焦近现代以来，讲述了1840—1919年国家转型与民族意识觉醒、1919—1949年先锋队引领下的民族新选择、1949—2012年新中国开启的民族新纪元，以及2012年至今新时代的民族共同体建设；最后以“文明新路与人类命运共同体”收束，形成完整的课程内容体系。</w:t>
            </w:r>
          </w:p>
        </w:tc>
        <w:tc>
          <w:tcPr>
            <w:tcW w:w="2128" w:type="dxa"/>
            <w:vAlign w:val="top"/>
          </w:tcPr>
          <w:p>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要求学生积极参与课堂讨论，深入理解中华民族共同体的核心理念与价值追求。鼓励学生主动查阅资料，拓宽知识面，深化对中华民族共同体构建的认识。通过课程考核，全面评估学生的学习成效与中华民族共同体意识的养成情况。</w:t>
            </w:r>
            <w:r>
              <w:rPr>
                <w:rFonts w:hint="eastAsia" w:ascii="仿宋_GB2312" w:hAnsi="仿宋_GB2312" w:eastAsia="仿宋_GB2312" w:cs="仿宋_GB2312"/>
                <w:color w:val="auto"/>
                <w:sz w:val="24"/>
                <w:szCs w:val="24"/>
                <w:highlight w:val="none"/>
              </w:rPr>
              <w:t>达到增强学生学习知识、理论的兴趣和钻研理论的热情、提高学生运用所学知识分析问题和解决问题的能力，</w:t>
            </w:r>
          </w:p>
          <w:p>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培养正确开展民族交往交流交融的态度、情感、能力，铸牢中华民族共同体意识。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2" w:type="dxa"/>
            <w:left w:w="64" w:type="dxa"/>
            <w:bottom w:w="32" w:type="dxa"/>
            <w:right w:w="64" w:type="dxa"/>
          </w:tblCellMar>
        </w:tblPrEx>
        <w:trPr>
          <w:trHeight w:val="0" w:hRule="atLeast"/>
          <w:jc w:val="center"/>
        </w:trPr>
        <w:tc>
          <w:tcPr>
            <w:tcW w:w="608" w:type="dxa"/>
            <w:vAlign w:val="center"/>
          </w:tcPr>
          <w:p>
            <w:pPr>
              <w:keepNext w:val="0"/>
              <w:keepLines w:val="0"/>
              <w:pageBreakBefore w:val="0"/>
              <w:widowControl w:val="0"/>
              <w:kinsoku/>
              <w:wordWrap/>
              <w:overflowPunct/>
              <w:topLinePunct w:val="0"/>
              <w:autoSpaceDE/>
              <w:autoSpaceDN/>
              <w:bidi w:val="0"/>
              <w:adjustRightInd/>
              <w:snapToGrid w:val="0"/>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24</w:t>
            </w:r>
          </w:p>
        </w:tc>
        <w:tc>
          <w:tcPr>
            <w:tcW w:w="820"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after="0" w:line="300" w:lineRule="exact"/>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语文</w:t>
            </w:r>
          </w:p>
        </w:tc>
        <w:tc>
          <w:tcPr>
            <w:tcW w:w="4115" w:type="dxa"/>
            <w:shd w:val="clear" w:color="auto" w:fill="auto"/>
            <w:vAlign w:val="top"/>
          </w:tcPr>
          <w:p>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color w:val="auto"/>
                <w:sz w:val="24"/>
                <w:szCs w:val="24"/>
                <w:highlight w:val="none"/>
                <w:lang w:val="en-US" w:eastAsia="zh-CN"/>
              </w:rPr>
              <w:t>掌握现代汉语基础知识和常用文体特征，了解文学鉴赏基本方法。学习实用写作规范，提升语言表达准确性，培养基础文学素养。</w:t>
            </w:r>
          </w:p>
          <w:p>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：培养阅读理解与书面表达能力，提升职场应用写作水平。增强口语交际能力，掌握专业文献阅读方法，适应职业发展需求。</w:t>
            </w:r>
          </w:p>
          <w:p>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培育人文精神与审美情趣，提高文化修养。增强逻辑思维与创新意识，树立终身学习理念。</w:t>
            </w:r>
          </w:p>
          <w:p>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b/>
                <w:bCs/>
                <w:color w:val="auto"/>
                <w:sz w:val="24"/>
                <w:szCs w:val="24"/>
                <w:highlight w:val="none"/>
                <w:lang w:val="en-US" w:eastAsia="zh-CN"/>
              </w:rPr>
              <w:t>课程思政育人目标：</w:t>
            </w:r>
            <w:r>
              <w:rPr>
                <w:rFonts w:hint="eastAsia" w:ascii="仿宋_GB2312" w:hAnsi="仿宋_GB2312" w:eastAsia="仿宋_GB2312" w:cs="仿宋_GB2312"/>
                <w:color w:val="auto"/>
                <w:sz w:val="24"/>
                <w:szCs w:val="24"/>
                <w:highlight w:val="none"/>
                <w:lang w:val="en-US" w:eastAsia="zh-CN"/>
              </w:rPr>
              <w:t>通过经典作品传承中华优秀传统文化，培育文化自信。在语言训练中融入社会主义核心价值观教育。</w:t>
            </w:r>
          </w:p>
        </w:tc>
        <w:tc>
          <w:tcPr>
            <w:tcW w:w="3235" w:type="dxa"/>
            <w:shd w:val="clear" w:color="auto" w:fill="auto"/>
            <w:vAlign w:val="top"/>
          </w:tcPr>
          <w:p>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课程包含现代汉语应用、文学鉴赏、实用写作三大模块。重点培养应用文写作、口语交际等实用技能，精选反映时代精神的文学作品。结合专业特色，设计职场情境语言训练，融入专业文献阅读指导，强化职业语文能力培养。</w:t>
            </w:r>
          </w:p>
        </w:tc>
        <w:tc>
          <w:tcPr>
            <w:tcW w:w="2128" w:type="dxa"/>
            <w:shd w:val="clear" w:color="auto" w:fill="auto"/>
            <w:vAlign w:val="top"/>
          </w:tcPr>
          <w:p>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教师需采用任务驱动教学法，设计真实语言应用场景。学生需积极参与课堂活动，完成实践训练任务。教学中要注重学用结合，突出职业导向，强化语言应用能力培养，提升学生人文素养和职业竞争力。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2" w:type="dxa"/>
            <w:left w:w="64" w:type="dxa"/>
            <w:bottom w:w="32" w:type="dxa"/>
            <w:right w:w="64" w:type="dxa"/>
          </w:tblCellMar>
        </w:tblPrEx>
        <w:trPr>
          <w:trHeight w:val="0" w:hRule="atLeast"/>
          <w:jc w:val="center"/>
        </w:trPr>
        <w:tc>
          <w:tcPr>
            <w:tcW w:w="608" w:type="dxa"/>
            <w:vAlign w:val="center"/>
          </w:tcPr>
          <w:p>
            <w:pPr>
              <w:keepNext w:val="0"/>
              <w:keepLines w:val="0"/>
              <w:pageBreakBefore w:val="0"/>
              <w:widowControl w:val="0"/>
              <w:kinsoku/>
              <w:wordWrap/>
              <w:overflowPunct/>
              <w:topLinePunct w:val="0"/>
              <w:autoSpaceDE/>
              <w:autoSpaceDN/>
              <w:bidi w:val="0"/>
              <w:adjustRightInd/>
              <w:snapToGrid w:val="0"/>
              <w:spacing w:after="0" w:line="300" w:lineRule="exact"/>
              <w:jc w:val="center"/>
              <w:textAlignment w:val="auto"/>
              <w:rPr>
                <w:rFonts w:hint="default"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25</w:t>
            </w:r>
          </w:p>
        </w:tc>
        <w:tc>
          <w:tcPr>
            <w:tcW w:w="820" w:type="dxa"/>
            <w:shd w:val="clear" w:color="auto" w:fill="auto"/>
            <w:vAlign w:val="center"/>
          </w:tcPr>
          <w:p>
            <w:pPr>
              <w:snapToGrid w:val="0"/>
              <w:spacing w:line="360" w:lineRule="exact"/>
              <w:jc w:val="left"/>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社会责任</w:t>
            </w:r>
          </w:p>
          <w:p>
            <w:pPr>
              <w:snapToGrid w:val="0"/>
              <w:spacing w:line="360" w:lineRule="exact"/>
              <w:jc w:val="left"/>
              <w:rPr>
                <w:rFonts w:hint="eastAsia" w:ascii="仿宋_GB2312" w:hAnsi="仿宋_GB2312" w:eastAsia="仿宋_GB2312" w:cs="仿宋_GB2312"/>
                <w:color w:val="auto"/>
                <w:sz w:val="24"/>
                <w:szCs w:val="24"/>
                <w:highlight w:val="none"/>
              </w:rPr>
            </w:pPr>
          </w:p>
        </w:tc>
        <w:tc>
          <w:tcPr>
            <w:tcW w:w="4115" w:type="dxa"/>
            <w:shd w:val="clear" w:color="auto" w:fill="auto"/>
            <w:vAlign w:val="top"/>
          </w:tcPr>
          <w:p>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color w:val="auto"/>
                <w:sz w:val="24"/>
                <w:szCs w:val="24"/>
                <w:highlight w:val="none"/>
                <w:lang w:val="en-US" w:eastAsia="zh-CN"/>
              </w:rPr>
              <w:t>系统理解社会责任核心理念与多维内涵，掌握企业社会责任（CSR）理论框架（如戴维斯模型）及实践路径，明晰角色义务责任、法律责任、积极与消极责任的分类逻辑。</w:t>
            </w:r>
          </w:p>
          <w:p>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：能辨析各类社会责任的分类逻辑，运用社会责任指数等工具评估企业行为的社会影响，具备分析企业 CSR 实践案例、提出优化建议的能力。</w:t>
            </w:r>
          </w:p>
          <w:p>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形成社会责任认知素养，强化理论与实践结合能力，提升对企业社会价值的判断水平，为从事相关领域工作或参与 CSR 实践奠定基础。</w:t>
            </w:r>
          </w:p>
          <w:p>
            <w:pPr>
              <w:snapToGrid w:val="0"/>
              <w:spacing w:line="360" w:lineRule="exact"/>
              <w:jc w:val="both"/>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b/>
                <w:bCs/>
                <w:color w:val="auto"/>
                <w:sz w:val="24"/>
                <w:szCs w:val="24"/>
                <w:highlight w:val="none"/>
                <w:lang w:val="en-US" w:eastAsia="zh-CN"/>
              </w:rPr>
              <w:t>课程思政育人目标：</w:t>
            </w:r>
            <w:r>
              <w:rPr>
                <w:rFonts w:hint="eastAsia" w:ascii="仿宋_GB2312" w:hAnsi="仿宋_GB2312" w:eastAsia="仿宋_GB2312" w:cs="仿宋_GB2312"/>
                <w:color w:val="auto"/>
                <w:sz w:val="24"/>
                <w:szCs w:val="24"/>
                <w:highlight w:val="none"/>
                <w:lang w:val="en-US" w:eastAsia="zh-CN"/>
              </w:rPr>
              <w:t>树立社会责任意识与担当精神，培养尊重规则、重视社会价值的观念，助力学生以责任思维参与社会与职场，推动企业与社会协同发展。</w:t>
            </w:r>
          </w:p>
        </w:tc>
        <w:tc>
          <w:tcPr>
            <w:tcW w:w="3235" w:type="dxa"/>
            <w:shd w:val="clear" w:color="auto" w:fill="auto"/>
            <w:vAlign w:val="top"/>
          </w:tcPr>
          <w:p>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教学内容涵盖理论基础与实践应用两大模块。理论层面包括社会责任的定义、历史演进及经济学、伦理学相关理论（如利益相关者理论、三重底线理论）；实践层面聚焦企业社会责任报告编制、环境社会治理（ESG）指标分析、行业典型案例（如金融业社会责任指数构成）及争议性问题（如“漂绿”行为识别）。</w:t>
            </w:r>
          </w:p>
        </w:tc>
        <w:tc>
          <w:tcPr>
            <w:tcW w:w="2128" w:type="dxa"/>
            <w:shd w:val="clear" w:color="auto" w:fill="auto"/>
            <w:vAlign w:val="top"/>
          </w:tcPr>
          <w:p>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采用案例研讨、角色模拟、企业实地调研等多元方法，强化学生解决实际问题的能力。要求教师整合跨学科资源，引导学生从经济学、法学、伦理学多视角剖析社会责任议题；学生需完成企业社会责任评估报告撰写、模拟董事会决策等实践任务，并参与社会责任议题辩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2" w:type="dxa"/>
            <w:left w:w="64" w:type="dxa"/>
            <w:bottom w:w="32" w:type="dxa"/>
            <w:right w:w="64" w:type="dxa"/>
          </w:tblCellMar>
        </w:tblPrEx>
        <w:trPr>
          <w:trHeight w:val="6374" w:hRule="atLeast"/>
          <w:jc w:val="center"/>
        </w:trPr>
        <w:tc>
          <w:tcPr>
            <w:tcW w:w="608" w:type="dxa"/>
            <w:vAlign w:val="center"/>
          </w:tcPr>
          <w:p>
            <w:pPr>
              <w:keepNext w:val="0"/>
              <w:keepLines w:val="0"/>
              <w:pageBreakBefore w:val="0"/>
              <w:widowControl w:val="0"/>
              <w:kinsoku/>
              <w:wordWrap/>
              <w:overflowPunct/>
              <w:topLinePunct w:val="0"/>
              <w:autoSpaceDE/>
              <w:autoSpaceDN/>
              <w:bidi w:val="0"/>
              <w:adjustRightInd/>
              <w:snapToGrid w:val="0"/>
              <w:spacing w:after="0" w:line="300" w:lineRule="exact"/>
              <w:jc w:val="center"/>
              <w:textAlignment w:val="auto"/>
              <w:rPr>
                <w:rFonts w:hint="default"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26</w:t>
            </w:r>
          </w:p>
        </w:tc>
        <w:tc>
          <w:tcPr>
            <w:tcW w:w="820" w:type="dxa"/>
            <w:shd w:val="clear" w:color="auto" w:fill="auto"/>
            <w:vAlign w:val="center"/>
          </w:tcPr>
          <w:p>
            <w:pPr>
              <w:snapToGrid w:val="0"/>
              <w:spacing w:line="360" w:lineRule="exact"/>
              <w:jc w:val="left"/>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金融知识</w:t>
            </w:r>
          </w:p>
        </w:tc>
        <w:tc>
          <w:tcPr>
            <w:tcW w:w="4115" w:type="dxa"/>
            <w:shd w:val="clear" w:color="auto" w:fill="auto"/>
            <w:vAlign w:val="top"/>
          </w:tcPr>
          <w:p>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color w:val="auto"/>
                <w:sz w:val="24"/>
                <w:szCs w:val="24"/>
                <w:highlight w:val="none"/>
                <w:lang w:val="en-US" w:eastAsia="zh-CN"/>
              </w:rPr>
              <w:t>系统提升对开放经济的理论认知，理解一国内部均衡与外部均衡的内在关系，掌握国际收支理论、汇率理论等前沿金融理论，明晰宏观经济政策对经济的调节机制与作用逻辑。</w:t>
            </w:r>
          </w:p>
          <w:p>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：能运用开放经济相关理论分析宏观经济现象，辨析内部与外部均衡的关联，借助国际收支、汇率等理论工具解读宏观经济政策效果，具备初步分析金融领域实际问题的能力。</w:t>
            </w:r>
          </w:p>
          <w:p>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形成开放经济视角下的金融思维，强化理论应用与逻辑分析素养，提升对宏观金融形势的判断能力，为从事金融相关工作或理解经济运行奠定基础。</w:t>
            </w:r>
          </w:p>
          <w:p>
            <w:pPr>
              <w:keepNext w:val="0"/>
              <w:keepLines w:val="0"/>
              <w:pageBreakBefore w:val="0"/>
              <w:widowControl w:val="0"/>
              <w:kinsoku/>
              <w:wordWrap/>
              <w:overflowPunct w:val="0"/>
              <w:topLinePunct w:val="0"/>
              <w:autoSpaceDE/>
              <w:autoSpaceDN/>
              <w:bidi w:val="0"/>
              <w:adjustRightInd w:val="0"/>
              <w:snapToGrid w:val="0"/>
              <w:spacing w:line="360" w:lineRule="atLeas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b/>
                <w:bCs/>
                <w:color w:val="auto"/>
                <w:sz w:val="24"/>
                <w:szCs w:val="24"/>
                <w:highlight w:val="none"/>
                <w:lang w:val="en-US" w:eastAsia="zh-CN"/>
              </w:rPr>
              <w:t>课程思政育人目标：</w:t>
            </w:r>
            <w:r>
              <w:rPr>
                <w:rFonts w:hint="eastAsia" w:ascii="仿宋_GB2312" w:hAnsi="仿宋_GB2312" w:eastAsia="仿宋_GB2312" w:cs="仿宋_GB2312"/>
                <w:color w:val="auto"/>
                <w:sz w:val="24"/>
                <w:szCs w:val="24"/>
                <w:highlight w:val="none"/>
                <w:lang w:val="en-US" w:eastAsia="zh-CN"/>
              </w:rPr>
              <w:t>树立正确的经济大局观与风险意识，培养尊重市场规律、坚守金融合规的理念，助力学生以理性思维参与经济活动，推动金融领域健康有序发展。</w:t>
            </w:r>
          </w:p>
        </w:tc>
        <w:tc>
          <w:tcPr>
            <w:tcW w:w="3235" w:type="dxa"/>
            <w:shd w:val="clear" w:color="auto" w:fill="auto"/>
            <w:vAlign w:val="top"/>
          </w:tcPr>
          <w:p>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国际收支、国际储备、国际货币体系、外汇与汇率、汇率制度与外汇管制、外汇交易、汇率风险及防范等国际金融基本概念和基本理论知识。了解我国国际收支、国际储备历史与现状、人民币国际化进程、我国的外汇管制现状。</w:t>
            </w:r>
          </w:p>
        </w:tc>
        <w:tc>
          <w:tcPr>
            <w:tcW w:w="2128" w:type="dxa"/>
            <w:shd w:val="clear" w:color="auto" w:fill="auto"/>
            <w:vAlign w:val="top"/>
          </w:tcPr>
          <w:p>
            <w:pPr>
              <w:keepNext w:val="0"/>
              <w:keepLines w:val="0"/>
              <w:pageBreakBefore w:val="0"/>
              <w:widowControl w:val="0"/>
              <w:kinsoku/>
              <w:wordWrap/>
              <w:overflowPunct/>
              <w:topLinePunct w:val="0"/>
              <w:autoSpaceDE/>
              <w:autoSpaceDN/>
              <w:bidi w:val="0"/>
              <w:adjustRightInd/>
              <w:snapToGrid w:val="0"/>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选取具有代表性的国际金融案例，引导学生分析案例背景、涉及的问题及解决方案，培养学生的分析能力和解决问题的能力。利用实际业务场景，让学生进行模拟操作，如外汇交易、国际投融资等，提高学生的实践动手能力。</w:t>
            </w:r>
          </w:p>
        </w:tc>
      </w:tr>
    </w:tbl>
    <w:p>
      <w:pPr>
        <w:pStyle w:val="2"/>
        <w:pageBreakBefore w:val="0"/>
        <w:widowControl/>
        <w:kinsoku/>
        <w:wordWrap/>
        <w:topLinePunct w:val="0"/>
        <w:autoSpaceDE/>
        <w:autoSpaceDN/>
        <w:bidi w:val="0"/>
        <w:snapToGrid/>
        <w:spacing w:before="0" w:after="0" w:line="520" w:lineRule="exact"/>
        <w:ind w:firstLine="640" w:firstLineChars="200"/>
        <w:jc w:val="left"/>
        <w:textAlignment w:val="auto"/>
        <w:rPr>
          <w:rFonts w:hint="eastAsia" w:ascii="楷体" w:hAnsi="楷体" w:eastAsia="楷体" w:cs="楷体"/>
          <w:color w:val="auto"/>
          <w:sz w:val="32"/>
          <w:szCs w:val="32"/>
          <w:highlight w:val="none"/>
        </w:rPr>
      </w:pPr>
      <w:r>
        <w:rPr>
          <w:rFonts w:hint="eastAsia" w:ascii="楷体" w:hAnsi="楷体" w:eastAsia="楷体" w:cs="楷体"/>
          <w:color w:val="auto"/>
          <w:sz w:val="32"/>
          <w:szCs w:val="32"/>
          <w:highlight w:val="none"/>
        </w:rPr>
        <w:t>（二）专业课程</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color w:val="auto"/>
          <w:sz w:val="32"/>
          <w:szCs w:val="32"/>
          <w:highlight w:val="none"/>
        </w:rPr>
        <w:t>一般包括专业基础课程、专业核心课程和专业拓展课程</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lang w:val="en-US" w:eastAsia="zh-CN"/>
        </w:rPr>
        <w:t>并涵盖有关实践性教学环节。</w:t>
      </w:r>
      <w:bookmarkStart w:id="1" w:name="_Toc90734975"/>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1.专业基础课程</w:t>
      </w:r>
      <w:bookmarkEnd w:id="1"/>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专业基础课是为后续专业课程学习打基础的课程。包括：国际贸易基础、经济学基础、会计基础、跨境电商基础、外贸英语口语、国际商务礼仪、国际商法、国际贸易结算</w:t>
      </w:r>
      <w:r>
        <w:rPr>
          <w:rFonts w:hint="eastAsia" w:ascii="仿宋_GB2312" w:hAnsi="仿宋_GB2312" w:eastAsia="仿宋_GB2312" w:cs="仿宋_GB2312"/>
          <w:color w:val="auto"/>
          <w:spacing w:val="-4"/>
          <w:sz w:val="32"/>
          <w:szCs w:val="32"/>
          <w:highlight w:val="none"/>
        </w:rPr>
        <w:t>。</w:t>
      </w:r>
    </w:p>
    <w:p>
      <w:pPr>
        <w:overflowPunct w:val="0"/>
        <w:adjustRightInd w:val="0"/>
        <w:spacing w:line="520" w:lineRule="exact"/>
        <w:jc w:val="center"/>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rPr>
        <w:t>表3</w:t>
      </w:r>
      <w:r>
        <w:rPr>
          <w:rFonts w:hint="eastAsia" w:ascii="仿宋_GB2312" w:hAnsi="仿宋_GB2312" w:eastAsia="仿宋_GB2312" w:cs="仿宋_GB2312"/>
          <w:color w:val="auto"/>
          <w:sz w:val="32"/>
          <w:szCs w:val="32"/>
          <w:highlight w:val="none"/>
          <w:lang w:val="en-US" w:eastAsia="zh-CN"/>
        </w:rPr>
        <w:t xml:space="preserve"> </w:t>
      </w:r>
      <w:r>
        <w:rPr>
          <w:rFonts w:hint="eastAsia" w:ascii="仿宋_GB2312" w:hAnsi="仿宋_GB2312" w:eastAsia="仿宋_GB2312" w:cs="仿宋_GB2312"/>
          <w:color w:val="auto"/>
          <w:sz w:val="32"/>
          <w:szCs w:val="32"/>
          <w:highlight w:val="none"/>
        </w:rPr>
        <w:t>专业基础课</w:t>
      </w:r>
      <w:r>
        <w:rPr>
          <w:rFonts w:hint="eastAsia" w:ascii="仿宋_GB2312" w:hAnsi="仿宋_GB2312" w:eastAsia="仿宋_GB2312" w:cs="仿宋_GB2312"/>
          <w:color w:val="auto"/>
          <w:sz w:val="32"/>
          <w:szCs w:val="32"/>
          <w:highlight w:val="none"/>
          <w:lang w:val="en-US" w:eastAsia="zh-CN"/>
        </w:rPr>
        <w:t>课</w:t>
      </w:r>
      <w:r>
        <w:rPr>
          <w:rFonts w:hint="eastAsia" w:ascii="仿宋_GB2312" w:hAnsi="仿宋_GB2312" w:eastAsia="仿宋_GB2312" w:cs="仿宋_GB2312"/>
          <w:color w:val="auto"/>
          <w:sz w:val="32"/>
          <w:szCs w:val="32"/>
          <w:highlight w:val="none"/>
        </w:rPr>
        <w:t>程</w:t>
      </w:r>
      <w:r>
        <w:rPr>
          <w:rFonts w:hint="eastAsia" w:ascii="仿宋_GB2312" w:hAnsi="仿宋_GB2312" w:eastAsia="仿宋_GB2312" w:cs="仿宋_GB2312"/>
          <w:color w:val="auto"/>
          <w:sz w:val="32"/>
          <w:szCs w:val="32"/>
          <w:highlight w:val="none"/>
          <w:lang w:val="en-US" w:eastAsia="zh-CN"/>
        </w:rPr>
        <w:t>目标、主要教学内容与要求</w:t>
      </w:r>
    </w:p>
    <w:tbl>
      <w:tblPr>
        <w:tblStyle w:val="8"/>
        <w:tblW w:w="1027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65"/>
        <w:gridCol w:w="896"/>
        <w:gridCol w:w="4201"/>
        <w:gridCol w:w="2464"/>
        <w:gridCol w:w="22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5" w:type="dxa"/>
            <w:vAlign w:val="center"/>
          </w:tcPr>
          <w:p>
            <w:pPr>
              <w:spacing w:line="320" w:lineRule="exact"/>
              <w:jc w:val="center"/>
              <w:rPr>
                <w:rFonts w:hint="eastAsia" w:ascii="仿宋_GB2312" w:hAnsi="仿宋_GB2312" w:eastAsia="仿宋_GB2312" w:cs="仿宋_GB2312"/>
                <w:b w:val="0"/>
                <w:bCs w:val="0"/>
                <w:color w:val="auto"/>
                <w:sz w:val="24"/>
                <w:highlight w:val="none"/>
              </w:rPr>
            </w:pPr>
            <w:r>
              <w:rPr>
                <w:rFonts w:hint="eastAsia" w:ascii="仿宋_GB2312" w:hAnsi="仿宋_GB2312" w:eastAsia="仿宋_GB2312" w:cs="仿宋_GB2312"/>
                <w:b w:val="0"/>
                <w:bCs w:val="0"/>
                <w:color w:val="auto"/>
                <w:sz w:val="24"/>
                <w:highlight w:val="none"/>
              </w:rPr>
              <w:t>序号</w:t>
            </w:r>
          </w:p>
        </w:tc>
        <w:tc>
          <w:tcPr>
            <w:tcW w:w="896" w:type="dxa"/>
            <w:vAlign w:val="center"/>
          </w:tcPr>
          <w:p>
            <w:pPr>
              <w:spacing w:line="360" w:lineRule="exact"/>
              <w:jc w:val="center"/>
              <w:rPr>
                <w:rFonts w:hint="eastAsia" w:ascii="仿宋_GB2312" w:hAnsi="仿宋_GB2312" w:eastAsia="仿宋_GB2312" w:cs="仿宋_GB2312"/>
                <w:b w:val="0"/>
                <w:bCs w:val="0"/>
                <w:color w:val="auto"/>
                <w:sz w:val="24"/>
                <w:highlight w:val="none"/>
              </w:rPr>
            </w:pPr>
            <w:r>
              <w:rPr>
                <w:rFonts w:hint="eastAsia" w:ascii="仿宋_GB2312" w:hAnsi="仿宋_GB2312" w:eastAsia="仿宋_GB2312" w:cs="仿宋_GB2312"/>
                <w:b w:val="0"/>
                <w:bCs w:val="0"/>
                <w:color w:val="auto"/>
                <w:sz w:val="24"/>
                <w:szCs w:val="24"/>
                <w:highlight w:val="none"/>
              </w:rPr>
              <w:t>课程名称</w:t>
            </w:r>
          </w:p>
        </w:tc>
        <w:tc>
          <w:tcPr>
            <w:tcW w:w="4201" w:type="dxa"/>
            <w:vAlign w:val="center"/>
          </w:tcPr>
          <w:p>
            <w:pPr>
              <w:spacing w:line="360" w:lineRule="exact"/>
              <w:jc w:val="center"/>
              <w:rPr>
                <w:rFonts w:hint="eastAsia" w:ascii="仿宋_GB2312" w:hAnsi="仿宋_GB2312" w:eastAsia="仿宋_GB2312" w:cs="仿宋_GB2312"/>
                <w:b w:val="0"/>
                <w:bCs w:val="0"/>
                <w:color w:val="auto"/>
                <w:sz w:val="24"/>
                <w:highlight w:val="none"/>
              </w:rPr>
            </w:pPr>
            <w:r>
              <w:rPr>
                <w:rFonts w:hint="eastAsia" w:ascii="仿宋_GB2312" w:hAnsi="仿宋_GB2312" w:eastAsia="仿宋_GB2312" w:cs="仿宋_GB2312"/>
                <w:b w:val="0"/>
                <w:bCs w:val="0"/>
                <w:color w:val="auto"/>
                <w:sz w:val="24"/>
                <w:szCs w:val="24"/>
                <w:highlight w:val="none"/>
                <w:lang w:val="en-US" w:eastAsia="zh-CN"/>
              </w:rPr>
              <w:t>课程</w:t>
            </w:r>
            <w:r>
              <w:rPr>
                <w:rFonts w:hint="eastAsia" w:ascii="仿宋_GB2312" w:hAnsi="仿宋_GB2312" w:eastAsia="仿宋_GB2312" w:cs="仿宋_GB2312"/>
                <w:b w:val="0"/>
                <w:bCs w:val="0"/>
                <w:color w:val="auto"/>
                <w:sz w:val="24"/>
                <w:szCs w:val="24"/>
                <w:highlight w:val="none"/>
              </w:rPr>
              <w:t>目标</w:t>
            </w:r>
          </w:p>
        </w:tc>
        <w:tc>
          <w:tcPr>
            <w:tcW w:w="2464" w:type="dxa"/>
            <w:vAlign w:val="center"/>
          </w:tcPr>
          <w:p>
            <w:pPr>
              <w:spacing w:line="360" w:lineRule="exact"/>
              <w:jc w:val="center"/>
              <w:rPr>
                <w:rFonts w:hint="eastAsia" w:ascii="仿宋_GB2312" w:hAnsi="仿宋_GB2312" w:eastAsia="仿宋_GB2312" w:cs="仿宋_GB2312"/>
                <w:b w:val="0"/>
                <w:bCs w:val="0"/>
                <w:color w:val="auto"/>
                <w:sz w:val="24"/>
                <w:highlight w:val="none"/>
              </w:rPr>
            </w:pPr>
            <w:r>
              <w:rPr>
                <w:rFonts w:hint="eastAsia" w:ascii="仿宋_GB2312" w:hAnsi="仿宋_GB2312" w:eastAsia="仿宋_GB2312" w:cs="仿宋_GB2312"/>
                <w:b w:val="0"/>
                <w:bCs w:val="0"/>
                <w:color w:val="auto"/>
                <w:sz w:val="24"/>
                <w:szCs w:val="24"/>
                <w:highlight w:val="none"/>
                <w:lang w:val="en-US" w:eastAsia="zh-CN"/>
              </w:rPr>
              <w:t>主要</w:t>
            </w:r>
            <w:r>
              <w:rPr>
                <w:rFonts w:hint="eastAsia" w:ascii="仿宋_GB2312" w:hAnsi="仿宋_GB2312" w:eastAsia="仿宋_GB2312" w:cs="仿宋_GB2312"/>
                <w:b w:val="0"/>
                <w:bCs w:val="0"/>
                <w:color w:val="auto"/>
                <w:sz w:val="24"/>
                <w:szCs w:val="24"/>
                <w:highlight w:val="none"/>
              </w:rPr>
              <w:t>教学内容</w:t>
            </w:r>
          </w:p>
        </w:tc>
        <w:tc>
          <w:tcPr>
            <w:tcW w:w="2247" w:type="dxa"/>
            <w:vAlign w:val="center"/>
          </w:tcPr>
          <w:p>
            <w:pPr>
              <w:spacing w:line="360" w:lineRule="exact"/>
              <w:jc w:val="center"/>
              <w:rPr>
                <w:rFonts w:hint="eastAsia" w:ascii="仿宋_GB2312" w:hAnsi="仿宋_GB2312" w:eastAsia="仿宋_GB2312" w:cs="仿宋_GB2312"/>
                <w:b w:val="0"/>
                <w:bCs w:val="0"/>
                <w:color w:val="auto"/>
                <w:sz w:val="24"/>
                <w:highlight w:val="none"/>
              </w:rPr>
            </w:pPr>
            <w:r>
              <w:rPr>
                <w:rFonts w:hint="eastAsia" w:ascii="仿宋_GB2312" w:hAnsi="仿宋_GB2312" w:eastAsia="仿宋_GB2312" w:cs="仿宋_GB2312"/>
                <w:b w:val="0"/>
                <w:bCs w:val="0"/>
                <w:color w:val="auto"/>
                <w:sz w:val="24"/>
                <w:szCs w:val="24"/>
                <w:highlight w:val="none"/>
              </w:rPr>
              <w:t>教学要求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5"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1</w:t>
            </w:r>
          </w:p>
        </w:tc>
        <w:tc>
          <w:tcPr>
            <w:tcW w:w="896" w:type="dxa"/>
            <w:vAlign w:val="center"/>
          </w:tcPr>
          <w:p>
            <w:pPr>
              <w:keepNext w:val="0"/>
              <w:keepLines w:val="0"/>
              <w:pageBreakBefore w:val="0"/>
              <w:widowControl w:val="0"/>
              <w:kinsoku/>
              <w:wordWrap/>
              <w:overflowPunct w:val="0"/>
              <w:topLinePunct w:val="0"/>
              <w:autoSpaceDE/>
              <w:autoSpaceDN/>
              <w:bidi w:val="0"/>
              <w:adjustRightInd w:val="0"/>
              <w:snapToGrid/>
              <w:spacing w:line="360" w:lineRule="atLeast"/>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szCs w:val="24"/>
                <w:highlight w:val="none"/>
                <w:lang w:val="en-US" w:eastAsia="zh-CN"/>
              </w:rPr>
              <w:t>国际贸易基础</w:t>
            </w:r>
          </w:p>
        </w:tc>
        <w:tc>
          <w:tcPr>
            <w:tcW w:w="4201" w:type="dxa"/>
            <w:vAlign w:val="top"/>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color w:val="auto"/>
                <w:sz w:val="24"/>
                <w:szCs w:val="24"/>
                <w:highlight w:val="none"/>
                <w:lang w:val="en-US" w:eastAsia="zh-CN"/>
              </w:rPr>
              <w:t>系统掌握国际贸易基本理论（如比较优势理论、要素禀赋理论）、国际贸易政策工具（关税与非关税壁垒）及国际商务惯例（INCOTERMS 2020），能运用WTO规则分析典型贸易案例，熟悉跨境电商平台操作流程与跨境支付结算方式，构建覆盖传统贸易与数字贸易的完整知识体系。</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具备外贸单证缮制（如信用证审核、报关单填写）、进出口成本核算（FOB/CIF报价）、国际市场调研（海关数据与Google Trends分析）等实务操作能力，能通过模拟贸易软件完成从询盘到结汇的全流程业务处理，培养应对汇率波动、贸易摩擦等突发事件的决策能力。</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树立跨文化沟通意识（如商务礼仪差异处理），强化契约精神与合规意识（熟悉《联合国国际货物销售合同公约》），养成数据敏感度（通过外贸大数据分析市场趋势），形成严谨细致的工作习惯（单证零差错要求）和终身学习理念（跟踪RCEP等区域协定更新）。</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课程思政育人目标‌：将“一带一路”倡议、双循环新发展格局等国家战略融入教学，通过中美贸易摩擦等案例培养学生的民族自信与规则意识，结合绿色贸易、数字贸易等前沿议题强化社会责任担当，最终培育兼具国际视野与家国情怀的新时代外贸人才。</w:t>
            </w:r>
          </w:p>
        </w:tc>
        <w:tc>
          <w:tcPr>
            <w:tcW w:w="2464" w:type="dxa"/>
            <w:vAlign w:val="top"/>
          </w:tcPr>
          <w:p>
            <w:pPr>
              <w:keepNext w:val="0"/>
              <w:keepLines w:val="0"/>
              <w:pageBreakBefore w:val="0"/>
              <w:widowControl w:val="0"/>
              <w:kinsoku/>
              <w:wordWrap/>
              <w:overflowPunct w:val="0"/>
              <w:topLinePunct w:val="0"/>
              <w:autoSpaceDE/>
              <w:autoSpaceDN/>
              <w:bidi w:val="0"/>
              <w:adjustRightInd w:val="0"/>
              <w:snapToGrid/>
              <w:spacing w:line="360" w:lineRule="atLeast"/>
              <w:jc w:val="both"/>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szCs w:val="24"/>
                <w:highlight w:val="none"/>
                <w:lang w:val="en-US" w:eastAsia="zh-CN"/>
              </w:rPr>
              <w:t>学习内容大体包括：</w:t>
            </w:r>
            <w:r>
              <w:rPr>
                <w:rFonts w:hint="eastAsia" w:ascii="仿宋_GB2312" w:hAnsi="仿宋_GB2312" w:eastAsia="仿宋_GB2312" w:cs="仿宋_GB2312"/>
                <w:color w:val="auto"/>
                <w:sz w:val="24"/>
                <w:szCs w:val="24"/>
                <w:highlight w:val="none"/>
                <w:lang w:eastAsia="zh-CN"/>
              </w:rPr>
              <w:t>国际贸易概述，国际贸易的分类及相关概念国际贸易的产生、发展及特点，国际分工与世界市场，国际价值与世界市场价格，对外贸易市场总论，关税壁垒，非关税壁垒促进出口和出口管制方面的措施经济特区，进口优惠政策，国际资本流动与跨国公司，国际技术贸易，国际服务贸易，贸易条约和协定世界贸易组织，世界经济一体化，国际贸易方式。</w:t>
            </w:r>
          </w:p>
        </w:tc>
        <w:tc>
          <w:tcPr>
            <w:tcW w:w="2247" w:type="dxa"/>
            <w:vAlign w:val="top"/>
          </w:tcPr>
          <w:p>
            <w:pPr>
              <w:keepNext w:val="0"/>
              <w:keepLines w:val="0"/>
              <w:pageBreakBefore w:val="0"/>
              <w:widowControl w:val="0"/>
              <w:kinsoku/>
              <w:wordWrap/>
              <w:overflowPunct w:val="0"/>
              <w:topLinePunct w:val="0"/>
              <w:autoSpaceDE/>
              <w:autoSpaceDN/>
              <w:bidi w:val="0"/>
              <w:adjustRightInd w:val="0"/>
              <w:snapToGrid/>
              <w:spacing w:line="360" w:lineRule="atLeast"/>
              <w:jc w:val="both"/>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szCs w:val="24"/>
                <w:highlight w:val="none"/>
                <w:lang w:val="en-US" w:eastAsia="zh-CN"/>
              </w:rPr>
              <w:t>通过系统讲授国际贸易的基本概念、理论和政策，帮助学生建立扎实的理论基础。引入实际案例进行分析和讨论，加深学生对国际贸易理论的理解和掌握。组织学生进行课堂讨论和互动，激发其学习兴趣和主动性，培养其合作学习和探究学习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5"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仿宋_GB2312" w:hAnsi="仿宋_GB2312" w:eastAsia="仿宋_GB2312" w:cs="仿宋_GB2312"/>
                <w:color w:val="auto"/>
                <w:sz w:val="24"/>
                <w:highlight w:val="none"/>
                <w:lang w:val="en-US" w:eastAsia="zh-CN"/>
              </w:rPr>
            </w:pPr>
            <w:bookmarkStart w:id="2" w:name="_Hlk194587108"/>
            <w:r>
              <w:rPr>
                <w:rFonts w:hint="eastAsia" w:ascii="仿宋_GB2312" w:hAnsi="仿宋_GB2312" w:eastAsia="仿宋_GB2312" w:cs="仿宋_GB2312"/>
                <w:color w:val="auto"/>
                <w:sz w:val="24"/>
                <w:highlight w:val="none"/>
                <w:lang w:val="en-US" w:eastAsia="zh-CN"/>
              </w:rPr>
              <w:t>2</w:t>
            </w:r>
          </w:p>
        </w:tc>
        <w:tc>
          <w:tcPr>
            <w:tcW w:w="896" w:type="dxa"/>
            <w:vAlign w:val="center"/>
          </w:tcPr>
          <w:p>
            <w:pPr>
              <w:keepNext w:val="0"/>
              <w:keepLines w:val="0"/>
              <w:pageBreakBefore w:val="0"/>
              <w:widowControl w:val="0"/>
              <w:kinsoku/>
              <w:wordWrap/>
              <w:overflowPunct/>
              <w:topLinePunct w:val="0"/>
              <w:autoSpaceDE/>
              <w:autoSpaceDN/>
              <w:bidi w:val="0"/>
              <w:adjustRightInd/>
              <w:snapToGrid/>
              <w:spacing w:line="360" w:lineRule="atLeast"/>
              <w:jc w:val="center"/>
              <w:textAlignment w:val="auto"/>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color w:val="auto"/>
                <w:kern w:val="2"/>
                <w:sz w:val="24"/>
                <w:szCs w:val="24"/>
                <w:highlight w:val="none"/>
                <w:vertAlign w:val="baseline"/>
                <w:lang w:val="en-US" w:eastAsia="zh-CN" w:bidi="ar-SA"/>
              </w:rPr>
              <w:t>经济学基础</w:t>
            </w:r>
          </w:p>
        </w:tc>
        <w:tc>
          <w:tcPr>
            <w:tcW w:w="4201" w:type="dxa"/>
            <w:vAlign w:val="top"/>
          </w:tcPr>
          <w:p>
            <w:pPr>
              <w:keepNext w:val="0"/>
              <w:keepLines w:val="0"/>
              <w:pageBreakBefore w:val="0"/>
              <w:widowControl w:val="0"/>
              <w:kinsoku/>
              <w:wordWrap/>
              <w:overflowPunct/>
              <w:topLinePunct w:val="0"/>
              <w:autoSpaceDE/>
              <w:autoSpaceDN/>
              <w:bidi w:val="0"/>
              <w:adjustRightInd/>
              <w:snapToGrid w:val="0"/>
              <w:spacing w:after="0" w:line="320" w:lineRule="exact"/>
              <w:jc w:val="both"/>
              <w:textAlignment w:val="auto"/>
              <w:rPr>
                <w:rFonts w:hint="default" w:ascii="仿宋_GB2312" w:hAnsi="仿宋_GB2312" w:eastAsia="仿宋_GB2312" w:cs="仿宋_GB2312"/>
                <w:color w:val="auto"/>
                <w:sz w:val="24"/>
                <w:highlight w:val="none"/>
                <w:lang w:val="en-US" w:eastAsia="zh-CN"/>
              </w:rPr>
            </w:pPr>
            <w:r>
              <w:rPr>
                <w:rFonts w:hint="default" w:ascii="仿宋_GB2312" w:hAnsi="仿宋_GB2312" w:eastAsia="仿宋_GB2312" w:cs="仿宋_GB2312"/>
                <w:b/>
                <w:bCs/>
                <w:color w:val="auto"/>
                <w:sz w:val="24"/>
                <w:highlight w:val="none"/>
                <w:lang w:val="en-US" w:eastAsia="zh-CN"/>
              </w:rPr>
              <w:t>知识目标‌</w:t>
            </w:r>
            <w:r>
              <w:rPr>
                <w:rFonts w:hint="eastAsia" w:ascii="仿宋_GB2312" w:hAnsi="仿宋_GB2312" w:eastAsia="仿宋_GB2312" w:cs="仿宋_GB2312"/>
                <w:b/>
                <w:bCs/>
                <w:color w:val="auto"/>
                <w:sz w:val="24"/>
                <w:highlight w:val="none"/>
                <w:lang w:val="en-US" w:eastAsia="zh-CN"/>
              </w:rPr>
              <w:t>：</w:t>
            </w:r>
            <w:r>
              <w:rPr>
                <w:rFonts w:hint="default" w:ascii="仿宋_GB2312" w:hAnsi="仿宋_GB2312" w:eastAsia="仿宋_GB2312" w:cs="仿宋_GB2312"/>
                <w:color w:val="auto"/>
                <w:sz w:val="24"/>
                <w:highlight w:val="none"/>
                <w:lang w:val="en-US" w:eastAsia="zh-CN"/>
              </w:rPr>
              <w:t>系统掌握微观经济学核心理论（如供求均衡、边际效用分析）和宏观经济学基础框架（GDP核算、财政货币政策），理解市场失灵与政府干预机制，熟悉常见经济指标（CPI、PPI、基尼系数）的测算与应用，并能运用弹性理论、成本收益分析等工具解读现实经济现象。</w:t>
            </w:r>
          </w:p>
          <w:p>
            <w:pPr>
              <w:keepNext w:val="0"/>
              <w:keepLines w:val="0"/>
              <w:pageBreakBefore w:val="0"/>
              <w:widowControl w:val="0"/>
              <w:kinsoku/>
              <w:wordWrap/>
              <w:overflowPunct/>
              <w:topLinePunct w:val="0"/>
              <w:autoSpaceDE/>
              <w:autoSpaceDN/>
              <w:bidi w:val="0"/>
              <w:adjustRightInd/>
              <w:snapToGrid w:val="0"/>
              <w:spacing w:after="0" w:line="320" w:lineRule="exact"/>
              <w:jc w:val="both"/>
              <w:textAlignment w:val="auto"/>
              <w:rPr>
                <w:rFonts w:hint="default" w:ascii="仿宋_GB2312" w:hAnsi="仿宋_GB2312" w:eastAsia="仿宋_GB2312" w:cs="仿宋_GB2312"/>
                <w:color w:val="auto"/>
                <w:sz w:val="24"/>
                <w:highlight w:val="none"/>
                <w:lang w:val="en-US" w:eastAsia="zh-CN"/>
              </w:rPr>
            </w:pPr>
            <w:r>
              <w:rPr>
                <w:rFonts w:hint="default" w:ascii="仿宋_GB2312" w:hAnsi="仿宋_GB2312" w:eastAsia="仿宋_GB2312" w:cs="仿宋_GB2312"/>
                <w:b/>
                <w:bCs/>
                <w:color w:val="auto"/>
                <w:sz w:val="24"/>
                <w:highlight w:val="none"/>
                <w:lang w:val="en-US" w:eastAsia="zh-CN"/>
              </w:rPr>
              <w:t>‌能力目标‌</w:t>
            </w:r>
            <w:r>
              <w:rPr>
                <w:rFonts w:hint="eastAsia" w:ascii="仿宋_GB2312" w:hAnsi="仿宋_GB2312" w:eastAsia="仿宋_GB2312" w:cs="仿宋_GB2312"/>
                <w:b/>
                <w:bCs/>
                <w:color w:val="auto"/>
                <w:sz w:val="24"/>
                <w:highlight w:val="none"/>
                <w:lang w:val="en-US" w:eastAsia="zh-CN"/>
              </w:rPr>
              <w:t>：</w:t>
            </w:r>
            <w:r>
              <w:rPr>
                <w:rFonts w:hint="default" w:ascii="仿宋_GB2312" w:hAnsi="仿宋_GB2312" w:eastAsia="仿宋_GB2312" w:cs="仿宋_GB2312"/>
                <w:color w:val="auto"/>
                <w:sz w:val="24"/>
                <w:highlight w:val="none"/>
                <w:lang w:val="en-US" w:eastAsia="zh-CN"/>
              </w:rPr>
              <w:t>具备经济数据收集与处理能力（通过国家统计局等平台获取数据）、基础经济模型构建能力（如IS-LM模型简化应用）、经济政策分析能力（如减税降费对中小企业的影响评估），能运用SWOT分析法评估区域经济发展潜力，完成小微企业成本控制等实务型课题研究。</w:t>
            </w:r>
          </w:p>
          <w:p>
            <w:pPr>
              <w:keepNext w:val="0"/>
              <w:keepLines w:val="0"/>
              <w:pageBreakBefore w:val="0"/>
              <w:widowControl w:val="0"/>
              <w:kinsoku/>
              <w:wordWrap/>
              <w:overflowPunct/>
              <w:topLinePunct w:val="0"/>
              <w:autoSpaceDE/>
              <w:autoSpaceDN/>
              <w:bidi w:val="0"/>
              <w:adjustRightInd/>
              <w:snapToGrid w:val="0"/>
              <w:spacing w:after="0" w:line="320" w:lineRule="exact"/>
              <w:jc w:val="both"/>
              <w:textAlignment w:val="auto"/>
              <w:rPr>
                <w:rFonts w:hint="default" w:ascii="仿宋_GB2312" w:hAnsi="仿宋_GB2312" w:eastAsia="仿宋_GB2312" w:cs="仿宋_GB2312"/>
                <w:color w:val="auto"/>
                <w:sz w:val="24"/>
                <w:highlight w:val="none"/>
                <w:lang w:val="en-US" w:eastAsia="zh-CN"/>
              </w:rPr>
            </w:pPr>
            <w:r>
              <w:rPr>
                <w:rFonts w:hint="default" w:ascii="仿宋_GB2312" w:hAnsi="仿宋_GB2312" w:eastAsia="仿宋_GB2312" w:cs="仿宋_GB2312"/>
                <w:b/>
                <w:bCs/>
                <w:color w:val="auto"/>
                <w:sz w:val="24"/>
                <w:highlight w:val="none"/>
                <w:lang w:val="en-US" w:eastAsia="zh-CN"/>
              </w:rPr>
              <w:t>‌素质目标‌</w:t>
            </w:r>
            <w:r>
              <w:rPr>
                <w:rFonts w:hint="eastAsia" w:ascii="仿宋_GB2312" w:hAnsi="仿宋_GB2312" w:eastAsia="仿宋_GB2312" w:cs="仿宋_GB2312"/>
                <w:b/>
                <w:bCs/>
                <w:color w:val="auto"/>
                <w:sz w:val="24"/>
                <w:highlight w:val="none"/>
                <w:lang w:val="en-US" w:eastAsia="zh-CN"/>
              </w:rPr>
              <w:t>：</w:t>
            </w:r>
            <w:r>
              <w:rPr>
                <w:rFonts w:hint="default" w:ascii="仿宋_GB2312" w:hAnsi="仿宋_GB2312" w:eastAsia="仿宋_GB2312" w:cs="仿宋_GB2312"/>
                <w:color w:val="auto"/>
                <w:sz w:val="24"/>
                <w:highlight w:val="none"/>
                <w:lang w:val="en-US" w:eastAsia="zh-CN"/>
              </w:rPr>
              <w:t>培养辩证思维（如理解效率与公平的权衡）、数据敏感度（通过经济指标波动预判趋势）、社会责任感（关注乡村振兴等民生议题），养成用经济学视角观察日常消费、投资决策的行为习惯，形成包容性发展理念（理解共同富裕的经济学内涵）。</w:t>
            </w:r>
          </w:p>
          <w:p>
            <w:pPr>
              <w:keepNext w:val="0"/>
              <w:keepLines w:val="0"/>
              <w:pageBreakBefore w:val="0"/>
              <w:widowControl w:val="0"/>
              <w:kinsoku/>
              <w:wordWrap/>
              <w:overflowPunct/>
              <w:topLinePunct w:val="0"/>
              <w:autoSpaceDE/>
              <w:autoSpaceDN/>
              <w:bidi w:val="0"/>
              <w:adjustRightInd/>
              <w:snapToGrid w:val="0"/>
              <w:spacing w:after="0" w:line="320" w:lineRule="exact"/>
              <w:jc w:val="both"/>
              <w:textAlignment w:val="auto"/>
              <w:rPr>
                <w:rFonts w:hint="default" w:ascii="仿宋_GB2312" w:hAnsi="仿宋_GB2312" w:eastAsia="仿宋_GB2312" w:cs="仿宋_GB2312"/>
                <w:color w:val="auto"/>
                <w:sz w:val="24"/>
                <w:highlight w:val="none"/>
                <w:lang w:val="en-US" w:eastAsia="zh-CN"/>
              </w:rPr>
            </w:pPr>
            <w:r>
              <w:rPr>
                <w:rFonts w:hint="default" w:ascii="仿宋_GB2312" w:hAnsi="仿宋_GB2312" w:eastAsia="仿宋_GB2312" w:cs="仿宋_GB2312"/>
                <w:b/>
                <w:bCs/>
                <w:color w:val="auto"/>
                <w:sz w:val="24"/>
                <w:highlight w:val="none"/>
                <w:lang w:val="en-US" w:eastAsia="zh-CN"/>
              </w:rPr>
              <w:t>‌课程思政育人目标</w:t>
            </w:r>
            <w:r>
              <w:rPr>
                <w:rFonts w:hint="eastAsia" w:ascii="仿宋_GB2312" w:hAnsi="仿宋_GB2312" w:eastAsia="仿宋_GB2312" w:cs="仿宋_GB2312"/>
                <w:b/>
                <w:bCs/>
                <w:color w:val="auto"/>
                <w:sz w:val="24"/>
                <w:highlight w:val="none"/>
                <w:lang w:val="en-US" w:eastAsia="zh-CN"/>
              </w:rPr>
              <w:t>：</w:t>
            </w:r>
            <w:r>
              <w:rPr>
                <w:rFonts w:hint="default" w:ascii="仿宋_GB2312" w:hAnsi="仿宋_GB2312" w:eastAsia="仿宋_GB2312" w:cs="仿宋_GB2312"/>
                <w:color w:val="auto"/>
                <w:sz w:val="24"/>
                <w:highlight w:val="none"/>
                <w:lang w:val="en-US" w:eastAsia="zh-CN"/>
              </w:rPr>
              <w:t>将</w:t>
            </w:r>
            <w:r>
              <w:rPr>
                <w:rFonts w:hint="eastAsia" w:ascii="仿宋_GB2312" w:hAnsi="仿宋_GB2312" w:eastAsia="仿宋_GB2312" w:cs="仿宋_GB2312"/>
                <w:color w:val="auto"/>
                <w:sz w:val="24"/>
                <w:highlight w:val="none"/>
                <w:lang w:val="en-US" w:eastAsia="zh-CN"/>
              </w:rPr>
              <w:t>“</w:t>
            </w:r>
            <w:r>
              <w:rPr>
                <w:rFonts w:hint="default" w:ascii="仿宋_GB2312" w:hAnsi="仿宋_GB2312" w:eastAsia="仿宋_GB2312" w:cs="仿宋_GB2312"/>
                <w:color w:val="auto"/>
                <w:sz w:val="24"/>
                <w:highlight w:val="none"/>
                <w:lang w:val="en-US" w:eastAsia="zh-CN"/>
              </w:rPr>
              <w:t>社会主义市场经济体制优越</w:t>
            </w:r>
            <w:r>
              <w:rPr>
                <w:rFonts w:hint="eastAsia" w:ascii="仿宋_GB2312" w:hAnsi="仿宋_GB2312" w:eastAsia="仿宋_GB2312" w:cs="仿宋_GB2312"/>
                <w:color w:val="auto"/>
                <w:sz w:val="24"/>
                <w:highlight w:val="none"/>
                <w:lang w:val="en-US" w:eastAsia="zh-CN"/>
              </w:rPr>
              <w:t>”“</w:t>
            </w:r>
            <w:r>
              <w:rPr>
                <w:rFonts w:hint="default" w:ascii="仿宋_GB2312" w:hAnsi="仿宋_GB2312" w:eastAsia="仿宋_GB2312" w:cs="仿宋_GB2312"/>
                <w:color w:val="auto"/>
                <w:sz w:val="24"/>
                <w:highlight w:val="none"/>
                <w:lang w:val="en-US" w:eastAsia="zh-CN"/>
              </w:rPr>
              <w:t>双循环新发展格局</w:t>
            </w:r>
            <w:r>
              <w:rPr>
                <w:rFonts w:hint="eastAsia" w:ascii="仿宋_GB2312" w:hAnsi="仿宋_GB2312" w:eastAsia="仿宋_GB2312" w:cs="仿宋_GB2312"/>
                <w:color w:val="auto"/>
                <w:sz w:val="24"/>
                <w:highlight w:val="none"/>
                <w:lang w:val="en-US" w:eastAsia="zh-CN"/>
              </w:rPr>
              <w:t>”</w:t>
            </w:r>
            <w:r>
              <w:rPr>
                <w:rFonts w:hint="default" w:ascii="仿宋_GB2312" w:hAnsi="仿宋_GB2312" w:eastAsia="仿宋_GB2312" w:cs="仿宋_GB2312"/>
                <w:color w:val="auto"/>
                <w:sz w:val="24"/>
                <w:highlight w:val="none"/>
                <w:lang w:val="en-US" w:eastAsia="zh-CN"/>
              </w:rPr>
              <w:t>等国家战略融入教学，通过脱贫攻坚案例阐释包容性增长理论，结合碳达峰碳中和目标讲解绿色经济学，培育学生</w:t>
            </w:r>
            <w:r>
              <w:rPr>
                <w:rFonts w:hint="eastAsia" w:ascii="仿宋_GB2312" w:hAnsi="仿宋_GB2312" w:eastAsia="仿宋_GB2312" w:cs="仿宋_GB2312"/>
                <w:color w:val="auto"/>
                <w:sz w:val="24"/>
                <w:highlight w:val="none"/>
                <w:lang w:val="en-US" w:eastAsia="zh-CN"/>
              </w:rPr>
              <w:t>“</w:t>
            </w:r>
            <w:r>
              <w:rPr>
                <w:rFonts w:hint="default" w:ascii="仿宋_GB2312" w:hAnsi="仿宋_GB2312" w:eastAsia="仿宋_GB2312" w:cs="仿宋_GB2312"/>
                <w:color w:val="auto"/>
                <w:sz w:val="24"/>
                <w:highlight w:val="none"/>
                <w:lang w:val="en-US" w:eastAsia="zh-CN"/>
              </w:rPr>
              <w:t>经世济民</w:t>
            </w:r>
            <w:r>
              <w:rPr>
                <w:rFonts w:hint="eastAsia" w:ascii="仿宋_GB2312" w:hAnsi="仿宋_GB2312" w:eastAsia="仿宋_GB2312" w:cs="仿宋_GB2312"/>
                <w:color w:val="auto"/>
                <w:sz w:val="24"/>
                <w:highlight w:val="none"/>
                <w:lang w:val="en-US" w:eastAsia="zh-CN"/>
              </w:rPr>
              <w:t>”</w:t>
            </w:r>
            <w:r>
              <w:rPr>
                <w:rFonts w:hint="default" w:ascii="仿宋_GB2312" w:hAnsi="仿宋_GB2312" w:eastAsia="仿宋_GB2312" w:cs="仿宋_GB2312"/>
                <w:color w:val="auto"/>
                <w:sz w:val="24"/>
                <w:highlight w:val="none"/>
                <w:lang w:val="en-US" w:eastAsia="zh-CN"/>
              </w:rPr>
              <w:t>的职业情怀，树立将个人职业发展融入国家经济建设的价值取向。</w:t>
            </w:r>
          </w:p>
        </w:tc>
        <w:tc>
          <w:tcPr>
            <w:tcW w:w="2464" w:type="dxa"/>
            <w:vAlign w:val="top"/>
          </w:tcPr>
          <w:p>
            <w:pPr>
              <w:keepNext w:val="0"/>
              <w:keepLines w:val="0"/>
              <w:pageBreakBefore w:val="0"/>
              <w:widowControl w:val="0"/>
              <w:kinsoku/>
              <w:wordWrap/>
              <w:overflowPunct/>
              <w:topLinePunct w:val="0"/>
              <w:autoSpaceDE/>
              <w:autoSpaceDN/>
              <w:bidi w:val="0"/>
              <w:adjustRightInd/>
              <w:snapToGrid/>
              <w:spacing w:line="360" w:lineRule="atLeast"/>
              <w:jc w:val="both"/>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szCs w:val="24"/>
                <w:highlight w:val="none"/>
              </w:rPr>
              <w:t>内容大体包括：供求理论</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消费者行为理论（效用理论）</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生产理论</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成本、收益与利润</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市场理论</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收入分配理论</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一般均衡与福利经济学市场失灵与政府微观经济政策</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宏观经济学</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产品</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货币市场均衡IS-LM模型</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产品</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货币市场均衡模型与政府政策</w:t>
            </w:r>
            <w:r>
              <w:rPr>
                <w:rFonts w:hint="eastAsia" w:ascii="仿宋_GB2312" w:hAnsi="仿宋_GB2312" w:eastAsia="仿宋_GB2312" w:cs="仿宋_GB2312"/>
                <w:color w:val="auto"/>
                <w:sz w:val="24"/>
                <w:szCs w:val="24"/>
                <w:highlight w:val="none"/>
                <w:lang w:eastAsia="zh-CN"/>
              </w:rPr>
              <w:t>。</w:t>
            </w:r>
          </w:p>
        </w:tc>
        <w:tc>
          <w:tcPr>
            <w:tcW w:w="2247" w:type="dxa"/>
            <w:vAlign w:val="top"/>
          </w:tcPr>
          <w:p>
            <w:pPr>
              <w:keepNext w:val="0"/>
              <w:keepLines w:val="0"/>
              <w:pageBreakBefore w:val="0"/>
              <w:widowControl w:val="0"/>
              <w:kinsoku/>
              <w:wordWrap/>
              <w:overflowPunct/>
              <w:topLinePunct w:val="0"/>
              <w:autoSpaceDE/>
              <w:autoSpaceDN/>
              <w:bidi w:val="0"/>
              <w:adjustRightInd/>
              <w:snapToGrid/>
              <w:spacing w:line="360" w:lineRule="atLeast"/>
              <w:jc w:val="both"/>
              <w:textAlignment w:val="auto"/>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color w:val="auto"/>
                <w:kern w:val="2"/>
                <w:sz w:val="24"/>
                <w:szCs w:val="24"/>
                <w:highlight w:val="none"/>
                <w:vertAlign w:val="baseline"/>
                <w:lang w:val="en-US" w:eastAsia="zh-CN" w:bidi="ar-SA"/>
              </w:rPr>
              <w:t>注重启发式教学 ：在教学过程中注重引导学生思考，培养他们的自主学习能力和创新能力。注重理论联系实际 ：结合现实生活案例和经济现象进行教学，使学生更好地理解经济学原理。</w:t>
            </w:r>
          </w:p>
          <w:p>
            <w:pPr>
              <w:keepNext w:val="0"/>
              <w:keepLines w:val="0"/>
              <w:pageBreakBefore w:val="0"/>
              <w:widowControl w:val="0"/>
              <w:kinsoku/>
              <w:wordWrap/>
              <w:overflowPunct/>
              <w:topLinePunct w:val="0"/>
              <w:autoSpaceDE/>
              <w:autoSpaceDN/>
              <w:bidi w:val="0"/>
              <w:adjustRightInd/>
              <w:snapToGrid/>
              <w:spacing w:line="360" w:lineRule="atLeast"/>
              <w:jc w:val="both"/>
              <w:textAlignment w:val="auto"/>
              <w:rPr>
                <w:rFonts w:hint="eastAsia" w:ascii="仿宋_GB2312" w:hAnsi="仿宋_GB2312" w:eastAsia="仿宋_GB2312" w:cs="仿宋_GB2312"/>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5"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仿宋_GB2312" w:hAnsi="仿宋_GB2312" w:eastAsia="仿宋_GB2312" w:cs="仿宋_GB2312"/>
                <w:color w:val="auto"/>
                <w:sz w:val="24"/>
                <w:highlight w:val="none"/>
                <w:lang w:val="en-US" w:eastAsia="zh-CN"/>
              </w:rPr>
            </w:pPr>
            <w:bookmarkStart w:id="3" w:name="_Toc90734977"/>
            <w:r>
              <w:rPr>
                <w:rFonts w:hint="eastAsia" w:ascii="仿宋_GB2312" w:hAnsi="仿宋_GB2312" w:eastAsia="仿宋_GB2312" w:cs="仿宋_GB2312"/>
                <w:color w:val="auto"/>
                <w:sz w:val="24"/>
                <w:highlight w:val="none"/>
                <w:lang w:val="en-US" w:eastAsia="zh-CN"/>
              </w:rPr>
              <w:t>3</w:t>
            </w:r>
          </w:p>
        </w:tc>
        <w:tc>
          <w:tcPr>
            <w:tcW w:w="896" w:type="dxa"/>
            <w:vAlign w:val="center"/>
          </w:tcPr>
          <w:p>
            <w:pPr>
              <w:keepNext w:val="0"/>
              <w:keepLines w:val="0"/>
              <w:pageBreakBefore w:val="0"/>
              <w:widowControl w:val="0"/>
              <w:kinsoku/>
              <w:wordWrap/>
              <w:overflowPunct w:val="0"/>
              <w:topLinePunct w:val="0"/>
              <w:autoSpaceDE/>
              <w:autoSpaceDN/>
              <w:bidi w:val="0"/>
              <w:adjustRightInd w:val="0"/>
              <w:snapToGrid/>
              <w:spacing w:line="360" w:lineRule="atLeast"/>
              <w:jc w:val="center"/>
              <w:textAlignment w:val="auto"/>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color w:val="auto"/>
                <w:sz w:val="24"/>
                <w:szCs w:val="24"/>
                <w:highlight w:val="none"/>
                <w:lang w:val="en-US" w:eastAsia="zh-CN"/>
              </w:rPr>
              <w:t>会计学基础</w:t>
            </w:r>
          </w:p>
        </w:tc>
        <w:tc>
          <w:tcPr>
            <w:tcW w:w="4201" w:type="dxa"/>
            <w:vAlign w:val="top"/>
          </w:tcPr>
          <w:p>
            <w:pPr>
              <w:keepNext w:val="0"/>
              <w:keepLines w:val="0"/>
              <w:pageBreakBefore w:val="0"/>
              <w:widowControl w:val="0"/>
              <w:kinsoku/>
              <w:wordWrap/>
              <w:overflowPunct/>
              <w:topLinePunct w:val="0"/>
              <w:autoSpaceDE/>
              <w:autoSpaceDN/>
              <w:bidi w:val="0"/>
              <w:adjustRightInd/>
              <w:snapToGrid w:val="0"/>
              <w:spacing w:after="0" w:line="320" w:lineRule="exact"/>
              <w:jc w:val="both"/>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b/>
                <w:bCs/>
                <w:color w:val="auto"/>
                <w:sz w:val="24"/>
                <w:highlight w:val="none"/>
              </w:rPr>
              <w:t>知识目标</w:t>
            </w:r>
            <w:r>
              <w:rPr>
                <w:rFonts w:hint="eastAsia" w:ascii="仿宋_GB2312" w:hAnsi="仿宋_GB2312" w:eastAsia="仿宋_GB2312" w:cs="仿宋_GB2312"/>
                <w:b/>
                <w:bCs/>
                <w:color w:val="auto"/>
                <w:sz w:val="24"/>
                <w:highlight w:val="none"/>
                <w:lang w:eastAsia="zh-CN"/>
              </w:rPr>
              <w:t>：</w:t>
            </w:r>
            <w:r>
              <w:rPr>
                <w:rFonts w:hint="eastAsia" w:ascii="仿宋_GB2312" w:hAnsi="仿宋_GB2312" w:eastAsia="仿宋_GB2312" w:cs="仿宋_GB2312"/>
                <w:color w:val="auto"/>
                <w:sz w:val="24"/>
                <w:highlight w:val="none"/>
              </w:rPr>
              <w:t>‌系统掌握会计基本理论（如会计要素、复式记账原理）、会计准则（企业会计准则第14号——收入）及会计核算流程（从填制凭证到编制报表），熟悉增值税、企业所得税等主要税种的核算方法，理解财务比率分析指标（流动比率、毛利率等）的经济含义，并能运用管理会计基础工具（本量利分析）进行简单决策。</w:t>
            </w:r>
          </w:p>
          <w:p>
            <w:pPr>
              <w:keepNext w:val="0"/>
              <w:keepLines w:val="0"/>
              <w:pageBreakBefore w:val="0"/>
              <w:widowControl w:val="0"/>
              <w:kinsoku/>
              <w:wordWrap/>
              <w:overflowPunct/>
              <w:topLinePunct w:val="0"/>
              <w:autoSpaceDE/>
              <w:autoSpaceDN/>
              <w:bidi w:val="0"/>
              <w:adjustRightInd/>
              <w:snapToGrid w:val="0"/>
              <w:spacing w:after="0" w:line="320" w:lineRule="exact"/>
              <w:jc w:val="both"/>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b/>
                <w:bCs/>
                <w:color w:val="auto"/>
                <w:sz w:val="24"/>
                <w:highlight w:val="none"/>
              </w:rPr>
              <w:t>‌能力目标</w:t>
            </w:r>
            <w:r>
              <w:rPr>
                <w:rFonts w:hint="eastAsia" w:ascii="仿宋_GB2312" w:hAnsi="仿宋_GB2312" w:eastAsia="仿宋_GB2312" w:cs="仿宋_GB2312"/>
                <w:b/>
                <w:bCs/>
                <w:color w:val="auto"/>
                <w:sz w:val="24"/>
                <w:highlight w:val="none"/>
                <w:lang w:eastAsia="zh-CN"/>
              </w:rPr>
              <w:t>：</w:t>
            </w:r>
            <w:r>
              <w:rPr>
                <w:rFonts w:hint="eastAsia" w:ascii="仿宋_GB2312" w:hAnsi="仿宋_GB2312" w:eastAsia="仿宋_GB2312" w:cs="仿宋_GB2312"/>
                <w:color w:val="auto"/>
                <w:sz w:val="24"/>
                <w:highlight w:val="none"/>
              </w:rPr>
              <w:t>‌具备会计凭证审核与填制（如发票鉴别、记账凭证制作）、账簿登记与对账（总账与明细账核对）、财务报表编制（资产负债表、利润表）等实务操作能力，能通过财务软件完成全流程账务处理，掌握银行流水核查、存货盘点等基础内控技能，具备用会计语言解读企业经营状况的初步能力。</w:t>
            </w:r>
          </w:p>
          <w:p>
            <w:pPr>
              <w:keepNext w:val="0"/>
              <w:keepLines w:val="0"/>
              <w:pageBreakBefore w:val="0"/>
              <w:widowControl w:val="0"/>
              <w:kinsoku/>
              <w:wordWrap/>
              <w:overflowPunct/>
              <w:topLinePunct w:val="0"/>
              <w:autoSpaceDE/>
              <w:autoSpaceDN/>
              <w:bidi w:val="0"/>
              <w:adjustRightInd/>
              <w:snapToGrid w:val="0"/>
              <w:spacing w:after="0" w:line="320" w:lineRule="exact"/>
              <w:jc w:val="both"/>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b/>
                <w:bCs/>
                <w:color w:val="auto"/>
                <w:sz w:val="24"/>
                <w:highlight w:val="none"/>
              </w:rPr>
              <w:t>‌素质目标</w:t>
            </w:r>
            <w:r>
              <w:rPr>
                <w:rFonts w:hint="eastAsia" w:ascii="仿宋_GB2312" w:hAnsi="仿宋_GB2312" w:eastAsia="仿宋_GB2312" w:cs="仿宋_GB2312"/>
                <w:b/>
                <w:bCs/>
                <w:color w:val="auto"/>
                <w:sz w:val="24"/>
                <w:highlight w:val="none"/>
                <w:lang w:eastAsia="zh-CN"/>
              </w:rPr>
              <w:t>：</w:t>
            </w:r>
            <w:r>
              <w:rPr>
                <w:rFonts w:hint="eastAsia" w:ascii="仿宋_GB2312" w:hAnsi="仿宋_GB2312" w:eastAsia="仿宋_GB2312" w:cs="仿宋_GB2312"/>
                <w:color w:val="auto"/>
                <w:sz w:val="24"/>
                <w:highlight w:val="none"/>
              </w:rPr>
              <w:t>‌培养严谨细致的工作态度（如借贷平衡校验）、数据敏感性（通过异常波动发现潜在问题）、合规意识（熟悉《会计法》基本要求），</w:t>
            </w:r>
            <w:r>
              <w:rPr>
                <w:rFonts w:hint="eastAsia" w:ascii="仿宋_GB2312" w:hAnsi="仿宋_GB2312" w:eastAsia="仿宋_GB2312" w:cs="仿宋_GB2312"/>
                <w:color w:val="auto"/>
                <w:sz w:val="24"/>
                <w:highlight w:val="none"/>
                <w:lang w:val="en-US" w:eastAsia="zh-CN"/>
              </w:rPr>
              <w:t>形</w:t>
            </w:r>
            <w:r>
              <w:rPr>
                <w:rFonts w:hint="eastAsia" w:ascii="仿宋_GB2312" w:hAnsi="仿宋_GB2312" w:eastAsia="仿宋_GB2312" w:cs="仿宋_GB2312"/>
                <w:color w:val="auto"/>
                <w:sz w:val="24"/>
                <w:highlight w:val="none"/>
              </w:rPr>
              <w:t>成</w:t>
            </w:r>
            <w:r>
              <w:rPr>
                <w:rFonts w:hint="eastAsia" w:ascii="仿宋_GB2312" w:hAnsi="仿宋_GB2312" w:eastAsia="仿宋_GB2312" w:cs="仿宋_GB2312"/>
                <w:color w:val="auto"/>
                <w:sz w:val="24"/>
                <w:highlight w:val="none"/>
                <w:lang w:eastAsia="zh-CN"/>
              </w:rPr>
              <w:t>“</w:t>
            </w:r>
            <w:r>
              <w:rPr>
                <w:rFonts w:hint="eastAsia" w:ascii="仿宋_GB2312" w:hAnsi="仿宋_GB2312" w:eastAsia="仿宋_GB2312" w:cs="仿宋_GB2312"/>
                <w:color w:val="auto"/>
                <w:sz w:val="24"/>
                <w:highlight w:val="none"/>
              </w:rPr>
              <w:t>不做假账</w:t>
            </w:r>
            <w:r>
              <w:rPr>
                <w:rFonts w:hint="eastAsia" w:ascii="仿宋_GB2312" w:hAnsi="仿宋_GB2312" w:eastAsia="仿宋_GB2312" w:cs="仿宋_GB2312"/>
                <w:color w:val="auto"/>
                <w:sz w:val="24"/>
                <w:highlight w:val="none"/>
                <w:lang w:eastAsia="zh-CN"/>
              </w:rPr>
              <w:t>”</w:t>
            </w:r>
            <w:r>
              <w:rPr>
                <w:rFonts w:hint="eastAsia" w:ascii="仿宋_GB2312" w:hAnsi="仿宋_GB2312" w:eastAsia="仿宋_GB2312" w:cs="仿宋_GB2312"/>
                <w:color w:val="auto"/>
                <w:sz w:val="24"/>
                <w:highlight w:val="none"/>
              </w:rPr>
              <w:t>的职业操守，形成成本控制与风险防范意识（如应收账款管理），建立终身学习理念（跟踪新收入准则等政策变化）。</w:t>
            </w:r>
          </w:p>
          <w:p>
            <w:pPr>
              <w:keepNext w:val="0"/>
              <w:keepLines w:val="0"/>
              <w:pageBreakBefore w:val="0"/>
              <w:widowControl w:val="0"/>
              <w:kinsoku/>
              <w:wordWrap/>
              <w:overflowPunct/>
              <w:topLinePunct w:val="0"/>
              <w:autoSpaceDE/>
              <w:autoSpaceDN/>
              <w:bidi w:val="0"/>
              <w:adjustRightInd/>
              <w:snapToGrid w:val="0"/>
              <w:spacing w:after="0" w:line="320" w:lineRule="exact"/>
              <w:jc w:val="both"/>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b/>
                <w:bCs/>
                <w:color w:val="auto"/>
                <w:sz w:val="24"/>
                <w:highlight w:val="none"/>
              </w:rPr>
              <w:t>‌课程思政育人目标</w:t>
            </w:r>
            <w:r>
              <w:rPr>
                <w:rFonts w:hint="eastAsia" w:ascii="仿宋_GB2312" w:hAnsi="仿宋_GB2312" w:eastAsia="仿宋_GB2312" w:cs="仿宋_GB2312"/>
                <w:b/>
                <w:bCs/>
                <w:color w:val="auto"/>
                <w:sz w:val="24"/>
                <w:highlight w:val="none"/>
                <w:lang w:eastAsia="zh-CN"/>
              </w:rPr>
              <w:t>：</w:t>
            </w:r>
            <w:r>
              <w:rPr>
                <w:rFonts w:hint="eastAsia" w:ascii="仿宋_GB2312" w:hAnsi="仿宋_GB2312" w:eastAsia="仿宋_GB2312" w:cs="仿宋_GB2312"/>
                <w:color w:val="auto"/>
                <w:sz w:val="24"/>
                <w:highlight w:val="none"/>
              </w:rPr>
              <w:t>‌将</w:t>
            </w:r>
            <w:r>
              <w:rPr>
                <w:rFonts w:hint="eastAsia" w:ascii="仿宋_GB2312" w:hAnsi="仿宋_GB2312" w:eastAsia="仿宋_GB2312" w:cs="仿宋_GB2312"/>
                <w:color w:val="auto"/>
                <w:sz w:val="24"/>
                <w:highlight w:val="none"/>
                <w:lang w:eastAsia="zh-CN"/>
              </w:rPr>
              <w:t>“</w:t>
            </w:r>
            <w:r>
              <w:rPr>
                <w:rFonts w:hint="eastAsia" w:ascii="仿宋_GB2312" w:hAnsi="仿宋_GB2312" w:eastAsia="仿宋_GB2312" w:cs="仿宋_GB2312"/>
                <w:color w:val="auto"/>
                <w:sz w:val="24"/>
                <w:highlight w:val="none"/>
              </w:rPr>
              <w:t>诚信为本</w:t>
            </w:r>
            <w:r>
              <w:rPr>
                <w:rFonts w:hint="eastAsia" w:ascii="仿宋_GB2312" w:hAnsi="仿宋_GB2312" w:eastAsia="仿宋_GB2312" w:cs="仿宋_GB2312"/>
                <w:color w:val="auto"/>
                <w:sz w:val="24"/>
                <w:highlight w:val="none"/>
                <w:lang w:eastAsia="zh-CN"/>
              </w:rPr>
              <w:t>”</w:t>
            </w:r>
            <w:r>
              <w:rPr>
                <w:rFonts w:hint="eastAsia" w:ascii="仿宋_GB2312" w:hAnsi="仿宋_GB2312" w:eastAsia="仿宋_GB2312" w:cs="仿宋_GB2312"/>
                <w:color w:val="auto"/>
                <w:sz w:val="24"/>
                <w:highlight w:val="none"/>
              </w:rPr>
              <w:t>的会计职业道德与社会主义核心价值观深度结合，通过康美药业等案例强化法治意识，结合乡村振兴政策讲解涉农企业会计核算，培育学生</w:t>
            </w:r>
            <w:r>
              <w:rPr>
                <w:rFonts w:hint="eastAsia" w:ascii="仿宋_GB2312" w:hAnsi="仿宋_GB2312" w:eastAsia="仿宋_GB2312" w:cs="仿宋_GB2312"/>
                <w:color w:val="auto"/>
                <w:sz w:val="24"/>
                <w:highlight w:val="none"/>
                <w:lang w:eastAsia="zh-CN"/>
              </w:rPr>
              <w:t>“</w:t>
            </w:r>
            <w:r>
              <w:rPr>
                <w:rFonts w:hint="eastAsia" w:ascii="仿宋_GB2312" w:hAnsi="仿宋_GB2312" w:eastAsia="仿宋_GB2312" w:cs="仿宋_GB2312"/>
                <w:color w:val="auto"/>
                <w:sz w:val="24"/>
                <w:highlight w:val="none"/>
              </w:rPr>
              <w:t>不做假账</w:t>
            </w:r>
            <w:r>
              <w:rPr>
                <w:rFonts w:hint="eastAsia" w:ascii="仿宋_GB2312" w:hAnsi="仿宋_GB2312" w:eastAsia="仿宋_GB2312" w:cs="仿宋_GB2312"/>
                <w:color w:val="auto"/>
                <w:sz w:val="24"/>
                <w:highlight w:val="none"/>
                <w:lang w:eastAsia="zh-CN"/>
              </w:rPr>
              <w:t>”</w:t>
            </w:r>
            <w:r>
              <w:rPr>
                <w:rFonts w:hint="eastAsia" w:ascii="仿宋_GB2312" w:hAnsi="仿宋_GB2312" w:eastAsia="仿宋_GB2312" w:cs="仿宋_GB2312"/>
                <w:color w:val="auto"/>
                <w:sz w:val="24"/>
                <w:highlight w:val="none"/>
              </w:rPr>
              <w:t>的职业底线，树立</w:t>
            </w:r>
            <w:r>
              <w:rPr>
                <w:rFonts w:hint="eastAsia" w:ascii="仿宋_GB2312" w:hAnsi="仿宋_GB2312" w:eastAsia="仿宋_GB2312" w:cs="仿宋_GB2312"/>
                <w:color w:val="auto"/>
                <w:sz w:val="24"/>
                <w:highlight w:val="none"/>
                <w:lang w:eastAsia="zh-CN"/>
              </w:rPr>
              <w:t>“</w:t>
            </w:r>
            <w:r>
              <w:rPr>
                <w:rFonts w:hint="eastAsia" w:ascii="仿宋_GB2312" w:hAnsi="仿宋_GB2312" w:eastAsia="仿宋_GB2312" w:cs="仿宋_GB2312"/>
                <w:color w:val="auto"/>
                <w:sz w:val="24"/>
                <w:highlight w:val="none"/>
              </w:rPr>
              <w:t>经济卫士</w:t>
            </w:r>
            <w:r>
              <w:rPr>
                <w:rFonts w:hint="eastAsia" w:ascii="仿宋_GB2312" w:hAnsi="仿宋_GB2312" w:eastAsia="仿宋_GB2312" w:cs="仿宋_GB2312"/>
                <w:color w:val="auto"/>
                <w:sz w:val="24"/>
                <w:highlight w:val="none"/>
                <w:lang w:eastAsia="zh-CN"/>
              </w:rPr>
              <w:t>”</w:t>
            </w:r>
            <w:r>
              <w:rPr>
                <w:rFonts w:hint="eastAsia" w:ascii="仿宋_GB2312" w:hAnsi="仿宋_GB2312" w:eastAsia="仿宋_GB2312" w:cs="仿宋_GB2312"/>
                <w:color w:val="auto"/>
                <w:sz w:val="24"/>
                <w:highlight w:val="none"/>
              </w:rPr>
              <w:t>的责任担当，引导其将专业能力服务于实体经济高质量发展。</w:t>
            </w:r>
          </w:p>
        </w:tc>
        <w:tc>
          <w:tcPr>
            <w:tcW w:w="2464" w:type="dxa"/>
            <w:vAlign w:val="top"/>
          </w:tcPr>
          <w:p>
            <w:pPr>
              <w:keepNext w:val="0"/>
              <w:keepLines w:val="0"/>
              <w:pageBreakBefore w:val="0"/>
              <w:widowControl w:val="0"/>
              <w:kinsoku/>
              <w:wordWrap/>
              <w:overflowPunct w:val="0"/>
              <w:topLinePunct w:val="0"/>
              <w:autoSpaceDE/>
              <w:autoSpaceDN/>
              <w:bidi w:val="0"/>
              <w:adjustRightInd w:val="0"/>
              <w:snapToGrid/>
              <w:spacing w:line="360" w:lineRule="atLeast"/>
              <w:jc w:val="both"/>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kern w:val="2"/>
                <w:sz w:val="24"/>
                <w:szCs w:val="24"/>
                <w:highlight w:val="none"/>
                <w:lang w:val="en-US" w:eastAsia="zh-CN" w:bidi="ar-SA"/>
              </w:rPr>
              <w:t>学习内容大体包括六大会计要素，会计恒等式，会计科目表，会计账户，六大会计要素，会计恒等式，会计科目表，会计账户 ，资金筹集业务的核算，采购过程的业务核算，生产过程的业务核算，销售过程的业务核算，利润形成与分配的核算，资金退出的业务核算，会计账簿的类别，会计账簿登记与保管的相关要求，对账和结账，会计报表及资产负债表的编制，利润表的编制。</w:t>
            </w:r>
          </w:p>
        </w:tc>
        <w:tc>
          <w:tcPr>
            <w:tcW w:w="2247" w:type="dxa"/>
            <w:vAlign w:val="top"/>
          </w:tcPr>
          <w:p>
            <w:pPr>
              <w:keepNext w:val="0"/>
              <w:keepLines w:val="0"/>
              <w:pageBreakBefore w:val="0"/>
              <w:widowControl w:val="0"/>
              <w:kinsoku/>
              <w:wordWrap/>
              <w:overflowPunct/>
              <w:topLinePunct w:val="0"/>
              <w:autoSpaceDE/>
              <w:autoSpaceDN/>
              <w:bidi w:val="0"/>
              <w:adjustRightInd/>
              <w:snapToGrid/>
              <w:spacing w:line="360" w:lineRule="atLeast"/>
              <w:jc w:val="both"/>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kern w:val="2"/>
                <w:sz w:val="24"/>
                <w:szCs w:val="24"/>
                <w:highlight w:val="none"/>
                <w:vertAlign w:val="baseline"/>
                <w:lang w:val="en-US" w:eastAsia="zh-CN" w:bidi="ar-SA"/>
              </w:rPr>
              <w:t>通过课</w:t>
            </w:r>
            <w:r>
              <w:rPr>
                <w:rFonts w:hint="eastAsia" w:ascii="仿宋_GB2312" w:hAnsi="仿宋_GB2312" w:eastAsia="仿宋_GB2312" w:cs="仿宋_GB2312"/>
                <w:color w:val="auto"/>
                <w:kern w:val="2"/>
                <w:sz w:val="24"/>
                <w:szCs w:val="24"/>
                <w:highlight w:val="none"/>
                <w:lang w:val="en-US" w:eastAsia="zh-CN" w:bidi="ar-SA"/>
              </w:rPr>
              <w:t>堂讲授，系统地讲解会计学原理的基本理论、方法和技能。结合实际案例，引导学生分析会计问题，加深对会计理论的理解和应用。通过实验课，让学生亲手操作会计凭证、账簿和报表的编制，提高实际操作能</w:t>
            </w:r>
            <w:r>
              <w:rPr>
                <w:rFonts w:hint="eastAsia" w:ascii="仿宋_GB2312" w:hAnsi="仿宋_GB2312" w:eastAsia="仿宋_GB2312" w:cs="仿宋_GB2312"/>
                <w:color w:val="auto"/>
                <w:kern w:val="2"/>
                <w:sz w:val="24"/>
                <w:szCs w:val="24"/>
                <w:highlight w:val="none"/>
                <w:vertAlign w:val="baseline"/>
                <w:lang w:val="en-US" w:eastAsia="zh-CN" w:bidi="ar-SA"/>
              </w:rPr>
              <w:t>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5"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仿宋_GB2312" w:hAnsi="仿宋_GB2312" w:eastAsia="仿宋_GB2312" w:cs="仿宋_GB2312"/>
                <w:color w:val="auto"/>
                <w:sz w:val="24"/>
                <w:highlight w:val="none"/>
                <w:lang w:val="en-US" w:eastAsia="zh-CN"/>
              </w:rPr>
            </w:pPr>
            <w:r>
              <w:rPr>
                <w:rFonts w:hint="eastAsia" w:ascii="仿宋_GB2312" w:hAnsi="仿宋_GB2312" w:eastAsia="仿宋_GB2312" w:cs="仿宋_GB2312"/>
                <w:color w:val="auto"/>
                <w:sz w:val="24"/>
                <w:highlight w:val="none"/>
                <w:lang w:val="en-US" w:eastAsia="zh-CN"/>
              </w:rPr>
              <w:t>4</w:t>
            </w:r>
          </w:p>
        </w:tc>
        <w:tc>
          <w:tcPr>
            <w:tcW w:w="896" w:type="dxa"/>
            <w:vAlign w:val="center"/>
          </w:tcPr>
          <w:p>
            <w:pPr>
              <w:keepNext w:val="0"/>
              <w:keepLines w:val="0"/>
              <w:pageBreakBefore w:val="0"/>
              <w:widowControl w:val="0"/>
              <w:kinsoku/>
              <w:wordWrap/>
              <w:overflowPunct w:val="0"/>
              <w:topLinePunct w:val="0"/>
              <w:autoSpaceDE/>
              <w:autoSpaceDN/>
              <w:bidi w:val="0"/>
              <w:adjustRightInd w:val="0"/>
              <w:snapToGrid/>
              <w:spacing w:line="360" w:lineRule="atLeast"/>
              <w:jc w:val="center"/>
              <w:textAlignment w:val="auto"/>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color w:val="auto"/>
                <w:sz w:val="24"/>
                <w:szCs w:val="24"/>
                <w:highlight w:val="none"/>
                <w:lang w:val="en-US" w:eastAsia="zh-CN"/>
              </w:rPr>
              <w:t>跨境电商基础</w:t>
            </w:r>
          </w:p>
        </w:tc>
        <w:tc>
          <w:tcPr>
            <w:tcW w:w="4201" w:type="dxa"/>
            <w:vAlign w:val="top"/>
          </w:tcPr>
          <w:p>
            <w:pPr>
              <w:keepNext w:val="0"/>
              <w:keepLines w:val="0"/>
              <w:pageBreakBefore w:val="0"/>
              <w:widowControl w:val="0"/>
              <w:kinsoku/>
              <w:wordWrap/>
              <w:overflowPunct/>
              <w:topLinePunct w:val="0"/>
              <w:autoSpaceDE/>
              <w:autoSpaceDN/>
              <w:bidi w:val="0"/>
              <w:adjustRightInd/>
              <w:snapToGrid w:val="0"/>
              <w:spacing w:after="0" w:line="320" w:lineRule="exact"/>
              <w:jc w:val="both"/>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b/>
                <w:bCs/>
                <w:color w:val="auto"/>
                <w:sz w:val="24"/>
                <w:highlight w:val="none"/>
              </w:rPr>
              <w:t>‌知识目标‌</w:t>
            </w:r>
            <w:r>
              <w:rPr>
                <w:rFonts w:hint="eastAsia" w:ascii="仿宋_GB2312" w:hAnsi="仿宋_GB2312" w:eastAsia="仿宋_GB2312" w:cs="仿宋_GB2312"/>
                <w:b/>
                <w:bCs/>
                <w:color w:val="auto"/>
                <w:sz w:val="24"/>
                <w:highlight w:val="none"/>
                <w:lang w:eastAsia="zh-CN"/>
              </w:rPr>
              <w:t>：</w:t>
            </w:r>
            <w:r>
              <w:rPr>
                <w:rFonts w:hint="eastAsia" w:ascii="仿宋_GB2312" w:hAnsi="仿宋_GB2312" w:eastAsia="仿宋_GB2312" w:cs="仿宋_GB2312"/>
                <w:color w:val="auto"/>
                <w:sz w:val="24"/>
                <w:highlight w:val="none"/>
              </w:rPr>
              <w:t>系统掌握跨境电商核心理论（如平台运营逻辑、跨境支付体系）、国际贸易规则（RCEP原产地规则）及数字贸易新业态（社交电商、直播带货），熟悉主流跨境电商平台（亚马逊、速卖通、TikTok Shop）的运营机制，理解跨境物流（海外仓布局、国际快递计费）、跨境税务（VAT申报）及知识产权保护等关键环节的操作规范。</w:t>
            </w:r>
          </w:p>
          <w:p>
            <w:pPr>
              <w:keepNext w:val="0"/>
              <w:keepLines w:val="0"/>
              <w:pageBreakBefore w:val="0"/>
              <w:widowControl w:val="0"/>
              <w:kinsoku/>
              <w:wordWrap/>
              <w:overflowPunct/>
              <w:topLinePunct w:val="0"/>
              <w:autoSpaceDE/>
              <w:autoSpaceDN/>
              <w:bidi w:val="0"/>
              <w:adjustRightInd/>
              <w:snapToGrid w:val="0"/>
              <w:spacing w:after="0" w:line="320" w:lineRule="exact"/>
              <w:jc w:val="both"/>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b/>
                <w:bCs/>
                <w:color w:val="auto"/>
                <w:sz w:val="24"/>
                <w:highlight w:val="none"/>
              </w:rPr>
              <w:t>‌能力目标‌</w:t>
            </w:r>
            <w:r>
              <w:rPr>
                <w:rFonts w:hint="eastAsia" w:ascii="仿宋_GB2312" w:hAnsi="仿宋_GB2312" w:eastAsia="仿宋_GB2312" w:cs="仿宋_GB2312"/>
                <w:b/>
                <w:bCs/>
                <w:color w:val="auto"/>
                <w:sz w:val="24"/>
                <w:highlight w:val="none"/>
                <w:lang w:eastAsia="zh-CN"/>
              </w:rPr>
              <w:t>：</w:t>
            </w:r>
            <w:r>
              <w:rPr>
                <w:rFonts w:hint="eastAsia" w:ascii="仿宋_GB2312" w:hAnsi="仿宋_GB2312" w:eastAsia="仿宋_GB2312" w:cs="仿宋_GB2312"/>
                <w:color w:val="auto"/>
                <w:sz w:val="24"/>
                <w:highlight w:val="none"/>
              </w:rPr>
              <w:t>具备跨境电商选品分析（通过Google Trends、Jungle Scout等工具）、Listing优化（关键词SEO、多语言文案撰写）、海外营销推广（Facebook广告投放、KOL合作）等实操技能，能独立完成从店铺注册到订单履约的全流程操作，掌握跨境纠纷处理（如退换货流程）和汇率风险管理（远期结汇工具应用）等应急能力。</w:t>
            </w:r>
          </w:p>
          <w:p>
            <w:pPr>
              <w:keepNext w:val="0"/>
              <w:keepLines w:val="0"/>
              <w:pageBreakBefore w:val="0"/>
              <w:widowControl w:val="0"/>
              <w:kinsoku/>
              <w:wordWrap/>
              <w:overflowPunct/>
              <w:topLinePunct w:val="0"/>
              <w:autoSpaceDE/>
              <w:autoSpaceDN/>
              <w:bidi w:val="0"/>
              <w:adjustRightInd/>
              <w:snapToGrid w:val="0"/>
              <w:spacing w:after="0" w:line="320" w:lineRule="exact"/>
              <w:jc w:val="both"/>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b/>
                <w:bCs/>
                <w:color w:val="auto"/>
                <w:sz w:val="24"/>
                <w:highlight w:val="none"/>
              </w:rPr>
              <w:t>‌素质目标</w:t>
            </w:r>
            <w:r>
              <w:rPr>
                <w:rFonts w:hint="eastAsia" w:ascii="仿宋_GB2312" w:hAnsi="仿宋_GB2312" w:eastAsia="仿宋_GB2312" w:cs="仿宋_GB2312"/>
                <w:b/>
                <w:bCs/>
                <w:color w:val="auto"/>
                <w:sz w:val="24"/>
                <w:highlight w:val="none"/>
                <w:lang w:eastAsia="zh-CN"/>
              </w:rPr>
              <w:t>：</w:t>
            </w:r>
            <w:r>
              <w:rPr>
                <w:rFonts w:hint="eastAsia" w:ascii="仿宋_GB2312" w:hAnsi="仿宋_GB2312" w:eastAsia="仿宋_GB2312" w:cs="仿宋_GB2312"/>
                <w:color w:val="auto"/>
                <w:sz w:val="24"/>
                <w:highlight w:val="none"/>
              </w:rPr>
              <w:t>‌培养跨文化沟通意识（尊重不同国家消费习惯）、数据驱动思维（通过Shopify Analytics优化运营）、合规经营意识（熟悉《电子商务法》跨境条款），养成快速学习能力（适应平台算法更新）、抗压能力（应对时差作业）和团队协作精神（跨部门协同完成大促活动）。</w:t>
            </w:r>
          </w:p>
          <w:p>
            <w:pPr>
              <w:keepNext w:val="0"/>
              <w:keepLines w:val="0"/>
              <w:pageBreakBefore w:val="0"/>
              <w:widowControl w:val="0"/>
              <w:kinsoku/>
              <w:wordWrap/>
              <w:overflowPunct/>
              <w:topLinePunct w:val="0"/>
              <w:autoSpaceDE/>
              <w:autoSpaceDN/>
              <w:bidi w:val="0"/>
              <w:adjustRightInd/>
              <w:snapToGrid w:val="0"/>
              <w:spacing w:after="0" w:line="320" w:lineRule="exact"/>
              <w:jc w:val="both"/>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b/>
                <w:bCs/>
                <w:color w:val="auto"/>
                <w:sz w:val="24"/>
                <w:highlight w:val="none"/>
              </w:rPr>
              <w:t>‌课程思政育人目标</w:t>
            </w:r>
            <w:r>
              <w:rPr>
                <w:rFonts w:hint="eastAsia" w:ascii="仿宋_GB2312" w:hAnsi="仿宋_GB2312" w:eastAsia="仿宋_GB2312" w:cs="仿宋_GB2312"/>
                <w:b/>
                <w:bCs/>
                <w:color w:val="auto"/>
                <w:sz w:val="24"/>
                <w:highlight w:val="none"/>
                <w:lang w:eastAsia="zh-CN"/>
              </w:rPr>
              <w:t>：</w:t>
            </w:r>
            <w:r>
              <w:rPr>
                <w:rFonts w:hint="eastAsia" w:ascii="仿宋_GB2312" w:hAnsi="仿宋_GB2312" w:eastAsia="仿宋_GB2312" w:cs="仿宋_GB2312"/>
                <w:color w:val="auto"/>
                <w:sz w:val="24"/>
                <w:highlight w:val="none"/>
              </w:rPr>
              <w:t>将</w:t>
            </w:r>
            <w:r>
              <w:rPr>
                <w:rFonts w:hint="eastAsia" w:ascii="仿宋_GB2312" w:hAnsi="仿宋_GB2312" w:eastAsia="仿宋_GB2312" w:cs="仿宋_GB2312"/>
                <w:color w:val="auto"/>
                <w:sz w:val="24"/>
                <w:highlight w:val="none"/>
                <w:lang w:eastAsia="zh-CN"/>
              </w:rPr>
              <w:t>“</w:t>
            </w:r>
            <w:r>
              <w:rPr>
                <w:rFonts w:hint="eastAsia" w:ascii="仿宋_GB2312" w:hAnsi="仿宋_GB2312" w:eastAsia="仿宋_GB2312" w:cs="仿宋_GB2312"/>
                <w:color w:val="auto"/>
                <w:sz w:val="24"/>
                <w:highlight w:val="none"/>
              </w:rPr>
              <w:t>数字中国</w:t>
            </w:r>
            <w:r>
              <w:rPr>
                <w:rFonts w:hint="eastAsia" w:ascii="仿宋_GB2312" w:hAnsi="仿宋_GB2312" w:eastAsia="仿宋_GB2312" w:cs="仿宋_GB2312"/>
                <w:color w:val="auto"/>
                <w:sz w:val="24"/>
                <w:highlight w:val="none"/>
                <w:lang w:eastAsia="zh-CN"/>
              </w:rPr>
              <w:t>”“</w:t>
            </w:r>
            <w:r>
              <w:rPr>
                <w:rFonts w:hint="eastAsia" w:ascii="仿宋_GB2312" w:hAnsi="仿宋_GB2312" w:eastAsia="仿宋_GB2312" w:cs="仿宋_GB2312"/>
                <w:color w:val="auto"/>
                <w:sz w:val="24"/>
                <w:highlight w:val="none"/>
              </w:rPr>
              <w:t>一带一路</w:t>
            </w:r>
            <w:r>
              <w:rPr>
                <w:rFonts w:hint="eastAsia" w:ascii="仿宋_GB2312" w:hAnsi="仿宋_GB2312" w:eastAsia="仿宋_GB2312" w:cs="仿宋_GB2312"/>
                <w:color w:val="auto"/>
                <w:sz w:val="24"/>
                <w:highlight w:val="none"/>
                <w:lang w:eastAsia="zh-CN"/>
              </w:rPr>
              <w:t>”</w:t>
            </w:r>
            <w:r>
              <w:rPr>
                <w:rFonts w:hint="eastAsia" w:ascii="仿宋_GB2312" w:hAnsi="仿宋_GB2312" w:eastAsia="仿宋_GB2312" w:cs="仿宋_GB2312"/>
                <w:color w:val="auto"/>
                <w:sz w:val="24"/>
                <w:highlight w:val="none"/>
              </w:rPr>
              <w:t>倡议融入教学，通过中国品牌出海案例（如SHEXIN全球化战略）增强文化自信，结合数据安全法讲解跨境信息合规管理，培育学生</w:t>
            </w:r>
            <w:r>
              <w:rPr>
                <w:rFonts w:hint="eastAsia" w:ascii="仿宋_GB2312" w:hAnsi="仿宋_GB2312" w:eastAsia="仿宋_GB2312" w:cs="仿宋_GB2312"/>
                <w:color w:val="auto"/>
                <w:sz w:val="24"/>
                <w:highlight w:val="none"/>
                <w:lang w:eastAsia="zh-CN"/>
              </w:rPr>
              <w:t>“</w:t>
            </w:r>
            <w:r>
              <w:rPr>
                <w:rFonts w:hint="eastAsia" w:ascii="仿宋_GB2312" w:hAnsi="仿宋_GB2312" w:eastAsia="仿宋_GB2312" w:cs="仿宋_GB2312"/>
                <w:color w:val="auto"/>
                <w:sz w:val="24"/>
                <w:highlight w:val="none"/>
              </w:rPr>
              <w:t>讲好中国故事</w:t>
            </w:r>
            <w:r>
              <w:rPr>
                <w:rFonts w:hint="eastAsia" w:ascii="仿宋_GB2312" w:hAnsi="仿宋_GB2312" w:eastAsia="仿宋_GB2312" w:cs="仿宋_GB2312"/>
                <w:color w:val="auto"/>
                <w:sz w:val="24"/>
                <w:highlight w:val="none"/>
                <w:lang w:eastAsia="zh-CN"/>
              </w:rPr>
              <w:t>”</w:t>
            </w:r>
            <w:r>
              <w:rPr>
                <w:rFonts w:hint="eastAsia" w:ascii="仿宋_GB2312" w:hAnsi="仿宋_GB2312" w:eastAsia="仿宋_GB2312" w:cs="仿宋_GB2312"/>
                <w:color w:val="auto"/>
                <w:sz w:val="24"/>
                <w:highlight w:val="none"/>
              </w:rPr>
              <w:t>的国际视野，树立</w:t>
            </w:r>
            <w:r>
              <w:rPr>
                <w:rFonts w:hint="eastAsia" w:ascii="仿宋_GB2312" w:hAnsi="仿宋_GB2312" w:eastAsia="仿宋_GB2312" w:cs="仿宋_GB2312"/>
                <w:color w:val="auto"/>
                <w:sz w:val="24"/>
                <w:highlight w:val="none"/>
                <w:lang w:eastAsia="zh-CN"/>
              </w:rPr>
              <w:t>“</w:t>
            </w:r>
            <w:r>
              <w:rPr>
                <w:rFonts w:hint="eastAsia" w:ascii="仿宋_GB2312" w:hAnsi="仿宋_GB2312" w:eastAsia="仿宋_GB2312" w:cs="仿宋_GB2312"/>
                <w:color w:val="auto"/>
                <w:sz w:val="24"/>
                <w:highlight w:val="none"/>
              </w:rPr>
              <w:t>卖全球</w:t>
            </w:r>
            <w:r>
              <w:rPr>
                <w:rFonts w:hint="eastAsia" w:ascii="仿宋_GB2312" w:hAnsi="仿宋_GB2312" w:eastAsia="仿宋_GB2312" w:cs="仿宋_GB2312"/>
                <w:color w:val="auto"/>
                <w:sz w:val="24"/>
                <w:highlight w:val="none"/>
                <w:lang w:eastAsia="zh-CN"/>
              </w:rPr>
              <w:t>”</w:t>
            </w:r>
            <w:r>
              <w:rPr>
                <w:rFonts w:hint="eastAsia" w:ascii="仿宋_GB2312" w:hAnsi="仿宋_GB2312" w:eastAsia="仿宋_GB2312" w:cs="仿宋_GB2312"/>
                <w:color w:val="auto"/>
                <w:sz w:val="24"/>
                <w:highlight w:val="none"/>
              </w:rPr>
              <w:t>与</w:t>
            </w:r>
            <w:r>
              <w:rPr>
                <w:rFonts w:hint="eastAsia" w:ascii="仿宋_GB2312" w:hAnsi="仿宋_GB2312" w:eastAsia="仿宋_GB2312" w:cs="仿宋_GB2312"/>
                <w:color w:val="auto"/>
                <w:sz w:val="24"/>
                <w:highlight w:val="none"/>
                <w:lang w:eastAsia="zh-CN"/>
              </w:rPr>
              <w:t>“</w:t>
            </w:r>
            <w:r>
              <w:rPr>
                <w:rFonts w:hint="eastAsia" w:ascii="仿宋_GB2312" w:hAnsi="仿宋_GB2312" w:eastAsia="仿宋_GB2312" w:cs="仿宋_GB2312"/>
                <w:color w:val="auto"/>
                <w:sz w:val="24"/>
                <w:highlight w:val="none"/>
              </w:rPr>
              <w:t>服务全球</w:t>
            </w:r>
            <w:r>
              <w:rPr>
                <w:rFonts w:hint="eastAsia" w:ascii="仿宋_GB2312" w:hAnsi="仿宋_GB2312" w:eastAsia="仿宋_GB2312" w:cs="仿宋_GB2312"/>
                <w:color w:val="auto"/>
                <w:sz w:val="24"/>
                <w:highlight w:val="none"/>
                <w:lang w:eastAsia="zh-CN"/>
              </w:rPr>
              <w:t>”</w:t>
            </w:r>
            <w:r>
              <w:rPr>
                <w:rFonts w:hint="eastAsia" w:ascii="仿宋_GB2312" w:hAnsi="仿宋_GB2312" w:eastAsia="仿宋_GB2312" w:cs="仿宋_GB2312"/>
                <w:color w:val="auto"/>
                <w:sz w:val="24"/>
                <w:highlight w:val="none"/>
              </w:rPr>
              <w:t>并重的职业价值观，引导其成为数字经济时代的新型外贸人才。</w:t>
            </w:r>
          </w:p>
        </w:tc>
        <w:tc>
          <w:tcPr>
            <w:tcW w:w="2464" w:type="dxa"/>
            <w:vAlign w:val="top"/>
          </w:tcPr>
          <w:p>
            <w:pPr>
              <w:keepNext w:val="0"/>
              <w:keepLines w:val="0"/>
              <w:pageBreakBefore w:val="0"/>
              <w:widowControl w:val="0"/>
              <w:kinsoku/>
              <w:wordWrap/>
              <w:overflowPunct w:val="0"/>
              <w:topLinePunct w:val="0"/>
              <w:autoSpaceDE/>
              <w:autoSpaceDN/>
              <w:bidi w:val="0"/>
              <w:adjustRightInd w:val="0"/>
              <w:snapToGrid/>
              <w:spacing w:line="360" w:lineRule="atLeast"/>
              <w:jc w:val="both"/>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szCs w:val="24"/>
                <w:highlight w:val="none"/>
                <w:lang w:val="en-US" w:eastAsia="zh-CN"/>
              </w:rPr>
              <w:t>学习内容大体包括电子商务概述，电子商务技术基础，跨境电商概述，概念、分类、与传统国际贸易的异同；平台规则与政策，主流平台入驻流程、收费模式及国家政策解读‌；行业生态链，物流、支付、营销、数据分析等环节的理论基础‌。</w:t>
            </w:r>
          </w:p>
        </w:tc>
        <w:tc>
          <w:tcPr>
            <w:tcW w:w="2247" w:type="dxa"/>
            <w:vAlign w:val="top"/>
          </w:tcPr>
          <w:p>
            <w:pPr>
              <w:keepNext w:val="0"/>
              <w:keepLines w:val="0"/>
              <w:pageBreakBefore w:val="0"/>
              <w:widowControl w:val="0"/>
              <w:kinsoku/>
              <w:wordWrap/>
              <w:overflowPunct/>
              <w:topLinePunct w:val="0"/>
              <w:autoSpaceDE/>
              <w:autoSpaceDN/>
              <w:bidi w:val="0"/>
              <w:adjustRightInd/>
              <w:snapToGrid/>
              <w:spacing w:line="360" w:lineRule="atLeast"/>
              <w:jc w:val="both"/>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kern w:val="2"/>
                <w:sz w:val="24"/>
                <w:szCs w:val="24"/>
                <w:highlight w:val="none"/>
                <w:vertAlign w:val="baseline"/>
                <w:lang w:val="en-US" w:eastAsia="zh-CN" w:bidi="ar-SA"/>
              </w:rPr>
              <w:t>通过实际案例分析，引导学生将理论知识应用于解决现实问题，培养解决问题的能力。组织学生参与跨境电商项目实训，如在线商店建设、网络营销策划、跨境电商运营等，提升学生的实战能力。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5"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仿宋_GB2312" w:hAnsi="仿宋_GB2312" w:eastAsia="仿宋_GB2312" w:cs="仿宋_GB2312"/>
                <w:color w:val="auto"/>
                <w:sz w:val="24"/>
                <w:highlight w:val="none"/>
                <w:lang w:val="en-US" w:eastAsia="zh-CN"/>
              </w:rPr>
            </w:pPr>
            <w:r>
              <w:rPr>
                <w:rFonts w:hint="eastAsia" w:ascii="仿宋_GB2312" w:hAnsi="仿宋_GB2312" w:eastAsia="仿宋_GB2312" w:cs="仿宋_GB2312"/>
                <w:color w:val="auto"/>
                <w:sz w:val="24"/>
                <w:highlight w:val="none"/>
                <w:lang w:val="en-US" w:eastAsia="zh-CN"/>
              </w:rPr>
              <w:t>5</w:t>
            </w:r>
          </w:p>
        </w:tc>
        <w:tc>
          <w:tcPr>
            <w:tcW w:w="896" w:type="dxa"/>
            <w:vAlign w:val="center"/>
          </w:tcPr>
          <w:p>
            <w:pPr>
              <w:keepNext w:val="0"/>
              <w:keepLines w:val="0"/>
              <w:pageBreakBefore w:val="0"/>
              <w:widowControl w:val="0"/>
              <w:kinsoku/>
              <w:wordWrap/>
              <w:overflowPunct w:val="0"/>
              <w:topLinePunct w:val="0"/>
              <w:autoSpaceDE/>
              <w:autoSpaceDN/>
              <w:bidi w:val="0"/>
              <w:adjustRightInd w:val="0"/>
              <w:snapToGrid/>
              <w:spacing w:line="360" w:lineRule="atLeast"/>
              <w:jc w:val="center"/>
              <w:textAlignment w:val="auto"/>
              <w:rPr>
                <w:rFonts w:hint="eastAsia" w:ascii="仿宋_GB2312" w:hAnsi="仿宋_GB2312" w:eastAsia="仿宋_GB2312" w:cs="仿宋_GB2312"/>
                <w:color w:val="auto"/>
                <w:sz w:val="24"/>
                <w:szCs w:val="24"/>
                <w:highlight w:val="none"/>
                <w:lang w:val="en-US" w:eastAsia="zh-CN"/>
              </w:rPr>
            </w:pPr>
          </w:p>
          <w:p>
            <w:pPr>
              <w:keepNext w:val="0"/>
              <w:keepLines w:val="0"/>
              <w:pageBreakBefore w:val="0"/>
              <w:widowControl w:val="0"/>
              <w:kinsoku/>
              <w:wordWrap/>
              <w:overflowPunct w:val="0"/>
              <w:topLinePunct w:val="0"/>
              <w:autoSpaceDE/>
              <w:autoSpaceDN/>
              <w:bidi w:val="0"/>
              <w:adjustRightInd w:val="0"/>
              <w:snapToGrid/>
              <w:spacing w:line="360" w:lineRule="atLeast"/>
              <w:jc w:val="center"/>
              <w:textAlignment w:val="auto"/>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color w:val="auto"/>
                <w:sz w:val="24"/>
                <w:szCs w:val="24"/>
                <w:highlight w:val="none"/>
                <w:lang w:val="en-US" w:eastAsia="zh-CN"/>
              </w:rPr>
              <w:t>外贸英语口 语</w:t>
            </w:r>
          </w:p>
        </w:tc>
        <w:tc>
          <w:tcPr>
            <w:tcW w:w="4201" w:type="dxa"/>
            <w:vAlign w:val="top"/>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b/>
                <w:bCs/>
                <w:color w:val="auto"/>
                <w:sz w:val="24"/>
                <w:highlight w:val="none"/>
              </w:rPr>
              <w:t>‌知识目标</w:t>
            </w:r>
            <w:r>
              <w:rPr>
                <w:rFonts w:hint="eastAsia" w:ascii="仿宋_GB2312" w:hAnsi="仿宋_GB2312" w:eastAsia="仿宋_GB2312" w:cs="仿宋_GB2312"/>
                <w:b/>
                <w:bCs/>
                <w:color w:val="auto"/>
                <w:sz w:val="24"/>
                <w:highlight w:val="none"/>
                <w:lang w:eastAsia="zh-CN"/>
              </w:rPr>
              <w:t>：</w:t>
            </w:r>
            <w:r>
              <w:rPr>
                <w:rFonts w:hint="eastAsia" w:ascii="仿宋_GB2312" w:hAnsi="仿宋_GB2312" w:eastAsia="仿宋_GB2312" w:cs="仿宋_GB2312"/>
                <w:color w:val="auto"/>
                <w:sz w:val="24"/>
                <w:highlight w:val="none"/>
              </w:rPr>
              <w:t>‌系统掌握外贸英语核心术语（如FOB、CIF价格条款）、国际贸易流程（询盘-发盘-还盘-签约）及商务礼仪规范（跨文化沟通禁忌），熟悉信用证（UCP600）、海运提单（Bill of Lading）等单证英文表述，理解WTO规则、RCEP原产地证书等国际经贸协议的英文框架，并能用专业术语完成产品说明、价格谈判等场景表达。</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b/>
                <w:bCs/>
                <w:color w:val="auto"/>
                <w:sz w:val="24"/>
                <w:highlight w:val="none"/>
              </w:rPr>
              <w:t>‌能力目标</w:t>
            </w:r>
            <w:r>
              <w:rPr>
                <w:rFonts w:hint="eastAsia" w:ascii="仿宋_GB2312" w:hAnsi="仿宋_GB2312" w:eastAsia="仿宋_GB2312" w:cs="仿宋_GB2312"/>
                <w:b/>
                <w:bCs/>
                <w:color w:val="auto"/>
                <w:sz w:val="24"/>
                <w:highlight w:val="none"/>
                <w:lang w:eastAsia="zh-CN"/>
              </w:rPr>
              <w:t>：</w:t>
            </w:r>
            <w:r>
              <w:rPr>
                <w:rFonts w:hint="eastAsia" w:ascii="仿宋_GB2312" w:hAnsi="仿宋_GB2312" w:eastAsia="仿宋_GB2312" w:cs="仿宋_GB2312"/>
                <w:color w:val="auto"/>
                <w:sz w:val="24"/>
                <w:highlight w:val="none"/>
              </w:rPr>
              <w:t>‌具备全流程外贸英语沟通能力（从开发信撰写到售后纠纷处理），能独立完成视频会议口译（如Zoom商务谈判）、即时消息回复（WhatsApp客户咨询）及展会现场接待（广交会情景模拟），掌握商务邮件写作（索赔函、投诉函）、报价单制作（Excel英文版本）等数字化工具应用，具备快速应对突发状况（如港口罢工导致的交货延期）的应变能力。</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b/>
                <w:bCs/>
                <w:color w:val="auto"/>
                <w:sz w:val="24"/>
                <w:highlight w:val="none"/>
              </w:rPr>
              <w:t>‌素质目标</w:t>
            </w:r>
            <w:r>
              <w:rPr>
                <w:rFonts w:hint="eastAsia" w:ascii="仿宋_GB2312" w:hAnsi="仿宋_GB2312" w:eastAsia="仿宋_GB2312" w:cs="仿宋_GB2312"/>
                <w:b/>
                <w:bCs/>
                <w:color w:val="auto"/>
                <w:sz w:val="24"/>
                <w:highlight w:val="none"/>
                <w:lang w:eastAsia="zh-CN"/>
              </w:rPr>
              <w:t>：</w:t>
            </w:r>
            <w:r>
              <w:rPr>
                <w:rFonts w:hint="eastAsia" w:ascii="仿宋_GB2312" w:hAnsi="仿宋_GB2312" w:eastAsia="仿宋_GB2312" w:cs="仿宋_GB2312"/>
                <w:color w:val="auto"/>
                <w:sz w:val="24"/>
                <w:highlight w:val="none"/>
              </w:rPr>
              <w:t>‌培养跨文化敏感度（理解不同国家谈判风格）、时间管理意识（应对多时差沟通）、保密意识（保护客户商业信息），养成</w:t>
            </w:r>
            <w:r>
              <w:rPr>
                <w:rFonts w:hint="eastAsia" w:ascii="仿宋_GB2312" w:hAnsi="仿宋_GB2312" w:eastAsia="仿宋_GB2312" w:cs="仿宋_GB2312"/>
                <w:color w:val="auto"/>
                <w:sz w:val="24"/>
                <w:highlight w:val="none"/>
                <w:lang w:eastAsia="zh-CN"/>
              </w:rPr>
              <w:t>“</w:t>
            </w:r>
            <w:r>
              <w:rPr>
                <w:rFonts w:hint="eastAsia" w:ascii="仿宋_GB2312" w:hAnsi="仿宋_GB2312" w:eastAsia="仿宋_GB2312" w:cs="仿宋_GB2312"/>
                <w:color w:val="auto"/>
                <w:sz w:val="24"/>
                <w:highlight w:val="none"/>
              </w:rPr>
              <w:t>客户至上</w:t>
            </w:r>
            <w:r>
              <w:rPr>
                <w:rFonts w:hint="eastAsia" w:ascii="仿宋_GB2312" w:hAnsi="仿宋_GB2312" w:eastAsia="仿宋_GB2312" w:cs="仿宋_GB2312"/>
                <w:color w:val="auto"/>
                <w:sz w:val="24"/>
                <w:highlight w:val="none"/>
                <w:lang w:eastAsia="zh-CN"/>
              </w:rPr>
              <w:t>”</w:t>
            </w:r>
            <w:r>
              <w:rPr>
                <w:rFonts w:hint="eastAsia" w:ascii="仿宋_GB2312" w:hAnsi="仿宋_GB2312" w:eastAsia="仿宋_GB2312" w:cs="仿宋_GB2312"/>
                <w:color w:val="auto"/>
                <w:sz w:val="24"/>
                <w:highlight w:val="none"/>
              </w:rPr>
              <w:t>的服务理念（主动跟进询盘）、抗压能力（处理索赔争议）和终身学习习惯（跟踪跨境电商新术语），建立</w:t>
            </w:r>
            <w:r>
              <w:rPr>
                <w:rFonts w:hint="eastAsia" w:ascii="仿宋_GB2312" w:hAnsi="仿宋_GB2312" w:eastAsia="仿宋_GB2312" w:cs="仿宋_GB2312"/>
                <w:color w:val="auto"/>
                <w:sz w:val="24"/>
                <w:highlight w:val="none"/>
                <w:lang w:eastAsia="zh-CN"/>
              </w:rPr>
              <w:t>“</w:t>
            </w:r>
            <w:r>
              <w:rPr>
                <w:rFonts w:hint="eastAsia" w:ascii="仿宋_GB2312" w:hAnsi="仿宋_GB2312" w:eastAsia="仿宋_GB2312" w:cs="仿宋_GB2312"/>
                <w:color w:val="auto"/>
                <w:sz w:val="24"/>
                <w:highlight w:val="none"/>
              </w:rPr>
              <w:t>中国标准</w:t>
            </w:r>
            <w:r>
              <w:rPr>
                <w:rFonts w:hint="eastAsia" w:ascii="仿宋_GB2312" w:hAnsi="仿宋_GB2312" w:eastAsia="仿宋_GB2312" w:cs="仿宋_GB2312"/>
                <w:color w:val="auto"/>
                <w:sz w:val="24"/>
                <w:highlight w:val="none"/>
                <w:lang w:eastAsia="zh-CN"/>
              </w:rPr>
              <w:t>”</w:t>
            </w:r>
            <w:r>
              <w:rPr>
                <w:rFonts w:hint="eastAsia" w:ascii="仿宋_GB2312" w:hAnsi="仿宋_GB2312" w:eastAsia="仿宋_GB2312" w:cs="仿宋_GB2312"/>
                <w:color w:val="auto"/>
                <w:sz w:val="24"/>
                <w:highlight w:val="none"/>
              </w:rPr>
              <w:t>与</w:t>
            </w:r>
            <w:r>
              <w:rPr>
                <w:rFonts w:hint="eastAsia" w:ascii="仿宋_GB2312" w:hAnsi="仿宋_GB2312" w:eastAsia="仿宋_GB2312" w:cs="仿宋_GB2312"/>
                <w:color w:val="auto"/>
                <w:sz w:val="24"/>
                <w:highlight w:val="none"/>
                <w:lang w:eastAsia="zh-CN"/>
              </w:rPr>
              <w:t>“</w:t>
            </w:r>
            <w:r>
              <w:rPr>
                <w:rFonts w:hint="eastAsia" w:ascii="仿宋_GB2312" w:hAnsi="仿宋_GB2312" w:eastAsia="仿宋_GB2312" w:cs="仿宋_GB2312"/>
                <w:color w:val="auto"/>
                <w:sz w:val="24"/>
                <w:highlight w:val="none"/>
              </w:rPr>
              <w:t>国际规则</w:t>
            </w:r>
            <w:r>
              <w:rPr>
                <w:rFonts w:hint="eastAsia" w:ascii="仿宋_GB2312" w:hAnsi="仿宋_GB2312" w:eastAsia="仿宋_GB2312" w:cs="仿宋_GB2312"/>
                <w:color w:val="auto"/>
                <w:sz w:val="24"/>
                <w:highlight w:val="none"/>
                <w:lang w:eastAsia="zh-CN"/>
              </w:rPr>
              <w:t>”</w:t>
            </w:r>
            <w:r>
              <w:rPr>
                <w:rFonts w:hint="eastAsia" w:ascii="仿宋_GB2312" w:hAnsi="仿宋_GB2312" w:eastAsia="仿宋_GB2312" w:cs="仿宋_GB2312"/>
                <w:color w:val="auto"/>
                <w:sz w:val="24"/>
                <w:highlight w:val="none"/>
              </w:rPr>
              <w:t>对接的思维模式。</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b/>
                <w:bCs/>
                <w:color w:val="auto"/>
                <w:sz w:val="24"/>
                <w:highlight w:val="none"/>
              </w:rPr>
              <w:t>‌课程思政育人目标</w:t>
            </w:r>
            <w:r>
              <w:rPr>
                <w:rFonts w:hint="eastAsia" w:ascii="仿宋_GB2312" w:hAnsi="仿宋_GB2312" w:eastAsia="仿宋_GB2312" w:cs="仿宋_GB2312"/>
                <w:b/>
                <w:bCs/>
                <w:color w:val="auto"/>
                <w:sz w:val="24"/>
                <w:highlight w:val="none"/>
                <w:lang w:eastAsia="zh-CN"/>
              </w:rPr>
              <w:t>：</w:t>
            </w:r>
            <w:r>
              <w:rPr>
                <w:rFonts w:hint="eastAsia" w:ascii="仿宋_GB2312" w:hAnsi="仿宋_GB2312" w:eastAsia="仿宋_GB2312" w:cs="仿宋_GB2312"/>
                <w:color w:val="auto"/>
                <w:sz w:val="24"/>
                <w:highlight w:val="none"/>
              </w:rPr>
              <w:t>‌将</w:t>
            </w:r>
            <w:r>
              <w:rPr>
                <w:rFonts w:hint="eastAsia" w:ascii="仿宋_GB2312" w:hAnsi="仿宋_GB2312" w:eastAsia="仿宋_GB2312" w:cs="仿宋_GB2312"/>
                <w:color w:val="auto"/>
                <w:sz w:val="24"/>
                <w:highlight w:val="none"/>
                <w:lang w:eastAsia="zh-CN"/>
              </w:rPr>
              <w:t>“</w:t>
            </w:r>
            <w:r>
              <w:rPr>
                <w:rFonts w:hint="eastAsia" w:ascii="仿宋_GB2312" w:hAnsi="仿宋_GB2312" w:eastAsia="仿宋_GB2312" w:cs="仿宋_GB2312"/>
                <w:color w:val="auto"/>
                <w:sz w:val="24"/>
                <w:highlight w:val="none"/>
              </w:rPr>
              <w:t>人类命运共同体</w:t>
            </w:r>
            <w:r>
              <w:rPr>
                <w:rFonts w:hint="eastAsia" w:ascii="仿宋_GB2312" w:hAnsi="仿宋_GB2312" w:eastAsia="仿宋_GB2312" w:cs="仿宋_GB2312"/>
                <w:color w:val="auto"/>
                <w:sz w:val="24"/>
                <w:highlight w:val="none"/>
                <w:lang w:eastAsia="zh-CN"/>
              </w:rPr>
              <w:t>”</w:t>
            </w:r>
            <w:r>
              <w:rPr>
                <w:rFonts w:hint="eastAsia" w:ascii="仿宋_GB2312" w:hAnsi="仿宋_GB2312" w:eastAsia="仿宋_GB2312" w:cs="仿宋_GB2312"/>
                <w:color w:val="auto"/>
                <w:sz w:val="24"/>
                <w:highlight w:val="none"/>
              </w:rPr>
              <w:t>理念融入教学，通过</w:t>
            </w:r>
            <w:r>
              <w:rPr>
                <w:rFonts w:hint="eastAsia" w:ascii="仿宋_GB2312" w:hAnsi="仿宋_GB2312" w:eastAsia="仿宋_GB2312" w:cs="仿宋_GB2312"/>
                <w:color w:val="auto"/>
                <w:sz w:val="24"/>
                <w:highlight w:val="none"/>
                <w:lang w:eastAsia="zh-CN"/>
              </w:rPr>
              <w:t>“</w:t>
            </w:r>
            <w:r>
              <w:rPr>
                <w:rFonts w:hint="eastAsia" w:ascii="仿宋_GB2312" w:hAnsi="仿宋_GB2312" w:eastAsia="仿宋_GB2312" w:cs="仿宋_GB2312"/>
                <w:color w:val="auto"/>
                <w:sz w:val="24"/>
                <w:highlight w:val="none"/>
              </w:rPr>
              <w:t>一带一路</w:t>
            </w:r>
            <w:r>
              <w:rPr>
                <w:rFonts w:hint="eastAsia" w:ascii="仿宋_GB2312" w:hAnsi="仿宋_GB2312" w:eastAsia="仿宋_GB2312" w:cs="仿宋_GB2312"/>
                <w:color w:val="auto"/>
                <w:sz w:val="24"/>
                <w:highlight w:val="none"/>
                <w:lang w:eastAsia="zh-CN"/>
              </w:rPr>
              <w:t>”</w:t>
            </w:r>
            <w:r>
              <w:rPr>
                <w:rFonts w:hint="eastAsia" w:ascii="仿宋_GB2312" w:hAnsi="仿宋_GB2312" w:eastAsia="仿宋_GB2312" w:cs="仿宋_GB2312"/>
                <w:color w:val="auto"/>
                <w:sz w:val="24"/>
                <w:highlight w:val="none"/>
              </w:rPr>
              <w:t>项目案例（如中欧班列合作谈判）增强制度自信，结合数据安全法讲解跨境信息保密要求，培育学生</w:t>
            </w:r>
            <w:r>
              <w:rPr>
                <w:rFonts w:hint="eastAsia" w:ascii="仿宋_GB2312" w:hAnsi="仿宋_GB2312" w:eastAsia="仿宋_GB2312" w:cs="仿宋_GB2312"/>
                <w:color w:val="auto"/>
                <w:sz w:val="24"/>
                <w:highlight w:val="none"/>
                <w:lang w:eastAsia="zh-CN"/>
              </w:rPr>
              <w:t>“</w:t>
            </w:r>
            <w:r>
              <w:rPr>
                <w:rFonts w:hint="eastAsia" w:ascii="仿宋_GB2312" w:hAnsi="仿宋_GB2312" w:eastAsia="仿宋_GB2312" w:cs="仿宋_GB2312"/>
                <w:color w:val="auto"/>
                <w:sz w:val="24"/>
                <w:highlight w:val="none"/>
              </w:rPr>
              <w:t>用英语讲好中国故事</w:t>
            </w:r>
            <w:r>
              <w:rPr>
                <w:rFonts w:hint="eastAsia" w:ascii="仿宋_GB2312" w:hAnsi="仿宋_GB2312" w:eastAsia="仿宋_GB2312" w:cs="仿宋_GB2312"/>
                <w:color w:val="auto"/>
                <w:sz w:val="24"/>
                <w:highlight w:val="none"/>
                <w:lang w:eastAsia="zh-CN"/>
              </w:rPr>
              <w:t>”</w:t>
            </w:r>
            <w:r>
              <w:rPr>
                <w:rFonts w:hint="eastAsia" w:ascii="仿宋_GB2312" w:hAnsi="仿宋_GB2312" w:eastAsia="仿宋_GB2312" w:cs="仿宋_GB2312"/>
                <w:color w:val="auto"/>
                <w:sz w:val="24"/>
                <w:highlight w:val="none"/>
              </w:rPr>
              <w:t>的能力，树立</w:t>
            </w:r>
            <w:r>
              <w:rPr>
                <w:rFonts w:hint="eastAsia" w:ascii="仿宋_GB2312" w:hAnsi="仿宋_GB2312" w:eastAsia="仿宋_GB2312" w:cs="仿宋_GB2312"/>
                <w:color w:val="auto"/>
                <w:sz w:val="24"/>
                <w:highlight w:val="none"/>
                <w:lang w:eastAsia="zh-CN"/>
              </w:rPr>
              <w:t>“</w:t>
            </w:r>
            <w:r>
              <w:rPr>
                <w:rFonts w:hint="eastAsia" w:ascii="仿宋_GB2312" w:hAnsi="仿宋_GB2312" w:eastAsia="仿宋_GB2312" w:cs="仿宋_GB2312"/>
                <w:color w:val="auto"/>
                <w:sz w:val="24"/>
                <w:highlight w:val="none"/>
              </w:rPr>
              <w:t>链接全球</w:t>
            </w:r>
            <w:r>
              <w:rPr>
                <w:rFonts w:hint="eastAsia" w:ascii="仿宋_GB2312" w:hAnsi="仿宋_GB2312" w:eastAsia="仿宋_GB2312" w:cs="仿宋_GB2312"/>
                <w:color w:val="auto"/>
                <w:sz w:val="24"/>
                <w:highlight w:val="none"/>
                <w:lang w:eastAsia="zh-CN"/>
              </w:rPr>
              <w:t>”</w:t>
            </w:r>
            <w:r>
              <w:rPr>
                <w:rFonts w:hint="eastAsia" w:ascii="仿宋_GB2312" w:hAnsi="仿宋_GB2312" w:eastAsia="仿宋_GB2312" w:cs="仿宋_GB2312"/>
                <w:color w:val="auto"/>
                <w:sz w:val="24"/>
                <w:highlight w:val="none"/>
              </w:rPr>
              <w:t>与</w:t>
            </w:r>
            <w:r>
              <w:rPr>
                <w:rFonts w:hint="eastAsia" w:ascii="仿宋_GB2312" w:hAnsi="仿宋_GB2312" w:eastAsia="仿宋_GB2312" w:cs="仿宋_GB2312"/>
                <w:color w:val="auto"/>
                <w:sz w:val="24"/>
                <w:highlight w:val="none"/>
                <w:lang w:eastAsia="zh-CN"/>
              </w:rPr>
              <w:t>“</w:t>
            </w:r>
            <w:r>
              <w:rPr>
                <w:rFonts w:hint="eastAsia" w:ascii="仿宋_GB2312" w:hAnsi="仿宋_GB2312" w:eastAsia="仿宋_GB2312" w:cs="仿宋_GB2312"/>
                <w:color w:val="auto"/>
                <w:sz w:val="24"/>
                <w:highlight w:val="none"/>
              </w:rPr>
              <w:t>维护国家利益</w:t>
            </w:r>
            <w:r>
              <w:rPr>
                <w:rFonts w:hint="eastAsia" w:ascii="仿宋_GB2312" w:hAnsi="仿宋_GB2312" w:eastAsia="仿宋_GB2312" w:cs="仿宋_GB2312"/>
                <w:color w:val="auto"/>
                <w:sz w:val="24"/>
                <w:highlight w:val="none"/>
                <w:lang w:eastAsia="zh-CN"/>
              </w:rPr>
              <w:t>”</w:t>
            </w:r>
            <w:r>
              <w:rPr>
                <w:rFonts w:hint="eastAsia" w:ascii="仿宋_GB2312" w:hAnsi="仿宋_GB2312" w:eastAsia="仿宋_GB2312" w:cs="仿宋_GB2312"/>
                <w:color w:val="auto"/>
                <w:sz w:val="24"/>
                <w:highlight w:val="none"/>
              </w:rPr>
              <w:t>并重的职业价值观，引导其成为新时代高水平对外开放的复合型人才。</w:t>
            </w:r>
          </w:p>
        </w:tc>
        <w:tc>
          <w:tcPr>
            <w:tcW w:w="2464" w:type="dxa"/>
            <w:vAlign w:val="top"/>
          </w:tcPr>
          <w:p>
            <w:pPr>
              <w:keepNext w:val="0"/>
              <w:keepLines w:val="0"/>
              <w:pageBreakBefore w:val="0"/>
              <w:widowControl w:val="0"/>
              <w:kinsoku/>
              <w:wordWrap/>
              <w:overflowPunct w:val="0"/>
              <w:topLinePunct w:val="0"/>
              <w:autoSpaceDE/>
              <w:autoSpaceDN/>
              <w:bidi w:val="0"/>
              <w:adjustRightInd w:val="0"/>
              <w:snapToGrid/>
              <w:spacing w:line="360" w:lineRule="atLeast"/>
              <w:jc w:val="both"/>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szCs w:val="24"/>
                <w:highlight w:val="none"/>
              </w:rPr>
              <w:t xml:space="preserve">外贸英语口语课程的教学内容通常围绕外贸业务流程展开，包括建立业务关系 </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询盘与报盘价格、佣金与折扣支付方式</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包装与装运保险与签订合同</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诉与索赔及代理相关贸易术语，正确表达方式和口语表达中的实用句型。</w:t>
            </w:r>
          </w:p>
        </w:tc>
        <w:tc>
          <w:tcPr>
            <w:tcW w:w="2247" w:type="dxa"/>
            <w:vAlign w:val="top"/>
          </w:tcPr>
          <w:p>
            <w:pPr>
              <w:keepNext w:val="0"/>
              <w:keepLines w:val="0"/>
              <w:pageBreakBefore w:val="0"/>
              <w:widowControl w:val="0"/>
              <w:kinsoku/>
              <w:wordWrap/>
              <w:overflowPunct/>
              <w:topLinePunct w:val="0"/>
              <w:autoSpaceDE/>
              <w:autoSpaceDN/>
              <w:bidi w:val="0"/>
              <w:adjustRightInd/>
              <w:snapToGrid/>
              <w:spacing w:line="360" w:lineRule="atLeast"/>
              <w:jc w:val="both"/>
              <w:textAlignment w:val="auto"/>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color w:val="auto"/>
                <w:kern w:val="2"/>
                <w:sz w:val="24"/>
                <w:szCs w:val="24"/>
                <w:highlight w:val="none"/>
                <w:vertAlign w:val="baseline"/>
                <w:lang w:val="en-US" w:eastAsia="zh-CN" w:bidi="ar-SA"/>
              </w:rPr>
              <w:t>考虑到外贸英语口语的特殊性，课程应特别注重培养学生的跨文化交流能力，使学生了解不同国家和地区的文化背景、商业习惯和法律环境，以便在谈判中更好地理解和适应对方的需求和期望。</w:t>
            </w:r>
          </w:p>
          <w:p>
            <w:pPr>
              <w:keepNext w:val="0"/>
              <w:keepLines w:val="0"/>
              <w:pageBreakBefore w:val="0"/>
              <w:widowControl w:val="0"/>
              <w:kinsoku/>
              <w:wordWrap/>
              <w:overflowPunct/>
              <w:topLinePunct w:val="0"/>
              <w:autoSpaceDE/>
              <w:autoSpaceDN/>
              <w:bidi w:val="0"/>
              <w:adjustRightInd/>
              <w:snapToGrid/>
              <w:spacing w:line="360" w:lineRule="atLeast"/>
              <w:jc w:val="both"/>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kern w:val="2"/>
                <w:sz w:val="24"/>
                <w:szCs w:val="24"/>
                <w:highlight w:val="none"/>
                <w:vertAlign w:val="baseline"/>
                <w:lang w:val="en-US" w:eastAsia="zh-CN" w:bidi="ar-SA"/>
              </w:rPr>
              <w:t>作为口语课程，应着重培养学生的口语表达能力，包括发音、语调、语速、语法等方面的训练，使学生能够在不同商务场合中自信、流利地进行交流。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5"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sz w:val="24"/>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sz w:val="24"/>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sz w:val="24"/>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sz w:val="24"/>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sz w:val="24"/>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仿宋_GB2312" w:hAnsi="仿宋_GB2312" w:eastAsia="仿宋_GB2312" w:cs="仿宋_GB2312"/>
                <w:color w:val="auto"/>
                <w:sz w:val="24"/>
                <w:highlight w:val="none"/>
                <w:lang w:val="en-US" w:eastAsia="zh-CN"/>
              </w:rPr>
            </w:pPr>
            <w:r>
              <w:rPr>
                <w:rFonts w:hint="eastAsia" w:ascii="仿宋_GB2312" w:hAnsi="仿宋_GB2312" w:eastAsia="仿宋_GB2312" w:cs="仿宋_GB2312"/>
                <w:color w:val="auto"/>
                <w:sz w:val="24"/>
                <w:highlight w:val="none"/>
                <w:lang w:val="en-US" w:eastAsia="zh-CN"/>
              </w:rPr>
              <w:t>6</w:t>
            </w:r>
          </w:p>
        </w:tc>
        <w:tc>
          <w:tcPr>
            <w:tcW w:w="896" w:type="dxa"/>
            <w:vAlign w:val="center"/>
          </w:tcPr>
          <w:p>
            <w:pPr>
              <w:keepNext w:val="0"/>
              <w:keepLines w:val="0"/>
              <w:pageBreakBefore w:val="0"/>
              <w:widowControl w:val="0"/>
              <w:kinsoku/>
              <w:wordWrap/>
              <w:overflowPunct w:val="0"/>
              <w:topLinePunct w:val="0"/>
              <w:autoSpaceDE/>
              <w:autoSpaceDN/>
              <w:bidi w:val="0"/>
              <w:adjustRightInd w:val="0"/>
              <w:snapToGrid/>
              <w:spacing w:line="360" w:lineRule="atLeast"/>
              <w:jc w:val="center"/>
              <w:textAlignment w:val="auto"/>
              <w:rPr>
                <w:rFonts w:hint="eastAsia" w:ascii="仿宋_GB2312" w:hAnsi="仿宋_GB2312" w:eastAsia="仿宋_GB2312" w:cs="仿宋_GB2312"/>
                <w:color w:val="auto"/>
                <w:sz w:val="24"/>
                <w:szCs w:val="24"/>
                <w:highlight w:val="none"/>
                <w:lang w:val="en-US" w:eastAsia="zh-CN"/>
              </w:rPr>
            </w:pPr>
          </w:p>
          <w:p>
            <w:pPr>
              <w:keepNext w:val="0"/>
              <w:keepLines w:val="0"/>
              <w:pageBreakBefore w:val="0"/>
              <w:widowControl w:val="0"/>
              <w:kinsoku/>
              <w:wordWrap/>
              <w:overflowPunct w:val="0"/>
              <w:topLinePunct w:val="0"/>
              <w:autoSpaceDE/>
              <w:autoSpaceDN/>
              <w:bidi w:val="0"/>
              <w:adjustRightInd w:val="0"/>
              <w:snapToGrid/>
              <w:spacing w:line="360" w:lineRule="atLeast"/>
              <w:jc w:val="center"/>
              <w:textAlignment w:val="auto"/>
              <w:rPr>
                <w:rFonts w:hint="eastAsia" w:ascii="仿宋_GB2312" w:hAnsi="仿宋_GB2312" w:eastAsia="仿宋_GB2312" w:cs="仿宋_GB2312"/>
                <w:color w:val="auto"/>
                <w:sz w:val="24"/>
                <w:szCs w:val="24"/>
                <w:highlight w:val="none"/>
                <w:lang w:val="en-US" w:eastAsia="zh-CN"/>
              </w:rPr>
            </w:pPr>
          </w:p>
          <w:p>
            <w:pPr>
              <w:keepNext w:val="0"/>
              <w:keepLines w:val="0"/>
              <w:pageBreakBefore w:val="0"/>
              <w:widowControl w:val="0"/>
              <w:kinsoku/>
              <w:wordWrap/>
              <w:overflowPunct w:val="0"/>
              <w:topLinePunct w:val="0"/>
              <w:autoSpaceDE/>
              <w:autoSpaceDN/>
              <w:bidi w:val="0"/>
              <w:adjustRightInd w:val="0"/>
              <w:snapToGrid/>
              <w:spacing w:line="360" w:lineRule="atLeast"/>
              <w:jc w:val="center"/>
              <w:textAlignment w:val="auto"/>
              <w:rPr>
                <w:rFonts w:hint="eastAsia" w:ascii="仿宋_GB2312" w:hAnsi="仿宋_GB2312" w:eastAsia="仿宋_GB2312" w:cs="仿宋_GB2312"/>
                <w:color w:val="auto"/>
                <w:sz w:val="24"/>
                <w:szCs w:val="24"/>
                <w:highlight w:val="none"/>
                <w:lang w:val="en-US" w:eastAsia="zh-CN"/>
              </w:rPr>
            </w:pPr>
          </w:p>
          <w:p>
            <w:pPr>
              <w:keepNext w:val="0"/>
              <w:keepLines w:val="0"/>
              <w:pageBreakBefore w:val="0"/>
              <w:widowControl w:val="0"/>
              <w:kinsoku/>
              <w:wordWrap/>
              <w:overflowPunct w:val="0"/>
              <w:topLinePunct w:val="0"/>
              <w:autoSpaceDE/>
              <w:autoSpaceDN/>
              <w:bidi w:val="0"/>
              <w:adjustRightInd w:val="0"/>
              <w:snapToGrid/>
              <w:spacing w:line="360" w:lineRule="atLeast"/>
              <w:jc w:val="center"/>
              <w:textAlignment w:val="auto"/>
              <w:rPr>
                <w:rFonts w:hint="eastAsia" w:ascii="仿宋_GB2312" w:hAnsi="仿宋_GB2312" w:eastAsia="仿宋_GB2312" w:cs="仿宋_GB2312"/>
                <w:color w:val="auto"/>
                <w:sz w:val="24"/>
                <w:szCs w:val="24"/>
                <w:highlight w:val="none"/>
                <w:lang w:val="en-US" w:eastAsia="zh-CN"/>
              </w:rPr>
            </w:pPr>
          </w:p>
          <w:p>
            <w:pPr>
              <w:keepNext w:val="0"/>
              <w:keepLines w:val="0"/>
              <w:pageBreakBefore w:val="0"/>
              <w:widowControl w:val="0"/>
              <w:kinsoku/>
              <w:wordWrap/>
              <w:overflowPunct w:val="0"/>
              <w:topLinePunct w:val="0"/>
              <w:autoSpaceDE/>
              <w:autoSpaceDN/>
              <w:bidi w:val="0"/>
              <w:adjustRightInd w:val="0"/>
              <w:snapToGrid/>
              <w:spacing w:line="360" w:lineRule="atLeast"/>
              <w:jc w:val="center"/>
              <w:textAlignment w:val="auto"/>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color w:val="auto"/>
                <w:sz w:val="24"/>
                <w:szCs w:val="24"/>
                <w:highlight w:val="none"/>
                <w:lang w:val="en-US" w:eastAsia="zh-CN"/>
              </w:rPr>
              <w:t>国际商务礼仪</w:t>
            </w:r>
          </w:p>
        </w:tc>
        <w:tc>
          <w:tcPr>
            <w:tcW w:w="4201" w:type="dxa"/>
            <w:vAlign w:val="top"/>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b/>
                <w:bCs/>
                <w:color w:val="auto"/>
                <w:sz w:val="24"/>
                <w:highlight w:val="none"/>
              </w:rPr>
              <w:t>知识目标</w:t>
            </w:r>
            <w:r>
              <w:rPr>
                <w:rFonts w:hint="eastAsia" w:ascii="仿宋_GB2312" w:hAnsi="仿宋_GB2312" w:eastAsia="仿宋_GB2312" w:cs="仿宋_GB2312"/>
                <w:b/>
                <w:bCs/>
                <w:color w:val="auto"/>
                <w:sz w:val="24"/>
                <w:highlight w:val="none"/>
                <w:lang w:eastAsia="zh-CN"/>
              </w:rPr>
              <w:t>：</w:t>
            </w:r>
            <w:r>
              <w:rPr>
                <w:rFonts w:hint="eastAsia" w:ascii="仿宋_GB2312" w:hAnsi="仿宋_GB2312" w:eastAsia="仿宋_GB2312" w:cs="仿宋_GB2312"/>
                <w:color w:val="auto"/>
                <w:sz w:val="24"/>
                <w:highlight w:val="none"/>
              </w:rPr>
              <w:t>‌系统掌握国际商务礼仪核心规范（如跨文化沟通禁忌、餐桌礼仪差异）、国际会议流程（APEC式会议座次安排）及商务着装准则（不同国家对着装颜色的文化解读），熟悉主流商务社交场景（高尔夫球礼则、礼物馈赠禁忌）、数字礼仪（Zoom会议虚拟背景规范）及危机公关礼仪（媒体采访应答技巧），理解</w:t>
            </w:r>
            <w:r>
              <w:rPr>
                <w:rFonts w:hint="eastAsia" w:ascii="仿宋_GB2312" w:hAnsi="仿宋_GB2312" w:eastAsia="仿宋_GB2312" w:cs="仿宋_GB2312"/>
                <w:color w:val="auto"/>
                <w:sz w:val="24"/>
                <w:highlight w:val="none"/>
                <w:lang w:eastAsia="zh-CN"/>
              </w:rPr>
              <w:t>“</w:t>
            </w:r>
            <w:r>
              <w:rPr>
                <w:rFonts w:hint="eastAsia" w:ascii="仿宋_GB2312" w:hAnsi="仿宋_GB2312" w:eastAsia="仿宋_GB2312" w:cs="仿宋_GB2312"/>
                <w:color w:val="auto"/>
                <w:sz w:val="24"/>
                <w:highlight w:val="none"/>
              </w:rPr>
              <w:t>一带一路</w:t>
            </w:r>
            <w:r>
              <w:rPr>
                <w:rFonts w:hint="eastAsia" w:ascii="仿宋_GB2312" w:hAnsi="仿宋_GB2312" w:eastAsia="仿宋_GB2312" w:cs="仿宋_GB2312"/>
                <w:color w:val="auto"/>
                <w:sz w:val="24"/>
                <w:highlight w:val="none"/>
                <w:lang w:eastAsia="zh-CN"/>
              </w:rPr>
              <w:t>”</w:t>
            </w:r>
            <w:r>
              <w:rPr>
                <w:rFonts w:hint="eastAsia" w:ascii="仿宋_GB2312" w:hAnsi="仿宋_GB2312" w:eastAsia="仿宋_GB2312" w:cs="仿宋_GB2312"/>
                <w:color w:val="auto"/>
                <w:sz w:val="24"/>
                <w:highlight w:val="none"/>
              </w:rPr>
              <w:t>沿线国家特殊礼俗（中东国家商务拜访时间观念）。</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b/>
                <w:bCs/>
                <w:color w:val="auto"/>
                <w:sz w:val="24"/>
                <w:highlight w:val="none"/>
              </w:rPr>
              <w:t>‌能力目标</w:t>
            </w:r>
            <w:r>
              <w:rPr>
                <w:rFonts w:hint="eastAsia" w:ascii="仿宋_GB2312" w:hAnsi="仿宋_GB2312" w:eastAsia="仿宋_GB2312" w:cs="仿宋_GB2312"/>
                <w:b/>
                <w:bCs/>
                <w:color w:val="auto"/>
                <w:sz w:val="24"/>
                <w:highlight w:val="none"/>
                <w:lang w:eastAsia="zh-CN"/>
              </w:rPr>
              <w:t>：</w:t>
            </w:r>
            <w:r>
              <w:rPr>
                <w:rFonts w:hint="eastAsia" w:ascii="仿宋_GB2312" w:hAnsi="仿宋_GB2312" w:eastAsia="仿宋_GB2312" w:cs="仿宋_GB2312"/>
                <w:color w:val="auto"/>
                <w:sz w:val="24"/>
                <w:highlight w:val="none"/>
              </w:rPr>
              <w:t>‌具备全场景商务礼仪实操能力，能独立完成国际展会接待（展位布置与访客引导）、商务宴请（西餐刀叉使用顺序）、签约仪式（合同签署笔礼）等标准化流程，掌握跨文化冲突调解（如印度客户摇头的语义辨析）、突发状况应对等复合型技能。</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b/>
                <w:bCs/>
                <w:color w:val="auto"/>
                <w:sz w:val="24"/>
                <w:highlight w:val="none"/>
              </w:rPr>
              <w:t>‌素质目标</w:t>
            </w:r>
            <w:r>
              <w:rPr>
                <w:rFonts w:hint="eastAsia" w:ascii="仿宋_GB2312" w:hAnsi="仿宋_GB2312" w:eastAsia="仿宋_GB2312" w:cs="仿宋_GB2312"/>
                <w:b/>
                <w:bCs/>
                <w:color w:val="auto"/>
                <w:sz w:val="24"/>
                <w:highlight w:val="none"/>
                <w:lang w:eastAsia="zh-CN"/>
              </w:rPr>
              <w:t>：</w:t>
            </w:r>
            <w:r>
              <w:rPr>
                <w:rFonts w:hint="eastAsia" w:ascii="仿宋_GB2312" w:hAnsi="仿宋_GB2312" w:eastAsia="仿宋_GB2312" w:cs="仿宋_GB2312"/>
                <w:color w:val="auto"/>
                <w:sz w:val="24"/>
                <w:highlight w:val="none"/>
              </w:rPr>
              <w:t>‌培养文化包容心态（理解非语言符号差异）、细节意识（名片递接角度）、保密意识（商务茶歇谈话分寸），养成</w:t>
            </w:r>
            <w:r>
              <w:rPr>
                <w:rFonts w:hint="eastAsia" w:ascii="仿宋_GB2312" w:hAnsi="仿宋_GB2312" w:eastAsia="仿宋_GB2312" w:cs="仿宋_GB2312"/>
                <w:color w:val="auto"/>
                <w:sz w:val="24"/>
                <w:highlight w:val="none"/>
                <w:lang w:eastAsia="zh-CN"/>
              </w:rPr>
              <w:t>“</w:t>
            </w:r>
            <w:r>
              <w:rPr>
                <w:rFonts w:hint="eastAsia" w:ascii="仿宋_GB2312" w:hAnsi="仿宋_GB2312" w:eastAsia="仿宋_GB2312" w:cs="仿宋_GB2312"/>
                <w:color w:val="auto"/>
                <w:sz w:val="24"/>
                <w:highlight w:val="none"/>
              </w:rPr>
              <w:t>形象即品牌</w:t>
            </w:r>
            <w:r>
              <w:rPr>
                <w:rFonts w:hint="eastAsia" w:ascii="仿宋_GB2312" w:hAnsi="仿宋_GB2312" w:eastAsia="仿宋_GB2312" w:cs="仿宋_GB2312"/>
                <w:color w:val="auto"/>
                <w:sz w:val="24"/>
                <w:highlight w:val="none"/>
                <w:lang w:eastAsia="zh-CN"/>
              </w:rPr>
              <w:t>”</w:t>
            </w:r>
            <w:r>
              <w:rPr>
                <w:rFonts w:hint="eastAsia" w:ascii="仿宋_GB2312" w:hAnsi="仿宋_GB2312" w:eastAsia="仿宋_GB2312" w:cs="仿宋_GB2312"/>
                <w:color w:val="auto"/>
                <w:sz w:val="24"/>
                <w:highlight w:val="none"/>
              </w:rPr>
              <w:t>的职业认知（体态管理）、应变能力（应对突发着装失误）和持续精进态度（跟踪G20峰会新礼仪趋势</w:t>
            </w:r>
            <w:r>
              <w:rPr>
                <w:rFonts w:hint="eastAsia" w:ascii="仿宋_GB2312" w:hAnsi="仿宋_GB2312" w:eastAsia="仿宋_GB2312" w:cs="仿宋_GB2312"/>
                <w:color w:val="auto"/>
                <w:sz w:val="24"/>
                <w:highlight w:val="none"/>
                <w:lang w:eastAsia="zh-CN"/>
              </w:rPr>
              <w:t>）</w:t>
            </w:r>
            <w:r>
              <w:rPr>
                <w:rFonts w:hint="eastAsia" w:ascii="仿宋_GB2312" w:hAnsi="仿宋_GB2312" w:eastAsia="仿宋_GB2312" w:cs="仿宋_GB2312"/>
                <w:color w:val="auto"/>
                <w:sz w:val="24"/>
                <w:highlight w:val="none"/>
              </w:rPr>
              <w:t>，建立</w:t>
            </w:r>
            <w:r>
              <w:rPr>
                <w:rFonts w:hint="eastAsia" w:ascii="仿宋_GB2312" w:hAnsi="仿宋_GB2312" w:eastAsia="仿宋_GB2312" w:cs="仿宋_GB2312"/>
                <w:color w:val="auto"/>
                <w:sz w:val="24"/>
                <w:highlight w:val="none"/>
                <w:lang w:eastAsia="zh-CN"/>
              </w:rPr>
              <w:t>“</w:t>
            </w:r>
            <w:r>
              <w:rPr>
                <w:rFonts w:hint="eastAsia" w:ascii="仿宋_GB2312" w:hAnsi="仿宋_GB2312" w:eastAsia="仿宋_GB2312" w:cs="仿宋_GB2312"/>
                <w:color w:val="auto"/>
                <w:sz w:val="24"/>
                <w:highlight w:val="none"/>
              </w:rPr>
              <w:t>中国礼仪</w:t>
            </w:r>
            <w:r>
              <w:rPr>
                <w:rFonts w:hint="eastAsia" w:ascii="仿宋_GB2312" w:hAnsi="仿宋_GB2312" w:eastAsia="仿宋_GB2312" w:cs="仿宋_GB2312"/>
                <w:color w:val="auto"/>
                <w:sz w:val="24"/>
                <w:highlight w:val="none"/>
                <w:lang w:eastAsia="zh-CN"/>
              </w:rPr>
              <w:t>”</w:t>
            </w:r>
            <w:r>
              <w:rPr>
                <w:rFonts w:hint="eastAsia" w:ascii="仿宋_GB2312" w:hAnsi="仿宋_GB2312" w:eastAsia="仿宋_GB2312" w:cs="仿宋_GB2312"/>
                <w:color w:val="auto"/>
                <w:sz w:val="24"/>
                <w:highlight w:val="none"/>
              </w:rPr>
              <w:t>与</w:t>
            </w:r>
            <w:r>
              <w:rPr>
                <w:rFonts w:hint="eastAsia" w:ascii="仿宋_GB2312" w:hAnsi="仿宋_GB2312" w:eastAsia="仿宋_GB2312" w:cs="仿宋_GB2312"/>
                <w:color w:val="auto"/>
                <w:sz w:val="24"/>
                <w:highlight w:val="none"/>
                <w:lang w:eastAsia="zh-CN"/>
              </w:rPr>
              <w:t>“</w:t>
            </w:r>
            <w:r>
              <w:rPr>
                <w:rFonts w:hint="eastAsia" w:ascii="仿宋_GB2312" w:hAnsi="仿宋_GB2312" w:eastAsia="仿宋_GB2312" w:cs="仿宋_GB2312"/>
                <w:color w:val="auto"/>
                <w:sz w:val="24"/>
                <w:highlight w:val="none"/>
              </w:rPr>
              <w:t>国际惯例</w:t>
            </w:r>
            <w:r>
              <w:rPr>
                <w:rFonts w:hint="eastAsia" w:ascii="仿宋_GB2312" w:hAnsi="仿宋_GB2312" w:eastAsia="仿宋_GB2312" w:cs="仿宋_GB2312"/>
                <w:color w:val="auto"/>
                <w:sz w:val="24"/>
                <w:highlight w:val="none"/>
                <w:lang w:eastAsia="zh-CN"/>
              </w:rPr>
              <w:t>”</w:t>
            </w:r>
            <w:r>
              <w:rPr>
                <w:rFonts w:hint="eastAsia" w:ascii="仿宋_GB2312" w:hAnsi="仿宋_GB2312" w:eastAsia="仿宋_GB2312" w:cs="仿宋_GB2312"/>
                <w:color w:val="auto"/>
                <w:sz w:val="24"/>
                <w:highlight w:val="none"/>
              </w:rPr>
              <w:t>的对话思维。</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b/>
                <w:bCs/>
                <w:color w:val="auto"/>
                <w:sz w:val="24"/>
                <w:highlight w:val="none"/>
              </w:rPr>
              <w:t>‌课程思政育人目标</w:t>
            </w:r>
            <w:r>
              <w:rPr>
                <w:rFonts w:hint="eastAsia" w:ascii="仿宋_GB2312" w:hAnsi="仿宋_GB2312" w:eastAsia="仿宋_GB2312" w:cs="仿宋_GB2312"/>
                <w:b/>
                <w:bCs/>
                <w:color w:val="auto"/>
                <w:sz w:val="24"/>
                <w:highlight w:val="none"/>
                <w:lang w:eastAsia="zh-CN"/>
              </w:rPr>
              <w:t>：</w:t>
            </w:r>
            <w:r>
              <w:rPr>
                <w:rFonts w:hint="eastAsia" w:ascii="仿宋_GB2312" w:hAnsi="仿宋_GB2312" w:eastAsia="仿宋_GB2312" w:cs="仿宋_GB2312"/>
                <w:color w:val="auto"/>
                <w:sz w:val="24"/>
                <w:highlight w:val="none"/>
              </w:rPr>
              <w:t>‌将</w:t>
            </w:r>
            <w:r>
              <w:rPr>
                <w:rFonts w:hint="eastAsia" w:ascii="仿宋_GB2312" w:hAnsi="仿宋_GB2312" w:eastAsia="仿宋_GB2312" w:cs="仿宋_GB2312"/>
                <w:color w:val="auto"/>
                <w:sz w:val="24"/>
                <w:highlight w:val="none"/>
                <w:lang w:eastAsia="zh-CN"/>
              </w:rPr>
              <w:t>“</w:t>
            </w:r>
            <w:r>
              <w:rPr>
                <w:rFonts w:hint="eastAsia" w:ascii="仿宋_GB2312" w:hAnsi="仿宋_GB2312" w:eastAsia="仿宋_GB2312" w:cs="仿宋_GB2312"/>
                <w:color w:val="auto"/>
                <w:sz w:val="24"/>
                <w:highlight w:val="none"/>
              </w:rPr>
              <w:t>文化自信</w:t>
            </w:r>
            <w:r>
              <w:rPr>
                <w:rFonts w:hint="eastAsia" w:ascii="仿宋_GB2312" w:hAnsi="仿宋_GB2312" w:eastAsia="仿宋_GB2312" w:cs="仿宋_GB2312"/>
                <w:color w:val="auto"/>
                <w:sz w:val="24"/>
                <w:highlight w:val="none"/>
                <w:lang w:eastAsia="zh-CN"/>
              </w:rPr>
              <w:t>”</w:t>
            </w:r>
            <w:r>
              <w:rPr>
                <w:rFonts w:hint="eastAsia" w:ascii="仿宋_GB2312" w:hAnsi="仿宋_GB2312" w:eastAsia="仿宋_GB2312" w:cs="仿宋_GB2312"/>
                <w:color w:val="auto"/>
                <w:sz w:val="24"/>
                <w:highlight w:val="none"/>
              </w:rPr>
              <w:t>与</w:t>
            </w:r>
            <w:r>
              <w:rPr>
                <w:rFonts w:hint="eastAsia" w:ascii="仿宋_GB2312" w:hAnsi="仿宋_GB2312" w:eastAsia="仿宋_GB2312" w:cs="仿宋_GB2312"/>
                <w:color w:val="auto"/>
                <w:sz w:val="24"/>
                <w:highlight w:val="none"/>
                <w:lang w:eastAsia="zh-CN"/>
              </w:rPr>
              <w:t>“</w:t>
            </w:r>
            <w:r>
              <w:rPr>
                <w:rFonts w:hint="eastAsia" w:ascii="仿宋_GB2312" w:hAnsi="仿宋_GB2312" w:eastAsia="仿宋_GB2312" w:cs="仿宋_GB2312"/>
                <w:color w:val="auto"/>
                <w:sz w:val="24"/>
                <w:highlight w:val="none"/>
              </w:rPr>
              <w:t>文明互鉴</w:t>
            </w:r>
            <w:r>
              <w:rPr>
                <w:rFonts w:hint="eastAsia" w:ascii="仿宋_GB2312" w:hAnsi="仿宋_GB2312" w:eastAsia="仿宋_GB2312" w:cs="仿宋_GB2312"/>
                <w:color w:val="auto"/>
                <w:sz w:val="24"/>
                <w:highlight w:val="none"/>
                <w:lang w:eastAsia="zh-CN"/>
              </w:rPr>
              <w:t>”</w:t>
            </w:r>
            <w:r>
              <w:rPr>
                <w:rFonts w:hint="eastAsia" w:ascii="仿宋_GB2312" w:hAnsi="仿宋_GB2312" w:eastAsia="仿宋_GB2312" w:cs="仿宋_GB2312"/>
                <w:color w:val="auto"/>
                <w:sz w:val="24"/>
                <w:highlight w:val="none"/>
              </w:rPr>
              <w:t>理念贯穿教学，通过进博会志愿者案例展示中国礼仪标准，结合涉外活动管理条例讲解国家安全礼仪，培育学生</w:t>
            </w:r>
            <w:r>
              <w:rPr>
                <w:rFonts w:hint="eastAsia" w:ascii="仿宋_GB2312" w:hAnsi="仿宋_GB2312" w:eastAsia="仿宋_GB2312" w:cs="仿宋_GB2312"/>
                <w:color w:val="auto"/>
                <w:sz w:val="24"/>
                <w:highlight w:val="none"/>
                <w:lang w:eastAsia="zh-CN"/>
              </w:rPr>
              <w:t>“</w:t>
            </w:r>
            <w:r>
              <w:rPr>
                <w:rFonts w:hint="eastAsia" w:ascii="仿宋_GB2312" w:hAnsi="仿宋_GB2312" w:eastAsia="仿宋_GB2312" w:cs="仿宋_GB2312"/>
                <w:color w:val="auto"/>
                <w:sz w:val="24"/>
                <w:highlight w:val="none"/>
              </w:rPr>
              <w:t>以礼为媒</w:t>
            </w:r>
            <w:r>
              <w:rPr>
                <w:rFonts w:hint="eastAsia" w:ascii="仿宋_GB2312" w:hAnsi="仿宋_GB2312" w:eastAsia="仿宋_GB2312" w:cs="仿宋_GB2312"/>
                <w:color w:val="auto"/>
                <w:sz w:val="24"/>
                <w:highlight w:val="none"/>
                <w:lang w:eastAsia="zh-CN"/>
              </w:rPr>
              <w:t>”</w:t>
            </w:r>
            <w:r>
              <w:rPr>
                <w:rFonts w:hint="eastAsia" w:ascii="仿宋_GB2312" w:hAnsi="仿宋_GB2312" w:eastAsia="仿宋_GB2312" w:cs="仿宋_GB2312"/>
                <w:color w:val="auto"/>
                <w:sz w:val="24"/>
                <w:highlight w:val="none"/>
              </w:rPr>
              <w:t>的传播意识，树立展示大国形象与尊重多元文化并重的职业价值观，引导其成为新时代国际交往的礼仪使者。</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highlight w:val="none"/>
              </w:rPr>
            </w:pPr>
          </w:p>
        </w:tc>
        <w:tc>
          <w:tcPr>
            <w:tcW w:w="2464" w:type="dxa"/>
            <w:vAlign w:val="top"/>
          </w:tcPr>
          <w:p>
            <w:pPr>
              <w:keepNext w:val="0"/>
              <w:keepLines w:val="0"/>
              <w:pageBreakBefore w:val="0"/>
              <w:widowControl w:val="0"/>
              <w:kinsoku/>
              <w:wordWrap/>
              <w:overflowPunct w:val="0"/>
              <w:topLinePunct w:val="0"/>
              <w:autoSpaceDE/>
              <w:autoSpaceDN/>
              <w:bidi w:val="0"/>
              <w:adjustRightInd w:val="0"/>
              <w:snapToGrid/>
              <w:spacing w:line="360" w:lineRule="atLeast"/>
              <w:jc w:val="both"/>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szCs w:val="24"/>
                <w:highlight w:val="none"/>
              </w:rPr>
              <w:t>本课程阐述的是商务谈判的心理思维和伦理、谈判准备阶段、开局阶段、磋商阶段、终结阶段、签约阶段、策略、沟通，以及常用的沟通技巧和文化因素对谈判的影响</w:t>
            </w:r>
            <w:r>
              <w:rPr>
                <w:rFonts w:hint="eastAsia" w:ascii="仿宋_GB2312" w:hAnsi="仿宋_GB2312" w:eastAsia="仿宋_GB2312" w:cs="仿宋_GB2312"/>
                <w:color w:val="auto"/>
                <w:sz w:val="24"/>
                <w:szCs w:val="24"/>
                <w:highlight w:val="none"/>
                <w:lang w:val="en-US" w:eastAsia="zh-CN"/>
              </w:rPr>
              <w:t>等</w:t>
            </w:r>
            <w:r>
              <w:rPr>
                <w:rFonts w:hint="eastAsia" w:ascii="仿宋_GB2312" w:hAnsi="仿宋_GB2312" w:eastAsia="仿宋_GB2312" w:cs="仿宋_GB2312"/>
                <w:color w:val="auto"/>
                <w:sz w:val="24"/>
                <w:szCs w:val="24"/>
                <w:highlight w:val="none"/>
              </w:rPr>
              <w:t>‌。</w:t>
            </w:r>
          </w:p>
        </w:tc>
        <w:tc>
          <w:tcPr>
            <w:tcW w:w="2247" w:type="dxa"/>
            <w:vAlign w:val="top"/>
          </w:tcPr>
          <w:p>
            <w:pPr>
              <w:keepNext w:val="0"/>
              <w:keepLines w:val="0"/>
              <w:pageBreakBefore w:val="0"/>
              <w:widowControl w:val="0"/>
              <w:kinsoku/>
              <w:wordWrap/>
              <w:overflowPunct/>
              <w:topLinePunct w:val="0"/>
              <w:autoSpaceDE/>
              <w:autoSpaceDN/>
              <w:bidi w:val="0"/>
              <w:adjustRightInd/>
              <w:snapToGrid/>
              <w:spacing w:line="360" w:lineRule="atLeast"/>
              <w:jc w:val="both"/>
              <w:textAlignment w:val="auto"/>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color w:val="auto"/>
                <w:kern w:val="2"/>
                <w:sz w:val="24"/>
                <w:szCs w:val="24"/>
                <w:highlight w:val="none"/>
                <w:vertAlign w:val="baseline"/>
                <w:lang w:val="en-US" w:eastAsia="zh-CN" w:bidi="ar-SA"/>
              </w:rPr>
              <w:t>通过实践教学，如模拟谈判、案例分析等，提升学生的实际操作能力和应变技巧‌。学生应能够根据不同情况设计恰当的开场陈述，确定合理的谈判策略，并在对外交往中展现出应有的商务礼仪‌。</w:t>
            </w:r>
          </w:p>
          <w:p>
            <w:pPr>
              <w:keepNext w:val="0"/>
              <w:keepLines w:val="0"/>
              <w:pageBreakBefore w:val="0"/>
              <w:widowControl w:val="0"/>
              <w:kinsoku/>
              <w:wordWrap/>
              <w:overflowPunct/>
              <w:topLinePunct w:val="0"/>
              <w:autoSpaceDE/>
              <w:autoSpaceDN/>
              <w:bidi w:val="0"/>
              <w:adjustRightInd/>
              <w:snapToGrid/>
              <w:spacing w:line="360" w:lineRule="atLeast"/>
              <w:jc w:val="both"/>
              <w:textAlignment w:val="auto"/>
              <w:rPr>
                <w:rFonts w:hint="eastAsia" w:ascii="仿宋_GB2312" w:hAnsi="仿宋_GB2312" w:eastAsia="仿宋_GB2312" w:cs="仿宋_GB2312"/>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5"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仿宋_GB2312" w:hAnsi="仿宋_GB2312" w:eastAsia="仿宋_GB2312" w:cs="仿宋_GB2312"/>
                <w:color w:val="auto"/>
                <w:sz w:val="24"/>
                <w:highlight w:val="none"/>
                <w:lang w:val="en-US" w:eastAsia="zh-CN"/>
              </w:rPr>
            </w:pPr>
            <w:r>
              <w:rPr>
                <w:rFonts w:hint="eastAsia" w:ascii="仿宋_GB2312" w:hAnsi="仿宋_GB2312" w:eastAsia="仿宋_GB2312" w:cs="仿宋_GB2312"/>
                <w:color w:val="auto"/>
                <w:sz w:val="24"/>
                <w:highlight w:val="none"/>
                <w:lang w:val="en-US" w:eastAsia="zh-CN"/>
              </w:rPr>
              <w:t>7</w:t>
            </w:r>
          </w:p>
        </w:tc>
        <w:tc>
          <w:tcPr>
            <w:tcW w:w="896" w:type="dxa"/>
            <w:vAlign w:val="center"/>
          </w:tcPr>
          <w:p>
            <w:pPr>
              <w:keepNext w:val="0"/>
              <w:keepLines w:val="0"/>
              <w:pageBreakBefore w:val="0"/>
              <w:widowControl w:val="0"/>
              <w:kinsoku/>
              <w:wordWrap/>
              <w:overflowPunct w:val="0"/>
              <w:topLinePunct w:val="0"/>
              <w:autoSpaceDE/>
              <w:autoSpaceDN/>
              <w:bidi w:val="0"/>
              <w:adjustRightInd w:val="0"/>
              <w:snapToGrid/>
              <w:spacing w:line="360" w:lineRule="atLeast"/>
              <w:jc w:val="center"/>
              <w:textAlignment w:val="auto"/>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color w:val="auto"/>
                <w:sz w:val="24"/>
                <w:szCs w:val="24"/>
                <w:highlight w:val="none"/>
                <w:lang w:val="en-US" w:eastAsia="zh-CN"/>
              </w:rPr>
              <w:t>国际商法</w:t>
            </w:r>
          </w:p>
        </w:tc>
        <w:tc>
          <w:tcPr>
            <w:tcW w:w="4201" w:type="dxa"/>
            <w:vAlign w:val="top"/>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b/>
                <w:bCs/>
                <w:color w:val="auto"/>
                <w:sz w:val="24"/>
                <w:highlight w:val="none"/>
              </w:rPr>
              <w:t>知识目标</w:t>
            </w:r>
            <w:r>
              <w:rPr>
                <w:rFonts w:hint="eastAsia" w:ascii="仿宋_GB2312" w:hAnsi="仿宋_GB2312" w:eastAsia="仿宋_GB2312" w:cs="仿宋_GB2312"/>
                <w:b/>
                <w:bCs/>
                <w:color w:val="auto"/>
                <w:sz w:val="24"/>
                <w:highlight w:val="none"/>
                <w:lang w:eastAsia="zh-CN"/>
              </w:rPr>
              <w:t>：</w:t>
            </w:r>
            <w:r>
              <w:rPr>
                <w:rFonts w:hint="eastAsia" w:ascii="仿宋_GB2312" w:hAnsi="仿宋_GB2312" w:eastAsia="仿宋_GB2312" w:cs="仿宋_GB2312"/>
                <w:color w:val="auto"/>
                <w:sz w:val="24"/>
                <w:highlight w:val="none"/>
              </w:rPr>
              <w:t>‌系统掌握国际商法核心框架（CISG公约、INCOTERMS®2020规则）、跨国商事组织法（离岸公司设立）及跨境争端解决机制（WTO争端解决程序），熟悉电子合同（eUCA规则）、数据跨境流动（GDPR合规要求）等新型商事法律问题，理解RCEP投资条款、CPTPP知识产权章节等区域经贸协议的法律效力，并能运用法律术语完成国际商业谈判、跨境并购等场景的合规分析。</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b/>
                <w:bCs/>
                <w:color w:val="auto"/>
                <w:sz w:val="24"/>
                <w:highlight w:val="none"/>
              </w:rPr>
              <w:t>‌能力目标</w:t>
            </w:r>
            <w:r>
              <w:rPr>
                <w:rFonts w:hint="eastAsia" w:ascii="仿宋_GB2312" w:hAnsi="仿宋_GB2312" w:eastAsia="仿宋_GB2312" w:cs="仿宋_GB2312"/>
                <w:b/>
                <w:bCs/>
                <w:color w:val="auto"/>
                <w:sz w:val="24"/>
                <w:highlight w:val="none"/>
                <w:lang w:eastAsia="zh-CN"/>
              </w:rPr>
              <w:t>：</w:t>
            </w:r>
            <w:r>
              <w:rPr>
                <w:rFonts w:hint="eastAsia" w:ascii="仿宋_GB2312" w:hAnsi="仿宋_GB2312" w:eastAsia="仿宋_GB2312" w:cs="仿宋_GB2312"/>
                <w:color w:val="auto"/>
                <w:sz w:val="24"/>
                <w:highlight w:val="none"/>
              </w:rPr>
              <w:t>‌具备国际商事法律实务操作能力，能独立完成合同条款审核（FOB与DDP风险条款辨析）、信用证纠纷处理（UCP600单证不符点判定）及仲裁协议拟定（ICC仲裁规则应用），掌握跨境税务筹划（BEPS行动计划应对）、反垄断合规（经营者集中申报）等数字化工具应用，具备快速应对突发法律事件（如出口管制清单调整）的应变能力。</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b/>
                <w:bCs/>
                <w:color w:val="auto"/>
                <w:sz w:val="24"/>
                <w:highlight w:val="none"/>
              </w:rPr>
              <w:t>‌素质目标</w:t>
            </w:r>
            <w:r>
              <w:rPr>
                <w:rFonts w:hint="eastAsia" w:ascii="仿宋_GB2312" w:hAnsi="仿宋_GB2312" w:eastAsia="仿宋_GB2312" w:cs="仿宋_GB2312"/>
                <w:b/>
                <w:bCs/>
                <w:color w:val="auto"/>
                <w:sz w:val="24"/>
                <w:highlight w:val="none"/>
                <w:lang w:eastAsia="zh-CN"/>
              </w:rPr>
              <w:t>：</w:t>
            </w:r>
            <w:r>
              <w:rPr>
                <w:rFonts w:hint="eastAsia" w:ascii="仿宋_GB2312" w:hAnsi="仿宋_GB2312" w:eastAsia="仿宋_GB2312" w:cs="仿宋_GB2312"/>
                <w:color w:val="auto"/>
                <w:sz w:val="24"/>
                <w:highlight w:val="none"/>
              </w:rPr>
              <w:t>‌培养规则意识（尊重国际商事惯例）、保密意识（处理客户商业数据）、风险预判意识（识别汇率波动连带责任），养成</w:t>
            </w:r>
            <w:r>
              <w:rPr>
                <w:rFonts w:hint="eastAsia" w:ascii="仿宋_GB2312" w:hAnsi="仿宋_GB2312" w:eastAsia="仿宋_GB2312" w:cs="仿宋_GB2312"/>
                <w:color w:val="auto"/>
                <w:sz w:val="24"/>
                <w:highlight w:val="none"/>
                <w:lang w:eastAsia="zh-CN"/>
              </w:rPr>
              <w:t>“</w:t>
            </w:r>
            <w:r>
              <w:rPr>
                <w:rFonts w:hint="eastAsia" w:ascii="仿宋_GB2312" w:hAnsi="仿宋_GB2312" w:eastAsia="仿宋_GB2312" w:cs="仿宋_GB2312"/>
                <w:color w:val="auto"/>
                <w:sz w:val="24"/>
                <w:highlight w:val="none"/>
              </w:rPr>
              <w:t>合规即竞争力</w:t>
            </w:r>
            <w:r>
              <w:rPr>
                <w:rFonts w:hint="eastAsia" w:ascii="仿宋_GB2312" w:hAnsi="仿宋_GB2312" w:eastAsia="仿宋_GB2312" w:cs="仿宋_GB2312"/>
                <w:color w:val="auto"/>
                <w:sz w:val="24"/>
                <w:highlight w:val="none"/>
                <w:lang w:eastAsia="zh-CN"/>
              </w:rPr>
              <w:t>”</w:t>
            </w:r>
            <w:r>
              <w:rPr>
                <w:rFonts w:hint="eastAsia" w:ascii="仿宋_GB2312" w:hAnsi="仿宋_GB2312" w:eastAsia="仿宋_GB2312" w:cs="仿宋_GB2312"/>
                <w:color w:val="auto"/>
                <w:sz w:val="24"/>
                <w:highlight w:val="none"/>
              </w:rPr>
              <w:t>的职业认知（ESG合规管理）、抗压能力（应对跨国诉讼）和终身学习习惯（跟踪CPTPP动态），建立</w:t>
            </w:r>
            <w:r>
              <w:rPr>
                <w:rFonts w:hint="eastAsia" w:ascii="仿宋_GB2312" w:hAnsi="仿宋_GB2312" w:eastAsia="仿宋_GB2312" w:cs="仿宋_GB2312"/>
                <w:color w:val="auto"/>
                <w:sz w:val="24"/>
                <w:highlight w:val="none"/>
                <w:lang w:eastAsia="zh-CN"/>
              </w:rPr>
              <w:t>“</w:t>
            </w:r>
            <w:r>
              <w:rPr>
                <w:rFonts w:hint="eastAsia" w:ascii="仿宋_GB2312" w:hAnsi="仿宋_GB2312" w:eastAsia="仿宋_GB2312" w:cs="仿宋_GB2312"/>
                <w:color w:val="auto"/>
                <w:sz w:val="24"/>
                <w:highlight w:val="none"/>
              </w:rPr>
              <w:t>中国法域</w:t>
            </w:r>
            <w:r>
              <w:rPr>
                <w:rFonts w:hint="eastAsia" w:ascii="仿宋_GB2312" w:hAnsi="仿宋_GB2312" w:eastAsia="仿宋_GB2312" w:cs="仿宋_GB2312"/>
                <w:color w:val="auto"/>
                <w:sz w:val="24"/>
                <w:highlight w:val="none"/>
                <w:lang w:eastAsia="zh-CN"/>
              </w:rPr>
              <w:t>”</w:t>
            </w:r>
            <w:r>
              <w:rPr>
                <w:rFonts w:hint="eastAsia" w:ascii="仿宋_GB2312" w:hAnsi="仿宋_GB2312" w:eastAsia="仿宋_GB2312" w:cs="仿宋_GB2312"/>
                <w:color w:val="auto"/>
                <w:sz w:val="24"/>
                <w:highlight w:val="none"/>
              </w:rPr>
              <w:t>与</w:t>
            </w:r>
            <w:r>
              <w:rPr>
                <w:rFonts w:hint="eastAsia" w:ascii="仿宋_GB2312" w:hAnsi="仿宋_GB2312" w:eastAsia="仿宋_GB2312" w:cs="仿宋_GB2312"/>
                <w:color w:val="auto"/>
                <w:sz w:val="24"/>
                <w:highlight w:val="none"/>
                <w:lang w:eastAsia="zh-CN"/>
              </w:rPr>
              <w:t>“</w:t>
            </w:r>
            <w:r>
              <w:rPr>
                <w:rFonts w:hint="eastAsia" w:ascii="仿宋_GB2312" w:hAnsi="仿宋_GB2312" w:eastAsia="仿宋_GB2312" w:cs="仿宋_GB2312"/>
                <w:color w:val="auto"/>
                <w:sz w:val="24"/>
                <w:highlight w:val="none"/>
              </w:rPr>
              <w:t>国际规则</w:t>
            </w:r>
            <w:r>
              <w:rPr>
                <w:rFonts w:hint="eastAsia" w:ascii="仿宋_GB2312" w:hAnsi="仿宋_GB2312" w:eastAsia="仿宋_GB2312" w:cs="仿宋_GB2312"/>
                <w:color w:val="auto"/>
                <w:sz w:val="24"/>
                <w:highlight w:val="none"/>
                <w:lang w:eastAsia="zh-CN"/>
              </w:rPr>
              <w:t>”</w:t>
            </w:r>
            <w:r>
              <w:rPr>
                <w:rFonts w:hint="eastAsia" w:ascii="仿宋_GB2312" w:hAnsi="仿宋_GB2312" w:eastAsia="仿宋_GB2312" w:cs="仿宋_GB2312"/>
                <w:color w:val="auto"/>
                <w:sz w:val="24"/>
                <w:highlight w:val="none"/>
              </w:rPr>
              <w:t>的衔接思维。</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b/>
                <w:bCs/>
                <w:color w:val="auto"/>
                <w:sz w:val="24"/>
                <w:highlight w:val="none"/>
              </w:rPr>
              <w:t>‌课程思政育人目标</w:t>
            </w:r>
            <w:r>
              <w:rPr>
                <w:rFonts w:hint="eastAsia" w:ascii="仿宋_GB2312" w:hAnsi="仿宋_GB2312" w:eastAsia="仿宋_GB2312" w:cs="仿宋_GB2312"/>
                <w:b/>
                <w:bCs/>
                <w:color w:val="auto"/>
                <w:sz w:val="24"/>
                <w:highlight w:val="none"/>
                <w:lang w:eastAsia="zh-CN"/>
              </w:rPr>
              <w:t>：</w:t>
            </w:r>
            <w:r>
              <w:rPr>
                <w:rFonts w:hint="eastAsia" w:ascii="仿宋_GB2312" w:hAnsi="仿宋_GB2312" w:eastAsia="仿宋_GB2312" w:cs="仿宋_GB2312"/>
                <w:color w:val="auto"/>
                <w:sz w:val="24"/>
                <w:highlight w:val="none"/>
              </w:rPr>
              <w:t>‌将</w:t>
            </w:r>
            <w:r>
              <w:rPr>
                <w:rFonts w:hint="eastAsia" w:ascii="仿宋_GB2312" w:hAnsi="仿宋_GB2312" w:eastAsia="仿宋_GB2312" w:cs="仿宋_GB2312"/>
                <w:color w:val="auto"/>
                <w:sz w:val="24"/>
                <w:highlight w:val="none"/>
                <w:lang w:eastAsia="zh-CN"/>
              </w:rPr>
              <w:t>“</w:t>
            </w:r>
            <w:r>
              <w:rPr>
                <w:rFonts w:hint="eastAsia" w:ascii="仿宋_GB2312" w:hAnsi="仿宋_GB2312" w:eastAsia="仿宋_GB2312" w:cs="仿宋_GB2312"/>
                <w:color w:val="auto"/>
                <w:sz w:val="24"/>
                <w:highlight w:val="none"/>
              </w:rPr>
              <w:t>人类命运共同体</w:t>
            </w:r>
            <w:r>
              <w:rPr>
                <w:rFonts w:hint="eastAsia" w:ascii="仿宋_GB2312" w:hAnsi="仿宋_GB2312" w:eastAsia="仿宋_GB2312" w:cs="仿宋_GB2312"/>
                <w:color w:val="auto"/>
                <w:sz w:val="24"/>
                <w:highlight w:val="none"/>
                <w:lang w:eastAsia="zh-CN"/>
              </w:rPr>
              <w:t>”</w:t>
            </w:r>
            <w:r>
              <w:rPr>
                <w:rFonts w:hint="eastAsia" w:ascii="仿宋_GB2312" w:hAnsi="仿宋_GB2312" w:eastAsia="仿宋_GB2312" w:cs="仿宋_GB2312"/>
                <w:color w:val="auto"/>
                <w:sz w:val="24"/>
                <w:highlight w:val="none"/>
              </w:rPr>
              <w:t>理念融入教学，增强法治自信，结合《反外国制裁法》讲解跨境法律博弈，培育学生</w:t>
            </w:r>
            <w:r>
              <w:rPr>
                <w:rFonts w:hint="eastAsia" w:ascii="仿宋_GB2312" w:hAnsi="仿宋_GB2312" w:eastAsia="仿宋_GB2312" w:cs="仿宋_GB2312"/>
                <w:color w:val="auto"/>
                <w:sz w:val="24"/>
                <w:highlight w:val="none"/>
                <w:lang w:eastAsia="zh-CN"/>
              </w:rPr>
              <w:t>“</w:t>
            </w:r>
            <w:r>
              <w:rPr>
                <w:rFonts w:hint="eastAsia" w:ascii="仿宋_GB2312" w:hAnsi="仿宋_GB2312" w:eastAsia="仿宋_GB2312" w:cs="仿宋_GB2312"/>
                <w:color w:val="auto"/>
                <w:sz w:val="24"/>
                <w:highlight w:val="none"/>
              </w:rPr>
              <w:t>用法律维护国家利益</w:t>
            </w:r>
            <w:r>
              <w:rPr>
                <w:rFonts w:hint="eastAsia" w:ascii="仿宋_GB2312" w:hAnsi="仿宋_GB2312" w:eastAsia="仿宋_GB2312" w:cs="仿宋_GB2312"/>
                <w:color w:val="auto"/>
                <w:sz w:val="24"/>
                <w:highlight w:val="none"/>
                <w:lang w:eastAsia="zh-CN"/>
              </w:rPr>
              <w:t>”</w:t>
            </w:r>
            <w:r>
              <w:rPr>
                <w:rFonts w:hint="eastAsia" w:ascii="仿宋_GB2312" w:hAnsi="仿宋_GB2312" w:eastAsia="仿宋_GB2312" w:cs="仿宋_GB2312"/>
                <w:color w:val="auto"/>
                <w:sz w:val="24"/>
                <w:highlight w:val="none"/>
              </w:rPr>
              <w:t>的能力，树立</w:t>
            </w:r>
            <w:r>
              <w:rPr>
                <w:rFonts w:hint="eastAsia" w:ascii="仿宋_GB2312" w:hAnsi="仿宋_GB2312" w:eastAsia="仿宋_GB2312" w:cs="仿宋_GB2312"/>
                <w:color w:val="auto"/>
                <w:sz w:val="24"/>
                <w:highlight w:val="none"/>
                <w:lang w:eastAsia="zh-CN"/>
              </w:rPr>
              <w:t>“</w:t>
            </w:r>
            <w:r>
              <w:rPr>
                <w:rFonts w:hint="eastAsia" w:ascii="仿宋_GB2312" w:hAnsi="仿宋_GB2312" w:eastAsia="仿宋_GB2312" w:cs="仿宋_GB2312"/>
                <w:color w:val="auto"/>
                <w:sz w:val="24"/>
                <w:highlight w:val="none"/>
              </w:rPr>
              <w:t>全球经营</w:t>
            </w:r>
            <w:r>
              <w:rPr>
                <w:rFonts w:hint="eastAsia" w:ascii="仿宋_GB2312" w:hAnsi="仿宋_GB2312" w:eastAsia="仿宋_GB2312" w:cs="仿宋_GB2312"/>
                <w:color w:val="auto"/>
                <w:sz w:val="24"/>
                <w:highlight w:val="none"/>
                <w:lang w:eastAsia="zh-CN"/>
              </w:rPr>
              <w:t>”</w:t>
            </w:r>
            <w:r>
              <w:rPr>
                <w:rFonts w:hint="eastAsia" w:ascii="仿宋_GB2312" w:hAnsi="仿宋_GB2312" w:eastAsia="仿宋_GB2312" w:cs="仿宋_GB2312"/>
                <w:color w:val="auto"/>
                <w:sz w:val="24"/>
                <w:highlight w:val="none"/>
              </w:rPr>
              <w:t>与</w:t>
            </w:r>
            <w:r>
              <w:rPr>
                <w:rFonts w:hint="eastAsia" w:ascii="仿宋_GB2312" w:hAnsi="仿宋_GB2312" w:eastAsia="仿宋_GB2312" w:cs="仿宋_GB2312"/>
                <w:color w:val="auto"/>
                <w:sz w:val="24"/>
                <w:highlight w:val="none"/>
                <w:lang w:eastAsia="zh-CN"/>
              </w:rPr>
              <w:t>“</w:t>
            </w:r>
            <w:r>
              <w:rPr>
                <w:rFonts w:hint="eastAsia" w:ascii="仿宋_GB2312" w:hAnsi="仿宋_GB2312" w:eastAsia="仿宋_GB2312" w:cs="仿宋_GB2312"/>
                <w:color w:val="auto"/>
                <w:sz w:val="24"/>
                <w:highlight w:val="none"/>
              </w:rPr>
              <w:t>主权安全</w:t>
            </w:r>
            <w:r>
              <w:rPr>
                <w:rFonts w:hint="eastAsia" w:ascii="仿宋_GB2312" w:hAnsi="仿宋_GB2312" w:eastAsia="仿宋_GB2312" w:cs="仿宋_GB2312"/>
                <w:color w:val="auto"/>
                <w:sz w:val="24"/>
                <w:highlight w:val="none"/>
                <w:lang w:eastAsia="zh-CN"/>
              </w:rPr>
              <w:t>”</w:t>
            </w:r>
            <w:r>
              <w:rPr>
                <w:rFonts w:hint="eastAsia" w:ascii="仿宋_GB2312" w:hAnsi="仿宋_GB2312" w:eastAsia="仿宋_GB2312" w:cs="仿宋_GB2312"/>
                <w:color w:val="auto"/>
                <w:sz w:val="24"/>
                <w:highlight w:val="none"/>
              </w:rPr>
              <w:t>并重的职业价值观，引导其成为新时代高水平对外开放的复合型法治人才。</w:t>
            </w:r>
          </w:p>
        </w:tc>
        <w:tc>
          <w:tcPr>
            <w:tcW w:w="2464" w:type="dxa"/>
            <w:vAlign w:val="top"/>
          </w:tcPr>
          <w:p>
            <w:pPr>
              <w:keepNext w:val="0"/>
              <w:keepLines w:val="0"/>
              <w:pageBreakBefore w:val="0"/>
              <w:widowControl w:val="0"/>
              <w:kinsoku/>
              <w:wordWrap/>
              <w:overflowPunct w:val="0"/>
              <w:topLinePunct w:val="0"/>
              <w:autoSpaceDE/>
              <w:autoSpaceDN/>
              <w:bidi w:val="0"/>
              <w:adjustRightInd w:val="0"/>
              <w:snapToGrid/>
              <w:spacing w:line="360" w:lineRule="atLeast"/>
              <w:jc w:val="both"/>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szCs w:val="24"/>
                <w:highlight w:val="none"/>
              </w:rPr>
              <w:t>主要是国际商法概述</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商事组织法</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国际商事代理法</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国际商事合同法</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国际货物买卖法等</w:t>
            </w:r>
            <w:r>
              <w:rPr>
                <w:rFonts w:hint="eastAsia" w:ascii="仿宋_GB2312" w:hAnsi="仿宋_GB2312" w:eastAsia="仿宋_GB2312" w:cs="仿宋_GB2312"/>
                <w:color w:val="auto"/>
                <w:sz w:val="24"/>
                <w:szCs w:val="24"/>
                <w:highlight w:val="none"/>
                <w:lang w:eastAsia="zh-CN"/>
              </w:rPr>
              <w:t>。</w:t>
            </w:r>
          </w:p>
        </w:tc>
        <w:tc>
          <w:tcPr>
            <w:tcW w:w="2247" w:type="dxa"/>
            <w:vAlign w:val="top"/>
          </w:tcPr>
          <w:p>
            <w:pPr>
              <w:keepNext w:val="0"/>
              <w:keepLines w:val="0"/>
              <w:pageBreakBefore w:val="0"/>
              <w:widowControl w:val="0"/>
              <w:kinsoku/>
              <w:wordWrap/>
              <w:overflowPunct/>
              <w:topLinePunct w:val="0"/>
              <w:autoSpaceDE/>
              <w:autoSpaceDN/>
              <w:bidi w:val="0"/>
              <w:adjustRightInd/>
              <w:snapToGrid/>
              <w:spacing w:line="360" w:lineRule="atLeast"/>
              <w:jc w:val="both"/>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kern w:val="2"/>
                <w:sz w:val="24"/>
                <w:szCs w:val="24"/>
                <w:highlight w:val="none"/>
                <w:vertAlign w:val="baseline"/>
                <w:lang w:val="en-US" w:eastAsia="zh-CN" w:bidi="ar-SA"/>
              </w:rPr>
              <w:t>通过国内外真实案例，分析国际商法在实际应用中的挑战与解决方案，增强学生对法律条文的理解和应用能力。培养学生的全球意识，理解不同法律体系和文化背景对国际商法适用的影响。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5"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仿宋_GB2312" w:hAnsi="仿宋_GB2312" w:eastAsia="仿宋_GB2312" w:cs="仿宋_GB2312"/>
                <w:color w:val="auto"/>
                <w:sz w:val="24"/>
                <w:highlight w:val="none"/>
                <w:lang w:val="en-US" w:eastAsia="zh-CN"/>
              </w:rPr>
            </w:pPr>
            <w:r>
              <w:rPr>
                <w:rFonts w:hint="eastAsia" w:ascii="仿宋_GB2312" w:hAnsi="仿宋_GB2312" w:eastAsia="仿宋_GB2312" w:cs="仿宋_GB2312"/>
                <w:color w:val="auto"/>
                <w:sz w:val="24"/>
                <w:highlight w:val="none"/>
                <w:lang w:val="en-US" w:eastAsia="zh-CN"/>
              </w:rPr>
              <w:t>8</w:t>
            </w:r>
          </w:p>
        </w:tc>
        <w:tc>
          <w:tcPr>
            <w:tcW w:w="896" w:type="dxa"/>
            <w:vAlign w:val="center"/>
          </w:tcPr>
          <w:p>
            <w:pPr>
              <w:keepNext w:val="0"/>
              <w:keepLines w:val="0"/>
              <w:pageBreakBefore w:val="0"/>
              <w:widowControl w:val="0"/>
              <w:kinsoku/>
              <w:wordWrap/>
              <w:overflowPunct w:val="0"/>
              <w:topLinePunct w:val="0"/>
              <w:autoSpaceDE/>
              <w:autoSpaceDN/>
              <w:bidi w:val="0"/>
              <w:adjustRightInd w:val="0"/>
              <w:snapToGrid/>
              <w:spacing w:line="360" w:lineRule="atLeast"/>
              <w:jc w:val="center"/>
              <w:textAlignment w:val="auto"/>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color w:val="auto"/>
                <w:sz w:val="24"/>
                <w:szCs w:val="24"/>
                <w:highlight w:val="none"/>
              </w:rPr>
              <w:t>国际</w:t>
            </w:r>
            <w:r>
              <w:rPr>
                <w:rFonts w:hint="eastAsia" w:ascii="仿宋_GB2312" w:hAnsi="仿宋_GB2312" w:eastAsia="仿宋_GB2312" w:cs="仿宋_GB2312"/>
                <w:color w:val="auto"/>
                <w:sz w:val="24"/>
                <w:szCs w:val="24"/>
                <w:highlight w:val="none"/>
                <w:lang w:val="en-US" w:eastAsia="zh-CN"/>
              </w:rPr>
              <w:t>贸易</w:t>
            </w:r>
            <w:r>
              <w:rPr>
                <w:rFonts w:hint="eastAsia" w:ascii="仿宋_GB2312" w:hAnsi="仿宋_GB2312" w:eastAsia="仿宋_GB2312" w:cs="仿宋_GB2312"/>
                <w:color w:val="auto"/>
                <w:sz w:val="24"/>
                <w:szCs w:val="24"/>
                <w:highlight w:val="none"/>
              </w:rPr>
              <w:t>结算</w:t>
            </w:r>
          </w:p>
        </w:tc>
        <w:tc>
          <w:tcPr>
            <w:tcW w:w="4201" w:type="dxa"/>
            <w:vAlign w:val="top"/>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b/>
                <w:bCs/>
                <w:color w:val="auto"/>
                <w:sz w:val="24"/>
                <w:highlight w:val="none"/>
              </w:rPr>
              <w:t>‌知识目标</w:t>
            </w:r>
            <w:r>
              <w:rPr>
                <w:rFonts w:hint="eastAsia" w:ascii="仿宋_GB2312" w:hAnsi="仿宋_GB2312" w:eastAsia="仿宋_GB2312" w:cs="仿宋_GB2312"/>
                <w:b/>
                <w:bCs/>
                <w:color w:val="auto"/>
                <w:sz w:val="24"/>
                <w:highlight w:val="none"/>
                <w:lang w:eastAsia="zh-CN"/>
              </w:rPr>
              <w:t>：</w:t>
            </w:r>
            <w:r>
              <w:rPr>
                <w:rFonts w:hint="eastAsia" w:ascii="仿宋_GB2312" w:hAnsi="仿宋_GB2312" w:eastAsia="仿宋_GB2312" w:cs="仿宋_GB2312"/>
                <w:color w:val="auto"/>
                <w:sz w:val="24"/>
                <w:highlight w:val="none"/>
              </w:rPr>
              <w:t>‌系统掌握国际贸易结算核心工具（信用证、托收、汇付的运作机制）、国际结算单据（商业发票、海运提单、保险单的缮制规范）及跨境支付系统（SWIFT报文、CIPS人民币跨境支付流程），熟悉新型结算方式（区块链信用证、电子票据）及风险防范措施（UCP600第14条审单标准），理解RCEP原产地规则、外汇管制政策等对结算业务的影响，并能运用专业术语完成结算方案设计、纠纷处理等场景分析。</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b/>
                <w:bCs/>
                <w:color w:val="auto"/>
                <w:sz w:val="24"/>
                <w:highlight w:val="none"/>
              </w:rPr>
              <w:t>‌能力目标</w:t>
            </w:r>
            <w:r>
              <w:rPr>
                <w:rFonts w:hint="eastAsia" w:ascii="仿宋_GB2312" w:hAnsi="仿宋_GB2312" w:eastAsia="仿宋_GB2312" w:cs="仿宋_GB2312"/>
                <w:b/>
                <w:bCs/>
                <w:color w:val="auto"/>
                <w:sz w:val="24"/>
                <w:highlight w:val="none"/>
                <w:lang w:eastAsia="zh-CN"/>
              </w:rPr>
              <w:t>：</w:t>
            </w:r>
            <w:r>
              <w:rPr>
                <w:rFonts w:hint="eastAsia" w:ascii="仿宋_GB2312" w:hAnsi="仿宋_GB2312" w:eastAsia="仿宋_GB2312" w:cs="仿宋_GB2312"/>
                <w:color w:val="auto"/>
                <w:sz w:val="24"/>
                <w:highlight w:val="none"/>
              </w:rPr>
              <w:t>‌具备全流程国际贸易结算实操能力，能独立完成信用证开立申请（ISBP745条款适用）、单据审核（</w:t>
            </w:r>
            <w:r>
              <w:rPr>
                <w:rFonts w:hint="eastAsia" w:ascii="仿宋_GB2312" w:hAnsi="仿宋_GB2312" w:eastAsia="仿宋_GB2312" w:cs="仿宋_GB2312"/>
                <w:color w:val="auto"/>
                <w:sz w:val="24"/>
                <w:highlight w:val="none"/>
                <w:lang w:eastAsia="zh-CN"/>
              </w:rPr>
              <w:t>“</w:t>
            </w:r>
            <w:r>
              <w:rPr>
                <w:rFonts w:hint="eastAsia" w:ascii="仿宋_GB2312" w:hAnsi="仿宋_GB2312" w:eastAsia="仿宋_GB2312" w:cs="仿宋_GB2312"/>
                <w:color w:val="auto"/>
                <w:sz w:val="24"/>
                <w:highlight w:val="none"/>
              </w:rPr>
              <w:t>单单一致</w:t>
            </w:r>
            <w:r>
              <w:rPr>
                <w:rFonts w:hint="eastAsia" w:ascii="仿宋_GB2312" w:hAnsi="仿宋_GB2312" w:eastAsia="仿宋_GB2312" w:cs="仿宋_GB2312"/>
                <w:color w:val="auto"/>
                <w:sz w:val="24"/>
                <w:highlight w:val="none"/>
                <w:lang w:eastAsia="zh-CN"/>
              </w:rPr>
              <w:t>”</w:t>
            </w:r>
            <w:r>
              <w:rPr>
                <w:rFonts w:hint="eastAsia" w:ascii="仿宋_GB2312" w:hAnsi="仿宋_GB2312" w:eastAsia="仿宋_GB2312" w:cs="仿宋_GB2312"/>
                <w:color w:val="auto"/>
                <w:sz w:val="24"/>
                <w:highlight w:val="none"/>
              </w:rPr>
              <w:t>原则应用）及跨境收付汇操作（外汇申报系统填报），掌握汇率避险工具（远期结售汇操作）、反洗钱合规（客户身份识别）等数字化工具应用，具备快速应对突发结算事件（如信用证软条款陷阱）的应变能力。</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b/>
                <w:bCs/>
                <w:color w:val="auto"/>
                <w:sz w:val="24"/>
                <w:highlight w:val="none"/>
              </w:rPr>
              <w:t>‌素质目标</w:t>
            </w:r>
            <w:r>
              <w:rPr>
                <w:rFonts w:hint="eastAsia" w:ascii="仿宋_GB2312" w:hAnsi="仿宋_GB2312" w:eastAsia="仿宋_GB2312" w:cs="仿宋_GB2312"/>
                <w:b/>
                <w:bCs/>
                <w:color w:val="auto"/>
                <w:sz w:val="24"/>
                <w:highlight w:val="none"/>
                <w:lang w:eastAsia="zh-CN"/>
              </w:rPr>
              <w:t>：</w:t>
            </w:r>
            <w:r>
              <w:rPr>
                <w:rFonts w:hint="eastAsia" w:ascii="仿宋_GB2312" w:hAnsi="仿宋_GB2312" w:eastAsia="仿宋_GB2312" w:cs="仿宋_GB2312"/>
                <w:color w:val="auto"/>
                <w:sz w:val="24"/>
                <w:highlight w:val="none"/>
              </w:rPr>
              <w:t>‌培养合规意识（遵守外汇管理条例）、细节意识（单据数据一致性）、保密意识（保护客户财务信息），养成</w:t>
            </w:r>
            <w:r>
              <w:rPr>
                <w:rFonts w:hint="eastAsia" w:ascii="仿宋_GB2312" w:hAnsi="仿宋_GB2312" w:eastAsia="仿宋_GB2312" w:cs="仿宋_GB2312"/>
                <w:color w:val="auto"/>
                <w:sz w:val="24"/>
                <w:highlight w:val="none"/>
                <w:lang w:eastAsia="zh-CN"/>
              </w:rPr>
              <w:t>“</w:t>
            </w:r>
            <w:r>
              <w:rPr>
                <w:rFonts w:hint="eastAsia" w:ascii="仿宋_GB2312" w:hAnsi="仿宋_GB2312" w:eastAsia="仿宋_GB2312" w:cs="仿宋_GB2312"/>
                <w:color w:val="auto"/>
                <w:sz w:val="24"/>
                <w:highlight w:val="none"/>
              </w:rPr>
              <w:t>结算即信用</w:t>
            </w:r>
            <w:r>
              <w:rPr>
                <w:rFonts w:hint="eastAsia" w:ascii="仿宋_GB2312" w:hAnsi="仿宋_GB2312" w:eastAsia="仿宋_GB2312" w:cs="仿宋_GB2312"/>
                <w:color w:val="auto"/>
                <w:sz w:val="24"/>
                <w:highlight w:val="none"/>
                <w:lang w:eastAsia="zh-CN"/>
              </w:rPr>
              <w:t>”</w:t>
            </w:r>
            <w:r>
              <w:rPr>
                <w:rFonts w:hint="eastAsia" w:ascii="仿宋_GB2312" w:hAnsi="仿宋_GB2312" w:eastAsia="仿宋_GB2312" w:cs="仿宋_GB2312"/>
                <w:color w:val="auto"/>
                <w:sz w:val="24"/>
                <w:highlight w:val="none"/>
              </w:rPr>
              <w:t>的职业认知（银行信用管理）、抗压能力（应对信用证拒付）和持续精进态度（跟踪eUCP电子信用证规则更新），建立</w:t>
            </w:r>
            <w:r>
              <w:rPr>
                <w:rFonts w:hint="eastAsia" w:ascii="仿宋_GB2312" w:hAnsi="仿宋_GB2312" w:eastAsia="仿宋_GB2312" w:cs="仿宋_GB2312"/>
                <w:color w:val="auto"/>
                <w:sz w:val="24"/>
                <w:highlight w:val="none"/>
                <w:lang w:eastAsia="zh-CN"/>
              </w:rPr>
              <w:t>“</w:t>
            </w:r>
            <w:r>
              <w:rPr>
                <w:rFonts w:hint="eastAsia" w:ascii="仿宋_GB2312" w:hAnsi="仿宋_GB2312" w:eastAsia="仿宋_GB2312" w:cs="仿宋_GB2312"/>
                <w:color w:val="auto"/>
                <w:sz w:val="24"/>
                <w:highlight w:val="none"/>
              </w:rPr>
              <w:t>中国标准</w:t>
            </w:r>
            <w:r>
              <w:rPr>
                <w:rFonts w:hint="eastAsia" w:ascii="仿宋_GB2312" w:hAnsi="仿宋_GB2312" w:eastAsia="仿宋_GB2312" w:cs="仿宋_GB2312"/>
                <w:color w:val="auto"/>
                <w:sz w:val="24"/>
                <w:highlight w:val="none"/>
                <w:lang w:eastAsia="zh-CN"/>
              </w:rPr>
              <w:t>”</w:t>
            </w:r>
            <w:r>
              <w:rPr>
                <w:rFonts w:hint="eastAsia" w:ascii="仿宋_GB2312" w:hAnsi="仿宋_GB2312" w:eastAsia="仿宋_GB2312" w:cs="仿宋_GB2312"/>
                <w:color w:val="auto"/>
                <w:sz w:val="24"/>
                <w:highlight w:val="none"/>
              </w:rPr>
              <w:t>与</w:t>
            </w:r>
            <w:r>
              <w:rPr>
                <w:rFonts w:hint="eastAsia" w:ascii="仿宋_GB2312" w:hAnsi="仿宋_GB2312" w:eastAsia="仿宋_GB2312" w:cs="仿宋_GB2312"/>
                <w:color w:val="auto"/>
                <w:sz w:val="24"/>
                <w:highlight w:val="none"/>
                <w:lang w:eastAsia="zh-CN"/>
              </w:rPr>
              <w:t>“</w:t>
            </w:r>
            <w:r>
              <w:rPr>
                <w:rFonts w:hint="eastAsia" w:ascii="仿宋_GB2312" w:hAnsi="仿宋_GB2312" w:eastAsia="仿宋_GB2312" w:cs="仿宋_GB2312"/>
                <w:color w:val="auto"/>
                <w:sz w:val="24"/>
                <w:highlight w:val="none"/>
              </w:rPr>
              <w:t>国际惯例</w:t>
            </w:r>
            <w:r>
              <w:rPr>
                <w:rFonts w:hint="eastAsia" w:ascii="仿宋_GB2312" w:hAnsi="仿宋_GB2312" w:eastAsia="仿宋_GB2312" w:cs="仿宋_GB2312"/>
                <w:color w:val="auto"/>
                <w:sz w:val="24"/>
                <w:highlight w:val="none"/>
                <w:lang w:eastAsia="zh-CN"/>
              </w:rPr>
              <w:t>”</w:t>
            </w:r>
            <w:r>
              <w:rPr>
                <w:rFonts w:hint="eastAsia" w:ascii="仿宋_GB2312" w:hAnsi="仿宋_GB2312" w:eastAsia="仿宋_GB2312" w:cs="仿宋_GB2312"/>
                <w:color w:val="auto"/>
                <w:sz w:val="24"/>
                <w:highlight w:val="none"/>
              </w:rPr>
              <w:t>的对接思维。</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b/>
                <w:bCs/>
                <w:color w:val="auto"/>
                <w:sz w:val="24"/>
                <w:highlight w:val="none"/>
              </w:rPr>
              <w:t>‌课程思政育人目标</w:t>
            </w:r>
            <w:r>
              <w:rPr>
                <w:rFonts w:hint="eastAsia" w:ascii="仿宋_GB2312" w:hAnsi="仿宋_GB2312" w:eastAsia="仿宋_GB2312" w:cs="仿宋_GB2312"/>
                <w:b/>
                <w:bCs/>
                <w:color w:val="auto"/>
                <w:sz w:val="24"/>
                <w:highlight w:val="none"/>
                <w:lang w:eastAsia="zh-CN"/>
              </w:rPr>
              <w:t>：</w:t>
            </w:r>
            <w:r>
              <w:rPr>
                <w:rFonts w:hint="eastAsia" w:ascii="仿宋_GB2312" w:hAnsi="仿宋_GB2312" w:eastAsia="仿宋_GB2312" w:cs="仿宋_GB2312"/>
                <w:color w:val="auto"/>
                <w:sz w:val="24"/>
                <w:highlight w:val="none"/>
              </w:rPr>
              <w:t>‌将</w:t>
            </w:r>
            <w:r>
              <w:rPr>
                <w:rFonts w:hint="eastAsia" w:ascii="仿宋_GB2312" w:hAnsi="仿宋_GB2312" w:eastAsia="仿宋_GB2312" w:cs="仿宋_GB2312"/>
                <w:color w:val="auto"/>
                <w:sz w:val="24"/>
                <w:highlight w:val="none"/>
                <w:lang w:eastAsia="zh-CN"/>
              </w:rPr>
              <w:t>“</w:t>
            </w:r>
            <w:r>
              <w:rPr>
                <w:rFonts w:hint="eastAsia" w:ascii="仿宋_GB2312" w:hAnsi="仿宋_GB2312" w:eastAsia="仿宋_GB2312" w:cs="仿宋_GB2312"/>
                <w:color w:val="auto"/>
                <w:sz w:val="24"/>
                <w:highlight w:val="none"/>
              </w:rPr>
              <w:t>金融安全</w:t>
            </w:r>
            <w:r>
              <w:rPr>
                <w:rFonts w:hint="eastAsia" w:ascii="仿宋_GB2312" w:hAnsi="仿宋_GB2312" w:eastAsia="仿宋_GB2312" w:cs="仿宋_GB2312"/>
                <w:color w:val="auto"/>
                <w:sz w:val="24"/>
                <w:highlight w:val="none"/>
                <w:lang w:eastAsia="zh-CN"/>
              </w:rPr>
              <w:t>”</w:t>
            </w:r>
            <w:r>
              <w:rPr>
                <w:rFonts w:hint="eastAsia" w:ascii="仿宋_GB2312" w:hAnsi="仿宋_GB2312" w:eastAsia="仿宋_GB2312" w:cs="仿宋_GB2312"/>
                <w:color w:val="auto"/>
                <w:sz w:val="24"/>
                <w:highlight w:val="none"/>
              </w:rPr>
              <w:t>与</w:t>
            </w:r>
            <w:r>
              <w:rPr>
                <w:rFonts w:hint="eastAsia" w:ascii="仿宋_GB2312" w:hAnsi="仿宋_GB2312" w:eastAsia="仿宋_GB2312" w:cs="仿宋_GB2312"/>
                <w:color w:val="auto"/>
                <w:sz w:val="24"/>
                <w:highlight w:val="none"/>
                <w:lang w:eastAsia="zh-CN"/>
              </w:rPr>
              <w:t>“</w:t>
            </w:r>
            <w:r>
              <w:rPr>
                <w:rFonts w:hint="eastAsia" w:ascii="仿宋_GB2312" w:hAnsi="仿宋_GB2312" w:eastAsia="仿宋_GB2312" w:cs="仿宋_GB2312"/>
                <w:color w:val="auto"/>
                <w:sz w:val="24"/>
                <w:highlight w:val="none"/>
              </w:rPr>
              <w:t>开放共赢</w:t>
            </w:r>
            <w:r>
              <w:rPr>
                <w:rFonts w:hint="eastAsia" w:ascii="仿宋_GB2312" w:hAnsi="仿宋_GB2312" w:eastAsia="仿宋_GB2312" w:cs="仿宋_GB2312"/>
                <w:color w:val="auto"/>
                <w:sz w:val="24"/>
                <w:highlight w:val="none"/>
                <w:lang w:eastAsia="zh-CN"/>
              </w:rPr>
              <w:t>”</w:t>
            </w:r>
            <w:r>
              <w:rPr>
                <w:rFonts w:hint="eastAsia" w:ascii="仿宋_GB2312" w:hAnsi="仿宋_GB2312" w:eastAsia="仿宋_GB2312" w:cs="仿宋_GB2312"/>
                <w:color w:val="auto"/>
                <w:sz w:val="24"/>
                <w:highlight w:val="none"/>
              </w:rPr>
              <w:t>理念贯穿教学，通过人民币国际化案例（跨境贸易人民币结算试点）增强制度自信，结合《出口管制法》讲解合规结算要求，培育学生</w:t>
            </w:r>
            <w:r>
              <w:rPr>
                <w:rFonts w:hint="eastAsia" w:ascii="仿宋_GB2312" w:hAnsi="仿宋_GB2312" w:eastAsia="仿宋_GB2312" w:cs="仿宋_GB2312"/>
                <w:color w:val="auto"/>
                <w:sz w:val="24"/>
                <w:highlight w:val="none"/>
                <w:lang w:eastAsia="zh-CN"/>
              </w:rPr>
              <w:t>“</w:t>
            </w:r>
            <w:r>
              <w:rPr>
                <w:rFonts w:hint="eastAsia" w:ascii="仿宋_GB2312" w:hAnsi="仿宋_GB2312" w:eastAsia="仿宋_GB2312" w:cs="仿宋_GB2312"/>
                <w:color w:val="auto"/>
                <w:sz w:val="24"/>
                <w:highlight w:val="none"/>
              </w:rPr>
              <w:t>用结算服务国家战略</w:t>
            </w:r>
            <w:r>
              <w:rPr>
                <w:rFonts w:hint="eastAsia" w:ascii="仿宋_GB2312" w:hAnsi="仿宋_GB2312" w:eastAsia="仿宋_GB2312" w:cs="仿宋_GB2312"/>
                <w:color w:val="auto"/>
                <w:sz w:val="24"/>
                <w:highlight w:val="none"/>
                <w:lang w:eastAsia="zh-CN"/>
              </w:rPr>
              <w:t>”</w:t>
            </w:r>
            <w:r>
              <w:rPr>
                <w:rFonts w:hint="eastAsia" w:ascii="仿宋_GB2312" w:hAnsi="仿宋_GB2312" w:eastAsia="仿宋_GB2312" w:cs="仿宋_GB2312"/>
                <w:color w:val="auto"/>
                <w:sz w:val="24"/>
                <w:highlight w:val="none"/>
              </w:rPr>
              <w:t>的能力，树立</w:t>
            </w:r>
            <w:r>
              <w:rPr>
                <w:rFonts w:hint="eastAsia" w:ascii="仿宋_GB2312" w:hAnsi="仿宋_GB2312" w:eastAsia="仿宋_GB2312" w:cs="仿宋_GB2312"/>
                <w:color w:val="auto"/>
                <w:sz w:val="24"/>
                <w:highlight w:val="none"/>
                <w:lang w:eastAsia="zh-CN"/>
              </w:rPr>
              <w:t>“</w:t>
            </w:r>
            <w:r>
              <w:rPr>
                <w:rFonts w:hint="eastAsia" w:ascii="仿宋_GB2312" w:hAnsi="仿宋_GB2312" w:eastAsia="仿宋_GB2312" w:cs="仿宋_GB2312"/>
                <w:color w:val="auto"/>
                <w:sz w:val="24"/>
                <w:highlight w:val="none"/>
              </w:rPr>
              <w:t>全球金融</w:t>
            </w:r>
            <w:r>
              <w:rPr>
                <w:rFonts w:hint="eastAsia" w:ascii="仿宋_GB2312" w:hAnsi="仿宋_GB2312" w:eastAsia="仿宋_GB2312" w:cs="仿宋_GB2312"/>
                <w:color w:val="auto"/>
                <w:sz w:val="24"/>
                <w:highlight w:val="none"/>
                <w:lang w:eastAsia="zh-CN"/>
              </w:rPr>
              <w:t>”</w:t>
            </w:r>
            <w:r>
              <w:rPr>
                <w:rFonts w:hint="eastAsia" w:ascii="仿宋_GB2312" w:hAnsi="仿宋_GB2312" w:eastAsia="仿宋_GB2312" w:cs="仿宋_GB2312"/>
                <w:color w:val="auto"/>
                <w:sz w:val="24"/>
                <w:highlight w:val="none"/>
              </w:rPr>
              <w:t>与</w:t>
            </w:r>
            <w:r>
              <w:rPr>
                <w:rFonts w:hint="eastAsia" w:ascii="仿宋_GB2312" w:hAnsi="仿宋_GB2312" w:eastAsia="仿宋_GB2312" w:cs="仿宋_GB2312"/>
                <w:color w:val="auto"/>
                <w:sz w:val="24"/>
                <w:highlight w:val="none"/>
                <w:lang w:eastAsia="zh-CN"/>
              </w:rPr>
              <w:t>“</w:t>
            </w:r>
            <w:r>
              <w:rPr>
                <w:rFonts w:hint="eastAsia" w:ascii="仿宋_GB2312" w:hAnsi="仿宋_GB2312" w:eastAsia="仿宋_GB2312" w:cs="仿宋_GB2312"/>
                <w:color w:val="auto"/>
                <w:sz w:val="24"/>
                <w:highlight w:val="none"/>
              </w:rPr>
              <w:t>风险防控</w:t>
            </w:r>
            <w:r>
              <w:rPr>
                <w:rFonts w:hint="eastAsia" w:ascii="仿宋_GB2312" w:hAnsi="仿宋_GB2312" w:eastAsia="仿宋_GB2312" w:cs="仿宋_GB2312"/>
                <w:color w:val="auto"/>
                <w:sz w:val="24"/>
                <w:highlight w:val="none"/>
                <w:lang w:eastAsia="zh-CN"/>
              </w:rPr>
              <w:t>”</w:t>
            </w:r>
            <w:r>
              <w:rPr>
                <w:rFonts w:hint="eastAsia" w:ascii="仿宋_GB2312" w:hAnsi="仿宋_GB2312" w:eastAsia="仿宋_GB2312" w:cs="仿宋_GB2312"/>
                <w:color w:val="auto"/>
                <w:sz w:val="24"/>
                <w:highlight w:val="none"/>
              </w:rPr>
              <w:t>并重的职业价值观，引导其成为新时代国际贸易结算的复合型人才。</w:t>
            </w:r>
          </w:p>
        </w:tc>
        <w:tc>
          <w:tcPr>
            <w:tcW w:w="2464" w:type="dxa"/>
            <w:vAlign w:val="top"/>
          </w:tcPr>
          <w:p>
            <w:pPr>
              <w:keepNext w:val="0"/>
              <w:keepLines w:val="0"/>
              <w:pageBreakBefore w:val="0"/>
              <w:widowControl w:val="0"/>
              <w:kinsoku/>
              <w:wordWrap/>
              <w:overflowPunct w:val="0"/>
              <w:topLinePunct w:val="0"/>
              <w:autoSpaceDE/>
              <w:autoSpaceDN/>
              <w:bidi w:val="0"/>
              <w:adjustRightInd w:val="0"/>
              <w:snapToGrid/>
              <w:spacing w:line="360" w:lineRule="atLeast"/>
              <w:jc w:val="both"/>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kern w:val="2"/>
                <w:sz w:val="24"/>
                <w:szCs w:val="24"/>
                <w:highlight w:val="none"/>
                <w:vertAlign w:val="baseline"/>
                <w:lang w:val="en-US" w:eastAsia="zh-CN" w:bidi="ar-SA"/>
              </w:rPr>
              <w:t>‌国际结算概述、国际结算工具—票据、汇款、托收、信用证、银行保函和备用信用证、国际结算方式的选择、国际结算中的单据、国际非贸易结算。</w:t>
            </w:r>
          </w:p>
        </w:tc>
        <w:tc>
          <w:tcPr>
            <w:tcW w:w="2247" w:type="dxa"/>
            <w:vAlign w:val="top"/>
          </w:tcPr>
          <w:p>
            <w:pPr>
              <w:keepNext w:val="0"/>
              <w:keepLines w:val="0"/>
              <w:pageBreakBefore w:val="0"/>
              <w:widowControl w:val="0"/>
              <w:kinsoku/>
              <w:wordWrap/>
              <w:overflowPunct/>
              <w:topLinePunct w:val="0"/>
              <w:autoSpaceDE/>
              <w:autoSpaceDN/>
              <w:bidi w:val="0"/>
              <w:adjustRightInd/>
              <w:snapToGrid/>
              <w:spacing w:line="360" w:lineRule="atLeast"/>
              <w:jc w:val="both"/>
              <w:textAlignment w:val="auto"/>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color w:val="auto"/>
                <w:kern w:val="2"/>
                <w:sz w:val="24"/>
                <w:szCs w:val="24"/>
                <w:highlight w:val="none"/>
                <w:vertAlign w:val="baseline"/>
                <w:lang w:val="en-US" w:eastAsia="zh-CN" w:bidi="ar-SA"/>
              </w:rPr>
              <w:t>采用课堂讲授与案例分析相结合的方式进行教学。通过具体案例的分析和讨论，加深学生对国际结算理论知识的理解。</w:t>
            </w:r>
          </w:p>
          <w:p>
            <w:pPr>
              <w:keepNext w:val="0"/>
              <w:keepLines w:val="0"/>
              <w:pageBreakBefore w:val="0"/>
              <w:widowControl w:val="0"/>
              <w:kinsoku/>
              <w:wordWrap/>
              <w:overflowPunct/>
              <w:topLinePunct w:val="0"/>
              <w:autoSpaceDE/>
              <w:autoSpaceDN/>
              <w:bidi w:val="0"/>
              <w:adjustRightInd/>
              <w:snapToGrid/>
              <w:spacing w:line="360" w:lineRule="atLeast"/>
              <w:jc w:val="both"/>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kern w:val="2"/>
                <w:sz w:val="24"/>
                <w:szCs w:val="24"/>
                <w:highlight w:val="none"/>
                <w:vertAlign w:val="baseline"/>
                <w:lang w:val="en-US" w:eastAsia="zh-CN" w:bidi="ar-SA"/>
              </w:rPr>
              <w:t>强调实践教学环节，通过模拟操作、上机实验等方式提高学生的实际操作能力。</w:t>
            </w:r>
          </w:p>
        </w:tc>
      </w:tr>
      <w:bookmarkEnd w:id="2"/>
    </w:tbl>
    <w:p>
      <w:pPr>
        <w:keepNext w:val="0"/>
        <w:keepLines w:val="0"/>
        <w:pageBreakBefore w:val="0"/>
        <w:widowControl w:val="0"/>
        <w:kinsoku/>
        <w:wordWrap/>
        <w:overflowPunct/>
        <w:topLinePunct w:val="0"/>
        <w:autoSpaceDE/>
        <w:autoSpaceDN/>
        <w:bidi w:val="0"/>
        <w:adjustRightInd w:val="0"/>
        <w:snapToGrid w:val="0"/>
        <w:spacing w:after="0" w:line="520" w:lineRule="exact"/>
        <w:ind w:firstLine="640" w:firstLineChars="200"/>
        <w:textAlignment w:val="auto"/>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2.专业核心课程</w:t>
      </w:r>
      <w:bookmarkEnd w:id="3"/>
    </w:p>
    <w:p>
      <w:pPr>
        <w:keepNext w:val="0"/>
        <w:keepLines w:val="0"/>
        <w:pageBreakBefore w:val="0"/>
        <w:widowControl w:val="0"/>
        <w:numPr>
          <w:ilvl w:val="0"/>
          <w:numId w:val="0"/>
        </w:numPr>
        <w:kinsoku/>
        <w:wordWrap/>
        <w:overflowPunct/>
        <w:topLinePunct w:val="0"/>
        <w:autoSpaceDE/>
        <w:autoSpaceDN/>
        <w:bidi w:val="0"/>
        <w:adjustRightInd w:val="0"/>
        <w:snapToGrid w:val="0"/>
        <w:spacing w:after="0" w:line="520" w:lineRule="exact"/>
        <w:ind w:firstLine="640" w:firstLineChars="200"/>
        <w:textAlignment w:val="auto"/>
        <w:rPr>
          <w:rFonts w:hint="eastAsia" w:ascii="仿宋_GB2312" w:hAnsi="仿宋_GB2312" w:eastAsia="仿宋_GB2312" w:cs="仿宋_GB2312"/>
          <w:color w:val="auto"/>
          <w:spacing w:val="-4"/>
          <w:sz w:val="32"/>
          <w:szCs w:val="32"/>
          <w:highlight w:val="none"/>
          <w:lang w:eastAsia="zh-CN"/>
        </w:rPr>
      </w:pPr>
      <w:r>
        <w:rPr>
          <w:rFonts w:hint="eastAsia" w:ascii="仿宋_GB2312" w:hAnsi="仿宋_GB2312" w:eastAsia="仿宋_GB2312" w:cs="仿宋_GB2312"/>
          <w:color w:val="auto"/>
          <w:sz w:val="32"/>
          <w:szCs w:val="32"/>
          <w:highlight w:val="none"/>
          <w:lang w:val="en-US" w:eastAsia="zh-CN"/>
        </w:rPr>
        <w:t>专业核心课是面向</w:t>
      </w:r>
      <w:r>
        <w:rPr>
          <w:rFonts w:hint="eastAsia" w:ascii="仿宋_GB2312" w:hAnsi="仿宋_GB2312" w:eastAsia="仿宋_GB2312" w:cs="仿宋_GB2312"/>
          <w:color w:val="auto"/>
          <w:spacing w:val="-2"/>
          <w:sz w:val="32"/>
          <w:szCs w:val="32"/>
          <w:highlight w:val="none"/>
        </w:rPr>
        <w:t>外贸单证员</w:t>
      </w:r>
      <w:r>
        <w:rPr>
          <w:rFonts w:hint="eastAsia" w:ascii="仿宋_GB2312" w:hAnsi="仿宋_GB2312" w:eastAsia="仿宋_GB2312" w:cs="仿宋_GB2312"/>
          <w:color w:val="auto"/>
          <w:spacing w:val="-2"/>
          <w:sz w:val="32"/>
          <w:szCs w:val="32"/>
          <w:highlight w:val="none"/>
          <w:lang w:eastAsia="zh-CN"/>
        </w:rPr>
        <w:t>、</w:t>
      </w:r>
      <w:r>
        <w:rPr>
          <w:rFonts w:hint="eastAsia" w:ascii="仿宋_GB2312" w:hAnsi="仿宋_GB2312" w:eastAsia="仿宋_GB2312" w:cs="仿宋_GB2312"/>
          <w:color w:val="auto"/>
          <w:spacing w:val="-2"/>
          <w:sz w:val="32"/>
          <w:szCs w:val="32"/>
          <w:highlight w:val="none"/>
        </w:rPr>
        <w:t>外贸跟单员</w:t>
      </w:r>
      <w:r>
        <w:rPr>
          <w:rFonts w:hint="eastAsia" w:ascii="仿宋_GB2312" w:hAnsi="仿宋_GB2312" w:eastAsia="仿宋_GB2312" w:cs="仿宋_GB2312"/>
          <w:color w:val="auto"/>
          <w:spacing w:val="-2"/>
          <w:sz w:val="32"/>
          <w:szCs w:val="32"/>
          <w:highlight w:val="none"/>
          <w:lang w:eastAsia="zh-CN"/>
        </w:rPr>
        <w:t>、</w:t>
      </w:r>
      <w:r>
        <w:rPr>
          <w:rFonts w:hint="eastAsia" w:ascii="仿宋_GB2312" w:hAnsi="仿宋_GB2312" w:eastAsia="仿宋_GB2312" w:cs="仿宋_GB2312"/>
          <w:color w:val="auto"/>
          <w:spacing w:val="-2"/>
          <w:sz w:val="32"/>
          <w:szCs w:val="32"/>
          <w:highlight w:val="none"/>
        </w:rPr>
        <w:t>外贸业务员</w:t>
      </w:r>
      <w:r>
        <w:rPr>
          <w:rFonts w:hint="eastAsia" w:ascii="仿宋_GB2312" w:hAnsi="仿宋_GB2312" w:eastAsia="仿宋_GB2312" w:cs="仿宋_GB2312"/>
          <w:color w:val="auto"/>
          <w:spacing w:val="-2"/>
          <w:sz w:val="32"/>
          <w:szCs w:val="32"/>
          <w:highlight w:val="none"/>
          <w:lang w:eastAsia="zh-CN"/>
        </w:rPr>
        <w:t>、</w:t>
      </w:r>
      <w:r>
        <w:rPr>
          <w:rFonts w:hint="eastAsia" w:ascii="仿宋_GB2312" w:hAnsi="仿宋_GB2312" w:eastAsia="仿宋_GB2312" w:cs="仿宋_GB2312"/>
          <w:color w:val="auto"/>
          <w:spacing w:val="-2"/>
          <w:sz w:val="32"/>
          <w:szCs w:val="32"/>
          <w:highlight w:val="none"/>
        </w:rPr>
        <w:t>跨境电子商务</w:t>
      </w:r>
      <w:r>
        <w:rPr>
          <w:rFonts w:hint="eastAsia" w:ascii="仿宋_GB2312" w:hAnsi="仿宋_GB2312" w:eastAsia="仿宋_GB2312" w:cs="仿宋_GB2312"/>
          <w:color w:val="auto"/>
          <w:spacing w:val="-2"/>
          <w:sz w:val="32"/>
          <w:szCs w:val="32"/>
          <w:highlight w:val="none"/>
          <w:lang w:eastAsia="zh-CN"/>
        </w:rPr>
        <w:t>、</w:t>
      </w:r>
      <w:r>
        <w:rPr>
          <w:rFonts w:hint="eastAsia" w:ascii="仿宋_GB2312" w:hAnsi="仿宋_GB2312" w:eastAsia="仿宋_GB2312" w:cs="仿宋_GB2312"/>
          <w:color w:val="auto"/>
          <w:spacing w:val="-2"/>
          <w:sz w:val="32"/>
          <w:szCs w:val="32"/>
          <w:highlight w:val="none"/>
        </w:rPr>
        <w:t>运营推广员</w:t>
      </w:r>
      <w:r>
        <w:rPr>
          <w:rFonts w:hint="eastAsia" w:ascii="仿宋_GB2312" w:hAnsi="仿宋_GB2312" w:eastAsia="仿宋_GB2312" w:cs="仿宋_GB2312"/>
          <w:color w:val="auto"/>
          <w:sz w:val="32"/>
          <w:szCs w:val="32"/>
          <w:highlight w:val="none"/>
          <w:lang w:val="en-US" w:eastAsia="zh-CN"/>
        </w:rPr>
        <w:t>等岗位（群），结合</w:t>
      </w:r>
      <w:r>
        <w:rPr>
          <w:rFonts w:hint="eastAsia" w:ascii="仿宋_GB2312" w:hAnsi="仿宋_GB2312" w:eastAsia="仿宋_GB2312" w:cs="仿宋_GB2312"/>
          <w:color w:val="auto"/>
          <w:spacing w:val="-2"/>
          <w:sz w:val="32"/>
          <w:szCs w:val="32"/>
          <w:highlight w:val="none"/>
        </w:rPr>
        <w:t>外贸单证员、外贸跟单员、外贸业务员、跨境电子商务、运营推广员等岗位（群）</w:t>
      </w:r>
      <w:r>
        <w:rPr>
          <w:rFonts w:hint="eastAsia" w:ascii="仿宋_GB2312" w:hAnsi="仿宋_GB2312" w:eastAsia="仿宋_GB2312" w:cs="仿宋_GB2312"/>
          <w:color w:val="auto"/>
          <w:sz w:val="32"/>
          <w:szCs w:val="32"/>
          <w:highlight w:val="none"/>
          <w:lang w:val="en-US" w:eastAsia="zh-CN"/>
        </w:rPr>
        <w:t>的就业岗位，建立</w:t>
      </w:r>
      <w:r>
        <w:rPr>
          <w:rFonts w:hint="eastAsia" w:ascii="仿宋_GB2312" w:hAnsi="仿宋_GB2312" w:eastAsia="仿宋_GB2312" w:cs="仿宋_GB2312"/>
          <w:color w:val="auto"/>
          <w:spacing w:val="-2"/>
          <w:sz w:val="32"/>
          <w:szCs w:val="32"/>
          <w:highlight w:val="none"/>
        </w:rPr>
        <w:t>国际经济与贸易</w:t>
      </w:r>
      <w:r>
        <w:rPr>
          <w:rFonts w:hint="eastAsia" w:ascii="仿宋_GB2312" w:hAnsi="仿宋_GB2312" w:eastAsia="仿宋_GB2312" w:cs="仿宋_GB2312"/>
          <w:color w:val="auto"/>
          <w:sz w:val="32"/>
          <w:szCs w:val="32"/>
          <w:highlight w:val="none"/>
          <w:lang w:val="en-US" w:eastAsia="zh-CN"/>
        </w:rPr>
        <w:t>专业核心课程，培养学生</w:t>
      </w:r>
      <w:r>
        <w:rPr>
          <w:rFonts w:hint="eastAsia" w:ascii="仿宋_GB2312" w:hAnsi="仿宋_GB2312" w:eastAsia="仿宋_GB2312" w:cs="仿宋_GB2312"/>
          <w:color w:val="auto"/>
          <w:spacing w:val="-2"/>
          <w:sz w:val="32"/>
          <w:szCs w:val="32"/>
          <w:highlight w:val="none"/>
        </w:rPr>
        <w:t>国际经济与贸易</w:t>
      </w:r>
      <w:r>
        <w:rPr>
          <w:rFonts w:hint="eastAsia" w:ascii="仿宋_GB2312" w:hAnsi="仿宋_GB2312" w:eastAsia="仿宋_GB2312" w:cs="仿宋_GB2312"/>
          <w:color w:val="auto"/>
          <w:sz w:val="32"/>
          <w:szCs w:val="32"/>
          <w:highlight w:val="none"/>
          <w:lang w:val="en-US" w:eastAsia="zh-CN"/>
        </w:rPr>
        <w:t>等方面的能力。包括</w:t>
      </w:r>
      <w:r>
        <w:rPr>
          <w:rFonts w:hint="eastAsia" w:ascii="仿宋_GB2312" w:hAnsi="仿宋_GB2312" w:eastAsia="仿宋_GB2312" w:cs="仿宋_GB2312"/>
          <w:color w:val="auto"/>
          <w:spacing w:val="-2"/>
          <w:sz w:val="32"/>
          <w:szCs w:val="32"/>
          <w:highlight w:val="none"/>
        </w:rPr>
        <w:t>外贸单证操作</w:t>
      </w:r>
      <w:r>
        <w:rPr>
          <w:rFonts w:hint="eastAsia" w:ascii="仿宋_GB2312" w:hAnsi="仿宋_GB2312" w:eastAsia="仿宋_GB2312" w:cs="仿宋_GB2312"/>
          <w:color w:val="auto"/>
          <w:spacing w:val="-2"/>
          <w:sz w:val="32"/>
          <w:szCs w:val="32"/>
          <w:highlight w:val="none"/>
          <w:lang w:eastAsia="zh-CN"/>
        </w:rPr>
        <w:t>、</w:t>
      </w:r>
      <w:r>
        <w:rPr>
          <w:rFonts w:hint="eastAsia" w:ascii="仿宋_GB2312" w:hAnsi="仿宋_GB2312" w:eastAsia="仿宋_GB2312" w:cs="仿宋_GB2312"/>
          <w:color w:val="auto"/>
          <w:spacing w:val="-2"/>
          <w:sz w:val="32"/>
          <w:szCs w:val="32"/>
          <w:highlight w:val="none"/>
        </w:rPr>
        <w:t>进出口业务操作</w:t>
      </w:r>
      <w:r>
        <w:rPr>
          <w:rFonts w:hint="eastAsia" w:ascii="仿宋_GB2312" w:hAnsi="仿宋_GB2312" w:eastAsia="仿宋_GB2312" w:cs="仿宋_GB2312"/>
          <w:color w:val="auto"/>
          <w:spacing w:val="-2"/>
          <w:sz w:val="32"/>
          <w:szCs w:val="32"/>
          <w:highlight w:val="none"/>
          <w:lang w:eastAsia="zh-CN"/>
        </w:rPr>
        <w:t>、</w:t>
      </w:r>
      <w:r>
        <w:rPr>
          <w:rFonts w:hint="eastAsia" w:ascii="仿宋_GB2312" w:hAnsi="仿宋_GB2312" w:eastAsia="仿宋_GB2312" w:cs="仿宋_GB2312"/>
          <w:color w:val="auto"/>
          <w:spacing w:val="-2"/>
          <w:sz w:val="32"/>
          <w:szCs w:val="32"/>
          <w:highlight w:val="none"/>
        </w:rPr>
        <w:t>外贸跟单操作</w:t>
      </w:r>
      <w:r>
        <w:rPr>
          <w:rFonts w:hint="eastAsia" w:ascii="仿宋_GB2312" w:hAnsi="仿宋_GB2312" w:eastAsia="仿宋_GB2312" w:cs="仿宋_GB2312"/>
          <w:color w:val="auto"/>
          <w:spacing w:val="-2"/>
          <w:sz w:val="32"/>
          <w:szCs w:val="32"/>
          <w:highlight w:val="none"/>
          <w:lang w:eastAsia="zh-CN"/>
        </w:rPr>
        <w:t>、</w:t>
      </w:r>
      <w:r>
        <w:rPr>
          <w:rFonts w:hint="eastAsia" w:ascii="仿宋_GB2312" w:hAnsi="仿宋_GB2312" w:eastAsia="仿宋_GB2312" w:cs="仿宋_GB2312"/>
          <w:color w:val="auto"/>
          <w:spacing w:val="-2"/>
          <w:sz w:val="32"/>
          <w:szCs w:val="32"/>
          <w:highlight w:val="none"/>
        </w:rPr>
        <w:t>跨境电商B2B运营</w:t>
      </w:r>
      <w:r>
        <w:rPr>
          <w:rFonts w:hint="eastAsia" w:ascii="仿宋_GB2312" w:hAnsi="仿宋_GB2312" w:eastAsia="仿宋_GB2312" w:cs="仿宋_GB2312"/>
          <w:color w:val="auto"/>
          <w:spacing w:val="-2"/>
          <w:sz w:val="32"/>
          <w:szCs w:val="32"/>
          <w:highlight w:val="none"/>
          <w:lang w:eastAsia="zh-CN"/>
        </w:rPr>
        <w:t>、</w:t>
      </w:r>
      <w:r>
        <w:rPr>
          <w:rFonts w:hint="eastAsia" w:ascii="仿宋_GB2312" w:hAnsi="仿宋_GB2312" w:eastAsia="仿宋_GB2312" w:cs="仿宋_GB2312"/>
          <w:color w:val="auto"/>
          <w:spacing w:val="-2"/>
          <w:sz w:val="32"/>
          <w:szCs w:val="32"/>
          <w:highlight w:val="none"/>
        </w:rPr>
        <w:t>跨境电商B2B营销</w:t>
      </w:r>
      <w:r>
        <w:rPr>
          <w:rFonts w:hint="eastAsia" w:ascii="仿宋_GB2312" w:hAnsi="仿宋_GB2312" w:eastAsia="仿宋_GB2312" w:cs="仿宋_GB2312"/>
          <w:color w:val="auto"/>
          <w:spacing w:val="-2"/>
          <w:sz w:val="32"/>
          <w:szCs w:val="32"/>
          <w:highlight w:val="none"/>
          <w:lang w:eastAsia="zh-CN"/>
        </w:rPr>
        <w:t>、</w:t>
      </w:r>
      <w:r>
        <w:rPr>
          <w:rFonts w:hint="eastAsia" w:ascii="仿宋_GB2312" w:hAnsi="仿宋_GB2312" w:eastAsia="仿宋_GB2312" w:cs="仿宋_GB2312"/>
          <w:color w:val="auto"/>
          <w:spacing w:val="-2"/>
          <w:sz w:val="32"/>
          <w:szCs w:val="32"/>
          <w:highlight w:val="none"/>
        </w:rPr>
        <w:t>外贸英文函电</w:t>
      </w:r>
      <w:r>
        <w:rPr>
          <w:rFonts w:hint="eastAsia" w:ascii="仿宋_GB2312" w:hAnsi="仿宋_GB2312" w:eastAsia="仿宋_GB2312" w:cs="仿宋_GB2312"/>
          <w:color w:val="auto"/>
          <w:spacing w:val="-2"/>
          <w:sz w:val="32"/>
          <w:szCs w:val="32"/>
          <w:highlight w:val="none"/>
          <w:lang w:eastAsia="zh-CN"/>
        </w:rPr>
        <w:t>、</w:t>
      </w:r>
      <w:r>
        <w:rPr>
          <w:rFonts w:hint="eastAsia" w:ascii="仿宋_GB2312" w:hAnsi="仿宋_GB2312" w:eastAsia="仿宋_GB2312" w:cs="仿宋_GB2312"/>
          <w:color w:val="auto"/>
          <w:spacing w:val="-2"/>
          <w:sz w:val="32"/>
          <w:szCs w:val="32"/>
          <w:highlight w:val="none"/>
        </w:rPr>
        <w:t>外贸风险管理</w:t>
      </w:r>
      <w:r>
        <w:rPr>
          <w:rFonts w:hint="eastAsia" w:ascii="仿宋_GB2312" w:hAnsi="仿宋_GB2312" w:eastAsia="仿宋_GB2312" w:cs="仿宋_GB2312"/>
          <w:color w:val="auto"/>
          <w:spacing w:val="-2"/>
          <w:sz w:val="32"/>
          <w:szCs w:val="32"/>
          <w:highlight w:val="none"/>
          <w:lang w:eastAsia="zh-CN"/>
        </w:rPr>
        <w:t>、</w:t>
      </w:r>
      <w:r>
        <w:rPr>
          <w:rFonts w:hint="eastAsia" w:ascii="仿宋_GB2312" w:hAnsi="仿宋_GB2312" w:eastAsia="仿宋_GB2312" w:cs="仿宋_GB2312"/>
          <w:color w:val="auto"/>
          <w:spacing w:val="-2"/>
          <w:sz w:val="32"/>
          <w:szCs w:val="32"/>
          <w:highlight w:val="none"/>
        </w:rPr>
        <w:t>跨境电商B2B销售</w:t>
      </w:r>
      <w:r>
        <w:rPr>
          <w:rFonts w:hint="eastAsia" w:ascii="仿宋_GB2312" w:hAnsi="仿宋_GB2312" w:eastAsia="仿宋_GB2312" w:cs="仿宋_GB2312"/>
          <w:color w:val="auto"/>
          <w:spacing w:val="-4"/>
          <w:sz w:val="32"/>
          <w:szCs w:val="32"/>
          <w:highlight w:val="none"/>
          <w:lang w:eastAsia="zh-CN"/>
        </w:rPr>
        <w:t>。</w:t>
      </w:r>
    </w:p>
    <w:p>
      <w:pPr>
        <w:keepNext w:val="0"/>
        <w:keepLines w:val="0"/>
        <w:pageBreakBefore w:val="0"/>
        <w:widowControl w:val="0"/>
        <w:numPr>
          <w:ilvl w:val="0"/>
          <w:numId w:val="0"/>
        </w:numPr>
        <w:kinsoku/>
        <w:wordWrap/>
        <w:overflowPunct/>
        <w:topLinePunct w:val="0"/>
        <w:autoSpaceDE/>
        <w:autoSpaceDN/>
        <w:bidi w:val="0"/>
        <w:adjustRightInd w:val="0"/>
        <w:snapToGrid w:val="0"/>
        <w:spacing w:after="0" w:line="520" w:lineRule="exact"/>
        <w:textAlignment w:val="auto"/>
        <w:rPr>
          <w:rFonts w:hint="eastAsia" w:ascii="仿宋_GB2312" w:hAnsi="仿宋_GB2312" w:eastAsia="仿宋_GB2312" w:cs="仿宋_GB2312"/>
          <w:color w:val="auto"/>
          <w:spacing w:val="-4"/>
          <w:sz w:val="32"/>
          <w:szCs w:val="32"/>
          <w:highlight w:val="none"/>
          <w:lang w:eastAsia="zh-CN"/>
        </w:rPr>
      </w:pPr>
    </w:p>
    <w:p>
      <w:pPr>
        <w:overflowPunct w:val="0"/>
        <w:adjustRightInd w:val="0"/>
        <w:spacing w:line="520" w:lineRule="exact"/>
        <w:jc w:val="center"/>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表4</w:t>
      </w:r>
      <w:r>
        <w:rPr>
          <w:rFonts w:hint="eastAsia" w:ascii="仿宋_GB2312" w:hAnsi="仿宋_GB2312" w:eastAsia="仿宋_GB2312" w:cs="仿宋_GB2312"/>
          <w:color w:val="auto"/>
          <w:sz w:val="32"/>
          <w:szCs w:val="32"/>
          <w:highlight w:val="none"/>
          <w:lang w:val="en-US" w:eastAsia="zh-CN"/>
        </w:rPr>
        <w:t xml:space="preserve"> </w:t>
      </w:r>
      <w:r>
        <w:rPr>
          <w:rFonts w:hint="eastAsia" w:ascii="仿宋_GB2312" w:hAnsi="仿宋_GB2312" w:eastAsia="仿宋_GB2312" w:cs="仿宋_GB2312"/>
          <w:color w:val="auto"/>
          <w:sz w:val="32"/>
          <w:szCs w:val="32"/>
          <w:highlight w:val="none"/>
        </w:rPr>
        <w:t>专业核心课</w:t>
      </w:r>
      <w:r>
        <w:rPr>
          <w:rFonts w:hint="eastAsia" w:ascii="仿宋_GB2312" w:hAnsi="仿宋_GB2312" w:eastAsia="仿宋_GB2312" w:cs="仿宋_GB2312"/>
          <w:color w:val="auto"/>
          <w:sz w:val="32"/>
          <w:szCs w:val="32"/>
          <w:highlight w:val="none"/>
          <w:lang w:val="en-US" w:eastAsia="zh-CN"/>
        </w:rPr>
        <w:t>课程目标、主要教学内容与要求</w:t>
      </w:r>
    </w:p>
    <w:tbl>
      <w:tblPr>
        <w:tblStyle w:val="8"/>
        <w:tblW w:w="1044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75"/>
        <w:gridCol w:w="775"/>
        <w:gridCol w:w="4100"/>
        <w:gridCol w:w="2592"/>
        <w:gridCol w:w="25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5" w:type="dxa"/>
            <w:vAlign w:val="center"/>
          </w:tcPr>
          <w:p>
            <w:pPr>
              <w:keepNext w:val="0"/>
              <w:keepLines w:val="0"/>
              <w:pageBreakBefore w:val="0"/>
              <w:widowControl w:val="0"/>
              <w:kinsoku/>
              <w:wordWrap/>
              <w:topLinePunct w:val="0"/>
              <w:autoSpaceDE/>
              <w:autoSpaceDN/>
              <w:bidi w:val="0"/>
              <w:spacing w:after="0" w:line="360" w:lineRule="exact"/>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序号</w:t>
            </w:r>
          </w:p>
        </w:tc>
        <w:tc>
          <w:tcPr>
            <w:tcW w:w="775" w:type="dxa"/>
            <w:vAlign w:val="center"/>
          </w:tcPr>
          <w:p>
            <w:pPr>
              <w:keepNext w:val="0"/>
              <w:keepLines w:val="0"/>
              <w:pageBreakBefore w:val="0"/>
              <w:widowControl w:val="0"/>
              <w:kinsoku/>
              <w:wordWrap/>
              <w:topLinePunct w:val="0"/>
              <w:autoSpaceDE/>
              <w:autoSpaceDN/>
              <w:bidi w:val="0"/>
              <w:spacing w:after="0" w:line="360" w:lineRule="exact"/>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szCs w:val="24"/>
                <w:highlight w:val="none"/>
              </w:rPr>
              <w:t>课程名称</w:t>
            </w:r>
          </w:p>
        </w:tc>
        <w:tc>
          <w:tcPr>
            <w:tcW w:w="4100" w:type="dxa"/>
            <w:vAlign w:val="center"/>
          </w:tcPr>
          <w:p>
            <w:pPr>
              <w:keepNext w:val="0"/>
              <w:keepLines w:val="0"/>
              <w:pageBreakBefore w:val="0"/>
              <w:widowControl w:val="0"/>
              <w:kinsoku/>
              <w:wordWrap/>
              <w:topLinePunct w:val="0"/>
              <w:autoSpaceDE/>
              <w:autoSpaceDN/>
              <w:bidi w:val="0"/>
              <w:spacing w:after="0" w:line="360" w:lineRule="exact"/>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szCs w:val="24"/>
                <w:highlight w:val="none"/>
                <w:lang w:val="en-US" w:eastAsia="zh-CN"/>
              </w:rPr>
              <w:t>课程</w:t>
            </w:r>
            <w:r>
              <w:rPr>
                <w:rFonts w:hint="eastAsia" w:ascii="仿宋_GB2312" w:hAnsi="仿宋_GB2312" w:eastAsia="仿宋_GB2312" w:cs="仿宋_GB2312"/>
                <w:color w:val="auto"/>
                <w:sz w:val="24"/>
                <w:szCs w:val="24"/>
                <w:highlight w:val="none"/>
              </w:rPr>
              <w:t>目标</w:t>
            </w:r>
          </w:p>
        </w:tc>
        <w:tc>
          <w:tcPr>
            <w:tcW w:w="2592" w:type="dxa"/>
            <w:vAlign w:val="center"/>
          </w:tcPr>
          <w:p>
            <w:pPr>
              <w:keepNext w:val="0"/>
              <w:keepLines w:val="0"/>
              <w:pageBreakBefore w:val="0"/>
              <w:widowControl w:val="0"/>
              <w:kinsoku/>
              <w:wordWrap/>
              <w:topLinePunct w:val="0"/>
              <w:autoSpaceDE/>
              <w:autoSpaceDN/>
              <w:bidi w:val="0"/>
              <w:spacing w:after="0" w:line="360" w:lineRule="exact"/>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szCs w:val="24"/>
                <w:highlight w:val="none"/>
                <w:lang w:val="en-US" w:eastAsia="zh-CN"/>
              </w:rPr>
              <w:t>主要</w:t>
            </w:r>
            <w:r>
              <w:rPr>
                <w:rFonts w:hint="eastAsia" w:ascii="仿宋_GB2312" w:hAnsi="仿宋_GB2312" w:eastAsia="仿宋_GB2312" w:cs="仿宋_GB2312"/>
                <w:color w:val="auto"/>
                <w:sz w:val="24"/>
                <w:szCs w:val="24"/>
                <w:highlight w:val="none"/>
              </w:rPr>
              <w:t>教学内容</w:t>
            </w:r>
          </w:p>
        </w:tc>
        <w:tc>
          <w:tcPr>
            <w:tcW w:w="2507" w:type="dxa"/>
            <w:vAlign w:val="center"/>
          </w:tcPr>
          <w:p>
            <w:pPr>
              <w:keepNext w:val="0"/>
              <w:keepLines w:val="0"/>
              <w:pageBreakBefore w:val="0"/>
              <w:widowControl w:val="0"/>
              <w:kinsoku/>
              <w:wordWrap/>
              <w:topLinePunct w:val="0"/>
              <w:autoSpaceDE/>
              <w:autoSpaceDN/>
              <w:bidi w:val="0"/>
              <w:spacing w:after="0" w:line="360" w:lineRule="exact"/>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szCs w:val="24"/>
                <w:highlight w:val="none"/>
              </w:rPr>
              <w:t>教学要求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5" w:type="dxa"/>
            <w:vAlign w:val="center"/>
          </w:tcPr>
          <w:p>
            <w:pPr>
              <w:keepNext w:val="0"/>
              <w:keepLines w:val="0"/>
              <w:pageBreakBefore w:val="0"/>
              <w:widowControl w:val="0"/>
              <w:kinsoku/>
              <w:wordWrap/>
              <w:overflowPunct w:val="0"/>
              <w:topLinePunct w:val="0"/>
              <w:autoSpaceDE/>
              <w:autoSpaceDN/>
              <w:bidi w:val="0"/>
              <w:adjustRightInd w:val="0"/>
              <w:spacing w:after="0" w:line="360" w:lineRule="exact"/>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1</w:t>
            </w:r>
          </w:p>
        </w:tc>
        <w:tc>
          <w:tcPr>
            <w:tcW w:w="775" w:type="dxa"/>
            <w:vAlign w:val="center"/>
          </w:tcPr>
          <w:p>
            <w:pPr>
              <w:keepNext w:val="0"/>
              <w:keepLines w:val="0"/>
              <w:pageBreakBefore w:val="0"/>
              <w:widowControl w:val="0"/>
              <w:kinsoku/>
              <w:wordWrap/>
              <w:overflowPunct w:val="0"/>
              <w:topLinePunct w:val="0"/>
              <w:autoSpaceDE/>
              <w:autoSpaceDN/>
              <w:bidi w:val="0"/>
              <w:adjustRightInd w:val="0"/>
              <w:snapToGrid/>
              <w:spacing w:after="0" w:line="360" w:lineRule="atLeast"/>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szCs w:val="24"/>
                <w:highlight w:val="none"/>
              </w:rPr>
              <w:t>外贸单证</w:t>
            </w:r>
            <w:r>
              <w:rPr>
                <w:rFonts w:hint="eastAsia" w:ascii="仿宋_GB2312" w:hAnsi="仿宋_GB2312" w:eastAsia="仿宋_GB2312" w:cs="仿宋_GB2312"/>
                <w:color w:val="auto"/>
                <w:sz w:val="24"/>
                <w:szCs w:val="24"/>
                <w:highlight w:val="none"/>
                <w:lang w:val="en-US" w:eastAsia="zh-CN"/>
              </w:rPr>
              <w:t>操作</w:t>
            </w:r>
          </w:p>
        </w:tc>
        <w:tc>
          <w:tcPr>
            <w:tcW w:w="4100" w:type="dxa"/>
            <w:vAlign w:val="top"/>
          </w:tcPr>
          <w:p>
            <w:pPr>
              <w:keepNext w:val="0"/>
              <w:keepLines w:val="0"/>
              <w:pageBreakBefore w:val="0"/>
              <w:widowControl w:val="0"/>
              <w:kinsoku/>
              <w:wordWrap/>
              <w:overflowPunct/>
              <w:topLinePunct w:val="0"/>
              <w:autoSpaceDE/>
              <w:autoSpaceDN/>
              <w:bidi w:val="0"/>
              <w:adjustRightInd w:val="0"/>
              <w:snapToGrid w:val="0"/>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color w:val="auto"/>
                <w:sz w:val="24"/>
                <w:szCs w:val="24"/>
                <w:highlight w:val="none"/>
                <w:lang w:val="en-US" w:eastAsia="zh-CN"/>
              </w:rPr>
              <w:t>学生系统掌握外贸单证的基本原理与操作规范，包括信用证条款解读、商业发票/装箱单/提单等核心单证的缮制要点，熟悉国际贸易术语（INCOTERMS 2020）与UCP600规则，理解跨境支付结算流程及各国海关单证的特殊要求，构建完整的单证知识体系。</w:t>
            </w:r>
          </w:p>
          <w:p>
            <w:pPr>
              <w:keepNext w:val="0"/>
              <w:keepLines w:val="0"/>
              <w:pageBreakBefore w:val="0"/>
              <w:widowControl w:val="0"/>
              <w:kinsoku/>
              <w:wordWrap/>
              <w:overflowPunct/>
              <w:topLinePunct w:val="0"/>
              <w:autoSpaceDE/>
              <w:autoSpaceDN/>
              <w:bidi w:val="0"/>
              <w:adjustRightInd w:val="0"/>
              <w:snapToGrid w:val="0"/>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培养学生独立完成全套出口单证制作的能力，包括准确审核信用证、规范填写各类单据、处理单证不符点；通过模拟软件训练电子单证操作技能，提升跨文化沟通能力与突发问题解决能力，达到“零差错”单证处理标准。</w:t>
            </w:r>
          </w:p>
          <w:p>
            <w:pPr>
              <w:keepNext w:val="0"/>
              <w:keepLines w:val="0"/>
              <w:pageBreakBefore w:val="0"/>
              <w:widowControl w:val="0"/>
              <w:kinsoku/>
              <w:wordWrap/>
              <w:overflowPunct/>
              <w:topLinePunct w:val="0"/>
              <w:autoSpaceDE/>
              <w:autoSpaceDN/>
              <w:bidi w:val="0"/>
              <w:adjustRightInd w:val="0"/>
              <w:snapToGrid w:val="0"/>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塑造严谨细致的工作态度，强化时间管理与责任意识；培养遵守国际商业惯例的契约精神，树立客户服务理念；通过团队协作完成复杂单证任务，增强抗压能力与职业韧性。</w:t>
            </w:r>
          </w:p>
          <w:p>
            <w:pPr>
              <w:keepNext w:val="0"/>
              <w:keepLines w:val="0"/>
              <w:pageBreakBefore w:val="0"/>
              <w:widowControl w:val="0"/>
              <w:kinsoku/>
              <w:wordWrap/>
              <w:overflowPunct/>
              <w:topLinePunct w:val="0"/>
              <w:autoSpaceDE/>
              <w:autoSpaceDN/>
              <w:bidi w:val="0"/>
              <w:adjustRightInd w:val="0"/>
              <w:snapToGrid w:val="0"/>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课程思政育人目标：</w:t>
            </w:r>
            <w:r>
              <w:rPr>
                <w:rFonts w:hint="eastAsia" w:ascii="仿宋_GB2312" w:hAnsi="仿宋_GB2312" w:eastAsia="仿宋_GB2312" w:cs="仿宋_GB2312"/>
                <w:color w:val="auto"/>
                <w:sz w:val="24"/>
                <w:szCs w:val="24"/>
                <w:highlight w:val="none"/>
                <w:lang w:val="en-US" w:eastAsia="zh-CN"/>
              </w:rPr>
              <w:t>将社会主义核心价值观融入单证实践，以单证真实性教育培育法治观念，通过外汇管制等教学内容树立国家安全意识；借助中国外贸发展史激发民族自豪感，培养兼具专业能力与社会责任的新时代外贸人才。</w:t>
            </w:r>
          </w:p>
        </w:tc>
        <w:tc>
          <w:tcPr>
            <w:tcW w:w="2592" w:type="dxa"/>
            <w:vAlign w:val="top"/>
          </w:tcPr>
          <w:p>
            <w:pPr>
              <w:keepNext w:val="0"/>
              <w:keepLines w:val="0"/>
              <w:pageBreakBefore w:val="0"/>
              <w:widowControl w:val="0"/>
              <w:kinsoku/>
              <w:wordWrap/>
              <w:overflowPunct w:val="0"/>
              <w:topLinePunct w:val="0"/>
              <w:autoSpaceDE/>
              <w:autoSpaceDN/>
              <w:bidi w:val="0"/>
              <w:adjustRightInd w:val="0"/>
              <w:snapToGrid/>
              <w:spacing w:after="0" w:line="360" w:lineRule="atLeast"/>
              <w:jc w:val="both"/>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szCs w:val="24"/>
                <w:highlight w:val="none"/>
              </w:rPr>
              <w:t>外贸单证概述、信用证、出口商业单据的缮制、出口资金单据的缮制、出口官方单据的缮制、其他出口单据的缮制、进口单据的缮制、外贸单据审核和各种支付条件下外贸单证模拟实训。</w:t>
            </w:r>
          </w:p>
        </w:tc>
        <w:tc>
          <w:tcPr>
            <w:tcW w:w="2507" w:type="dxa"/>
            <w:vAlign w:val="top"/>
          </w:tcPr>
          <w:p>
            <w:pPr>
              <w:keepNext w:val="0"/>
              <w:keepLines w:val="0"/>
              <w:pageBreakBefore w:val="0"/>
              <w:widowControl w:val="0"/>
              <w:kinsoku/>
              <w:wordWrap/>
              <w:overflowPunct/>
              <w:topLinePunct w:val="0"/>
              <w:autoSpaceDE/>
              <w:autoSpaceDN/>
              <w:bidi w:val="0"/>
              <w:adjustRightInd/>
              <w:snapToGrid/>
              <w:spacing w:after="0" w:line="360" w:lineRule="atLeast"/>
              <w:jc w:val="both"/>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kern w:val="2"/>
                <w:sz w:val="24"/>
                <w:szCs w:val="24"/>
                <w:highlight w:val="none"/>
                <w:vertAlign w:val="baseline"/>
                <w:lang w:val="en-US" w:eastAsia="zh-CN" w:bidi="ar-SA"/>
              </w:rPr>
              <w:t>外贸单证课程教学要求清晰，教学目标明确，需让学生掌握外贸单证基本知识、种类、作用及重要性，培养其准确高效处理单证制作、审核和管理的专业技能；教学内容全面，覆盖单证制作、审核、流转，以及国际贸易流程和支付方式等，通过案例分析、模拟实训传授实操技能，并融入职业道德教育，引导树立正确职业观念和价值观；教学方法多样，借助课堂讲授传递知识理论，以实际案例分析攻克要点难点，运用模拟软件或平台提升实操能力，通过课堂讨论、小组合作激发学习兴趣与主动性，促进师生交流合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5" w:hRule="atLeast"/>
          <w:jc w:val="center"/>
        </w:trPr>
        <w:tc>
          <w:tcPr>
            <w:tcW w:w="475" w:type="dxa"/>
            <w:vAlign w:val="center"/>
          </w:tcPr>
          <w:p>
            <w:pPr>
              <w:keepNext w:val="0"/>
              <w:keepLines w:val="0"/>
              <w:pageBreakBefore w:val="0"/>
              <w:widowControl w:val="0"/>
              <w:kinsoku/>
              <w:wordWrap/>
              <w:overflowPunct w:val="0"/>
              <w:topLinePunct w:val="0"/>
              <w:autoSpaceDE/>
              <w:autoSpaceDN/>
              <w:bidi w:val="0"/>
              <w:adjustRightInd w:val="0"/>
              <w:spacing w:after="0" w:line="360" w:lineRule="exact"/>
              <w:jc w:val="center"/>
              <w:textAlignment w:val="auto"/>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color w:val="auto"/>
                <w:sz w:val="24"/>
                <w:highlight w:val="none"/>
                <w:lang w:val="en-US" w:eastAsia="zh-CN"/>
              </w:rPr>
              <w:t>2</w:t>
            </w:r>
          </w:p>
        </w:tc>
        <w:tc>
          <w:tcPr>
            <w:tcW w:w="775" w:type="dxa"/>
            <w:vAlign w:val="center"/>
          </w:tcPr>
          <w:p>
            <w:pPr>
              <w:keepNext w:val="0"/>
              <w:keepLines w:val="0"/>
              <w:pageBreakBefore w:val="0"/>
              <w:widowControl w:val="0"/>
              <w:kinsoku/>
              <w:wordWrap/>
              <w:overflowPunct w:val="0"/>
              <w:topLinePunct w:val="0"/>
              <w:autoSpaceDE/>
              <w:autoSpaceDN/>
              <w:bidi w:val="0"/>
              <w:adjustRightInd w:val="0"/>
              <w:snapToGrid/>
              <w:spacing w:after="0" w:line="360" w:lineRule="atLeast"/>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szCs w:val="24"/>
                <w:highlight w:val="none"/>
              </w:rPr>
              <w:t>进出口业务操作</w:t>
            </w:r>
          </w:p>
        </w:tc>
        <w:tc>
          <w:tcPr>
            <w:tcW w:w="4100" w:type="dxa"/>
            <w:vAlign w:val="top"/>
          </w:tcPr>
          <w:p>
            <w:pPr>
              <w:keepNext w:val="0"/>
              <w:keepLines w:val="0"/>
              <w:pageBreakBefore w:val="0"/>
              <w:widowControl w:val="0"/>
              <w:kinsoku/>
              <w:wordWrap/>
              <w:overflowPunct/>
              <w:topLinePunct w:val="0"/>
              <w:autoSpaceDE/>
              <w:autoSpaceDN/>
              <w:bidi w:val="0"/>
              <w:adjustRightInd/>
              <w:snapToGrid w:val="0"/>
              <w:spacing w:after="0" w:line="360" w:lineRule="exact"/>
              <w:jc w:val="both"/>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b/>
                <w:bCs/>
                <w:color w:val="auto"/>
                <w:sz w:val="24"/>
                <w:highlight w:val="none"/>
              </w:rPr>
              <w:t>知识目标</w:t>
            </w:r>
            <w:r>
              <w:rPr>
                <w:rFonts w:hint="eastAsia" w:ascii="仿宋_GB2312" w:hAnsi="仿宋_GB2312" w:eastAsia="仿宋_GB2312" w:cs="仿宋_GB2312"/>
                <w:b/>
                <w:bCs/>
                <w:color w:val="auto"/>
                <w:sz w:val="24"/>
                <w:highlight w:val="none"/>
                <w:lang w:eastAsia="zh-CN"/>
              </w:rPr>
              <w:t>：</w:t>
            </w:r>
            <w:r>
              <w:rPr>
                <w:rFonts w:hint="eastAsia" w:ascii="仿宋_GB2312" w:hAnsi="仿宋_GB2312" w:eastAsia="仿宋_GB2312" w:cs="仿宋_GB2312"/>
                <w:color w:val="auto"/>
                <w:sz w:val="24"/>
                <w:highlight w:val="none"/>
              </w:rPr>
              <w:t>系统掌握国际贸易术语（如Incoterms 2020）、进出口单证（信用证/报关单等）、关税计算、跨境支付等核心知识，熟悉WTO规则与主要国家贸易政策，形成完整的进出口业务知识体系。</w:t>
            </w:r>
          </w:p>
          <w:p>
            <w:pPr>
              <w:keepNext w:val="0"/>
              <w:keepLines w:val="0"/>
              <w:pageBreakBefore w:val="0"/>
              <w:widowControl w:val="0"/>
              <w:kinsoku/>
              <w:wordWrap/>
              <w:overflowPunct/>
              <w:topLinePunct w:val="0"/>
              <w:autoSpaceDE/>
              <w:autoSpaceDN/>
              <w:bidi w:val="0"/>
              <w:adjustRightInd/>
              <w:snapToGrid w:val="0"/>
              <w:spacing w:after="0" w:line="360" w:lineRule="exact"/>
              <w:jc w:val="both"/>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b/>
                <w:bCs/>
                <w:color w:val="auto"/>
                <w:sz w:val="24"/>
                <w:highlight w:val="none"/>
              </w:rPr>
              <w:t>能力目标</w:t>
            </w:r>
            <w:r>
              <w:rPr>
                <w:rFonts w:hint="eastAsia" w:ascii="仿宋_GB2312" w:hAnsi="仿宋_GB2312" w:eastAsia="仿宋_GB2312" w:cs="仿宋_GB2312"/>
                <w:b/>
                <w:bCs/>
                <w:color w:val="auto"/>
                <w:sz w:val="24"/>
                <w:highlight w:val="none"/>
                <w:lang w:eastAsia="zh-CN"/>
              </w:rPr>
              <w:t>：</w:t>
            </w:r>
            <w:r>
              <w:rPr>
                <w:rFonts w:hint="eastAsia" w:ascii="仿宋_GB2312" w:hAnsi="仿宋_GB2312" w:eastAsia="仿宋_GB2312" w:cs="仿宋_GB2312"/>
                <w:color w:val="auto"/>
                <w:sz w:val="24"/>
                <w:highlight w:val="none"/>
              </w:rPr>
              <w:t>具备独立完成信用证审核、报关报检、国际货运代理等实操能力，能运用贸易模拟软件处理真实业务场景，培养风险识别（如汇率波动）、纠纷解决及跨文化商务沟通等复合型技能。</w:t>
            </w:r>
          </w:p>
          <w:p>
            <w:pPr>
              <w:keepNext w:val="0"/>
              <w:keepLines w:val="0"/>
              <w:pageBreakBefore w:val="0"/>
              <w:widowControl w:val="0"/>
              <w:kinsoku/>
              <w:wordWrap/>
              <w:overflowPunct/>
              <w:topLinePunct w:val="0"/>
              <w:autoSpaceDE/>
              <w:autoSpaceDN/>
              <w:bidi w:val="0"/>
              <w:adjustRightInd/>
              <w:snapToGrid w:val="0"/>
              <w:spacing w:after="0" w:line="360" w:lineRule="exact"/>
              <w:jc w:val="both"/>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b/>
                <w:bCs/>
                <w:color w:val="auto"/>
                <w:sz w:val="24"/>
                <w:highlight w:val="none"/>
              </w:rPr>
              <w:t>素质目标</w:t>
            </w:r>
            <w:r>
              <w:rPr>
                <w:rFonts w:hint="eastAsia" w:ascii="仿宋_GB2312" w:hAnsi="仿宋_GB2312" w:eastAsia="仿宋_GB2312" w:cs="仿宋_GB2312"/>
                <w:b/>
                <w:bCs/>
                <w:color w:val="auto"/>
                <w:sz w:val="24"/>
                <w:highlight w:val="none"/>
                <w:lang w:eastAsia="zh-CN"/>
              </w:rPr>
              <w:t>：</w:t>
            </w:r>
            <w:r>
              <w:rPr>
                <w:rFonts w:hint="eastAsia" w:ascii="仿宋_GB2312" w:hAnsi="仿宋_GB2312" w:eastAsia="仿宋_GB2312" w:cs="仿宋_GB2312"/>
                <w:color w:val="auto"/>
                <w:sz w:val="24"/>
                <w:highlight w:val="none"/>
              </w:rPr>
              <w:t>强化合规意识与契约精神，培养严谨细致的工作态度（如单证零差错要求）及团队协作能力，树立全球视野下的可持续发展理念，理解绿色贸易、数字贸易等新兴业态的社会价值。</w:t>
            </w:r>
          </w:p>
          <w:p>
            <w:pPr>
              <w:keepNext w:val="0"/>
              <w:keepLines w:val="0"/>
              <w:pageBreakBefore w:val="0"/>
              <w:widowControl w:val="0"/>
              <w:kinsoku/>
              <w:wordWrap/>
              <w:overflowPunct/>
              <w:topLinePunct w:val="0"/>
              <w:autoSpaceDE/>
              <w:autoSpaceDN/>
              <w:bidi w:val="0"/>
              <w:adjustRightInd/>
              <w:snapToGrid w:val="0"/>
              <w:spacing w:after="0" w:line="360" w:lineRule="exact"/>
              <w:jc w:val="both"/>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b/>
                <w:bCs/>
                <w:color w:val="auto"/>
                <w:sz w:val="24"/>
                <w:highlight w:val="none"/>
              </w:rPr>
              <w:t>课程思政育人目标</w:t>
            </w:r>
            <w:r>
              <w:rPr>
                <w:rFonts w:hint="eastAsia" w:ascii="仿宋_GB2312" w:hAnsi="仿宋_GB2312" w:eastAsia="仿宋_GB2312" w:cs="仿宋_GB2312"/>
                <w:b/>
                <w:bCs/>
                <w:color w:val="auto"/>
                <w:sz w:val="24"/>
                <w:highlight w:val="none"/>
                <w:lang w:eastAsia="zh-CN"/>
              </w:rPr>
              <w:t>：</w:t>
            </w:r>
            <w:r>
              <w:rPr>
                <w:rFonts w:hint="eastAsia" w:ascii="仿宋_GB2312" w:hAnsi="仿宋_GB2312" w:eastAsia="仿宋_GB2312" w:cs="仿宋_GB2312"/>
                <w:color w:val="auto"/>
                <w:sz w:val="24"/>
                <w:highlight w:val="none"/>
              </w:rPr>
              <w:t>通过</w:t>
            </w:r>
            <w:r>
              <w:rPr>
                <w:rFonts w:hint="eastAsia" w:ascii="仿宋_GB2312" w:hAnsi="仿宋_GB2312" w:eastAsia="仿宋_GB2312" w:cs="仿宋_GB2312"/>
                <w:color w:val="auto"/>
                <w:sz w:val="24"/>
                <w:highlight w:val="none"/>
                <w:lang w:eastAsia="zh-CN"/>
              </w:rPr>
              <w:t>“</w:t>
            </w:r>
            <w:r>
              <w:rPr>
                <w:rFonts w:hint="eastAsia" w:ascii="仿宋_GB2312" w:hAnsi="仿宋_GB2312" w:eastAsia="仿宋_GB2312" w:cs="仿宋_GB2312"/>
                <w:color w:val="auto"/>
                <w:sz w:val="24"/>
                <w:highlight w:val="none"/>
              </w:rPr>
              <w:t>一带一路</w:t>
            </w:r>
            <w:r>
              <w:rPr>
                <w:rFonts w:hint="eastAsia" w:ascii="仿宋_GB2312" w:hAnsi="仿宋_GB2312" w:eastAsia="仿宋_GB2312" w:cs="仿宋_GB2312"/>
                <w:color w:val="auto"/>
                <w:sz w:val="24"/>
                <w:highlight w:val="none"/>
                <w:lang w:eastAsia="zh-CN"/>
              </w:rPr>
              <w:t>”</w:t>
            </w:r>
            <w:r>
              <w:rPr>
                <w:rFonts w:hint="eastAsia" w:ascii="仿宋_GB2312" w:hAnsi="仿宋_GB2312" w:eastAsia="仿宋_GB2312" w:cs="仿宋_GB2312"/>
                <w:color w:val="auto"/>
                <w:sz w:val="24"/>
                <w:highlight w:val="none"/>
              </w:rPr>
              <w:t>案例教学强化家国情怀，以华为/比亚迪等企业出海实践培育民族自信；通过反倾销案例分析树立规则意识，引导学生将诚信经营、风险防控等职业道德融入专业实践，培养兼具国际竞争力与社会责任感的新时代外贸人才。</w:t>
            </w:r>
          </w:p>
        </w:tc>
        <w:tc>
          <w:tcPr>
            <w:tcW w:w="2592" w:type="dxa"/>
            <w:vAlign w:val="top"/>
          </w:tcPr>
          <w:p>
            <w:pPr>
              <w:keepNext w:val="0"/>
              <w:keepLines w:val="0"/>
              <w:pageBreakBefore w:val="0"/>
              <w:widowControl w:val="0"/>
              <w:kinsoku/>
              <w:wordWrap/>
              <w:overflowPunct w:val="0"/>
              <w:topLinePunct w:val="0"/>
              <w:autoSpaceDE/>
              <w:autoSpaceDN/>
              <w:bidi w:val="0"/>
              <w:adjustRightInd w:val="0"/>
              <w:snapToGrid/>
              <w:spacing w:after="0" w:line="360" w:lineRule="atLeast"/>
              <w:jc w:val="both"/>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kern w:val="2"/>
                <w:sz w:val="24"/>
                <w:szCs w:val="24"/>
                <w:highlight w:val="none"/>
                <w:vertAlign w:val="baseline"/>
                <w:lang w:val="en-US" w:eastAsia="zh-CN" w:bidi="ar-SA"/>
              </w:rPr>
              <w:t>贸易术语和国际贸易惯例、合同的品质、数量、包装、国际贸易运输、国际货物运输保险、进出口商品的价格、国际贸易结算、检验、索赔、不可抗力和仲裁、进出口合同的商订、进出口合同的履行、国际贸易方式。</w:t>
            </w:r>
          </w:p>
        </w:tc>
        <w:tc>
          <w:tcPr>
            <w:tcW w:w="2507" w:type="dxa"/>
            <w:vAlign w:val="top"/>
          </w:tcPr>
          <w:p>
            <w:pPr>
              <w:keepNext w:val="0"/>
              <w:keepLines w:val="0"/>
              <w:pageBreakBefore w:val="0"/>
              <w:widowControl w:val="0"/>
              <w:kinsoku/>
              <w:wordWrap/>
              <w:overflowPunct/>
              <w:topLinePunct w:val="0"/>
              <w:autoSpaceDE/>
              <w:autoSpaceDN/>
              <w:bidi w:val="0"/>
              <w:adjustRightInd/>
              <w:snapToGrid/>
              <w:spacing w:after="0" w:line="360" w:lineRule="atLeast"/>
              <w:jc w:val="both"/>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kern w:val="2"/>
                <w:sz w:val="24"/>
                <w:szCs w:val="24"/>
                <w:highlight w:val="none"/>
                <w:vertAlign w:val="baseline"/>
                <w:lang w:val="en-US" w:eastAsia="zh-CN" w:bidi="ar-SA"/>
              </w:rPr>
              <w:t>教学目标明确，让学生掌握知识及重要性，培养磋商、术语运用、单证审核管理等专业技能。教学内容全面，含流转程序、流程和支付方式等，借案例与实训授实操技能，融入职业道德教育。教学方法多样，通过讲授传理论，案例破难点，模拟提实操，讨论合作促兴趣与交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5" w:type="dxa"/>
            <w:vAlign w:val="center"/>
          </w:tcPr>
          <w:p>
            <w:pPr>
              <w:keepNext w:val="0"/>
              <w:keepLines w:val="0"/>
              <w:pageBreakBefore w:val="0"/>
              <w:widowControl w:val="0"/>
              <w:kinsoku/>
              <w:wordWrap/>
              <w:overflowPunct w:val="0"/>
              <w:topLinePunct w:val="0"/>
              <w:autoSpaceDE/>
              <w:autoSpaceDN/>
              <w:bidi w:val="0"/>
              <w:adjustRightInd w:val="0"/>
              <w:spacing w:after="0" w:line="360" w:lineRule="exact"/>
              <w:jc w:val="center"/>
              <w:textAlignment w:val="auto"/>
              <w:rPr>
                <w:rFonts w:hint="eastAsia" w:ascii="仿宋_GB2312" w:hAnsi="仿宋_GB2312" w:eastAsia="仿宋_GB2312" w:cs="仿宋_GB2312"/>
                <w:color w:val="auto"/>
                <w:sz w:val="24"/>
                <w:highlight w:val="none"/>
                <w:lang w:val="en-US" w:eastAsia="zh-CN"/>
              </w:rPr>
            </w:pPr>
            <w:bookmarkStart w:id="4" w:name="_Toc90734991"/>
            <w:r>
              <w:rPr>
                <w:rFonts w:hint="eastAsia" w:ascii="仿宋_GB2312" w:hAnsi="仿宋_GB2312" w:eastAsia="仿宋_GB2312" w:cs="仿宋_GB2312"/>
                <w:color w:val="auto"/>
                <w:sz w:val="24"/>
                <w:highlight w:val="none"/>
                <w:lang w:val="en-US" w:eastAsia="zh-CN"/>
              </w:rPr>
              <w:t>3</w:t>
            </w:r>
          </w:p>
        </w:tc>
        <w:tc>
          <w:tcPr>
            <w:tcW w:w="775" w:type="dxa"/>
            <w:vAlign w:val="center"/>
          </w:tcPr>
          <w:p>
            <w:pPr>
              <w:keepNext w:val="0"/>
              <w:keepLines w:val="0"/>
              <w:pageBreakBefore w:val="0"/>
              <w:widowControl w:val="0"/>
              <w:kinsoku/>
              <w:wordWrap/>
              <w:overflowPunct w:val="0"/>
              <w:topLinePunct w:val="0"/>
              <w:autoSpaceDE/>
              <w:autoSpaceDN/>
              <w:bidi w:val="0"/>
              <w:adjustRightInd w:val="0"/>
              <w:snapToGrid/>
              <w:spacing w:after="0" w:line="360" w:lineRule="atLeast"/>
              <w:jc w:val="center"/>
              <w:textAlignment w:val="auto"/>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color w:val="auto"/>
                <w:sz w:val="24"/>
                <w:szCs w:val="24"/>
                <w:highlight w:val="none"/>
              </w:rPr>
              <w:t>外贸</w:t>
            </w:r>
            <w:r>
              <w:rPr>
                <w:rFonts w:hint="eastAsia" w:ascii="仿宋_GB2312" w:hAnsi="仿宋_GB2312" w:eastAsia="仿宋_GB2312" w:cs="仿宋_GB2312"/>
                <w:color w:val="auto"/>
                <w:sz w:val="24"/>
                <w:szCs w:val="24"/>
                <w:highlight w:val="none"/>
                <w:lang w:val="en-US" w:eastAsia="zh-CN"/>
              </w:rPr>
              <w:t>跟单操作</w:t>
            </w:r>
          </w:p>
        </w:tc>
        <w:tc>
          <w:tcPr>
            <w:tcW w:w="4100" w:type="dxa"/>
            <w:vAlign w:val="top"/>
          </w:tcPr>
          <w:p>
            <w:pPr>
              <w:keepNext w:val="0"/>
              <w:keepLines w:val="0"/>
              <w:pageBreakBefore w:val="0"/>
              <w:widowControl w:val="0"/>
              <w:kinsoku/>
              <w:wordWrap/>
              <w:overflowPunct/>
              <w:topLinePunct w:val="0"/>
              <w:autoSpaceDE/>
              <w:autoSpaceDN/>
              <w:bidi w:val="0"/>
              <w:adjustRightInd w:val="0"/>
              <w:snapToGrid w:val="0"/>
              <w:spacing w:after="0" w:line="360" w:lineRule="exact"/>
              <w:jc w:val="both"/>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b/>
                <w:bCs/>
                <w:color w:val="auto"/>
                <w:sz w:val="24"/>
                <w:highlight w:val="none"/>
              </w:rPr>
              <w:t>知识目标</w:t>
            </w:r>
            <w:r>
              <w:rPr>
                <w:rFonts w:hint="eastAsia" w:ascii="仿宋_GB2312" w:hAnsi="仿宋_GB2312" w:eastAsia="仿宋_GB2312" w:cs="仿宋_GB2312"/>
                <w:b/>
                <w:bCs/>
                <w:color w:val="auto"/>
                <w:sz w:val="24"/>
                <w:highlight w:val="none"/>
                <w:lang w:eastAsia="zh-CN"/>
              </w:rPr>
              <w:t>：</w:t>
            </w:r>
            <w:r>
              <w:rPr>
                <w:rFonts w:hint="eastAsia" w:ascii="仿宋_GB2312" w:hAnsi="仿宋_GB2312" w:eastAsia="仿宋_GB2312" w:cs="仿宋_GB2312"/>
                <w:color w:val="auto"/>
                <w:sz w:val="24"/>
                <w:highlight w:val="none"/>
              </w:rPr>
              <w:t>掌握国际贸易术语（如Incoterms 2020）、信用证条款解读、报关报检流程等核心知识，熟悉跨境电商平台操作规则与跨境支付方式，理解不同贸易方式下的单证流转逻辑。</w:t>
            </w:r>
          </w:p>
          <w:p>
            <w:pPr>
              <w:keepNext w:val="0"/>
              <w:keepLines w:val="0"/>
              <w:pageBreakBefore w:val="0"/>
              <w:widowControl w:val="0"/>
              <w:kinsoku/>
              <w:wordWrap/>
              <w:overflowPunct/>
              <w:topLinePunct w:val="0"/>
              <w:autoSpaceDE/>
              <w:autoSpaceDN/>
              <w:bidi w:val="0"/>
              <w:adjustRightInd w:val="0"/>
              <w:snapToGrid w:val="0"/>
              <w:spacing w:after="0" w:line="360" w:lineRule="exact"/>
              <w:jc w:val="both"/>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b/>
                <w:bCs/>
                <w:color w:val="auto"/>
                <w:sz w:val="24"/>
                <w:highlight w:val="none"/>
              </w:rPr>
              <w:t>能力目标</w:t>
            </w:r>
            <w:r>
              <w:rPr>
                <w:rFonts w:hint="eastAsia" w:ascii="仿宋_GB2312" w:hAnsi="仿宋_GB2312" w:eastAsia="仿宋_GB2312" w:cs="仿宋_GB2312"/>
                <w:b/>
                <w:bCs/>
                <w:color w:val="auto"/>
                <w:sz w:val="24"/>
                <w:highlight w:val="none"/>
                <w:lang w:eastAsia="zh-CN"/>
              </w:rPr>
              <w:t>：</w:t>
            </w:r>
            <w:r>
              <w:rPr>
                <w:rFonts w:hint="eastAsia" w:ascii="仿宋_GB2312" w:hAnsi="仿宋_GB2312" w:eastAsia="仿宋_GB2312" w:cs="仿宋_GB2312"/>
                <w:color w:val="auto"/>
                <w:sz w:val="24"/>
                <w:highlight w:val="none"/>
              </w:rPr>
              <w:t>具备独立完成订单跟踪、单据审核（如提单、发票、装箱单）、物流协调及异常处理的能力，能运用ERP系统进行数据管理，并具备跨文化沟通与客户谈判的实践技能。</w:t>
            </w:r>
          </w:p>
          <w:p>
            <w:pPr>
              <w:keepNext w:val="0"/>
              <w:keepLines w:val="0"/>
              <w:pageBreakBefore w:val="0"/>
              <w:widowControl w:val="0"/>
              <w:kinsoku/>
              <w:wordWrap/>
              <w:overflowPunct/>
              <w:topLinePunct w:val="0"/>
              <w:autoSpaceDE/>
              <w:autoSpaceDN/>
              <w:bidi w:val="0"/>
              <w:adjustRightInd w:val="0"/>
              <w:snapToGrid w:val="0"/>
              <w:spacing w:after="0" w:line="360" w:lineRule="exact"/>
              <w:jc w:val="both"/>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b/>
                <w:bCs/>
                <w:color w:val="auto"/>
                <w:sz w:val="24"/>
                <w:highlight w:val="none"/>
              </w:rPr>
              <w:t>素质目标</w:t>
            </w:r>
            <w:r>
              <w:rPr>
                <w:rFonts w:hint="eastAsia" w:ascii="仿宋_GB2312" w:hAnsi="仿宋_GB2312" w:eastAsia="仿宋_GB2312" w:cs="仿宋_GB2312"/>
                <w:b/>
                <w:bCs/>
                <w:color w:val="auto"/>
                <w:sz w:val="24"/>
                <w:highlight w:val="none"/>
                <w:lang w:eastAsia="zh-CN"/>
              </w:rPr>
              <w:t>：</w:t>
            </w:r>
            <w:r>
              <w:rPr>
                <w:rFonts w:hint="eastAsia" w:ascii="仿宋_GB2312" w:hAnsi="仿宋_GB2312" w:eastAsia="仿宋_GB2312" w:cs="仿宋_GB2312"/>
                <w:color w:val="auto"/>
                <w:sz w:val="24"/>
                <w:highlight w:val="none"/>
              </w:rPr>
              <w:t>培养严谨细致的工作态度、风险防范意识与时间管理能力，树立诚信守约的职业道德观念，强化团队协作与抗压能力以适应外贸行业快节奏工作环境。</w:t>
            </w:r>
          </w:p>
          <w:p>
            <w:pPr>
              <w:keepNext w:val="0"/>
              <w:keepLines w:val="0"/>
              <w:pageBreakBefore w:val="0"/>
              <w:widowControl w:val="0"/>
              <w:kinsoku/>
              <w:wordWrap/>
              <w:overflowPunct/>
              <w:topLinePunct w:val="0"/>
              <w:autoSpaceDE/>
              <w:autoSpaceDN/>
              <w:bidi w:val="0"/>
              <w:adjustRightInd w:val="0"/>
              <w:snapToGrid w:val="0"/>
              <w:spacing w:after="0" w:line="360" w:lineRule="exact"/>
              <w:jc w:val="both"/>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b/>
                <w:bCs/>
                <w:color w:val="auto"/>
                <w:sz w:val="24"/>
                <w:highlight w:val="none"/>
              </w:rPr>
              <w:t>课程思政育人目标</w:t>
            </w:r>
            <w:r>
              <w:rPr>
                <w:rFonts w:hint="eastAsia" w:ascii="仿宋_GB2312" w:hAnsi="仿宋_GB2312" w:eastAsia="仿宋_GB2312" w:cs="仿宋_GB2312"/>
                <w:b/>
                <w:bCs/>
                <w:color w:val="auto"/>
                <w:sz w:val="24"/>
                <w:highlight w:val="none"/>
                <w:lang w:eastAsia="zh-CN"/>
              </w:rPr>
              <w:t>：</w:t>
            </w:r>
            <w:r>
              <w:rPr>
                <w:rFonts w:hint="eastAsia" w:ascii="仿宋_GB2312" w:hAnsi="仿宋_GB2312" w:eastAsia="仿宋_GB2312" w:cs="仿宋_GB2312"/>
                <w:color w:val="auto"/>
                <w:sz w:val="24"/>
                <w:highlight w:val="none"/>
              </w:rPr>
              <w:t>引导学生树立文化自信与全球化视野；通过案例教学强化合规意识，培养社会责任感和家国情怀，将社会主义核心价值观贯穿于职业素养塑造全过程。</w:t>
            </w:r>
          </w:p>
          <w:p>
            <w:pPr>
              <w:keepNext w:val="0"/>
              <w:keepLines w:val="0"/>
              <w:pageBreakBefore w:val="0"/>
              <w:widowControl w:val="0"/>
              <w:kinsoku/>
              <w:wordWrap/>
              <w:overflowPunct/>
              <w:topLinePunct w:val="0"/>
              <w:autoSpaceDE/>
              <w:autoSpaceDN/>
              <w:bidi w:val="0"/>
              <w:adjustRightInd w:val="0"/>
              <w:snapToGrid w:val="0"/>
              <w:spacing w:after="0" w:line="360" w:lineRule="exact"/>
              <w:jc w:val="both"/>
              <w:textAlignment w:val="auto"/>
              <w:rPr>
                <w:rFonts w:hint="eastAsia" w:ascii="仿宋_GB2312" w:hAnsi="仿宋_GB2312" w:eastAsia="仿宋_GB2312" w:cs="仿宋_GB2312"/>
                <w:color w:val="auto"/>
                <w:sz w:val="24"/>
                <w:highlight w:val="none"/>
              </w:rPr>
            </w:pPr>
          </w:p>
        </w:tc>
        <w:tc>
          <w:tcPr>
            <w:tcW w:w="2592" w:type="dxa"/>
            <w:vAlign w:val="top"/>
          </w:tcPr>
          <w:p>
            <w:pPr>
              <w:keepNext w:val="0"/>
              <w:keepLines w:val="0"/>
              <w:pageBreakBefore w:val="0"/>
              <w:widowControl w:val="0"/>
              <w:kinsoku/>
              <w:wordWrap/>
              <w:overflowPunct w:val="0"/>
              <w:topLinePunct w:val="0"/>
              <w:autoSpaceDE/>
              <w:autoSpaceDN/>
              <w:bidi w:val="0"/>
              <w:adjustRightInd w:val="0"/>
              <w:snapToGrid/>
              <w:spacing w:after="0" w:line="360" w:lineRule="atLeast"/>
              <w:jc w:val="both"/>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szCs w:val="24"/>
                <w:highlight w:val="none"/>
              </w:rPr>
              <w:t>课程围绕外贸跟单全链条展开，涵盖基础理论（如外贸流程、INCOTERMS术语、合同条款解析）、实务操作（订单进度跟踪表制作、生产进度协调、验货与质量把控、货运单据缮制）及风险应对（交货期延误处理、信用证审核要点、纠纷解决策略）。结合典型案例（如跨境电商B2B订单跟单、信用证不符点修正）</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强化从订单接收到货款回收的全流程实操技能。</w:t>
            </w:r>
          </w:p>
        </w:tc>
        <w:tc>
          <w:tcPr>
            <w:tcW w:w="2507" w:type="dxa"/>
            <w:vAlign w:val="top"/>
          </w:tcPr>
          <w:p>
            <w:pPr>
              <w:keepNext w:val="0"/>
              <w:keepLines w:val="0"/>
              <w:pageBreakBefore w:val="0"/>
              <w:widowControl w:val="0"/>
              <w:kinsoku/>
              <w:wordWrap/>
              <w:overflowPunct/>
              <w:topLinePunct w:val="0"/>
              <w:autoSpaceDE/>
              <w:autoSpaceDN/>
              <w:bidi w:val="0"/>
              <w:adjustRightInd/>
              <w:snapToGrid/>
              <w:spacing w:after="0" w:line="360" w:lineRule="atLeast"/>
              <w:jc w:val="both"/>
              <w:textAlignment w:val="auto"/>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color w:val="auto"/>
                <w:kern w:val="2"/>
                <w:sz w:val="24"/>
                <w:szCs w:val="24"/>
                <w:highlight w:val="none"/>
                <w:vertAlign w:val="baseline"/>
                <w:lang w:val="en-US" w:eastAsia="zh-CN" w:bidi="ar-SA"/>
              </w:rPr>
              <w:t>利用外贸跟单软件模拟订单处理、单证填制等场景，融入行业真实案例进行角色扮演与小组协作；考核需兼顾理论笔试（如合同条款分析）与实操任务（如完成一套跟单文档）；配套建设外贸实训平台、行业案例库及单证模板资源，确保教学内容与外贸企业岗位需求无缝对接，并紧跟RCEP、跨境电商等新业态发展动态更新课程内容。</w:t>
            </w:r>
          </w:p>
          <w:p>
            <w:pPr>
              <w:keepNext w:val="0"/>
              <w:keepLines w:val="0"/>
              <w:pageBreakBefore w:val="0"/>
              <w:widowControl w:val="0"/>
              <w:kinsoku/>
              <w:wordWrap/>
              <w:overflowPunct/>
              <w:topLinePunct w:val="0"/>
              <w:autoSpaceDE/>
              <w:autoSpaceDN/>
              <w:bidi w:val="0"/>
              <w:adjustRightInd/>
              <w:snapToGrid/>
              <w:spacing w:after="0" w:line="360" w:lineRule="atLeast"/>
              <w:jc w:val="both"/>
              <w:textAlignment w:val="auto"/>
              <w:rPr>
                <w:rFonts w:hint="eastAsia" w:ascii="仿宋_GB2312" w:hAnsi="仿宋_GB2312" w:eastAsia="仿宋_GB2312" w:cs="仿宋_GB2312"/>
                <w:color w:val="auto"/>
                <w:kern w:val="2"/>
                <w:sz w:val="24"/>
                <w:szCs w:val="24"/>
                <w:highlight w:val="none"/>
                <w:vertAlign w:val="baseline"/>
                <w:lang w:val="en-US" w:eastAsia="zh-CN" w:bidi="ar-SA"/>
              </w:rPr>
            </w:pPr>
          </w:p>
          <w:p>
            <w:pPr>
              <w:keepNext w:val="0"/>
              <w:keepLines w:val="0"/>
              <w:pageBreakBefore w:val="0"/>
              <w:widowControl w:val="0"/>
              <w:kinsoku/>
              <w:wordWrap/>
              <w:overflowPunct/>
              <w:topLinePunct w:val="0"/>
              <w:autoSpaceDE/>
              <w:autoSpaceDN/>
              <w:bidi w:val="0"/>
              <w:adjustRightInd/>
              <w:snapToGrid/>
              <w:spacing w:after="0" w:line="360" w:lineRule="atLeast"/>
              <w:jc w:val="both"/>
              <w:textAlignment w:val="auto"/>
              <w:rPr>
                <w:rFonts w:hint="eastAsia" w:ascii="仿宋_GB2312" w:hAnsi="仿宋_GB2312" w:eastAsia="仿宋_GB2312" w:cs="仿宋_GB2312"/>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5" w:type="dxa"/>
            <w:vAlign w:val="center"/>
          </w:tcPr>
          <w:p>
            <w:pPr>
              <w:keepNext w:val="0"/>
              <w:keepLines w:val="0"/>
              <w:pageBreakBefore w:val="0"/>
              <w:widowControl w:val="0"/>
              <w:kinsoku/>
              <w:wordWrap/>
              <w:overflowPunct w:val="0"/>
              <w:topLinePunct w:val="0"/>
              <w:autoSpaceDE/>
              <w:autoSpaceDN/>
              <w:bidi w:val="0"/>
              <w:adjustRightInd w:val="0"/>
              <w:spacing w:after="0" w:line="360" w:lineRule="exact"/>
              <w:jc w:val="center"/>
              <w:textAlignment w:val="auto"/>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color w:val="auto"/>
                <w:sz w:val="24"/>
                <w:highlight w:val="none"/>
                <w:lang w:val="en-US" w:eastAsia="zh-CN"/>
              </w:rPr>
              <w:t>4</w:t>
            </w:r>
          </w:p>
        </w:tc>
        <w:tc>
          <w:tcPr>
            <w:tcW w:w="775" w:type="dxa"/>
            <w:vAlign w:val="center"/>
          </w:tcPr>
          <w:p>
            <w:pPr>
              <w:keepNext w:val="0"/>
              <w:keepLines w:val="0"/>
              <w:pageBreakBefore w:val="0"/>
              <w:widowControl w:val="0"/>
              <w:kinsoku/>
              <w:wordWrap/>
              <w:overflowPunct w:val="0"/>
              <w:topLinePunct w:val="0"/>
              <w:autoSpaceDE/>
              <w:autoSpaceDN/>
              <w:bidi w:val="0"/>
              <w:adjustRightInd w:val="0"/>
              <w:snapToGrid/>
              <w:spacing w:after="0" w:line="360" w:lineRule="atLeast"/>
              <w:jc w:val="both"/>
              <w:textAlignment w:val="auto"/>
              <w:rPr>
                <w:rFonts w:hint="eastAsia" w:ascii="仿宋_GB2312" w:hAnsi="仿宋_GB2312" w:eastAsia="仿宋_GB2312" w:cs="仿宋_GB2312"/>
                <w:color w:val="auto"/>
                <w:sz w:val="24"/>
                <w:szCs w:val="24"/>
                <w:highlight w:val="none"/>
              </w:rPr>
            </w:pPr>
          </w:p>
          <w:p>
            <w:pPr>
              <w:keepNext w:val="0"/>
              <w:keepLines w:val="0"/>
              <w:pageBreakBefore w:val="0"/>
              <w:widowControl w:val="0"/>
              <w:kinsoku/>
              <w:wordWrap/>
              <w:overflowPunct w:val="0"/>
              <w:topLinePunct w:val="0"/>
              <w:autoSpaceDE/>
              <w:autoSpaceDN/>
              <w:bidi w:val="0"/>
              <w:adjustRightInd w:val="0"/>
              <w:snapToGrid/>
              <w:spacing w:after="0" w:line="360" w:lineRule="atLeast"/>
              <w:jc w:val="center"/>
              <w:textAlignment w:val="auto"/>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color w:val="auto"/>
                <w:sz w:val="24"/>
                <w:szCs w:val="24"/>
                <w:highlight w:val="none"/>
              </w:rPr>
              <w:t>跨境电商B2B运营</w:t>
            </w:r>
          </w:p>
        </w:tc>
        <w:tc>
          <w:tcPr>
            <w:tcW w:w="4100" w:type="dxa"/>
            <w:vAlign w:val="top"/>
          </w:tcPr>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b/>
                <w:bCs/>
                <w:color w:val="auto"/>
                <w:sz w:val="24"/>
                <w:highlight w:val="none"/>
              </w:rPr>
              <w:t>知识目标</w:t>
            </w:r>
            <w:r>
              <w:rPr>
                <w:rFonts w:hint="eastAsia" w:ascii="仿宋_GB2312" w:hAnsi="仿宋_GB2312" w:eastAsia="仿宋_GB2312" w:cs="仿宋_GB2312"/>
                <w:b/>
                <w:bCs/>
                <w:color w:val="auto"/>
                <w:sz w:val="24"/>
                <w:highlight w:val="none"/>
                <w:lang w:eastAsia="zh-CN"/>
              </w:rPr>
              <w:t>：</w:t>
            </w:r>
            <w:r>
              <w:rPr>
                <w:rFonts w:hint="eastAsia" w:ascii="仿宋_GB2312" w:hAnsi="仿宋_GB2312" w:eastAsia="仿宋_GB2312" w:cs="仿宋_GB2312"/>
                <w:color w:val="auto"/>
                <w:sz w:val="24"/>
                <w:highlight w:val="none"/>
              </w:rPr>
              <w:t>使学生系统掌握跨境电商B2B平台规则、国际贸易术语（Incoterms 2020）、跨境支付结算（信用证/PayPal）、海关报关流程及跨境物流体系（FBA/海外仓）等核心知识，具备分析不同国家贸易政策与税收制度的能力，为后续运营实践奠定理论基础。</w:t>
            </w:r>
          </w:p>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b/>
                <w:bCs/>
                <w:color w:val="auto"/>
                <w:sz w:val="24"/>
                <w:highlight w:val="none"/>
              </w:rPr>
              <w:t>能力目标</w:t>
            </w:r>
            <w:r>
              <w:rPr>
                <w:rFonts w:hint="eastAsia" w:ascii="仿宋_GB2312" w:hAnsi="仿宋_GB2312" w:eastAsia="仿宋_GB2312" w:cs="仿宋_GB2312"/>
                <w:b/>
                <w:bCs/>
                <w:color w:val="auto"/>
                <w:sz w:val="24"/>
                <w:highlight w:val="none"/>
                <w:lang w:eastAsia="zh-CN"/>
              </w:rPr>
              <w:t>：</w:t>
            </w:r>
            <w:r>
              <w:rPr>
                <w:rFonts w:hint="eastAsia" w:ascii="仿宋_GB2312" w:hAnsi="仿宋_GB2312" w:eastAsia="仿宋_GB2312" w:cs="仿宋_GB2312"/>
                <w:color w:val="auto"/>
                <w:sz w:val="24"/>
                <w:highlight w:val="none"/>
              </w:rPr>
              <w:t>培养学生独立完成跨境B2B店铺搭建、多语言产品详情页优化、国际客户询盘处理及订单跟单等实操技能，通过模拟实训掌握市场数据分析、竞品调研及跨境营销推广工具应用，形成解决跨境交易纠纷、规避汇率风险等复杂问题的职业能力。</w:t>
            </w:r>
          </w:p>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b/>
                <w:bCs/>
                <w:color w:val="auto"/>
                <w:sz w:val="24"/>
                <w:highlight w:val="none"/>
              </w:rPr>
              <w:t>素质目标</w:t>
            </w:r>
            <w:r>
              <w:rPr>
                <w:rFonts w:hint="eastAsia" w:ascii="仿宋_GB2312" w:hAnsi="仿宋_GB2312" w:eastAsia="仿宋_GB2312" w:cs="仿宋_GB2312"/>
                <w:b/>
                <w:bCs/>
                <w:color w:val="auto"/>
                <w:sz w:val="24"/>
                <w:highlight w:val="none"/>
                <w:lang w:eastAsia="zh-CN"/>
              </w:rPr>
              <w:t>：</w:t>
            </w:r>
            <w:r>
              <w:rPr>
                <w:rFonts w:hint="eastAsia" w:ascii="仿宋_GB2312" w:hAnsi="仿宋_GB2312" w:eastAsia="仿宋_GB2312" w:cs="仿宋_GB2312"/>
                <w:color w:val="auto"/>
                <w:sz w:val="24"/>
                <w:highlight w:val="none"/>
              </w:rPr>
              <w:t>强化跨文化商务沟通意识与团队协作精神，培养严谨合规的贸易文件处理习惯，树立知识产权保护意识与客户服务理念，通过真实案例教学提升抗压能力与创新思维，养成持续学习行业动态的职业素养。</w:t>
            </w:r>
          </w:p>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b/>
                <w:bCs/>
                <w:color w:val="auto"/>
                <w:sz w:val="24"/>
                <w:highlight w:val="none"/>
              </w:rPr>
              <w:t>课程思政育人目标</w:t>
            </w:r>
            <w:r>
              <w:rPr>
                <w:rFonts w:hint="eastAsia" w:ascii="仿宋_GB2312" w:hAnsi="仿宋_GB2312" w:eastAsia="仿宋_GB2312" w:cs="仿宋_GB2312"/>
                <w:b/>
                <w:bCs/>
                <w:color w:val="auto"/>
                <w:sz w:val="24"/>
                <w:highlight w:val="none"/>
                <w:lang w:eastAsia="zh-CN"/>
              </w:rPr>
              <w:t>：</w:t>
            </w:r>
            <w:r>
              <w:rPr>
                <w:rFonts w:hint="eastAsia" w:ascii="仿宋_GB2312" w:hAnsi="仿宋_GB2312" w:eastAsia="仿宋_GB2312" w:cs="仿宋_GB2312"/>
                <w:color w:val="auto"/>
                <w:sz w:val="24"/>
                <w:highlight w:val="none"/>
              </w:rPr>
              <w:t>通过中国品牌出海案例分析，增强学生文化自信与家国情怀；强调诚信经营、数据安全等职业道德，引导学生理解构建人类命运共同体背景下跨境电商从业者的社会责任，培养兼具国际视野与本土情怀的新时代商贸人才。</w:t>
            </w:r>
          </w:p>
        </w:tc>
        <w:tc>
          <w:tcPr>
            <w:tcW w:w="2592" w:type="dxa"/>
            <w:vAlign w:val="top"/>
          </w:tcPr>
          <w:p>
            <w:pPr>
              <w:keepNext w:val="0"/>
              <w:keepLines w:val="0"/>
              <w:pageBreakBefore w:val="0"/>
              <w:widowControl w:val="0"/>
              <w:kinsoku/>
              <w:wordWrap/>
              <w:overflowPunct w:val="0"/>
              <w:topLinePunct w:val="0"/>
              <w:autoSpaceDE/>
              <w:autoSpaceDN/>
              <w:bidi w:val="0"/>
              <w:adjustRightInd w:val="0"/>
              <w:snapToGrid/>
              <w:spacing w:after="0" w:line="360" w:lineRule="atLeast"/>
              <w:jc w:val="both"/>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kern w:val="2"/>
                <w:sz w:val="24"/>
                <w:szCs w:val="24"/>
                <w:highlight w:val="none"/>
                <w:vertAlign w:val="baseline"/>
                <w:lang w:val="en-US" w:eastAsia="zh-CN" w:bidi="ar-SA"/>
              </w:rPr>
              <w:t>课程聚焦跨境电商B2B全链路运营，涵盖平台规则与实操（如阿里巴巴国际站、中国制造网的店铺搭建、产品详情页优化、RFQ商机响应及信保订单管理）、数据化运营策略（行业趋势分析工具应用、关键词优化、客户画像与精准营销）、独立站运营。</w:t>
            </w:r>
          </w:p>
        </w:tc>
        <w:tc>
          <w:tcPr>
            <w:tcW w:w="2507" w:type="dxa"/>
            <w:vAlign w:val="top"/>
          </w:tcPr>
          <w:p>
            <w:pPr>
              <w:keepNext w:val="0"/>
              <w:keepLines w:val="0"/>
              <w:pageBreakBefore w:val="0"/>
              <w:widowControl w:val="0"/>
              <w:kinsoku/>
              <w:wordWrap/>
              <w:overflowPunct/>
              <w:topLinePunct w:val="0"/>
              <w:autoSpaceDE/>
              <w:autoSpaceDN/>
              <w:bidi w:val="0"/>
              <w:adjustRightInd/>
              <w:snapToGrid/>
              <w:spacing w:after="0" w:line="360" w:lineRule="atLeast"/>
              <w:jc w:val="both"/>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kern w:val="2"/>
                <w:sz w:val="24"/>
                <w:szCs w:val="24"/>
                <w:highlight w:val="none"/>
                <w:vertAlign w:val="baseline"/>
                <w:lang w:val="en-US" w:eastAsia="zh-CN" w:bidi="ar-SA"/>
              </w:rPr>
              <w:t>掌握跨境电商 B2B 平台选择与开通、产品发布、平台设计、数据分析与优化操作要领；能熟练开展跨境电商 B2B 平台选择与店铺开通，产品定位和数据选品操作，店铺装修操作，产品管理和发布操作，产品数据分析和优化操作； 熟悉外贸企业自建站店铺的信息化建设和运营操作。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5" w:type="dxa"/>
            <w:vAlign w:val="center"/>
          </w:tcPr>
          <w:p>
            <w:pPr>
              <w:keepNext w:val="0"/>
              <w:keepLines w:val="0"/>
              <w:pageBreakBefore w:val="0"/>
              <w:widowControl w:val="0"/>
              <w:kinsoku/>
              <w:wordWrap/>
              <w:overflowPunct w:val="0"/>
              <w:topLinePunct w:val="0"/>
              <w:autoSpaceDE/>
              <w:autoSpaceDN/>
              <w:bidi w:val="0"/>
              <w:adjustRightInd w:val="0"/>
              <w:spacing w:after="0" w:line="360" w:lineRule="exact"/>
              <w:jc w:val="center"/>
              <w:textAlignment w:val="auto"/>
              <w:rPr>
                <w:rFonts w:hint="eastAsia" w:ascii="仿宋_GB2312" w:hAnsi="仿宋_GB2312" w:eastAsia="仿宋_GB2312" w:cs="仿宋_GB2312"/>
                <w:color w:val="auto"/>
                <w:sz w:val="24"/>
                <w:highlight w:val="none"/>
                <w:lang w:val="en-US" w:eastAsia="zh-CN"/>
              </w:rPr>
            </w:pPr>
          </w:p>
          <w:p>
            <w:pPr>
              <w:keepNext w:val="0"/>
              <w:keepLines w:val="0"/>
              <w:pageBreakBefore w:val="0"/>
              <w:widowControl w:val="0"/>
              <w:kinsoku/>
              <w:wordWrap/>
              <w:overflowPunct w:val="0"/>
              <w:topLinePunct w:val="0"/>
              <w:autoSpaceDE/>
              <w:autoSpaceDN/>
              <w:bidi w:val="0"/>
              <w:adjustRightInd w:val="0"/>
              <w:spacing w:after="0" w:line="360" w:lineRule="exact"/>
              <w:jc w:val="center"/>
              <w:textAlignment w:val="auto"/>
              <w:rPr>
                <w:rFonts w:hint="eastAsia" w:ascii="仿宋_GB2312" w:hAnsi="仿宋_GB2312" w:eastAsia="仿宋_GB2312" w:cs="仿宋_GB2312"/>
                <w:color w:val="auto"/>
                <w:sz w:val="24"/>
                <w:highlight w:val="none"/>
                <w:lang w:val="en-US" w:eastAsia="zh-CN"/>
              </w:rPr>
            </w:pPr>
          </w:p>
          <w:p>
            <w:pPr>
              <w:keepNext w:val="0"/>
              <w:keepLines w:val="0"/>
              <w:pageBreakBefore w:val="0"/>
              <w:widowControl w:val="0"/>
              <w:kinsoku/>
              <w:wordWrap/>
              <w:overflowPunct w:val="0"/>
              <w:topLinePunct w:val="0"/>
              <w:autoSpaceDE/>
              <w:autoSpaceDN/>
              <w:bidi w:val="0"/>
              <w:adjustRightInd w:val="0"/>
              <w:spacing w:after="0" w:line="360" w:lineRule="exact"/>
              <w:jc w:val="center"/>
              <w:textAlignment w:val="auto"/>
              <w:rPr>
                <w:rFonts w:hint="eastAsia" w:ascii="仿宋_GB2312" w:hAnsi="仿宋_GB2312" w:eastAsia="仿宋_GB2312" w:cs="仿宋_GB2312"/>
                <w:color w:val="auto"/>
                <w:sz w:val="24"/>
                <w:highlight w:val="none"/>
                <w:lang w:val="en-US" w:eastAsia="zh-CN"/>
              </w:rPr>
            </w:pPr>
          </w:p>
          <w:p>
            <w:pPr>
              <w:keepNext w:val="0"/>
              <w:keepLines w:val="0"/>
              <w:pageBreakBefore w:val="0"/>
              <w:widowControl w:val="0"/>
              <w:kinsoku/>
              <w:wordWrap/>
              <w:overflowPunct w:val="0"/>
              <w:topLinePunct w:val="0"/>
              <w:autoSpaceDE/>
              <w:autoSpaceDN/>
              <w:bidi w:val="0"/>
              <w:adjustRightInd w:val="0"/>
              <w:spacing w:after="0" w:line="360" w:lineRule="exact"/>
              <w:jc w:val="center"/>
              <w:textAlignment w:val="auto"/>
              <w:rPr>
                <w:rFonts w:hint="eastAsia" w:ascii="仿宋_GB2312" w:hAnsi="仿宋_GB2312" w:eastAsia="仿宋_GB2312" w:cs="仿宋_GB2312"/>
                <w:color w:val="auto"/>
                <w:sz w:val="24"/>
                <w:highlight w:val="none"/>
                <w:lang w:val="en-US" w:eastAsia="zh-CN"/>
              </w:rPr>
            </w:pPr>
          </w:p>
          <w:p>
            <w:pPr>
              <w:keepNext w:val="0"/>
              <w:keepLines w:val="0"/>
              <w:pageBreakBefore w:val="0"/>
              <w:widowControl w:val="0"/>
              <w:kinsoku/>
              <w:wordWrap/>
              <w:overflowPunct w:val="0"/>
              <w:topLinePunct w:val="0"/>
              <w:autoSpaceDE/>
              <w:autoSpaceDN/>
              <w:bidi w:val="0"/>
              <w:adjustRightInd w:val="0"/>
              <w:spacing w:after="0" w:line="360" w:lineRule="exact"/>
              <w:jc w:val="center"/>
              <w:textAlignment w:val="auto"/>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color w:val="auto"/>
                <w:sz w:val="24"/>
                <w:highlight w:val="none"/>
                <w:lang w:val="en-US" w:eastAsia="zh-CN"/>
              </w:rPr>
              <w:t>5</w:t>
            </w:r>
          </w:p>
        </w:tc>
        <w:tc>
          <w:tcPr>
            <w:tcW w:w="775" w:type="dxa"/>
            <w:vAlign w:val="center"/>
          </w:tcPr>
          <w:p>
            <w:pPr>
              <w:keepNext w:val="0"/>
              <w:keepLines w:val="0"/>
              <w:pageBreakBefore w:val="0"/>
              <w:widowControl w:val="0"/>
              <w:kinsoku/>
              <w:wordWrap/>
              <w:overflowPunct w:val="0"/>
              <w:topLinePunct w:val="0"/>
              <w:autoSpaceDE/>
              <w:autoSpaceDN/>
              <w:bidi w:val="0"/>
              <w:adjustRightInd w:val="0"/>
              <w:snapToGrid/>
              <w:spacing w:after="0" w:line="360" w:lineRule="atLeast"/>
              <w:jc w:val="center"/>
              <w:textAlignment w:val="auto"/>
              <w:rPr>
                <w:rFonts w:hint="eastAsia" w:ascii="仿宋_GB2312" w:hAnsi="仿宋_GB2312" w:eastAsia="仿宋_GB2312" w:cs="仿宋_GB2312"/>
                <w:color w:val="auto"/>
                <w:sz w:val="24"/>
                <w:szCs w:val="24"/>
                <w:highlight w:val="none"/>
              </w:rPr>
            </w:pPr>
          </w:p>
          <w:p>
            <w:pPr>
              <w:keepNext w:val="0"/>
              <w:keepLines w:val="0"/>
              <w:pageBreakBefore w:val="0"/>
              <w:widowControl w:val="0"/>
              <w:kinsoku/>
              <w:wordWrap/>
              <w:overflowPunct w:val="0"/>
              <w:topLinePunct w:val="0"/>
              <w:autoSpaceDE/>
              <w:autoSpaceDN/>
              <w:bidi w:val="0"/>
              <w:adjustRightInd w:val="0"/>
              <w:snapToGrid/>
              <w:spacing w:after="0" w:line="360" w:lineRule="atLeast"/>
              <w:jc w:val="center"/>
              <w:textAlignment w:val="auto"/>
              <w:rPr>
                <w:rFonts w:hint="eastAsia" w:ascii="仿宋_GB2312" w:hAnsi="仿宋_GB2312" w:eastAsia="仿宋_GB2312" w:cs="仿宋_GB2312"/>
                <w:color w:val="auto"/>
                <w:sz w:val="24"/>
                <w:szCs w:val="24"/>
                <w:highlight w:val="none"/>
              </w:rPr>
            </w:pPr>
          </w:p>
          <w:p>
            <w:pPr>
              <w:keepNext w:val="0"/>
              <w:keepLines w:val="0"/>
              <w:pageBreakBefore w:val="0"/>
              <w:widowControl w:val="0"/>
              <w:kinsoku/>
              <w:wordWrap/>
              <w:overflowPunct w:val="0"/>
              <w:topLinePunct w:val="0"/>
              <w:autoSpaceDE/>
              <w:autoSpaceDN/>
              <w:bidi w:val="0"/>
              <w:adjustRightInd w:val="0"/>
              <w:snapToGrid/>
              <w:spacing w:after="0" w:line="360" w:lineRule="atLeast"/>
              <w:jc w:val="center"/>
              <w:textAlignment w:val="auto"/>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color w:val="auto"/>
                <w:sz w:val="24"/>
                <w:szCs w:val="24"/>
                <w:highlight w:val="none"/>
              </w:rPr>
              <w:t>跨境电商B2B营销</w:t>
            </w:r>
          </w:p>
        </w:tc>
        <w:tc>
          <w:tcPr>
            <w:tcW w:w="4100" w:type="dxa"/>
            <w:vAlign w:val="top"/>
          </w:tcPr>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b/>
                <w:bCs/>
                <w:color w:val="auto"/>
                <w:sz w:val="24"/>
                <w:highlight w:val="none"/>
              </w:rPr>
              <w:t>知识目标</w:t>
            </w:r>
            <w:r>
              <w:rPr>
                <w:rFonts w:hint="eastAsia" w:ascii="仿宋_GB2312" w:hAnsi="仿宋_GB2312" w:eastAsia="仿宋_GB2312" w:cs="仿宋_GB2312"/>
                <w:b/>
                <w:bCs/>
                <w:color w:val="auto"/>
                <w:sz w:val="24"/>
                <w:highlight w:val="none"/>
                <w:lang w:eastAsia="zh-CN"/>
              </w:rPr>
              <w:t>：</w:t>
            </w:r>
            <w:r>
              <w:rPr>
                <w:rFonts w:hint="eastAsia" w:ascii="仿宋_GB2312" w:hAnsi="仿宋_GB2312" w:eastAsia="仿宋_GB2312" w:cs="仿宋_GB2312"/>
                <w:color w:val="auto"/>
                <w:sz w:val="24"/>
                <w:highlight w:val="none"/>
              </w:rPr>
              <w:t>掌握跨境电商B2B平台运营规则、国际支付结算流程、跨文化商务沟通理论及数字营销工具应用，理解目标市场国别政策与贸易壁垒特征，构建覆盖产品定位、客户开发、订单履约的全链条知识体系。</w:t>
            </w:r>
          </w:p>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b/>
                <w:bCs/>
                <w:color w:val="auto"/>
                <w:sz w:val="24"/>
                <w:highlight w:val="none"/>
              </w:rPr>
              <w:t>能力目标</w:t>
            </w:r>
            <w:r>
              <w:rPr>
                <w:rFonts w:hint="eastAsia" w:ascii="仿宋_GB2312" w:hAnsi="仿宋_GB2312" w:eastAsia="仿宋_GB2312" w:cs="仿宋_GB2312"/>
                <w:b/>
                <w:bCs/>
                <w:color w:val="auto"/>
                <w:sz w:val="24"/>
                <w:highlight w:val="none"/>
                <w:lang w:eastAsia="zh-CN"/>
              </w:rPr>
              <w:t>：</w:t>
            </w:r>
            <w:r>
              <w:rPr>
                <w:rFonts w:hint="eastAsia" w:ascii="仿宋_GB2312" w:hAnsi="仿宋_GB2312" w:eastAsia="仿宋_GB2312" w:cs="仿宋_GB2312"/>
                <w:color w:val="auto"/>
                <w:sz w:val="24"/>
                <w:highlight w:val="none"/>
              </w:rPr>
              <w:t>具备独立完成B2B平台店铺搭建与维护、多语言产品文案撰写、海外客户需求分析及跨境供应链协调的能力，能运用大数据工具进行市场趋势预测，实现从询盘转化到售后服务的全流程数字化运营。</w:t>
            </w:r>
          </w:p>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b/>
                <w:bCs/>
                <w:color w:val="auto"/>
                <w:sz w:val="24"/>
                <w:highlight w:val="none"/>
              </w:rPr>
              <w:t>素质目标</w:t>
            </w:r>
            <w:r>
              <w:rPr>
                <w:rFonts w:hint="eastAsia" w:ascii="仿宋_GB2312" w:hAnsi="仿宋_GB2312" w:eastAsia="仿宋_GB2312" w:cs="仿宋_GB2312"/>
                <w:b/>
                <w:bCs/>
                <w:color w:val="auto"/>
                <w:sz w:val="24"/>
                <w:highlight w:val="none"/>
                <w:lang w:eastAsia="zh-CN"/>
              </w:rPr>
              <w:t>：</w:t>
            </w:r>
            <w:r>
              <w:rPr>
                <w:rFonts w:hint="eastAsia" w:ascii="仿宋_GB2312" w:hAnsi="仿宋_GB2312" w:eastAsia="仿宋_GB2312" w:cs="仿宋_GB2312"/>
                <w:color w:val="auto"/>
                <w:sz w:val="24"/>
                <w:highlight w:val="none"/>
              </w:rPr>
              <w:t>培养全球化视野下的职业敏感度，强化知识产权保护意识与契约精神，建立严谨的合规经营观念，形成以客户为中心的跨文化服务理念，具备应对时差、汇率波动等特殊工作场景的心理韧性。</w:t>
            </w:r>
          </w:p>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b/>
                <w:bCs/>
                <w:color w:val="auto"/>
                <w:sz w:val="24"/>
                <w:highlight w:val="none"/>
              </w:rPr>
              <w:t>课程思政育人目标</w:t>
            </w:r>
            <w:r>
              <w:rPr>
                <w:rFonts w:hint="eastAsia" w:ascii="仿宋_GB2312" w:hAnsi="仿宋_GB2312" w:eastAsia="仿宋_GB2312" w:cs="仿宋_GB2312"/>
                <w:b/>
                <w:bCs/>
                <w:color w:val="auto"/>
                <w:sz w:val="24"/>
                <w:highlight w:val="none"/>
                <w:lang w:eastAsia="zh-CN"/>
              </w:rPr>
              <w:t>：</w:t>
            </w:r>
            <w:r>
              <w:rPr>
                <w:rFonts w:hint="eastAsia" w:ascii="仿宋_GB2312" w:hAnsi="仿宋_GB2312" w:eastAsia="仿宋_GB2312" w:cs="仿宋_GB2312"/>
                <w:color w:val="auto"/>
                <w:sz w:val="24"/>
                <w:highlight w:val="none"/>
              </w:rPr>
              <w:t>将</w:t>
            </w:r>
            <w:r>
              <w:rPr>
                <w:rFonts w:hint="eastAsia" w:ascii="仿宋_GB2312" w:hAnsi="仿宋_GB2312" w:eastAsia="仿宋_GB2312" w:cs="仿宋_GB2312"/>
                <w:color w:val="auto"/>
                <w:sz w:val="24"/>
                <w:highlight w:val="none"/>
                <w:lang w:eastAsia="zh-CN"/>
              </w:rPr>
              <w:t>“</w:t>
            </w:r>
            <w:r>
              <w:rPr>
                <w:rFonts w:hint="eastAsia" w:ascii="仿宋_GB2312" w:hAnsi="仿宋_GB2312" w:eastAsia="仿宋_GB2312" w:cs="仿宋_GB2312"/>
                <w:color w:val="auto"/>
                <w:sz w:val="24"/>
                <w:highlight w:val="none"/>
              </w:rPr>
              <w:t>一带一路</w:t>
            </w:r>
            <w:r>
              <w:rPr>
                <w:rFonts w:hint="eastAsia" w:ascii="仿宋_GB2312" w:hAnsi="仿宋_GB2312" w:eastAsia="仿宋_GB2312" w:cs="仿宋_GB2312"/>
                <w:color w:val="auto"/>
                <w:sz w:val="24"/>
                <w:highlight w:val="none"/>
                <w:lang w:eastAsia="zh-CN"/>
              </w:rPr>
              <w:t>”</w:t>
            </w:r>
            <w:r>
              <w:rPr>
                <w:rFonts w:hint="eastAsia" w:ascii="仿宋_GB2312" w:hAnsi="仿宋_GB2312" w:eastAsia="仿宋_GB2312" w:cs="仿宋_GB2312"/>
                <w:color w:val="auto"/>
                <w:sz w:val="24"/>
                <w:highlight w:val="none"/>
              </w:rPr>
              <w:t>倡议融入跨境贸易案例教学，强化学生服务国家战略的使命感；通过对比中外电商发展历程，增强制度自信与民族品牌出海意识；在RCEP等国际规则学习中树立人类命运共同体意识。</w:t>
            </w:r>
          </w:p>
        </w:tc>
        <w:tc>
          <w:tcPr>
            <w:tcW w:w="2592" w:type="dxa"/>
            <w:vAlign w:val="top"/>
          </w:tcPr>
          <w:p>
            <w:pPr>
              <w:keepNext w:val="0"/>
              <w:keepLines w:val="0"/>
              <w:pageBreakBefore w:val="0"/>
              <w:widowControl w:val="0"/>
              <w:kinsoku/>
              <w:wordWrap/>
              <w:overflowPunct w:val="0"/>
              <w:topLinePunct w:val="0"/>
              <w:autoSpaceDE/>
              <w:autoSpaceDN/>
              <w:bidi w:val="0"/>
              <w:adjustRightInd w:val="0"/>
              <w:snapToGrid/>
              <w:spacing w:after="0" w:line="360" w:lineRule="atLeast"/>
              <w:jc w:val="both"/>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kern w:val="2"/>
                <w:sz w:val="24"/>
                <w:szCs w:val="24"/>
                <w:highlight w:val="none"/>
                <w:vertAlign w:val="baseline"/>
                <w:lang w:val="en-US" w:eastAsia="zh-CN" w:bidi="ar-SA"/>
              </w:rPr>
              <w:t>涵盖B2B营销基础（全球市场细分、客户画像建模、竞争分析框架）、数字化营销模块、内容与品牌建设（行业白皮书策划、案例视频制作、品牌故事国际化表达），以及高阶实战（大客户开发流程、询盘转化技巧、供应链协同营销）。</w:t>
            </w:r>
          </w:p>
        </w:tc>
        <w:tc>
          <w:tcPr>
            <w:tcW w:w="2507" w:type="dxa"/>
            <w:vAlign w:val="top"/>
          </w:tcPr>
          <w:p>
            <w:pPr>
              <w:keepNext w:val="0"/>
              <w:keepLines w:val="0"/>
              <w:pageBreakBefore w:val="0"/>
              <w:widowControl w:val="0"/>
              <w:kinsoku/>
              <w:wordWrap/>
              <w:overflowPunct/>
              <w:topLinePunct w:val="0"/>
              <w:autoSpaceDE/>
              <w:autoSpaceDN/>
              <w:bidi w:val="0"/>
              <w:adjustRightInd/>
              <w:snapToGrid/>
              <w:spacing w:after="0" w:line="360" w:lineRule="atLeast"/>
              <w:jc w:val="both"/>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kern w:val="2"/>
                <w:sz w:val="24"/>
                <w:szCs w:val="24"/>
                <w:highlight w:val="none"/>
                <w:vertAlign w:val="baseline"/>
                <w:lang w:val="en-US" w:eastAsia="zh-CN" w:bidi="ar-SA"/>
              </w:rPr>
              <w:t>掌握跨境电商 B2B 平台市场分析、内容营销、引流推广和品牌营销等操作要领；能熟练开展跨境电商市场分析，外贸企业自建站和跨境电商 B2B 平台店铺视觉营销和内容营销，跨境电商 B2B 平台直播规范和操作技巧，国际搜索引擎优化、海外社交媒体营销，品牌规划和推广； 熟悉跨境电商 B2B 平台各类营销方案拟订。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5" w:type="dxa"/>
            <w:vAlign w:val="center"/>
          </w:tcPr>
          <w:p>
            <w:pPr>
              <w:keepNext w:val="0"/>
              <w:keepLines w:val="0"/>
              <w:pageBreakBefore w:val="0"/>
              <w:widowControl w:val="0"/>
              <w:kinsoku/>
              <w:wordWrap/>
              <w:overflowPunct w:val="0"/>
              <w:topLinePunct w:val="0"/>
              <w:autoSpaceDE/>
              <w:autoSpaceDN/>
              <w:bidi w:val="0"/>
              <w:adjustRightInd w:val="0"/>
              <w:spacing w:after="0" w:line="360" w:lineRule="exact"/>
              <w:jc w:val="center"/>
              <w:textAlignment w:val="auto"/>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color w:val="auto"/>
                <w:sz w:val="24"/>
                <w:highlight w:val="none"/>
                <w:lang w:val="en-US" w:eastAsia="zh-CN"/>
              </w:rPr>
              <w:t>6</w:t>
            </w:r>
          </w:p>
        </w:tc>
        <w:tc>
          <w:tcPr>
            <w:tcW w:w="775" w:type="dxa"/>
            <w:vAlign w:val="center"/>
          </w:tcPr>
          <w:p>
            <w:pPr>
              <w:keepNext w:val="0"/>
              <w:keepLines w:val="0"/>
              <w:pageBreakBefore w:val="0"/>
              <w:widowControl w:val="0"/>
              <w:kinsoku/>
              <w:wordWrap/>
              <w:overflowPunct w:val="0"/>
              <w:topLinePunct w:val="0"/>
              <w:autoSpaceDE/>
              <w:autoSpaceDN/>
              <w:bidi w:val="0"/>
              <w:adjustRightInd w:val="0"/>
              <w:snapToGrid/>
              <w:spacing w:after="0" w:line="360" w:lineRule="atLeast"/>
              <w:jc w:val="center"/>
              <w:textAlignment w:val="auto"/>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color w:val="auto"/>
                <w:sz w:val="24"/>
                <w:szCs w:val="24"/>
                <w:highlight w:val="none"/>
              </w:rPr>
              <w:t>外贸英文函电</w:t>
            </w:r>
          </w:p>
        </w:tc>
        <w:tc>
          <w:tcPr>
            <w:tcW w:w="4100" w:type="dxa"/>
            <w:vAlign w:val="top"/>
          </w:tcPr>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b/>
                <w:bCs/>
                <w:color w:val="auto"/>
                <w:sz w:val="24"/>
                <w:highlight w:val="none"/>
              </w:rPr>
              <w:t>知识目标</w:t>
            </w:r>
            <w:r>
              <w:rPr>
                <w:rFonts w:hint="eastAsia" w:ascii="仿宋_GB2312" w:hAnsi="仿宋_GB2312" w:eastAsia="仿宋_GB2312" w:cs="仿宋_GB2312"/>
                <w:b/>
                <w:bCs/>
                <w:color w:val="auto"/>
                <w:sz w:val="24"/>
                <w:highlight w:val="none"/>
                <w:lang w:eastAsia="zh-CN"/>
              </w:rPr>
              <w:t>：</w:t>
            </w:r>
            <w:r>
              <w:rPr>
                <w:rFonts w:hint="eastAsia" w:ascii="仿宋_GB2312" w:hAnsi="仿宋_GB2312" w:eastAsia="仿宋_GB2312" w:cs="仿宋_GB2312"/>
                <w:color w:val="auto"/>
                <w:sz w:val="24"/>
                <w:highlight w:val="none"/>
              </w:rPr>
              <w:t>掌握外贸函电的格式规范与专业术语，熟练运用询盘、报盘、还盘等核心业务场景的英语表达，熟悉国际贸易惯例（如INCOTERMS 2020）在函电中的应用，并能准确理解信用证、提单等单证的专业表述。</w:t>
            </w:r>
          </w:p>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b/>
                <w:bCs/>
                <w:color w:val="auto"/>
                <w:sz w:val="24"/>
                <w:highlight w:val="none"/>
              </w:rPr>
              <w:t>能力目标</w:t>
            </w:r>
            <w:r>
              <w:rPr>
                <w:rFonts w:hint="eastAsia" w:ascii="仿宋_GB2312" w:hAnsi="仿宋_GB2312" w:eastAsia="仿宋_GB2312" w:cs="仿宋_GB2312"/>
                <w:b/>
                <w:bCs/>
                <w:color w:val="auto"/>
                <w:sz w:val="24"/>
                <w:highlight w:val="none"/>
                <w:lang w:eastAsia="zh-CN"/>
              </w:rPr>
              <w:t>：</w:t>
            </w:r>
            <w:r>
              <w:rPr>
                <w:rFonts w:hint="eastAsia" w:ascii="仿宋_GB2312" w:hAnsi="仿宋_GB2312" w:eastAsia="仿宋_GB2312" w:cs="仿宋_GB2312"/>
                <w:color w:val="auto"/>
                <w:sz w:val="24"/>
                <w:highlight w:val="none"/>
              </w:rPr>
              <w:t>具备独立撰写结构清晰、用语得体的商务信函能力，能根据客户需求进行跨文化沟通与谈判，熟练运用邮件、即时通讯等数字化工具处理外贸事务，同时培养审单纠错及合同条款解读的实务技能。</w:t>
            </w:r>
          </w:p>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b/>
                <w:bCs/>
                <w:color w:val="auto"/>
                <w:sz w:val="24"/>
                <w:highlight w:val="none"/>
              </w:rPr>
              <w:t>素质目标</w:t>
            </w:r>
            <w:r>
              <w:rPr>
                <w:rFonts w:hint="eastAsia" w:ascii="仿宋_GB2312" w:hAnsi="仿宋_GB2312" w:eastAsia="仿宋_GB2312" w:cs="仿宋_GB2312"/>
                <w:b/>
                <w:bCs/>
                <w:color w:val="auto"/>
                <w:sz w:val="24"/>
                <w:highlight w:val="none"/>
                <w:lang w:eastAsia="zh-CN"/>
              </w:rPr>
              <w:t>：</w:t>
            </w:r>
            <w:r>
              <w:rPr>
                <w:rFonts w:hint="eastAsia" w:ascii="仿宋_GB2312" w:hAnsi="仿宋_GB2312" w:eastAsia="仿宋_GB2312" w:cs="仿宋_GB2312"/>
                <w:color w:val="auto"/>
                <w:sz w:val="24"/>
                <w:highlight w:val="none"/>
              </w:rPr>
              <w:t>树立诚信守约的职业操守，培养严谨细致的工作态度，强化团队协作意识与时间管理能力，同时保持开放心态应对国际商务中的文化差异。</w:t>
            </w:r>
          </w:p>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b/>
                <w:bCs/>
                <w:color w:val="auto"/>
                <w:sz w:val="24"/>
                <w:highlight w:val="none"/>
              </w:rPr>
              <w:t>课程思政育人目标</w:t>
            </w:r>
            <w:r>
              <w:rPr>
                <w:rFonts w:hint="eastAsia" w:ascii="仿宋_GB2312" w:hAnsi="仿宋_GB2312" w:eastAsia="仿宋_GB2312" w:cs="仿宋_GB2312"/>
                <w:b/>
                <w:bCs/>
                <w:color w:val="auto"/>
                <w:sz w:val="24"/>
                <w:highlight w:val="none"/>
                <w:lang w:eastAsia="zh-CN"/>
              </w:rPr>
              <w:t>：</w:t>
            </w:r>
            <w:r>
              <w:rPr>
                <w:rFonts w:hint="eastAsia" w:ascii="仿宋_GB2312" w:hAnsi="仿宋_GB2312" w:eastAsia="仿宋_GB2312" w:cs="仿宋_GB2312"/>
                <w:color w:val="auto"/>
                <w:sz w:val="24"/>
                <w:highlight w:val="none"/>
              </w:rPr>
              <w:t>通过案例分析渗透契约精神与法律意识（如《联合国国际货物销售合同公约》），在函电撰写中融入文化自信（如中式礼仪的恰当表达），引导学生理解外贸从业者的社会责任，培养兼具国际视野与家国情怀的新时代商务人才。</w:t>
            </w:r>
          </w:p>
        </w:tc>
        <w:tc>
          <w:tcPr>
            <w:tcW w:w="2592" w:type="dxa"/>
            <w:vAlign w:val="top"/>
          </w:tcPr>
          <w:p>
            <w:pPr>
              <w:keepNext w:val="0"/>
              <w:keepLines w:val="0"/>
              <w:pageBreakBefore w:val="0"/>
              <w:widowControl w:val="0"/>
              <w:kinsoku/>
              <w:wordWrap/>
              <w:overflowPunct w:val="0"/>
              <w:topLinePunct w:val="0"/>
              <w:autoSpaceDE/>
              <w:autoSpaceDN/>
              <w:bidi w:val="0"/>
              <w:adjustRightInd w:val="0"/>
              <w:snapToGrid/>
              <w:spacing w:after="0" w:line="360" w:lineRule="atLeast"/>
              <w:jc w:val="both"/>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szCs w:val="24"/>
                <w:highlight w:val="none"/>
              </w:rPr>
              <w:t>学生应掌握国际商务函电写作的基本格式与模式，以及基本的国际商务专业术语。熟悉外贸业务的基本流程，包括建立业务关系、询价、报价、还价、洽谈、签约、付款、交货、装船、保险、索赔和理赔等环节。</w:t>
            </w:r>
          </w:p>
        </w:tc>
        <w:tc>
          <w:tcPr>
            <w:tcW w:w="2507" w:type="dxa"/>
            <w:vAlign w:val="top"/>
          </w:tcPr>
          <w:p>
            <w:pPr>
              <w:keepNext w:val="0"/>
              <w:keepLines w:val="0"/>
              <w:pageBreakBefore w:val="0"/>
              <w:widowControl w:val="0"/>
              <w:kinsoku/>
              <w:wordWrap/>
              <w:overflowPunct/>
              <w:topLinePunct w:val="0"/>
              <w:autoSpaceDE/>
              <w:autoSpaceDN/>
              <w:bidi w:val="0"/>
              <w:adjustRightInd/>
              <w:snapToGrid/>
              <w:spacing w:after="0" w:line="360" w:lineRule="atLeast"/>
              <w:jc w:val="both"/>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kern w:val="2"/>
                <w:sz w:val="24"/>
                <w:szCs w:val="24"/>
                <w:highlight w:val="none"/>
                <w:vertAlign w:val="baseline"/>
                <w:lang w:val="en-US" w:eastAsia="zh-CN" w:bidi="ar-SA"/>
              </w:rPr>
              <w:t>写作训练是外贸函电课程的重要组成部分。教师应安排充足的写作练习机会，包括课堂练习、课后作业及模拟写作等。通过不断的写作实践，提高学生的写作能力和函电质量。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5" w:type="dxa"/>
            <w:vAlign w:val="center"/>
          </w:tcPr>
          <w:p>
            <w:pPr>
              <w:keepNext w:val="0"/>
              <w:keepLines w:val="0"/>
              <w:pageBreakBefore w:val="0"/>
              <w:widowControl w:val="0"/>
              <w:kinsoku/>
              <w:wordWrap/>
              <w:overflowPunct w:val="0"/>
              <w:topLinePunct w:val="0"/>
              <w:autoSpaceDE/>
              <w:autoSpaceDN/>
              <w:bidi w:val="0"/>
              <w:adjustRightInd w:val="0"/>
              <w:spacing w:after="0" w:line="360" w:lineRule="exact"/>
              <w:jc w:val="center"/>
              <w:textAlignment w:val="auto"/>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color w:val="auto"/>
                <w:sz w:val="24"/>
                <w:highlight w:val="none"/>
                <w:lang w:val="en-US" w:eastAsia="zh-CN"/>
              </w:rPr>
              <w:t>7</w:t>
            </w:r>
          </w:p>
        </w:tc>
        <w:tc>
          <w:tcPr>
            <w:tcW w:w="775" w:type="dxa"/>
            <w:vAlign w:val="center"/>
          </w:tcPr>
          <w:p>
            <w:pPr>
              <w:keepNext w:val="0"/>
              <w:keepLines w:val="0"/>
              <w:pageBreakBefore w:val="0"/>
              <w:widowControl w:val="0"/>
              <w:kinsoku/>
              <w:wordWrap/>
              <w:overflowPunct w:val="0"/>
              <w:topLinePunct w:val="0"/>
              <w:autoSpaceDE/>
              <w:autoSpaceDN/>
              <w:bidi w:val="0"/>
              <w:adjustRightInd w:val="0"/>
              <w:snapToGrid/>
              <w:spacing w:after="0" w:line="360" w:lineRule="atLeast"/>
              <w:jc w:val="center"/>
              <w:textAlignment w:val="auto"/>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color w:val="auto"/>
                <w:sz w:val="24"/>
                <w:szCs w:val="24"/>
                <w:highlight w:val="none"/>
              </w:rPr>
              <w:t>外贸风险管理</w:t>
            </w:r>
          </w:p>
        </w:tc>
        <w:tc>
          <w:tcPr>
            <w:tcW w:w="4100" w:type="dxa"/>
            <w:vAlign w:val="top"/>
          </w:tcPr>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b/>
                <w:bCs/>
                <w:color w:val="auto"/>
                <w:sz w:val="24"/>
                <w:highlight w:val="none"/>
              </w:rPr>
              <w:t>知识目标</w:t>
            </w:r>
            <w:r>
              <w:rPr>
                <w:rFonts w:hint="eastAsia" w:ascii="仿宋_GB2312" w:hAnsi="仿宋_GB2312" w:eastAsia="仿宋_GB2312" w:cs="仿宋_GB2312"/>
                <w:b/>
                <w:bCs/>
                <w:color w:val="auto"/>
                <w:sz w:val="24"/>
                <w:highlight w:val="none"/>
                <w:lang w:eastAsia="zh-CN"/>
              </w:rPr>
              <w:t>：</w:t>
            </w:r>
            <w:r>
              <w:rPr>
                <w:rFonts w:hint="eastAsia" w:ascii="仿宋_GB2312" w:hAnsi="仿宋_GB2312" w:eastAsia="仿宋_GB2312" w:cs="仿宋_GB2312"/>
                <w:color w:val="auto"/>
                <w:sz w:val="24"/>
                <w:highlight w:val="none"/>
              </w:rPr>
              <w:t>‌使学生系统掌握外贸风险管理的核心理论框架，包括国际结算风险（如信用证欺诈）、汇率波动风险、政治与法律风险识别方法，以及贸易术语（Incoterms 2020）中的风险分配规则。通过案例分析理解WTO规则、区域性贸易协定对风险防控的影响，并能运用SWOT分析法评估贸易伙伴的信用风险等级。</w:t>
            </w:r>
          </w:p>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b/>
                <w:bCs/>
                <w:color w:val="auto"/>
                <w:sz w:val="24"/>
                <w:highlight w:val="none"/>
              </w:rPr>
              <w:t>‌能力目标‌</w:t>
            </w:r>
            <w:r>
              <w:rPr>
                <w:rFonts w:hint="eastAsia" w:ascii="仿宋_GB2312" w:hAnsi="仿宋_GB2312" w:eastAsia="仿宋_GB2312" w:cs="仿宋_GB2312"/>
                <w:b/>
                <w:bCs/>
                <w:color w:val="auto"/>
                <w:sz w:val="24"/>
                <w:highlight w:val="none"/>
                <w:lang w:eastAsia="zh-CN"/>
              </w:rPr>
              <w:t>：</w:t>
            </w:r>
            <w:r>
              <w:rPr>
                <w:rFonts w:hint="eastAsia" w:ascii="仿宋_GB2312" w:hAnsi="仿宋_GB2312" w:eastAsia="仿宋_GB2312" w:cs="仿宋_GB2312"/>
                <w:color w:val="auto"/>
                <w:sz w:val="24"/>
                <w:highlight w:val="none"/>
              </w:rPr>
              <w:t>培养学生运用风险管理工具解决实际问题的能力，包括独立完成外贸合同风险条款审核、设计汇率对冲方案（如远期结售汇）、通过海关AEO认证降低通关风险等。</w:t>
            </w:r>
          </w:p>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b/>
                <w:bCs/>
                <w:color w:val="auto"/>
                <w:sz w:val="24"/>
                <w:highlight w:val="none"/>
              </w:rPr>
              <w:t>‌素质目标‌</w:t>
            </w:r>
            <w:r>
              <w:rPr>
                <w:rFonts w:hint="eastAsia" w:ascii="仿宋_GB2312" w:hAnsi="仿宋_GB2312" w:eastAsia="仿宋_GB2312" w:cs="仿宋_GB2312"/>
                <w:b/>
                <w:bCs/>
                <w:color w:val="auto"/>
                <w:sz w:val="24"/>
                <w:highlight w:val="none"/>
                <w:lang w:eastAsia="zh-CN"/>
              </w:rPr>
              <w:t>：</w:t>
            </w:r>
            <w:r>
              <w:rPr>
                <w:rFonts w:hint="eastAsia" w:ascii="仿宋_GB2312" w:hAnsi="仿宋_GB2312" w:eastAsia="仿宋_GB2312" w:cs="仿宋_GB2312"/>
                <w:color w:val="auto"/>
                <w:sz w:val="24"/>
                <w:highlight w:val="none"/>
              </w:rPr>
              <w:t>塑造学生的合规意识与跨文化沟通能力，强调在跨境交易中坚守商业伦理，如反商业贿赂、数据保护合规（GDPR）。培养其危机处理中的应变能力，例如遭遇目的港拒收时能快速启动替代物流方案，同时树立</w:t>
            </w:r>
            <w:r>
              <w:rPr>
                <w:rFonts w:hint="eastAsia" w:ascii="仿宋_GB2312" w:hAnsi="仿宋_GB2312" w:eastAsia="仿宋_GB2312" w:cs="仿宋_GB2312"/>
                <w:color w:val="auto"/>
                <w:sz w:val="24"/>
                <w:highlight w:val="none"/>
                <w:lang w:eastAsia="zh-CN"/>
              </w:rPr>
              <w:t>“</w:t>
            </w:r>
            <w:r>
              <w:rPr>
                <w:rFonts w:hint="eastAsia" w:ascii="仿宋_GB2312" w:hAnsi="仿宋_GB2312" w:eastAsia="仿宋_GB2312" w:cs="仿宋_GB2312"/>
                <w:color w:val="auto"/>
                <w:sz w:val="24"/>
                <w:highlight w:val="none"/>
              </w:rPr>
              <w:t>风险共担</w:t>
            </w:r>
            <w:r>
              <w:rPr>
                <w:rFonts w:hint="eastAsia" w:ascii="仿宋_GB2312" w:hAnsi="仿宋_GB2312" w:eastAsia="仿宋_GB2312" w:cs="仿宋_GB2312"/>
                <w:color w:val="auto"/>
                <w:sz w:val="24"/>
                <w:highlight w:val="none"/>
                <w:lang w:eastAsia="zh-CN"/>
              </w:rPr>
              <w:t>”</w:t>
            </w:r>
            <w:r>
              <w:rPr>
                <w:rFonts w:hint="eastAsia" w:ascii="仿宋_GB2312" w:hAnsi="仿宋_GB2312" w:eastAsia="仿宋_GB2312" w:cs="仿宋_GB2312"/>
                <w:color w:val="auto"/>
                <w:sz w:val="24"/>
                <w:highlight w:val="none"/>
              </w:rPr>
              <w:t>的契约精神。</w:t>
            </w:r>
          </w:p>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b/>
                <w:bCs/>
                <w:color w:val="auto"/>
                <w:sz w:val="24"/>
                <w:highlight w:val="none"/>
              </w:rPr>
              <w:t>‌课程思政育人目标</w:t>
            </w:r>
            <w:r>
              <w:rPr>
                <w:rFonts w:hint="eastAsia" w:ascii="仿宋_GB2312" w:hAnsi="仿宋_GB2312" w:eastAsia="仿宋_GB2312" w:cs="仿宋_GB2312"/>
                <w:b/>
                <w:bCs/>
                <w:color w:val="auto"/>
                <w:sz w:val="24"/>
                <w:highlight w:val="none"/>
                <w:lang w:eastAsia="zh-CN"/>
              </w:rPr>
              <w:t>：</w:t>
            </w:r>
            <w:r>
              <w:rPr>
                <w:rFonts w:hint="eastAsia" w:ascii="仿宋_GB2312" w:hAnsi="仿宋_GB2312" w:eastAsia="仿宋_GB2312" w:cs="仿宋_GB2312"/>
                <w:color w:val="auto"/>
                <w:sz w:val="24"/>
                <w:highlight w:val="none"/>
              </w:rPr>
              <w:t>强化学生的国家战略意识与制度自信；以华为供应链风险管理等本土企业实践为切入点，培育家国情怀与全球视野。引导学生理解</w:t>
            </w:r>
            <w:r>
              <w:rPr>
                <w:rFonts w:hint="eastAsia" w:ascii="仿宋_GB2312" w:hAnsi="仿宋_GB2312" w:eastAsia="仿宋_GB2312" w:cs="仿宋_GB2312"/>
                <w:color w:val="auto"/>
                <w:sz w:val="24"/>
                <w:highlight w:val="none"/>
                <w:lang w:eastAsia="zh-CN"/>
              </w:rPr>
              <w:t>“</w:t>
            </w:r>
            <w:r>
              <w:rPr>
                <w:rFonts w:hint="eastAsia" w:ascii="仿宋_GB2312" w:hAnsi="仿宋_GB2312" w:eastAsia="仿宋_GB2312" w:cs="仿宋_GB2312"/>
                <w:color w:val="auto"/>
                <w:sz w:val="24"/>
                <w:highlight w:val="none"/>
              </w:rPr>
              <w:t>双循环</w:t>
            </w:r>
            <w:r>
              <w:rPr>
                <w:rFonts w:hint="eastAsia" w:ascii="仿宋_GB2312" w:hAnsi="仿宋_GB2312" w:eastAsia="仿宋_GB2312" w:cs="仿宋_GB2312"/>
                <w:color w:val="auto"/>
                <w:sz w:val="24"/>
                <w:highlight w:val="none"/>
                <w:lang w:eastAsia="zh-CN"/>
              </w:rPr>
              <w:t>”</w:t>
            </w:r>
            <w:r>
              <w:rPr>
                <w:rFonts w:hint="eastAsia" w:ascii="仿宋_GB2312" w:hAnsi="仿宋_GB2312" w:eastAsia="仿宋_GB2312" w:cs="仿宋_GB2312"/>
                <w:color w:val="auto"/>
                <w:sz w:val="24"/>
                <w:highlight w:val="none"/>
              </w:rPr>
              <w:t>格局下，外贸风险防控既是商业行为，更是维护国家经济安全的重要防线。</w:t>
            </w:r>
          </w:p>
        </w:tc>
        <w:tc>
          <w:tcPr>
            <w:tcW w:w="2592" w:type="dxa"/>
            <w:vAlign w:val="top"/>
          </w:tcPr>
          <w:p>
            <w:pPr>
              <w:keepNext w:val="0"/>
              <w:keepLines w:val="0"/>
              <w:pageBreakBefore w:val="0"/>
              <w:widowControl w:val="0"/>
              <w:kinsoku/>
              <w:wordWrap/>
              <w:overflowPunct w:val="0"/>
              <w:topLinePunct w:val="0"/>
              <w:autoSpaceDE/>
              <w:autoSpaceDN/>
              <w:bidi w:val="0"/>
              <w:adjustRightInd w:val="0"/>
              <w:snapToGrid/>
              <w:spacing w:after="0" w:line="360" w:lineRule="atLeast"/>
              <w:jc w:val="both"/>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szCs w:val="24"/>
                <w:highlight w:val="none"/>
              </w:rPr>
              <w:t xml:space="preserve"> 围绕风险识别与应对主线，涵盖外贸风险理论框架（政治/市场/操作风险分类、INCOTERMS责任划分）、核心实务模块（客户资信调查、合同风险条款设计、信用证审核技巧、国际货物运输保险选择），结合典型案例（如汇率波动损失、跨境电商退运纠纷）及模拟场景演练（如贸易纠纷谈判、不可抗力处理）；融入数字化工具应用（如大数据风控平台、贸易合规软件），同步解析RCEP等新规对风险管理的动态影响，强化从风险预警到危机化解的全链条实战能力。</w:t>
            </w:r>
          </w:p>
        </w:tc>
        <w:tc>
          <w:tcPr>
            <w:tcW w:w="2507" w:type="dxa"/>
            <w:vAlign w:val="top"/>
          </w:tcPr>
          <w:p>
            <w:pPr>
              <w:keepNext w:val="0"/>
              <w:keepLines w:val="0"/>
              <w:pageBreakBefore w:val="0"/>
              <w:widowControl w:val="0"/>
              <w:kinsoku/>
              <w:wordWrap/>
              <w:overflowPunct/>
              <w:topLinePunct w:val="0"/>
              <w:autoSpaceDE/>
              <w:autoSpaceDN/>
              <w:bidi w:val="0"/>
              <w:adjustRightInd/>
              <w:snapToGrid/>
              <w:spacing w:after="0" w:line="360" w:lineRule="atLeast"/>
              <w:jc w:val="both"/>
              <w:textAlignment w:val="auto"/>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color w:val="auto"/>
                <w:kern w:val="2"/>
                <w:sz w:val="24"/>
                <w:szCs w:val="24"/>
                <w:highlight w:val="none"/>
                <w:vertAlign w:val="baseline"/>
                <w:lang w:val="en-US" w:eastAsia="zh-CN" w:bidi="ar-SA"/>
              </w:rPr>
              <w:t>熟悉外贸风险的含义和种类，掌握外贸风险识别、外贸风险估测、外贸风险评价的方法；</w:t>
            </w:r>
          </w:p>
          <w:p>
            <w:pPr>
              <w:keepNext w:val="0"/>
              <w:keepLines w:val="0"/>
              <w:pageBreakBefore w:val="0"/>
              <w:widowControl w:val="0"/>
              <w:kinsoku/>
              <w:wordWrap/>
              <w:overflowPunct/>
              <w:topLinePunct w:val="0"/>
              <w:autoSpaceDE/>
              <w:autoSpaceDN/>
              <w:bidi w:val="0"/>
              <w:adjustRightInd/>
              <w:snapToGrid/>
              <w:spacing w:after="0" w:line="360" w:lineRule="atLeast"/>
              <w:jc w:val="both"/>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kern w:val="2"/>
                <w:sz w:val="24"/>
                <w:szCs w:val="24"/>
                <w:highlight w:val="none"/>
                <w:vertAlign w:val="baseline"/>
                <w:lang w:val="en-US" w:eastAsia="zh-CN" w:bidi="ar-SA"/>
              </w:rPr>
              <w:t>能对宏观环境风险、各交易方风险、合同条款风险、履约过程风险等外贸风险实施有效的控制并妥善处理风险所致的损失。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5" w:type="dxa"/>
            <w:vAlign w:val="center"/>
          </w:tcPr>
          <w:p>
            <w:pPr>
              <w:keepNext w:val="0"/>
              <w:keepLines w:val="0"/>
              <w:pageBreakBefore w:val="0"/>
              <w:widowControl w:val="0"/>
              <w:kinsoku/>
              <w:wordWrap/>
              <w:overflowPunct w:val="0"/>
              <w:topLinePunct w:val="0"/>
              <w:autoSpaceDE/>
              <w:autoSpaceDN/>
              <w:bidi w:val="0"/>
              <w:adjustRightInd w:val="0"/>
              <w:spacing w:after="0" w:line="360" w:lineRule="exact"/>
              <w:jc w:val="center"/>
              <w:textAlignment w:val="auto"/>
              <w:rPr>
                <w:rFonts w:hint="eastAsia" w:ascii="仿宋_GB2312" w:hAnsi="仿宋_GB2312" w:eastAsia="仿宋_GB2312" w:cs="仿宋_GB2312"/>
                <w:color w:val="auto"/>
                <w:sz w:val="24"/>
                <w:highlight w:val="none"/>
                <w:lang w:val="en-US" w:eastAsia="zh-CN"/>
              </w:rPr>
            </w:pPr>
          </w:p>
          <w:p>
            <w:pPr>
              <w:keepNext w:val="0"/>
              <w:keepLines w:val="0"/>
              <w:pageBreakBefore w:val="0"/>
              <w:widowControl w:val="0"/>
              <w:kinsoku/>
              <w:wordWrap/>
              <w:overflowPunct w:val="0"/>
              <w:topLinePunct w:val="0"/>
              <w:autoSpaceDE/>
              <w:autoSpaceDN/>
              <w:bidi w:val="0"/>
              <w:adjustRightInd w:val="0"/>
              <w:spacing w:after="0" w:line="360" w:lineRule="exact"/>
              <w:jc w:val="center"/>
              <w:textAlignment w:val="auto"/>
              <w:rPr>
                <w:rFonts w:hint="eastAsia" w:ascii="仿宋_GB2312" w:hAnsi="仿宋_GB2312" w:eastAsia="仿宋_GB2312" w:cs="仿宋_GB2312"/>
                <w:color w:val="auto"/>
                <w:sz w:val="24"/>
                <w:highlight w:val="none"/>
                <w:lang w:val="en-US" w:eastAsia="zh-CN"/>
              </w:rPr>
            </w:pPr>
          </w:p>
          <w:p>
            <w:pPr>
              <w:keepNext w:val="0"/>
              <w:keepLines w:val="0"/>
              <w:pageBreakBefore w:val="0"/>
              <w:widowControl w:val="0"/>
              <w:kinsoku/>
              <w:wordWrap/>
              <w:overflowPunct w:val="0"/>
              <w:topLinePunct w:val="0"/>
              <w:autoSpaceDE/>
              <w:autoSpaceDN/>
              <w:bidi w:val="0"/>
              <w:adjustRightInd w:val="0"/>
              <w:spacing w:after="0" w:line="360" w:lineRule="exact"/>
              <w:jc w:val="center"/>
              <w:textAlignment w:val="auto"/>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color w:val="auto"/>
                <w:sz w:val="24"/>
                <w:highlight w:val="none"/>
                <w:lang w:val="en-US" w:eastAsia="zh-CN"/>
              </w:rPr>
              <w:t>8</w:t>
            </w:r>
          </w:p>
        </w:tc>
        <w:tc>
          <w:tcPr>
            <w:tcW w:w="775" w:type="dxa"/>
            <w:vAlign w:val="center"/>
          </w:tcPr>
          <w:p>
            <w:pPr>
              <w:keepNext w:val="0"/>
              <w:keepLines w:val="0"/>
              <w:pageBreakBefore w:val="0"/>
              <w:widowControl w:val="0"/>
              <w:kinsoku/>
              <w:wordWrap/>
              <w:overflowPunct w:val="0"/>
              <w:topLinePunct w:val="0"/>
              <w:autoSpaceDE/>
              <w:autoSpaceDN/>
              <w:bidi w:val="0"/>
              <w:adjustRightInd w:val="0"/>
              <w:snapToGrid/>
              <w:spacing w:after="0" w:line="360" w:lineRule="atLeast"/>
              <w:jc w:val="center"/>
              <w:textAlignment w:val="auto"/>
              <w:rPr>
                <w:rFonts w:hint="eastAsia" w:ascii="仿宋_GB2312" w:hAnsi="仿宋_GB2312" w:eastAsia="仿宋_GB2312" w:cs="仿宋_GB2312"/>
                <w:color w:val="auto"/>
                <w:sz w:val="24"/>
                <w:szCs w:val="24"/>
                <w:highlight w:val="none"/>
              </w:rPr>
            </w:pPr>
          </w:p>
          <w:p>
            <w:pPr>
              <w:keepNext w:val="0"/>
              <w:keepLines w:val="0"/>
              <w:pageBreakBefore w:val="0"/>
              <w:widowControl w:val="0"/>
              <w:kinsoku/>
              <w:wordWrap/>
              <w:overflowPunct w:val="0"/>
              <w:topLinePunct w:val="0"/>
              <w:autoSpaceDE/>
              <w:autoSpaceDN/>
              <w:bidi w:val="0"/>
              <w:adjustRightInd w:val="0"/>
              <w:snapToGrid/>
              <w:spacing w:after="0" w:line="360" w:lineRule="atLeast"/>
              <w:jc w:val="center"/>
              <w:textAlignment w:val="auto"/>
              <w:rPr>
                <w:rFonts w:hint="eastAsia" w:ascii="仿宋_GB2312" w:hAnsi="仿宋_GB2312" w:eastAsia="仿宋_GB2312" w:cs="仿宋_GB2312"/>
                <w:color w:val="auto"/>
                <w:sz w:val="24"/>
                <w:szCs w:val="24"/>
                <w:highlight w:val="none"/>
              </w:rPr>
            </w:pPr>
          </w:p>
          <w:p>
            <w:pPr>
              <w:keepNext w:val="0"/>
              <w:keepLines w:val="0"/>
              <w:pageBreakBefore w:val="0"/>
              <w:widowControl w:val="0"/>
              <w:kinsoku/>
              <w:wordWrap/>
              <w:overflowPunct w:val="0"/>
              <w:topLinePunct w:val="0"/>
              <w:autoSpaceDE/>
              <w:autoSpaceDN/>
              <w:bidi w:val="0"/>
              <w:adjustRightInd w:val="0"/>
              <w:snapToGrid/>
              <w:spacing w:after="0" w:line="360" w:lineRule="atLeast"/>
              <w:jc w:val="center"/>
              <w:textAlignment w:val="auto"/>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color w:val="auto"/>
                <w:sz w:val="24"/>
                <w:szCs w:val="24"/>
                <w:highlight w:val="none"/>
              </w:rPr>
              <w:t>跨境电商B2B销售</w:t>
            </w:r>
          </w:p>
        </w:tc>
        <w:tc>
          <w:tcPr>
            <w:tcW w:w="4100" w:type="dxa"/>
            <w:vAlign w:val="top"/>
          </w:tcPr>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b/>
                <w:bCs/>
                <w:color w:val="auto"/>
                <w:sz w:val="24"/>
                <w:highlight w:val="none"/>
              </w:rPr>
              <w:t>‌知识目标</w:t>
            </w:r>
            <w:r>
              <w:rPr>
                <w:rFonts w:hint="eastAsia" w:ascii="仿宋_GB2312" w:hAnsi="仿宋_GB2312" w:eastAsia="仿宋_GB2312" w:cs="仿宋_GB2312"/>
                <w:b/>
                <w:bCs/>
                <w:color w:val="auto"/>
                <w:sz w:val="24"/>
                <w:highlight w:val="none"/>
                <w:lang w:eastAsia="zh-CN"/>
              </w:rPr>
              <w:t>：</w:t>
            </w:r>
            <w:r>
              <w:rPr>
                <w:rFonts w:hint="eastAsia" w:ascii="仿宋_GB2312" w:hAnsi="仿宋_GB2312" w:eastAsia="仿宋_GB2312" w:cs="仿宋_GB2312"/>
                <w:color w:val="auto"/>
                <w:sz w:val="24"/>
                <w:highlight w:val="none"/>
              </w:rPr>
              <w:t>‌使学生系统掌握跨境电商B2B平台（如阿里巴巴国际站、环球资源）的运营规则，包括产品国际认证标准（CE/FDA）、跨境支付工具（PayPal企业账户、TT电汇）的结算流程，以及RCEP等自贸协定下的关税优惠政策。深入理解海外仓备货模式与FBA物流的优劣势对比，并能运用Google Trends进行目标市场选品分析。</w:t>
            </w:r>
          </w:p>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b/>
                <w:bCs/>
                <w:color w:val="auto"/>
                <w:sz w:val="24"/>
                <w:highlight w:val="none"/>
              </w:rPr>
              <w:t>‌能力目标</w:t>
            </w:r>
            <w:r>
              <w:rPr>
                <w:rFonts w:hint="eastAsia" w:ascii="仿宋_GB2312" w:hAnsi="仿宋_GB2312" w:eastAsia="仿宋_GB2312" w:cs="仿宋_GB2312"/>
                <w:b/>
                <w:bCs/>
                <w:color w:val="auto"/>
                <w:sz w:val="24"/>
                <w:highlight w:val="none"/>
                <w:lang w:eastAsia="zh-CN"/>
              </w:rPr>
              <w:t>：</w:t>
            </w:r>
            <w:r>
              <w:rPr>
                <w:rFonts w:hint="eastAsia" w:ascii="仿宋_GB2312" w:hAnsi="仿宋_GB2312" w:eastAsia="仿宋_GB2312" w:cs="仿宋_GB2312"/>
                <w:color w:val="auto"/>
                <w:sz w:val="24"/>
                <w:highlight w:val="none"/>
              </w:rPr>
              <w:t>‌培养学生独立完成B2B店铺全流程运营的能力，涵盖多语言产品详情页制作（SEO关键词优化）、RFQ报价策略制定、跨境征信报告解读。</w:t>
            </w:r>
          </w:p>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b/>
                <w:bCs/>
                <w:color w:val="auto"/>
                <w:sz w:val="24"/>
                <w:highlight w:val="none"/>
              </w:rPr>
              <w:t>‌素质目标</w:t>
            </w:r>
            <w:r>
              <w:rPr>
                <w:rFonts w:hint="eastAsia" w:ascii="仿宋_GB2312" w:hAnsi="仿宋_GB2312" w:eastAsia="仿宋_GB2312" w:cs="仿宋_GB2312"/>
                <w:b/>
                <w:bCs/>
                <w:color w:val="auto"/>
                <w:sz w:val="24"/>
                <w:highlight w:val="none"/>
                <w:lang w:eastAsia="zh-CN"/>
              </w:rPr>
              <w:t>：</w:t>
            </w:r>
            <w:r>
              <w:rPr>
                <w:rFonts w:hint="eastAsia" w:ascii="仿宋_GB2312" w:hAnsi="仿宋_GB2312" w:eastAsia="仿宋_GB2312" w:cs="仿宋_GB2312"/>
                <w:color w:val="auto"/>
                <w:sz w:val="24"/>
                <w:highlight w:val="none"/>
              </w:rPr>
              <w:t>‌塑造学生的数字营销思维与跨文化商务礼仪，强调数据驱动决策（如通过Google Analytics分析流量转化），培养时差协调下的远程谈判能力。树立知识产权保护意识，如应对亚马逊品牌投诉的合规应对流程，同时培养</w:t>
            </w:r>
            <w:r>
              <w:rPr>
                <w:rFonts w:hint="eastAsia" w:ascii="仿宋_GB2312" w:hAnsi="仿宋_GB2312" w:eastAsia="仿宋_GB2312" w:cs="仿宋_GB2312"/>
                <w:color w:val="auto"/>
                <w:sz w:val="24"/>
                <w:highlight w:val="none"/>
                <w:lang w:eastAsia="zh-CN"/>
              </w:rPr>
              <w:t>“</w:t>
            </w:r>
            <w:r>
              <w:rPr>
                <w:rFonts w:hint="eastAsia" w:ascii="仿宋_GB2312" w:hAnsi="仿宋_GB2312" w:eastAsia="仿宋_GB2312" w:cs="仿宋_GB2312"/>
                <w:color w:val="auto"/>
                <w:sz w:val="24"/>
                <w:highlight w:val="none"/>
              </w:rPr>
              <w:t>中国品牌</w:t>
            </w:r>
            <w:r>
              <w:rPr>
                <w:rFonts w:hint="eastAsia" w:ascii="仿宋_GB2312" w:hAnsi="仿宋_GB2312" w:eastAsia="仿宋_GB2312" w:cs="仿宋_GB2312"/>
                <w:color w:val="auto"/>
                <w:sz w:val="24"/>
                <w:highlight w:val="none"/>
                <w:lang w:eastAsia="zh-CN"/>
              </w:rPr>
              <w:t>”</w:t>
            </w:r>
            <w:r>
              <w:rPr>
                <w:rFonts w:hint="eastAsia" w:ascii="仿宋_GB2312" w:hAnsi="仿宋_GB2312" w:eastAsia="仿宋_GB2312" w:cs="仿宋_GB2312"/>
                <w:color w:val="auto"/>
                <w:sz w:val="24"/>
                <w:highlight w:val="none"/>
              </w:rPr>
              <w:t>出海的责任担当。</w:t>
            </w:r>
          </w:p>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b/>
                <w:bCs/>
                <w:color w:val="auto"/>
                <w:sz w:val="24"/>
                <w:highlight w:val="none"/>
              </w:rPr>
              <w:t>‌课程思政育人目标</w:t>
            </w:r>
            <w:r>
              <w:rPr>
                <w:rFonts w:hint="eastAsia" w:ascii="仿宋_GB2312" w:hAnsi="仿宋_GB2312" w:eastAsia="仿宋_GB2312" w:cs="仿宋_GB2312"/>
                <w:b/>
                <w:bCs/>
                <w:color w:val="auto"/>
                <w:sz w:val="24"/>
                <w:highlight w:val="none"/>
                <w:lang w:eastAsia="zh-CN"/>
              </w:rPr>
              <w:t>：</w:t>
            </w:r>
            <w:r>
              <w:rPr>
                <w:rFonts w:hint="eastAsia" w:ascii="仿宋_GB2312" w:hAnsi="仿宋_GB2312" w:eastAsia="仿宋_GB2312" w:cs="仿宋_GB2312"/>
                <w:color w:val="auto"/>
                <w:sz w:val="24"/>
                <w:highlight w:val="none"/>
              </w:rPr>
              <w:t>‌通过分析</w:t>
            </w:r>
            <w:r>
              <w:rPr>
                <w:rFonts w:hint="eastAsia" w:ascii="仿宋_GB2312" w:hAnsi="仿宋_GB2312" w:eastAsia="仿宋_GB2312" w:cs="仿宋_GB2312"/>
                <w:color w:val="auto"/>
                <w:sz w:val="24"/>
                <w:highlight w:val="none"/>
                <w:lang w:eastAsia="zh-CN"/>
              </w:rPr>
              <w:t>“</w:t>
            </w:r>
            <w:r>
              <w:rPr>
                <w:rFonts w:hint="eastAsia" w:ascii="仿宋_GB2312" w:hAnsi="仿宋_GB2312" w:eastAsia="仿宋_GB2312" w:cs="仿宋_GB2312"/>
                <w:color w:val="auto"/>
                <w:sz w:val="24"/>
                <w:highlight w:val="none"/>
              </w:rPr>
              <w:t>跨境电商综试区</w:t>
            </w:r>
            <w:r>
              <w:rPr>
                <w:rFonts w:hint="eastAsia" w:ascii="仿宋_GB2312" w:hAnsi="仿宋_GB2312" w:eastAsia="仿宋_GB2312" w:cs="仿宋_GB2312"/>
                <w:color w:val="auto"/>
                <w:sz w:val="24"/>
                <w:highlight w:val="none"/>
                <w:lang w:eastAsia="zh-CN"/>
              </w:rPr>
              <w:t>”</w:t>
            </w:r>
            <w:r>
              <w:rPr>
                <w:rFonts w:hint="eastAsia" w:ascii="仿宋_GB2312" w:hAnsi="仿宋_GB2312" w:eastAsia="仿宋_GB2312" w:cs="仿宋_GB2312"/>
                <w:color w:val="auto"/>
                <w:sz w:val="24"/>
                <w:highlight w:val="none"/>
              </w:rPr>
              <w:t>政策案例，强化学生对国家数字贸易战略的认同；以SHEIN柔性供应链等本土企业实践为切入点，培育文化自信与创新意识。引导学生理解B2B跨境电商不仅是商业行为，更是推动</w:t>
            </w:r>
            <w:r>
              <w:rPr>
                <w:rFonts w:hint="eastAsia" w:ascii="仿宋_GB2312" w:hAnsi="仿宋_GB2312" w:eastAsia="仿宋_GB2312" w:cs="仿宋_GB2312"/>
                <w:color w:val="auto"/>
                <w:sz w:val="24"/>
                <w:highlight w:val="none"/>
                <w:lang w:eastAsia="zh-CN"/>
              </w:rPr>
              <w:t>“</w:t>
            </w:r>
            <w:r>
              <w:rPr>
                <w:rFonts w:hint="eastAsia" w:ascii="仿宋_GB2312" w:hAnsi="仿宋_GB2312" w:eastAsia="仿宋_GB2312" w:cs="仿宋_GB2312"/>
                <w:color w:val="auto"/>
                <w:sz w:val="24"/>
                <w:highlight w:val="none"/>
              </w:rPr>
              <w:t>中国制造</w:t>
            </w:r>
            <w:r>
              <w:rPr>
                <w:rFonts w:hint="eastAsia" w:ascii="仿宋_GB2312" w:hAnsi="仿宋_GB2312" w:eastAsia="仿宋_GB2312" w:cs="仿宋_GB2312"/>
                <w:color w:val="auto"/>
                <w:sz w:val="24"/>
                <w:highlight w:val="none"/>
                <w:lang w:eastAsia="zh-CN"/>
              </w:rPr>
              <w:t>”</w:t>
            </w:r>
            <w:r>
              <w:rPr>
                <w:rFonts w:hint="eastAsia" w:ascii="仿宋_GB2312" w:hAnsi="仿宋_GB2312" w:eastAsia="仿宋_GB2312" w:cs="仿宋_GB2312"/>
                <w:color w:val="auto"/>
                <w:sz w:val="24"/>
                <w:highlight w:val="none"/>
              </w:rPr>
              <w:t>向</w:t>
            </w:r>
            <w:r>
              <w:rPr>
                <w:rFonts w:hint="eastAsia" w:ascii="仿宋_GB2312" w:hAnsi="仿宋_GB2312" w:eastAsia="仿宋_GB2312" w:cs="仿宋_GB2312"/>
                <w:color w:val="auto"/>
                <w:sz w:val="24"/>
                <w:highlight w:val="none"/>
                <w:lang w:eastAsia="zh-CN"/>
              </w:rPr>
              <w:t>“</w:t>
            </w:r>
            <w:r>
              <w:rPr>
                <w:rFonts w:hint="eastAsia" w:ascii="仿宋_GB2312" w:hAnsi="仿宋_GB2312" w:eastAsia="仿宋_GB2312" w:cs="仿宋_GB2312"/>
                <w:color w:val="auto"/>
                <w:sz w:val="24"/>
                <w:highlight w:val="none"/>
              </w:rPr>
              <w:t>中国智造</w:t>
            </w:r>
            <w:r>
              <w:rPr>
                <w:rFonts w:hint="eastAsia" w:ascii="仿宋_GB2312" w:hAnsi="仿宋_GB2312" w:eastAsia="仿宋_GB2312" w:cs="仿宋_GB2312"/>
                <w:color w:val="auto"/>
                <w:sz w:val="24"/>
                <w:highlight w:val="none"/>
                <w:lang w:eastAsia="zh-CN"/>
              </w:rPr>
              <w:t>”</w:t>
            </w:r>
            <w:r>
              <w:rPr>
                <w:rFonts w:hint="eastAsia" w:ascii="仿宋_GB2312" w:hAnsi="仿宋_GB2312" w:eastAsia="仿宋_GB2312" w:cs="仿宋_GB2312"/>
                <w:color w:val="auto"/>
                <w:sz w:val="24"/>
                <w:highlight w:val="none"/>
              </w:rPr>
              <w:t>转型的重要载体，在跨境数据流动中筑牢国家安全防线。</w:t>
            </w:r>
          </w:p>
        </w:tc>
        <w:tc>
          <w:tcPr>
            <w:tcW w:w="2592" w:type="dxa"/>
            <w:vAlign w:val="top"/>
          </w:tcPr>
          <w:p>
            <w:pPr>
              <w:keepNext w:val="0"/>
              <w:keepLines w:val="0"/>
              <w:pageBreakBefore w:val="0"/>
              <w:widowControl w:val="0"/>
              <w:kinsoku/>
              <w:wordWrap/>
              <w:overflowPunct w:val="0"/>
              <w:topLinePunct w:val="0"/>
              <w:autoSpaceDE/>
              <w:autoSpaceDN/>
              <w:bidi w:val="0"/>
              <w:adjustRightInd w:val="0"/>
              <w:snapToGrid/>
              <w:spacing w:after="0" w:line="360" w:lineRule="atLeas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课程围绕‌市场分析、内容营销、引流推广、品牌营销‌四大模块展开</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 xml:space="preserve"> ‌市场分析‌：利用数据工具分析目标市场需求、竞争格局及政策风险，制定精准市场策略；</w:t>
            </w:r>
          </w:p>
          <w:p>
            <w:pPr>
              <w:keepNext w:val="0"/>
              <w:keepLines w:val="0"/>
              <w:pageBreakBefore w:val="0"/>
              <w:widowControl w:val="0"/>
              <w:kinsoku/>
              <w:wordWrap/>
              <w:overflowPunct w:val="0"/>
              <w:topLinePunct w:val="0"/>
              <w:autoSpaceDE/>
              <w:autoSpaceDN/>
              <w:bidi w:val="0"/>
              <w:adjustRightInd w:val="0"/>
              <w:snapToGrid/>
              <w:spacing w:after="0" w:line="360" w:lineRule="atLeas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‌内容营销‌：通过多语言技术文档、行业白皮书及客户案例库，触达决策者并建立专业信任；</w:t>
            </w:r>
          </w:p>
          <w:p>
            <w:pPr>
              <w:keepNext w:val="0"/>
              <w:keepLines w:val="0"/>
              <w:pageBreakBefore w:val="0"/>
              <w:widowControl w:val="0"/>
              <w:kinsoku/>
              <w:wordWrap/>
              <w:overflowPunct w:val="0"/>
              <w:topLinePunct w:val="0"/>
              <w:autoSpaceDE/>
              <w:autoSpaceDN/>
              <w:bidi w:val="0"/>
              <w:adjustRightInd w:val="0"/>
              <w:snapToGrid/>
              <w:spacing w:after="0" w:line="360" w:lineRule="atLeas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‌引流推广‌：整合B2B平台运营、独立站SEO优化及社媒广告，结合AI工具提升获客效率；</w:t>
            </w:r>
          </w:p>
          <w:p>
            <w:pPr>
              <w:keepNext w:val="0"/>
              <w:keepLines w:val="0"/>
              <w:pageBreakBefore w:val="0"/>
              <w:widowControl w:val="0"/>
              <w:kinsoku/>
              <w:wordWrap/>
              <w:overflowPunct w:val="0"/>
              <w:topLinePunct w:val="0"/>
              <w:autoSpaceDE/>
              <w:autoSpaceDN/>
              <w:bidi w:val="0"/>
              <w:adjustRightInd w:val="0"/>
              <w:snapToGrid/>
              <w:spacing w:after="0" w:line="360" w:lineRule="atLeast"/>
              <w:jc w:val="both"/>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szCs w:val="24"/>
                <w:highlight w:val="none"/>
              </w:rPr>
              <w:t>‌品牌营销‌：打造国际化品牌定位，借助虚拟展会、ESG报告及客户背书强化长期价值。</w:t>
            </w:r>
          </w:p>
        </w:tc>
        <w:tc>
          <w:tcPr>
            <w:tcW w:w="2507" w:type="dxa"/>
            <w:vAlign w:val="top"/>
          </w:tcPr>
          <w:p>
            <w:pPr>
              <w:keepNext w:val="0"/>
              <w:keepLines w:val="0"/>
              <w:pageBreakBefore w:val="0"/>
              <w:widowControl w:val="0"/>
              <w:kinsoku/>
              <w:wordWrap/>
              <w:overflowPunct/>
              <w:topLinePunct w:val="0"/>
              <w:autoSpaceDE/>
              <w:autoSpaceDN/>
              <w:bidi w:val="0"/>
              <w:adjustRightInd/>
              <w:snapToGrid/>
              <w:spacing w:after="0" w:line="360" w:lineRule="atLeast"/>
              <w:jc w:val="both"/>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kern w:val="2"/>
                <w:sz w:val="24"/>
                <w:szCs w:val="24"/>
                <w:highlight w:val="none"/>
                <w:vertAlign w:val="baseline"/>
                <w:lang w:val="en-US" w:eastAsia="zh-CN" w:bidi="ar-SA"/>
              </w:rPr>
              <w:t>掌握商机获取与跟进、客户谈判、合同签订、订单交付与结算、客户管理与服务等操作要领；能熟练开展跨境电商 B2B 平台和外贸企业自建站访客营销、客户数据分析及客户开发、询盘处理与回复、磋商谈判、签订合同、出口履约；熟悉国外客户信息管理、供应商信息管理、信保管理和风险防控。</w:t>
            </w:r>
          </w:p>
        </w:tc>
      </w:tr>
    </w:tbl>
    <w:p>
      <w:pPr>
        <w:keepNext w:val="0"/>
        <w:keepLines w:val="0"/>
        <w:pageBreakBefore w:val="0"/>
        <w:widowControl w:val="0"/>
        <w:numPr>
          <w:ilvl w:val="0"/>
          <w:numId w:val="0"/>
        </w:numPr>
        <w:kinsoku/>
        <w:wordWrap/>
        <w:overflowPunct/>
        <w:topLinePunct w:val="0"/>
        <w:autoSpaceDE/>
        <w:autoSpaceDN/>
        <w:bidi w:val="0"/>
        <w:adjustRightInd w:val="0"/>
        <w:snapToGrid w:val="0"/>
        <w:spacing w:after="0" w:line="520" w:lineRule="exact"/>
        <w:ind w:firstLine="640" w:firstLineChars="200"/>
        <w:textAlignment w:val="auto"/>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3.</w:t>
      </w:r>
      <w:r>
        <w:rPr>
          <w:rFonts w:hint="eastAsia" w:ascii="仿宋_GB2312" w:hAnsi="仿宋_GB2312" w:eastAsia="仿宋_GB2312" w:cs="仿宋_GB2312"/>
          <w:color w:val="auto"/>
          <w:sz w:val="32"/>
          <w:szCs w:val="32"/>
          <w:highlight w:val="none"/>
        </w:rPr>
        <w:t>专业拓展课程</w:t>
      </w:r>
      <w:bookmarkEnd w:id="4"/>
    </w:p>
    <w:p>
      <w:pPr>
        <w:keepNext w:val="0"/>
        <w:keepLines w:val="0"/>
        <w:pageBreakBefore w:val="0"/>
        <w:widowControl w:val="0"/>
        <w:numPr>
          <w:ilvl w:val="0"/>
          <w:numId w:val="0"/>
        </w:numPr>
        <w:kinsoku/>
        <w:wordWrap/>
        <w:overflowPunct/>
        <w:topLinePunct w:val="0"/>
        <w:autoSpaceDE/>
        <w:autoSpaceDN/>
        <w:bidi w:val="0"/>
        <w:adjustRightInd w:val="0"/>
        <w:snapToGrid w:val="0"/>
        <w:spacing w:after="0" w:line="52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专业拓展课程是按照岗位迁移，根据国际经济与贸易行业发展的趋势，依据企业用人需求调研，企业对国际经济与贸易等方面日益增加的需求，建立了国际经济与贸易专业拓展课，并将辅修方向课程纳入其中。主要包括：数字贸易、跨境电商供应链管理、跨境电商数据分析、“一带一路”贸易概览、国际服务贸易、出口信用保险实务、贸易合规、国际经贸规则与标准、外贸参展实务等领域的内容。</w:t>
      </w:r>
    </w:p>
    <w:p>
      <w:pPr>
        <w:keepNext w:val="0"/>
        <w:keepLines w:val="0"/>
        <w:pageBreakBefore w:val="0"/>
        <w:widowControl w:val="0"/>
        <w:numPr>
          <w:ilvl w:val="0"/>
          <w:numId w:val="0"/>
        </w:numPr>
        <w:kinsoku/>
        <w:wordWrap/>
        <w:overflowPunct/>
        <w:topLinePunct w:val="0"/>
        <w:autoSpaceDE/>
        <w:autoSpaceDN/>
        <w:bidi w:val="0"/>
        <w:adjustRightInd w:val="0"/>
        <w:snapToGrid w:val="0"/>
        <w:spacing w:after="0" w:line="520" w:lineRule="exact"/>
        <w:ind w:firstLine="640" w:firstLineChars="200"/>
        <w:textAlignment w:val="auto"/>
        <w:rPr>
          <w:rFonts w:hint="eastAsia" w:ascii="仿宋_GB2312" w:hAnsi="仿宋_GB2312" w:eastAsia="仿宋_GB2312" w:cs="仿宋_GB2312"/>
          <w:color w:val="auto"/>
          <w:sz w:val="32"/>
          <w:szCs w:val="32"/>
          <w:highlight w:val="none"/>
        </w:rPr>
      </w:pPr>
    </w:p>
    <w:p>
      <w:pPr>
        <w:keepNext w:val="0"/>
        <w:keepLines w:val="0"/>
        <w:pageBreakBefore w:val="0"/>
        <w:widowControl w:val="0"/>
        <w:numPr>
          <w:ilvl w:val="0"/>
          <w:numId w:val="0"/>
        </w:numPr>
        <w:kinsoku/>
        <w:wordWrap/>
        <w:overflowPunct/>
        <w:topLinePunct w:val="0"/>
        <w:autoSpaceDE/>
        <w:autoSpaceDN/>
        <w:bidi w:val="0"/>
        <w:adjustRightInd w:val="0"/>
        <w:snapToGrid w:val="0"/>
        <w:spacing w:after="0" w:line="520" w:lineRule="exact"/>
        <w:ind w:firstLine="640" w:firstLineChars="200"/>
        <w:textAlignment w:val="auto"/>
        <w:rPr>
          <w:rFonts w:hint="eastAsia" w:ascii="仿宋_GB2312" w:hAnsi="仿宋_GB2312" w:eastAsia="仿宋_GB2312" w:cs="仿宋_GB2312"/>
          <w:color w:val="auto"/>
          <w:sz w:val="32"/>
          <w:szCs w:val="32"/>
          <w:highlight w:val="none"/>
        </w:rPr>
      </w:pPr>
    </w:p>
    <w:p>
      <w:pPr>
        <w:keepNext w:val="0"/>
        <w:keepLines w:val="0"/>
        <w:pageBreakBefore w:val="0"/>
        <w:widowControl w:val="0"/>
        <w:numPr>
          <w:ilvl w:val="0"/>
          <w:numId w:val="0"/>
        </w:numPr>
        <w:kinsoku/>
        <w:wordWrap/>
        <w:overflowPunct/>
        <w:topLinePunct w:val="0"/>
        <w:autoSpaceDE/>
        <w:autoSpaceDN/>
        <w:bidi w:val="0"/>
        <w:adjustRightInd w:val="0"/>
        <w:snapToGrid w:val="0"/>
        <w:spacing w:after="0" w:line="520" w:lineRule="exact"/>
        <w:ind w:firstLine="640" w:firstLineChars="200"/>
        <w:textAlignment w:val="auto"/>
        <w:rPr>
          <w:rFonts w:hint="eastAsia" w:ascii="仿宋_GB2312" w:hAnsi="仿宋_GB2312" w:eastAsia="仿宋_GB2312" w:cs="仿宋_GB2312"/>
          <w:color w:val="auto"/>
          <w:sz w:val="32"/>
          <w:szCs w:val="32"/>
          <w:highlight w:val="none"/>
        </w:rPr>
      </w:pPr>
    </w:p>
    <w:p>
      <w:pPr>
        <w:overflowPunct w:val="0"/>
        <w:adjustRightInd w:val="0"/>
        <w:spacing w:line="520" w:lineRule="exact"/>
        <w:jc w:val="center"/>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表</w:t>
      </w:r>
      <w:r>
        <w:rPr>
          <w:rFonts w:hint="eastAsia" w:ascii="仿宋_GB2312" w:hAnsi="仿宋_GB2312" w:eastAsia="仿宋_GB2312" w:cs="仿宋_GB2312"/>
          <w:color w:val="auto"/>
          <w:sz w:val="32"/>
          <w:szCs w:val="32"/>
          <w:highlight w:val="none"/>
          <w:lang w:val="en-US" w:eastAsia="zh-CN"/>
        </w:rPr>
        <w:t xml:space="preserve">5 </w:t>
      </w:r>
      <w:r>
        <w:rPr>
          <w:rFonts w:hint="eastAsia" w:ascii="仿宋_GB2312" w:hAnsi="仿宋_GB2312" w:eastAsia="仿宋_GB2312" w:cs="仿宋_GB2312"/>
          <w:color w:val="auto"/>
          <w:sz w:val="32"/>
          <w:szCs w:val="32"/>
          <w:highlight w:val="none"/>
        </w:rPr>
        <w:t>专业拓展课</w:t>
      </w:r>
      <w:r>
        <w:rPr>
          <w:rFonts w:hint="eastAsia" w:ascii="仿宋_GB2312" w:hAnsi="仿宋_GB2312" w:eastAsia="仿宋_GB2312" w:cs="仿宋_GB2312"/>
          <w:color w:val="auto"/>
          <w:sz w:val="32"/>
          <w:szCs w:val="32"/>
          <w:highlight w:val="none"/>
          <w:lang w:val="en-US" w:eastAsia="zh-CN"/>
        </w:rPr>
        <w:t>课程目标、主要教学内容与要求</w:t>
      </w:r>
    </w:p>
    <w:tbl>
      <w:tblPr>
        <w:tblStyle w:val="8"/>
        <w:tblW w:w="110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7"/>
        <w:gridCol w:w="855"/>
        <w:gridCol w:w="5379"/>
        <w:gridCol w:w="2217"/>
        <w:gridCol w:w="20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7"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color w:val="auto"/>
                <w:sz w:val="24"/>
                <w:szCs w:val="24"/>
                <w:highlight w:val="none"/>
              </w:rPr>
              <w:t>序号</w:t>
            </w:r>
          </w:p>
        </w:tc>
        <w:tc>
          <w:tcPr>
            <w:tcW w:w="855"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color w:val="auto"/>
                <w:sz w:val="24"/>
                <w:szCs w:val="24"/>
                <w:highlight w:val="none"/>
              </w:rPr>
              <w:t>课程名称</w:t>
            </w:r>
          </w:p>
        </w:tc>
        <w:tc>
          <w:tcPr>
            <w:tcW w:w="5379"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color w:val="auto"/>
                <w:sz w:val="24"/>
                <w:szCs w:val="24"/>
                <w:highlight w:val="none"/>
              </w:rPr>
              <w:t>课程</w:t>
            </w:r>
            <w:r>
              <w:rPr>
                <w:rFonts w:hint="eastAsia" w:ascii="仿宋_GB2312" w:hAnsi="仿宋_GB2312" w:eastAsia="仿宋_GB2312" w:cs="仿宋_GB2312"/>
                <w:color w:val="auto"/>
                <w:sz w:val="24"/>
                <w:szCs w:val="24"/>
                <w:highlight w:val="none"/>
                <w:lang w:eastAsia="zh-CN"/>
              </w:rPr>
              <w:t>教学</w:t>
            </w:r>
            <w:r>
              <w:rPr>
                <w:rFonts w:hint="eastAsia" w:ascii="仿宋_GB2312" w:hAnsi="仿宋_GB2312" w:eastAsia="仿宋_GB2312" w:cs="仿宋_GB2312"/>
                <w:color w:val="auto"/>
                <w:sz w:val="24"/>
                <w:szCs w:val="24"/>
                <w:highlight w:val="none"/>
              </w:rPr>
              <w:t>目标</w:t>
            </w:r>
          </w:p>
        </w:tc>
        <w:tc>
          <w:tcPr>
            <w:tcW w:w="2217"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color w:val="auto"/>
                <w:sz w:val="24"/>
                <w:szCs w:val="24"/>
                <w:highlight w:val="none"/>
              </w:rPr>
              <w:t>课程</w:t>
            </w:r>
            <w:r>
              <w:rPr>
                <w:rFonts w:hint="eastAsia" w:ascii="仿宋_GB2312" w:hAnsi="仿宋_GB2312" w:eastAsia="仿宋_GB2312" w:cs="仿宋_GB2312"/>
                <w:color w:val="auto"/>
                <w:sz w:val="24"/>
                <w:szCs w:val="24"/>
                <w:highlight w:val="none"/>
                <w:lang w:eastAsia="zh-CN"/>
              </w:rPr>
              <w:t>教学</w:t>
            </w:r>
            <w:r>
              <w:rPr>
                <w:rFonts w:hint="eastAsia" w:ascii="仿宋_GB2312" w:hAnsi="仿宋_GB2312" w:eastAsia="仿宋_GB2312" w:cs="仿宋_GB2312"/>
                <w:color w:val="auto"/>
                <w:sz w:val="24"/>
                <w:szCs w:val="24"/>
                <w:highlight w:val="none"/>
              </w:rPr>
              <w:t>内容</w:t>
            </w:r>
          </w:p>
        </w:tc>
        <w:tc>
          <w:tcPr>
            <w:tcW w:w="2046"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课程</w:t>
            </w:r>
            <w:r>
              <w:rPr>
                <w:rFonts w:hint="eastAsia" w:ascii="仿宋_GB2312" w:hAnsi="仿宋_GB2312" w:eastAsia="仿宋_GB2312" w:cs="仿宋_GB2312"/>
                <w:color w:val="auto"/>
                <w:sz w:val="24"/>
                <w:szCs w:val="24"/>
                <w:highlight w:val="none"/>
                <w:lang w:eastAsia="zh-CN"/>
              </w:rPr>
              <w:t>教学要求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07"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color w:val="auto"/>
                <w:sz w:val="24"/>
                <w:szCs w:val="24"/>
                <w:highlight w:val="none"/>
              </w:rPr>
              <w:t>1</w:t>
            </w:r>
          </w:p>
        </w:tc>
        <w:tc>
          <w:tcPr>
            <w:tcW w:w="855"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color w:val="auto"/>
                <w:sz w:val="24"/>
                <w:szCs w:val="24"/>
                <w:highlight w:val="none"/>
              </w:rPr>
              <w:t>数字贸易</w:t>
            </w:r>
          </w:p>
        </w:tc>
        <w:tc>
          <w:tcPr>
            <w:tcW w:w="5379" w:type="dxa"/>
            <w:shd w:val="clear" w:color="auto" w:fill="auto"/>
            <w:noWrap w:val="0"/>
            <w:vAlign w:val="top"/>
          </w:tcPr>
          <w:p>
            <w:pPr>
              <w:pStyle w:val="13"/>
              <w:keepNext w:val="0"/>
              <w:keepLines w:val="0"/>
              <w:pageBreakBefore w:val="0"/>
              <w:widowControl w:val="0"/>
              <w:kinsoku/>
              <w:wordWrap/>
              <w:overflowPunct/>
              <w:topLinePunct w:val="0"/>
              <w:autoSpaceDE/>
              <w:autoSpaceDN/>
              <w:bidi w:val="0"/>
              <w:adjustRightInd/>
              <w:snapToGrid/>
              <w:spacing w:before="0" w:after="0" w:line="300" w:lineRule="auto"/>
              <w:ind w:left="0" w:leftChars="0"/>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rPr>
              <w:t>‌使学生系统掌握数字贸易核心业态规则，包括跨境电商（如独立站Shopify建站）、数字内容贸易（NFT版权交易）的合规框架，熟悉DEPA（数字经济伙伴关系协定）中的数据流动条款。深入理解数字支付（数字人民币跨境结算）、区块链溯源技术的应用场景，并能运用TikTok电商算法进行海外市场流量分析。</w:t>
            </w:r>
          </w:p>
          <w:p>
            <w:pPr>
              <w:pStyle w:val="13"/>
              <w:keepNext w:val="0"/>
              <w:keepLines w:val="0"/>
              <w:pageBreakBefore w:val="0"/>
              <w:widowControl w:val="0"/>
              <w:kinsoku/>
              <w:wordWrap/>
              <w:overflowPunct/>
              <w:topLinePunct w:val="0"/>
              <w:autoSpaceDE/>
              <w:autoSpaceDN/>
              <w:bidi w:val="0"/>
              <w:adjustRightInd/>
              <w:snapToGrid/>
              <w:spacing w:before="0" w:after="0" w:line="300" w:lineRule="auto"/>
              <w:ind w:left="0" w:leftChars="0"/>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rPr>
              <w:t>‌培养学生操作数字贸易全链路的能力，涵盖多语言直播带货脚本撰写、跨境数字营销（Meta广告投放优化）、通过APEC跨境隐私规则（CBPR）认证的数据安全管理，以及利用TradeLens平台完成智能报关。要求学生能运用Tableau可视化分析数字贸易数据，并设计RCEP原产地数字证书申领方案。</w:t>
            </w:r>
          </w:p>
          <w:p>
            <w:pPr>
              <w:pStyle w:val="13"/>
              <w:keepNext w:val="0"/>
              <w:keepLines w:val="0"/>
              <w:pageBreakBefore w:val="0"/>
              <w:widowControl w:val="0"/>
              <w:kinsoku/>
              <w:wordWrap/>
              <w:overflowPunct/>
              <w:topLinePunct w:val="0"/>
              <w:autoSpaceDE/>
              <w:autoSpaceDN/>
              <w:bidi w:val="0"/>
              <w:adjustRightInd/>
              <w:snapToGrid/>
              <w:spacing w:before="0" w:after="0" w:line="300" w:lineRule="auto"/>
              <w:ind w:left="0" w:leftChars="0"/>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‌素质目标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rPr>
              <w:t>‌塑造学生的数字素养与全球合规意识，强调在元宇宙虚拟交易中遵守WTO电子商务规则，培养AI客服多语种实时交互能力。树立数字主权意识，如应对GDPR数据跨境传输的合规审计，同时培养</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数字丝路</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建设者的使命感。</w:t>
            </w:r>
          </w:p>
          <w:p>
            <w:pPr>
              <w:pStyle w:val="13"/>
              <w:keepNext w:val="0"/>
              <w:keepLines w:val="0"/>
              <w:pageBreakBefore w:val="0"/>
              <w:widowControl w:val="0"/>
              <w:kinsoku/>
              <w:wordWrap/>
              <w:overflowPunct/>
              <w:topLinePunct w:val="0"/>
              <w:autoSpaceDE/>
              <w:autoSpaceDN/>
              <w:bidi w:val="0"/>
              <w:adjustRightInd/>
              <w:snapToGrid/>
              <w:spacing w:before="0" w:after="0" w:line="300" w:lineRule="auto"/>
              <w:ind w:left="0" w:leftChars="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rPr>
              <w:t>‌课程思政育人目标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rPr>
              <w:t>‌通过分析</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数字自贸港</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建设案例，强化学生对国家数字主权战略的认同；以华为鸿蒙生态出海等本土实践为切入点，培育科技自立自强意识。引导学生理解数字贸易不仅是商业创新，更是争夺全球数字经济话语权的重要战场，在跨境数据治理中践行人类命运共同体理念。</w:t>
            </w:r>
          </w:p>
        </w:tc>
        <w:tc>
          <w:tcPr>
            <w:tcW w:w="2217" w:type="dxa"/>
            <w:shd w:val="clear" w:color="auto" w:fill="auto"/>
            <w:noWrap w:val="0"/>
            <w:vAlign w:val="top"/>
          </w:tcPr>
          <w:p>
            <w:pPr>
              <w:pStyle w:val="13"/>
              <w:keepNext w:val="0"/>
              <w:keepLines w:val="0"/>
              <w:pageBreakBefore w:val="0"/>
              <w:widowControl w:val="0"/>
              <w:kinsoku/>
              <w:wordWrap/>
              <w:topLinePunct w:val="0"/>
              <w:autoSpaceDE/>
              <w:autoSpaceDN/>
              <w:bidi w:val="0"/>
              <w:snapToGrid/>
              <w:spacing w:line="300" w:lineRule="auto"/>
              <w:ind w:left="0" w:leftChars="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rPr>
              <w:t>数字贸易的概念、特征与发展历程；数字贸易平台运营模式（如跨境电商平台、数字服务贸易平台）；数字贸易政策与规则（数据跨境流动、数字支付等）。</w:t>
            </w:r>
          </w:p>
        </w:tc>
        <w:tc>
          <w:tcPr>
            <w:tcW w:w="2046" w:type="dxa"/>
            <w:shd w:val="clear" w:color="auto" w:fill="auto"/>
            <w:noWrap w:val="0"/>
            <w:vAlign w:val="top"/>
          </w:tcPr>
          <w:p>
            <w:pPr>
              <w:pStyle w:val="13"/>
              <w:keepNext w:val="0"/>
              <w:keepLines w:val="0"/>
              <w:pageBreakBefore w:val="0"/>
              <w:widowControl w:val="0"/>
              <w:kinsoku/>
              <w:wordWrap/>
              <w:topLinePunct w:val="0"/>
              <w:autoSpaceDE/>
              <w:autoSpaceDN/>
              <w:bidi w:val="0"/>
              <w:snapToGrid/>
              <w:spacing w:line="300" w:lineRule="auto"/>
              <w:ind w:left="0" w:leftChars="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rPr>
              <w:t>理解数字贸易核心理论，能分析数字贸易实际案例，解读数字贸易政策，完成简单的数字贸易模式模拟分析。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0" w:hRule="atLeast"/>
          <w:jc w:val="center"/>
        </w:trPr>
        <w:tc>
          <w:tcPr>
            <w:tcW w:w="507"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color w:val="auto"/>
                <w:sz w:val="24"/>
                <w:szCs w:val="24"/>
                <w:highlight w:val="none"/>
              </w:rPr>
              <w:t>2</w:t>
            </w:r>
          </w:p>
        </w:tc>
        <w:tc>
          <w:tcPr>
            <w:tcW w:w="855"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color w:val="auto"/>
                <w:sz w:val="24"/>
                <w:szCs w:val="24"/>
                <w:highlight w:val="none"/>
              </w:rPr>
              <w:t>跨境电商供应链管理</w:t>
            </w:r>
          </w:p>
        </w:tc>
        <w:tc>
          <w:tcPr>
            <w:tcW w:w="5379" w:type="dxa"/>
            <w:shd w:val="clear" w:color="auto" w:fill="auto"/>
            <w:noWrap w:val="0"/>
            <w:vAlign w:val="top"/>
          </w:tcPr>
          <w:p>
            <w:pPr>
              <w:pStyle w:val="13"/>
              <w:keepNext w:val="0"/>
              <w:keepLines w:val="0"/>
              <w:pageBreakBefore w:val="0"/>
              <w:widowControl w:val="0"/>
              <w:kinsoku/>
              <w:wordWrap/>
              <w:overflowPunct/>
              <w:topLinePunct w:val="0"/>
              <w:autoSpaceDE/>
              <w:autoSpaceDN/>
              <w:bidi w:val="0"/>
              <w:adjustRightInd/>
              <w:snapToGrid/>
              <w:spacing w:before="0" w:after="0" w:line="300" w:lineRule="auto"/>
              <w:ind w:left="0" w:leftChars="0"/>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rPr>
              <w:t>‌使学生系统掌握跨境电商供应链的全球化运营模式，包括海外仓智能选址算法（如使用Flexport数字孪生技术）、跨境物流通关（9710/9810报关单证数字化）的合规要求，熟悉RCEP框架下原产地累积规则。深入理解区块链溯源在跨境生鲜供应链中的应用，并能运用SAP S/4HANA系统进行全球库存协同分析。</w:t>
            </w:r>
          </w:p>
          <w:p>
            <w:pPr>
              <w:pStyle w:val="13"/>
              <w:keepNext w:val="0"/>
              <w:keepLines w:val="0"/>
              <w:pageBreakBefore w:val="0"/>
              <w:widowControl w:val="0"/>
              <w:kinsoku/>
              <w:wordWrap/>
              <w:overflowPunct/>
              <w:topLinePunct w:val="0"/>
              <w:autoSpaceDE/>
              <w:autoSpaceDN/>
              <w:bidi w:val="0"/>
              <w:adjustRightInd/>
              <w:snapToGrid/>
              <w:spacing w:before="0" w:after="0" w:line="300" w:lineRule="auto"/>
              <w:ind w:left="0" w:leftChars="0"/>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rPr>
              <w:t>‌培养学生操作智能供应链系统的实战能力，涵盖多式联运方案设计（中欧班列+海外仓）、通过TMS系统优化跨境物流成本、利用数字孪生技术进行供应链风险模拟，以及设计碳足迹可追溯的绿色供应链方案。要求学生能操作菜鸟国际电子关务平台完成智能清关，并运用Power BI进行供应链数据可视化决策。</w:t>
            </w:r>
          </w:p>
          <w:p>
            <w:pPr>
              <w:pStyle w:val="13"/>
              <w:keepNext w:val="0"/>
              <w:keepLines w:val="0"/>
              <w:pageBreakBefore w:val="0"/>
              <w:widowControl w:val="0"/>
              <w:kinsoku/>
              <w:wordWrap/>
              <w:overflowPunct/>
              <w:topLinePunct w:val="0"/>
              <w:autoSpaceDE/>
              <w:autoSpaceDN/>
              <w:bidi w:val="0"/>
              <w:adjustRightInd/>
              <w:snapToGrid/>
              <w:spacing w:before="0" w:after="0" w:line="300" w:lineRule="auto"/>
              <w:ind w:left="0" w:leftChars="0"/>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‌素质目标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rPr>
              <w:t>‌塑造学生的供应链协同思维与全球合规意识，强调在元宇宙虚拟供应链中遵守WTO电子商务规则，培养AI驱动的多语言供应商谈判能力。树立数字供应链安全意识，如应对CBAM碳关税的合规申报，同时培养</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全球链主</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企业的责任担当。</w:t>
            </w:r>
          </w:p>
          <w:p>
            <w:pPr>
              <w:pStyle w:val="13"/>
              <w:keepNext w:val="0"/>
              <w:keepLines w:val="0"/>
              <w:pageBreakBefore w:val="0"/>
              <w:widowControl w:val="0"/>
              <w:kinsoku/>
              <w:wordWrap/>
              <w:overflowPunct/>
              <w:topLinePunct w:val="0"/>
              <w:autoSpaceDE/>
              <w:autoSpaceDN/>
              <w:bidi w:val="0"/>
              <w:adjustRightInd/>
              <w:snapToGrid/>
              <w:spacing w:before="0" w:after="0" w:line="300" w:lineRule="auto"/>
              <w:ind w:left="0" w:leftChars="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rPr>
              <w:t>‌课程思政育人目标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rPr>
              <w:t>‌通过分析</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跨境电商综试区</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供应链创新案例，强化学生对国家产业链安全战略的认同；以比亚迪全球电池供应链布局等本土实践为切入点，培育自主可控的供应链安全意识。引导学生理解跨境电商供应链不仅是商业网络，更是维护国家经济安全的重要基础设施。</w:t>
            </w:r>
          </w:p>
        </w:tc>
        <w:tc>
          <w:tcPr>
            <w:tcW w:w="2217" w:type="dxa"/>
            <w:shd w:val="clear" w:color="auto" w:fill="auto"/>
            <w:noWrap w:val="0"/>
            <w:vAlign w:val="top"/>
          </w:tcPr>
          <w:p>
            <w:pPr>
              <w:pStyle w:val="13"/>
              <w:keepNext w:val="0"/>
              <w:keepLines w:val="0"/>
              <w:pageBreakBefore w:val="0"/>
              <w:widowControl w:val="0"/>
              <w:kinsoku/>
              <w:wordWrap/>
              <w:topLinePunct w:val="0"/>
              <w:autoSpaceDE/>
              <w:autoSpaceDN/>
              <w:bidi w:val="0"/>
              <w:snapToGrid/>
              <w:spacing w:line="300" w:lineRule="auto"/>
              <w:ind w:left="0" w:leftChars="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rPr>
              <w:t>跨境电商采购管理、物流配送策略（海外仓应用等）、库存管理方法；供应链数字化工具（ERP 系统等）的操作与应用；跨境电商供应链风险防控。</w:t>
            </w:r>
          </w:p>
        </w:tc>
        <w:tc>
          <w:tcPr>
            <w:tcW w:w="2046" w:type="dxa"/>
            <w:shd w:val="clear" w:color="auto" w:fill="auto"/>
            <w:noWrap w:val="0"/>
            <w:vAlign w:val="top"/>
          </w:tcPr>
          <w:p>
            <w:pPr>
              <w:pStyle w:val="13"/>
              <w:keepNext w:val="0"/>
              <w:keepLines w:val="0"/>
              <w:pageBreakBefore w:val="0"/>
              <w:widowControl w:val="0"/>
              <w:kinsoku/>
              <w:wordWrap/>
              <w:topLinePunct w:val="0"/>
              <w:autoSpaceDE/>
              <w:autoSpaceDN/>
              <w:bidi w:val="0"/>
              <w:snapToGrid/>
              <w:spacing w:line="300" w:lineRule="auto"/>
              <w:ind w:left="0" w:leftChars="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rPr>
              <w:t>清晰梳理跨境电商供应链全流程，设计简易的供应链优化方案，熟练使用至少一种供应链管理工具进行模拟操作。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7"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color w:val="auto"/>
                <w:sz w:val="24"/>
                <w:szCs w:val="24"/>
                <w:highlight w:val="none"/>
              </w:rPr>
              <w:t>3</w:t>
            </w:r>
          </w:p>
        </w:tc>
        <w:tc>
          <w:tcPr>
            <w:tcW w:w="855"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color w:val="auto"/>
                <w:sz w:val="24"/>
                <w:szCs w:val="24"/>
                <w:highlight w:val="none"/>
              </w:rPr>
              <w:t>跨境电商数据分析</w:t>
            </w:r>
          </w:p>
        </w:tc>
        <w:tc>
          <w:tcPr>
            <w:tcW w:w="5379" w:type="dxa"/>
            <w:shd w:val="clear" w:color="auto" w:fill="auto"/>
            <w:noWrap w:val="0"/>
            <w:vAlign w:val="top"/>
          </w:tcPr>
          <w:p>
            <w:pPr>
              <w:pStyle w:val="13"/>
              <w:keepNext w:val="0"/>
              <w:keepLines w:val="0"/>
              <w:pageBreakBefore w:val="0"/>
              <w:widowControl w:val="0"/>
              <w:kinsoku/>
              <w:wordWrap/>
              <w:overflowPunct/>
              <w:topLinePunct w:val="0"/>
              <w:autoSpaceDE/>
              <w:autoSpaceDN/>
              <w:bidi w:val="0"/>
              <w:adjustRightInd/>
              <w:snapToGrid/>
              <w:spacing w:before="0" w:after="0" w:line="300" w:lineRule="auto"/>
              <w:ind w:left="0" w:leftChars="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color w:val="auto"/>
                <w:sz w:val="24"/>
                <w:szCs w:val="24"/>
                <w:highlight w:val="none"/>
                <w:lang w:val="en-US" w:eastAsia="zh-CN"/>
              </w:rPr>
              <w:t>‌使学生系统掌握跨境电商数据分析的核心方法论，包括Google Analytics 4流量监测模型、亚马逊商情数据（Brand Analytics）的解读规则，熟悉GDPR框架下的用户行为数据采集规范。深入理解AI选品算法（如BERT语义分析）的应用逻辑，并能运用Power BI构建跨境销售数据看板。</w:t>
            </w:r>
          </w:p>
          <w:p>
            <w:pPr>
              <w:pStyle w:val="13"/>
              <w:keepNext w:val="0"/>
              <w:keepLines w:val="0"/>
              <w:pageBreakBefore w:val="0"/>
              <w:widowControl w:val="0"/>
              <w:kinsoku/>
              <w:wordWrap/>
              <w:overflowPunct/>
              <w:topLinePunct w:val="0"/>
              <w:autoSpaceDE/>
              <w:autoSpaceDN/>
              <w:bidi w:val="0"/>
              <w:adjustRightInd/>
              <w:snapToGrid/>
              <w:spacing w:before="0" w:after="0" w:line="300" w:lineRule="auto"/>
              <w:ind w:left="0" w:leftChars="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培养学生操作跨境电商数据生态的实战能力，涵盖多平台数据聚合（Shopify+亚马逊API对接）、通过Python爬虫合规获取竞品价格数据、利用Tableau制作动态物流时效热力图，以及设计符合CBAM碳关税规则的供应链碳排放监测方案。要求学生能操作阿里云数据中台完成跨境用户画像分析。</w:t>
            </w:r>
          </w:p>
          <w:p>
            <w:pPr>
              <w:pStyle w:val="13"/>
              <w:keepNext w:val="0"/>
              <w:keepLines w:val="0"/>
              <w:pageBreakBefore w:val="0"/>
              <w:widowControl w:val="0"/>
              <w:kinsoku/>
              <w:wordWrap/>
              <w:overflowPunct/>
              <w:topLinePunct w:val="0"/>
              <w:autoSpaceDE/>
              <w:autoSpaceDN/>
              <w:bidi w:val="0"/>
              <w:adjustRightInd/>
              <w:snapToGrid/>
              <w:spacing w:before="0" w:after="0" w:line="300" w:lineRule="auto"/>
              <w:ind w:left="0" w:leftChars="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塑造学生的数据思维与全球合规意识，强调在元宇宙虚拟交易中遵守WTO电子商务规则，培养AI驱动的多语言数据报告撰写能力。树立数据主权意识，如应对《数据出境安全评估办法》的合规审计，同时培养“数字丝路”建设者的使命感。</w:t>
            </w:r>
          </w:p>
          <w:p>
            <w:pPr>
              <w:pStyle w:val="13"/>
              <w:keepNext w:val="0"/>
              <w:keepLines w:val="0"/>
              <w:pageBreakBefore w:val="0"/>
              <w:widowControl w:val="0"/>
              <w:kinsoku/>
              <w:wordWrap/>
              <w:overflowPunct/>
              <w:topLinePunct w:val="0"/>
              <w:autoSpaceDE/>
              <w:autoSpaceDN/>
              <w:bidi w:val="0"/>
              <w:adjustRightInd/>
              <w:snapToGrid/>
              <w:spacing w:before="0" w:after="0" w:line="300" w:lineRule="auto"/>
              <w:ind w:left="0" w:leftChars="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‌课程思政育人目标：‌</w:t>
            </w:r>
            <w:r>
              <w:rPr>
                <w:rFonts w:hint="eastAsia" w:ascii="仿宋_GB2312" w:hAnsi="仿宋_GB2312" w:eastAsia="仿宋_GB2312" w:cs="仿宋_GB2312"/>
                <w:color w:val="auto"/>
                <w:sz w:val="24"/>
                <w:szCs w:val="24"/>
                <w:highlight w:val="none"/>
                <w:lang w:val="en-US" w:eastAsia="zh-CN"/>
              </w:rPr>
              <w:t>通过分析“跨境电商综试区”数据流动创新案例，强化学生对国家数据要素市场化改革战略的认同；引导学生理解跨境电商数据分析不仅是商业工具，更是争夺全球数字经济话语权的重要支撑，在跨境数据治理中践行人类命运共同体理念。</w:t>
            </w:r>
          </w:p>
        </w:tc>
        <w:tc>
          <w:tcPr>
            <w:tcW w:w="2217" w:type="dxa"/>
            <w:shd w:val="clear" w:color="auto" w:fill="auto"/>
            <w:noWrap w:val="0"/>
            <w:vAlign w:val="top"/>
          </w:tcPr>
          <w:p>
            <w:pPr>
              <w:pStyle w:val="13"/>
              <w:keepNext w:val="0"/>
              <w:keepLines w:val="0"/>
              <w:pageBreakBefore w:val="0"/>
              <w:widowControl w:val="0"/>
              <w:kinsoku/>
              <w:wordWrap/>
              <w:topLinePunct w:val="0"/>
              <w:autoSpaceDE/>
              <w:autoSpaceDN/>
              <w:bidi w:val="0"/>
              <w:snapToGrid/>
              <w:spacing w:line="300" w:lineRule="auto"/>
              <w:ind w:left="0" w:leftChars="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rPr>
              <w:t>跨境电商平台数据指标（流量、转化率、客单价等）分析；Excel、Python 等工具在跨境电商数据处理中的应用；用户行为分析、销售预测模型搭建。</w:t>
            </w:r>
          </w:p>
        </w:tc>
        <w:tc>
          <w:tcPr>
            <w:tcW w:w="2046" w:type="dxa"/>
            <w:shd w:val="clear" w:color="auto" w:fill="auto"/>
            <w:noWrap w:val="0"/>
            <w:vAlign w:val="top"/>
          </w:tcPr>
          <w:p>
            <w:pPr>
              <w:pStyle w:val="13"/>
              <w:keepNext w:val="0"/>
              <w:keepLines w:val="0"/>
              <w:pageBreakBefore w:val="0"/>
              <w:widowControl w:val="0"/>
              <w:kinsoku/>
              <w:wordWrap/>
              <w:topLinePunct w:val="0"/>
              <w:autoSpaceDE/>
              <w:autoSpaceDN/>
              <w:bidi w:val="0"/>
              <w:snapToGrid/>
              <w:spacing w:line="300" w:lineRule="auto"/>
              <w:ind w:left="0" w:leftChars="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rPr>
              <w:t>熟练运用数据分析工具处理跨境电商数据，撰写数据分析报告，基于数据结果提出运营策略优化建议。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1" w:hRule="atLeast"/>
          <w:jc w:val="center"/>
        </w:trPr>
        <w:tc>
          <w:tcPr>
            <w:tcW w:w="507"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rPr>
              <w:t>4</w:t>
            </w:r>
          </w:p>
        </w:tc>
        <w:tc>
          <w:tcPr>
            <w:tcW w:w="855" w:type="dxa"/>
            <w:shd w:val="clear" w:color="auto" w:fill="auto"/>
            <w:noWrap w:val="0"/>
            <w:vAlign w:val="center"/>
          </w:tcPr>
          <w:p>
            <w:pPr>
              <w:keepNext w:val="0"/>
              <w:keepLines w:val="0"/>
              <w:pageBreakBefore w:val="0"/>
              <w:kinsoku/>
              <w:wordWrap/>
              <w:overflowPunct w:val="0"/>
              <w:topLinePunct w:val="0"/>
              <w:autoSpaceDE/>
              <w:autoSpaceDN/>
              <w:bidi w:val="0"/>
              <w:adjustRightInd w:val="0"/>
              <w:snapToGrid/>
              <w:spacing w:line="300" w:lineRule="auto"/>
              <w:jc w:val="center"/>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“一带一路”贸易概览</w:t>
            </w:r>
          </w:p>
        </w:tc>
        <w:tc>
          <w:tcPr>
            <w:tcW w:w="5379" w:type="dxa"/>
            <w:shd w:val="clear" w:color="auto" w:fill="auto"/>
            <w:noWrap w:val="0"/>
            <w:vAlign w:val="top"/>
          </w:tcPr>
          <w:p>
            <w:pPr>
              <w:pStyle w:val="13"/>
              <w:keepNext w:val="0"/>
              <w:keepLines w:val="0"/>
              <w:pageBreakBefore w:val="0"/>
              <w:widowControl w:val="0"/>
              <w:kinsoku/>
              <w:wordWrap/>
              <w:overflowPunct/>
              <w:topLinePunct w:val="0"/>
              <w:autoSpaceDE/>
              <w:autoSpaceDN/>
              <w:bidi w:val="0"/>
              <w:adjustRightInd/>
              <w:snapToGrid/>
              <w:spacing w:before="0" w:after="0" w:line="300" w:lineRule="auto"/>
              <w:ind w:left="0" w:leftChars="0"/>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rPr>
              <w:t>‌使学生系统掌握</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一带一路</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贸易合作框架，包括中欧班列多式联运规则、RCEP与</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一带一路</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叠加效应，熟悉数字丝绸之路（如跨境光缆建设）的基建标准。深入理解绿色贸易（光伏产品出口碳足迹认证）、数字人民币跨境结算的应用场景，并能运用TradeMap分析沿线国家贸易数据。</w:t>
            </w:r>
          </w:p>
          <w:p>
            <w:pPr>
              <w:pStyle w:val="13"/>
              <w:keepNext w:val="0"/>
              <w:keepLines w:val="0"/>
              <w:pageBreakBefore w:val="0"/>
              <w:widowControl w:val="0"/>
              <w:kinsoku/>
              <w:wordWrap/>
              <w:overflowPunct/>
              <w:topLinePunct w:val="0"/>
              <w:autoSpaceDE/>
              <w:autoSpaceDN/>
              <w:bidi w:val="0"/>
              <w:adjustRightInd/>
              <w:snapToGrid/>
              <w:spacing w:before="0" w:after="0" w:line="300" w:lineRule="auto"/>
              <w:ind w:left="0" w:leftChars="0"/>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rPr>
              <w:t>‌培养学生参与</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一带一路</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贸易实务的操作能力，涵盖海外园区投资风险评估、通过</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单一窗口</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完成智能报关，以及设计符合《可持续贸易倡议》的农产品供应链方案。要求学生能操作</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丝路电商</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平台完成多语种直播选品。</w:t>
            </w:r>
          </w:p>
          <w:p>
            <w:pPr>
              <w:pStyle w:val="13"/>
              <w:keepNext w:val="0"/>
              <w:keepLines w:val="0"/>
              <w:pageBreakBefore w:val="0"/>
              <w:widowControl w:val="0"/>
              <w:kinsoku/>
              <w:wordWrap/>
              <w:overflowPunct/>
              <w:topLinePunct w:val="0"/>
              <w:autoSpaceDE/>
              <w:autoSpaceDN/>
              <w:bidi w:val="0"/>
              <w:adjustRightInd/>
              <w:snapToGrid/>
              <w:spacing w:before="0" w:after="0" w:line="300" w:lineRule="auto"/>
              <w:ind w:left="0" w:leftChars="0"/>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‌素质目标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rPr>
              <w:t>‌塑造学生的全球化视野与跨文化沟通能力，培养应对地缘政治风险的商务谈判能力。树立</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共商共建共享</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意识，如应对CBAM碳关税的合规申报，同时培养</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丝路使者</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的责任担当。</w:t>
            </w:r>
          </w:p>
          <w:p>
            <w:pPr>
              <w:pStyle w:val="13"/>
              <w:keepNext w:val="0"/>
              <w:keepLines w:val="0"/>
              <w:pageBreakBefore w:val="0"/>
              <w:widowControl w:val="0"/>
              <w:kinsoku/>
              <w:wordWrap/>
              <w:overflowPunct/>
              <w:topLinePunct w:val="0"/>
              <w:autoSpaceDE/>
              <w:autoSpaceDN/>
              <w:bidi w:val="0"/>
              <w:adjustRightInd/>
              <w:snapToGrid/>
              <w:spacing w:before="0" w:after="0" w:line="300" w:lineRule="auto"/>
              <w:ind w:left="0" w:leftChars="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rPr>
              <w:t>‌课程思政育人目标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rPr>
              <w:t>‌通过分析</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一带一路</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标志性项目（如雅万高铁）的贸易实践，强化学生对人类命运共同体理念的认同；以宁德时代海外电池供应链布局等本土案例为切入点，培育自主可控的产业链安全意识。引导学生理解</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一带一路</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贸易不仅是经济合作，更是中国参与全球治理的重要实践，在数字丝路建设中践行新发展理念。</w:t>
            </w:r>
          </w:p>
        </w:tc>
        <w:tc>
          <w:tcPr>
            <w:tcW w:w="2217" w:type="dxa"/>
            <w:shd w:val="clear" w:color="auto" w:fill="auto"/>
            <w:noWrap w:val="0"/>
            <w:vAlign w:val="top"/>
          </w:tcPr>
          <w:p>
            <w:pPr>
              <w:pStyle w:val="13"/>
              <w:keepNext w:val="0"/>
              <w:keepLines w:val="0"/>
              <w:pageBreakBefore w:val="0"/>
              <w:widowControl w:val="0"/>
              <w:kinsoku/>
              <w:wordWrap/>
              <w:topLinePunct w:val="0"/>
              <w:autoSpaceDE/>
              <w:autoSpaceDN/>
              <w:bidi w:val="0"/>
              <w:snapToGrid/>
              <w:spacing w:line="300" w:lineRule="auto"/>
              <w:ind w:left="0" w:leftChars="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rPr>
              <w:t>“一带一路” 贸易发展现状与趋势；沿线国家贸易政策、文化差异与经济合作项目（如基建贸易、能源贸易）；“一带一路” 贸易中的风险与应对策略。</w:t>
            </w:r>
          </w:p>
        </w:tc>
        <w:tc>
          <w:tcPr>
            <w:tcW w:w="2046" w:type="dxa"/>
            <w:shd w:val="clear" w:color="auto" w:fill="auto"/>
            <w:noWrap w:val="0"/>
            <w:vAlign w:val="top"/>
          </w:tcPr>
          <w:p>
            <w:pPr>
              <w:pStyle w:val="13"/>
              <w:keepNext w:val="0"/>
              <w:keepLines w:val="0"/>
              <w:pageBreakBefore w:val="0"/>
              <w:widowControl w:val="0"/>
              <w:kinsoku/>
              <w:wordWrap/>
              <w:topLinePunct w:val="0"/>
              <w:autoSpaceDE/>
              <w:autoSpaceDN/>
              <w:bidi w:val="0"/>
              <w:snapToGrid/>
              <w:spacing w:line="300" w:lineRule="auto"/>
              <w:ind w:left="0" w:leftChars="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rPr>
              <w:t>阐述 “一带一路” 贸易生态，分析特定国家或区域的贸易合作案例，撰写 “一带一路” 贸易机遇分析报告。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7"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rPr>
              <w:t>5</w:t>
            </w:r>
          </w:p>
        </w:tc>
        <w:tc>
          <w:tcPr>
            <w:tcW w:w="855" w:type="dxa"/>
            <w:shd w:val="clear" w:color="auto" w:fill="auto"/>
            <w:noWrap w:val="0"/>
            <w:vAlign w:val="center"/>
          </w:tcPr>
          <w:p>
            <w:pPr>
              <w:keepNext w:val="0"/>
              <w:keepLines w:val="0"/>
              <w:pageBreakBefore w:val="0"/>
              <w:kinsoku/>
              <w:wordWrap/>
              <w:overflowPunct w:val="0"/>
              <w:topLinePunct w:val="0"/>
              <w:autoSpaceDE/>
              <w:autoSpaceDN/>
              <w:bidi w:val="0"/>
              <w:adjustRightInd w:val="0"/>
              <w:snapToGrid/>
              <w:spacing w:line="300" w:lineRule="auto"/>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国际服务贸易</w:t>
            </w:r>
          </w:p>
        </w:tc>
        <w:tc>
          <w:tcPr>
            <w:tcW w:w="5379" w:type="dxa"/>
            <w:shd w:val="clear" w:color="auto" w:fill="auto"/>
            <w:noWrap w:val="0"/>
            <w:vAlign w:val="top"/>
          </w:tcPr>
          <w:p>
            <w:pPr>
              <w:pStyle w:val="13"/>
              <w:keepNext w:val="0"/>
              <w:keepLines w:val="0"/>
              <w:pageBreakBefore w:val="0"/>
              <w:widowControl w:val="0"/>
              <w:kinsoku/>
              <w:wordWrap/>
              <w:overflowPunct/>
              <w:topLinePunct w:val="0"/>
              <w:autoSpaceDE/>
              <w:autoSpaceDN/>
              <w:bidi w:val="0"/>
              <w:adjustRightInd/>
              <w:snapToGrid/>
              <w:spacing w:before="0" w:after="0" w:line="300" w:lineRule="auto"/>
              <w:ind w:left="0" w:leftChars="0"/>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rPr>
              <w:t>‌使学生系统掌握国际服务贸易最新规则体系，包括《服务贸易总协定》（GATS）2025年修订条款、数字服务交付模式的合规要求，熟悉</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一带一路</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框架下专业服务的资质互认机制。深入理解元宇宙虚拟会展、AI远程诊疗等新兴服务形态的贸易特征，并能运用UN Comtrade数据库分析服务贸易结构。</w:t>
            </w:r>
          </w:p>
          <w:p>
            <w:pPr>
              <w:pStyle w:val="13"/>
              <w:keepNext w:val="0"/>
              <w:keepLines w:val="0"/>
              <w:pageBreakBefore w:val="0"/>
              <w:widowControl w:val="0"/>
              <w:kinsoku/>
              <w:wordWrap/>
              <w:overflowPunct/>
              <w:topLinePunct w:val="0"/>
              <w:autoSpaceDE/>
              <w:autoSpaceDN/>
              <w:bidi w:val="0"/>
              <w:adjustRightInd/>
              <w:snapToGrid/>
              <w:spacing w:before="0" w:after="0" w:line="300" w:lineRule="auto"/>
              <w:ind w:left="0" w:leftChars="0"/>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rPr>
              <w:t>‌</w:t>
            </w:r>
          </w:p>
          <w:p>
            <w:pPr>
              <w:pStyle w:val="13"/>
              <w:keepNext w:val="0"/>
              <w:keepLines w:val="0"/>
              <w:pageBreakBefore w:val="0"/>
              <w:widowControl w:val="0"/>
              <w:kinsoku/>
              <w:wordWrap/>
              <w:overflowPunct/>
              <w:topLinePunct w:val="0"/>
              <w:autoSpaceDE/>
              <w:autoSpaceDN/>
              <w:bidi w:val="0"/>
              <w:adjustRightInd/>
              <w:snapToGrid/>
              <w:spacing w:before="0" w:after="0" w:line="300" w:lineRule="auto"/>
              <w:ind w:left="0" w:leftChars="0"/>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培养学生参与国际服务贸易实务的操作能力，涵盖跨境服务合同（FIDIC银皮书）风险条款解读、通过</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单一窗口</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完成服务贸易外汇申报、运用CIPS系统处理跨境服务结算，以及设计符合《数字服务贸易北京倡议》的知识产权保护方案。要求学生能操作</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服务贸易创新发展试点</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平台完成技术出口备案。</w:t>
            </w:r>
          </w:p>
          <w:p>
            <w:pPr>
              <w:pStyle w:val="13"/>
              <w:keepNext w:val="0"/>
              <w:keepLines w:val="0"/>
              <w:pageBreakBefore w:val="0"/>
              <w:widowControl w:val="0"/>
              <w:kinsoku/>
              <w:wordWrap/>
              <w:overflowPunct/>
              <w:topLinePunct w:val="0"/>
              <w:autoSpaceDE/>
              <w:autoSpaceDN/>
              <w:bidi w:val="0"/>
              <w:adjustRightInd/>
              <w:snapToGrid/>
              <w:spacing w:before="0" w:after="0" w:line="300" w:lineRule="auto"/>
              <w:ind w:left="0" w:leftChars="0"/>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‌素质目标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rPr>
              <w:t>‌</w:t>
            </w:r>
          </w:p>
          <w:p>
            <w:pPr>
              <w:pStyle w:val="13"/>
              <w:keepNext w:val="0"/>
              <w:keepLines w:val="0"/>
              <w:pageBreakBefore w:val="0"/>
              <w:widowControl w:val="0"/>
              <w:kinsoku/>
              <w:wordWrap/>
              <w:overflowPunct/>
              <w:topLinePunct w:val="0"/>
              <w:autoSpaceDE/>
              <w:autoSpaceDN/>
              <w:bidi w:val="0"/>
              <w:adjustRightInd/>
              <w:snapToGrid/>
              <w:spacing w:before="0" w:after="0" w:line="300" w:lineRule="auto"/>
              <w:ind w:left="0" w:leftChars="0"/>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塑造学生的全球化服务意识与跨文化协作能力，强调在海外工程承包中遵守国际仲裁规则，培养应对技术性贸易壁垒（如欧盟AI法案）的合规应对能力。树立</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中国服务</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品牌意识，如应对CBAM碳关税的绿色服务认证，同时培养</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数字丝路</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建设者的专业担当。</w:t>
            </w:r>
          </w:p>
          <w:p>
            <w:pPr>
              <w:pStyle w:val="13"/>
              <w:keepNext w:val="0"/>
              <w:keepLines w:val="0"/>
              <w:pageBreakBefore w:val="0"/>
              <w:widowControl w:val="0"/>
              <w:kinsoku/>
              <w:wordWrap/>
              <w:overflowPunct/>
              <w:topLinePunct w:val="0"/>
              <w:autoSpaceDE/>
              <w:autoSpaceDN/>
              <w:bidi w:val="0"/>
              <w:adjustRightInd/>
              <w:snapToGrid/>
              <w:spacing w:before="0" w:after="0" w:line="300" w:lineRule="auto"/>
              <w:ind w:left="0" w:leftChars="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rPr>
              <w:t>‌课程思政育人目标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rPr>
              <w:t>‌通过分析</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中国服务</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标杆案例（如北斗导航海外服务），强化学生对国家服务贸易创新发展战略的认同；以华为全球技术服务网络等本土实践为切入点，培育自主可控的产业链安全意识。引导学生理解国际服务贸易不仅是经济合作，更是提升国家软实力的重要途径，在数字服务治理中践行人类命运共同体理念。</w:t>
            </w:r>
          </w:p>
        </w:tc>
        <w:tc>
          <w:tcPr>
            <w:tcW w:w="2217" w:type="dxa"/>
            <w:shd w:val="clear" w:color="auto" w:fill="auto"/>
            <w:noWrap w:val="0"/>
            <w:vAlign w:val="top"/>
          </w:tcPr>
          <w:p>
            <w:pPr>
              <w:pStyle w:val="13"/>
              <w:keepNext w:val="0"/>
              <w:keepLines w:val="0"/>
              <w:pageBreakBefore w:val="0"/>
              <w:widowControl w:val="0"/>
              <w:kinsoku/>
              <w:wordWrap/>
              <w:topLinePunct w:val="0"/>
              <w:autoSpaceDE/>
              <w:autoSpaceDN/>
              <w:bidi w:val="0"/>
              <w:snapToGrid/>
              <w:spacing w:line="300" w:lineRule="auto"/>
              <w:ind w:left="0" w:leftChars="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rPr>
              <w:t>国际服务贸易的分类（金融、教育、旅游等服务贸易）；服务贸易协定（如 RCEP 服务贸易条款）解读；国际服务贸易竞争力分析方法与案例。</w:t>
            </w:r>
          </w:p>
        </w:tc>
        <w:tc>
          <w:tcPr>
            <w:tcW w:w="2046" w:type="dxa"/>
            <w:shd w:val="clear" w:color="auto" w:fill="auto"/>
            <w:noWrap w:val="0"/>
            <w:vAlign w:val="top"/>
          </w:tcPr>
          <w:p>
            <w:pPr>
              <w:pStyle w:val="13"/>
              <w:keepNext w:val="0"/>
              <w:keepLines w:val="0"/>
              <w:pageBreakBefore w:val="0"/>
              <w:widowControl w:val="0"/>
              <w:kinsoku/>
              <w:wordWrap/>
              <w:topLinePunct w:val="0"/>
              <w:autoSpaceDE/>
              <w:autoSpaceDN/>
              <w:bidi w:val="0"/>
              <w:snapToGrid/>
              <w:spacing w:line="300" w:lineRule="auto"/>
              <w:ind w:left="0" w:leftChars="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rPr>
              <w:t>理解国际服务贸易运作机制，对比不同国家服务贸易政策，分析某一服务贸易领域的发展现状与问题。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7"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rPr>
              <w:t>6</w:t>
            </w:r>
          </w:p>
        </w:tc>
        <w:tc>
          <w:tcPr>
            <w:tcW w:w="855" w:type="dxa"/>
            <w:shd w:val="clear" w:color="auto" w:fill="auto"/>
            <w:noWrap w:val="0"/>
            <w:vAlign w:val="center"/>
          </w:tcPr>
          <w:p>
            <w:pPr>
              <w:keepNext w:val="0"/>
              <w:keepLines w:val="0"/>
              <w:pageBreakBefore w:val="0"/>
              <w:kinsoku/>
              <w:wordWrap/>
              <w:overflowPunct w:val="0"/>
              <w:topLinePunct w:val="0"/>
              <w:autoSpaceDE/>
              <w:autoSpaceDN/>
              <w:bidi w:val="0"/>
              <w:adjustRightInd w:val="0"/>
              <w:snapToGrid/>
              <w:spacing w:line="300" w:lineRule="auto"/>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出口信用保险实务</w:t>
            </w:r>
          </w:p>
        </w:tc>
        <w:tc>
          <w:tcPr>
            <w:tcW w:w="5379" w:type="dxa"/>
            <w:shd w:val="clear" w:color="auto" w:fill="auto"/>
            <w:noWrap w:val="0"/>
            <w:vAlign w:val="top"/>
          </w:tcPr>
          <w:p>
            <w:pPr>
              <w:pStyle w:val="13"/>
              <w:keepNext w:val="0"/>
              <w:keepLines w:val="0"/>
              <w:pageBreakBefore w:val="0"/>
              <w:widowControl w:val="0"/>
              <w:kinsoku/>
              <w:wordWrap/>
              <w:overflowPunct/>
              <w:topLinePunct w:val="0"/>
              <w:autoSpaceDE/>
              <w:autoSpaceDN/>
              <w:bidi w:val="0"/>
              <w:adjustRightInd/>
              <w:snapToGrid/>
              <w:spacing w:before="0" w:after="0" w:line="300" w:lineRule="auto"/>
              <w:ind w:left="0" w:leftChars="0"/>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rPr>
              <w:t>‌使学生系统掌握出口信用保险前沿知识，包括CPTPP框架下的保险条款创新、跨境电商平台（如Temu）订单险的承保规则，熟悉</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一带一路</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项目政治风险（如主权担保违约）的评估模型。深入理解AI核保系统（如贸易数据区块链存证）的应用逻辑，并能操作中国信保</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资信红绿灯</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系统研判买家风险。</w:t>
            </w:r>
          </w:p>
          <w:p>
            <w:pPr>
              <w:pStyle w:val="13"/>
              <w:keepNext w:val="0"/>
              <w:keepLines w:val="0"/>
              <w:pageBreakBefore w:val="0"/>
              <w:widowControl w:val="0"/>
              <w:kinsoku/>
              <w:wordWrap/>
              <w:overflowPunct/>
              <w:topLinePunct w:val="0"/>
              <w:autoSpaceDE/>
              <w:autoSpaceDN/>
              <w:bidi w:val="0"/>
              <w:adjustRightInd/>
              <w:snapToGrid/>
              <w:spacing w:before="0" w:after="0" w:line="300" w:lineRule="auto"/>
              <w:ind w:left="0" w:leftChars="0"/>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rPr>
              <w:t>‌培养学生操作出口信用保险全流程的实战能力，涵盖信用证软条款识别（UCP600修订版）、通过</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信保通</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平台在线报损、运用Wind终端分析国别限额数据，以及设计符合《全球供应链韧性倡议》的复合型保险方案。要求学生能完成RCEP原产地规则与保险索赔的关联性分析。</w:t>
            </w:r>
          </w:p>
          <w:p>
            <w:pPr>
              <w:pStyle w:val="13"/>
              <w:keepNext w:val="0"/>
              <w:keepLines w:val="0"/>
              <w:pageBreakBefore w:val="0"/>
              <w:widowControl w:val="0"/>
              <w:kinsoku/>
              <w:wordWrap/>
              <w:overflowPunct/>
              <w:topLinePunct w:val="0"/>
              <w:autoSpaceDE/>
              <w:autoSpaceDN/>
              <w:bidi w:val="0"/>
              <w:adjustRightInd/>
              <w:snapToGrid/>
              <w:spacing w:before="0" w:after="0" w:line="300" w:lineRule="auto"/>
              <w:ind w:left="0" w:leftChars="0"/>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‌素质目标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rPr>
              <w:t>‌塑造学生的风险防控意识与合规经营理念，强调在新能源设备出口中应对欧盟碳关税（CBAM）的保险策略，培养跨国诉讼中的证据链保全能力。树立</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中国信保</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品牌意识，如应对SWIFT制裁的替代性结算方案，同时培养</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贸易安全官</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的职业操守。</w:t>
            </w:r>
          </w:p>
          <w:p>
            <w:pPr>
              <w:pStyle w:val="13"/>
              <w:keepNext w:val="0"/>
              <w:keepLines w:val="0"/>
              <w:pageBreakBefore w:val="0"/>
              <w:widowControl w:val="0"/>
              <w:kinsoku/>
              <w:wordWrap/>
              <w:overflowPunct/>
              <w:topLinePunct w:val="0"/>
              <w:autoSpaceDE/>
              <w:autoSpaceDN/>
              <w:bidi w:val="0"/>
              <w:adjustRightInd/>
              <w:snapToGrid/>
              <w:spacing w:before="0" w:after="0" w:line="300" w:lineRule="auto"/>
              <w:ind w:left="0" w:leftChars="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rPr>
              <w:t>‌课程思政育人目标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rPr>
              <w:t>‌通过分析中国信保护航</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新三样</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出口（光伏、锂电池、新能源汽车）的典型案例，强化学生对国家贸易安全战略的认同；引导学生理解出口信用保险不仅是风险工具，更是维护国家经济主权的重要防线，在全球贸易治理中践行总体国家安全观。</w:t>
            </w:r>
          </w:p>
        </w:tc>
        <w:tc>
          <w:tcPr>
            <w:tcW w:w="2217" w:type="dxa"/>
            <w:shd w:val="clear" w:color="auto" w:fill="auto"/>
            <w:noWrap w:val="0"/>
            <w:vAlign w:val="top"/>
          </w:tcPr>
          <w:p>
            <w:pPr>
              <w:pStyle w:val="13"/>
              <w:keepNext w:val="0"/>
              <w:keepLines w:val="0"/>
              <w:pageBreakBefore w:val="0"/>
              <w:widowControl w:val="0"/>
              <w:kinsoku/>
              <w:wordWrap/>
              <w:topLinePunct w:val="0"/>
              <w:autoSpaceDE/>
              <w:autoSpaceDN/>
              <w:bidi w:val="0"/>
              <w:snapToGrid/>
              <w:spacing w:line="300" w:lineRule="auto"/>
              <w:ind w:left="0" w:leftChars="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rPr>
              <w:t>出口信用保险的类型（短期、中长期）、投保流程、理赔实务；出口信用保险方案设计要点；典型出口信用保险案例分析。</w:t>
            </w:r>
          </w:p>
        </w:tc>
        <w:tc>
          <w:tcPr>
            <w:tcW w:w="2046" w:type="dxa"/>
            <w:shd w:val="clear" w:color="auto" w:fill="auto"/>
            <w:noWrap w:val="0"/>
            <w:vAlign w:val="top"/>
          </w:tcPr>
          <w:p>
            <w:pPr>
              <w:pStyle w:val="13"/>
              <w:keepNext w:val="0"/>
              <w:keepLines w:val="0"/>
              <w:pageBreakBefore w:val="0"/>
              <w:widowControl w:val="0"/>
              <w:kinsoku/>
              <w:wordWrap/>
              <w:topLinePunct w:val="0"/>
              <w:autoSpaceDE/>
              <w:autoSpaceDN/>
              <w:bidi w:val="0"/>
              <w:snapToGrid/>
              <w:spacing w:line="300" w:lineRule="auto"/>
              <w:ind w:left="0" w:leftChars="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rPr>
              <w:t>独立完成出口信用保险投保模拟操作，设计企业出口信用保险方案，处理理赔相关模拟场景。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7"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rPr>
              <w:t>7</w:t>
            </w:r>
          </w:p>
        </w:tc>
        <w:tc>
          <w:tcPr>
            <w:tcW w:w="855" w:type="dxa"/>
            <w:shd w:val="clear" w:color="auto" w:fill="auto"/>
            <w:noWrap w:val="0"/>
            <w:vAlign w:val="center"/>
          </w:tcPr>
          <w:p>
            <w:pPr>
              <w:keepNext w:val="0"/>
              <w:keepLines w:val="0"/>
              <w:pageBreakBefore w:val="0"/>
              <w:kinsoku/>
              <w:wordWrap/>
              <w:overflowPunct w:val="0"/>
              <w:topLinePunct w:val="0"/>
              <w:autoSpaceDE/>
              <w:autoSpaceDN/>
              <w:bidi w:val="0"/>
              <w:adjustRightInd w:val="0"/>
              <w:snapToGrid/>
              <w:spacing w:line="300" w:lineRule="auto"/>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贸易合规</w:t>
            </w:r>
          </w:p>
        </w:tc>
        <w:tc>
          <w:tcPr>
            <w:tcW w:w="5379" w:type="dxa"/>
            <w:shd w:val="clear" w:color="auto" w:fill="auto"/>
            <w:noWrap w:val="0"/>
            <w:vAlign w:val="top"/>
          </w:tcPr>
          <w:p>
            <w:pPr>
              <w:pStyle w:val="13"/>
              <w:keepNext w:val="0"/>
              <w:keepLines w:val="0"/>
              <w:pageBreakBefore w:val="0"/>
              <w:widowControl w:val="0"/>
              <w:kinsoku/>
              <w:wordWrap/>
              <w:overflowPunct/>
              <w:topLinePunct w:val="0"/>
              <w:autoSpaceDE/>
              <w:autoSpaceDN/>
              <w:bidi w:val="0"/>
              <w:adjustRightInd/>
              <w:snapToGrid/>
              <w:spacing w:before="0" w:after="0" w:line="300" w:lineRule="auto"/>
              <w:ind w:left="0" w:leftChars="0"/>
              <w:jc w:val="both"/>
              <w:textAlignment w:val="auto"/>
              <w:rPr>
                <w:rFonts w:hint="eastAsia" w:ascii="仿宋_GB2312" w:hAnsi="仿宋_GB2312" w:eastAsia="仿宋_GB2312" w:cs="仿宋_GB2312"/>
                <w:b/>
                <w:bCs/>
                <w:color w:val="auto"/>
                <w:sz w:val="24"/>
                <w:szCs w:val="24"/>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b/>
                <w:bCs/>
                <w:color w:val="auto"/>
                <w:sz w:val="24"/>
                <w:szCs w:val="24"/>
                <w:highlight w:val="none"/>
              </w:rPr>
              <w:t>‌</w:t>
            </w:r>
            <w:r>
              <w:rPr>
                <w:rFonts w:hint="eastAsia" w:ascii="仿宋_GB2312" w:hAnsi="仿宋_GB2312" w:eastAsia="仿宋_GB2312" w:cs="仿宋_GB2312"/>
                <w:b w:val="0"/>
                <w:bCs w:val="0"/>
                <w:color w:val="auto"/>
                <w:sz w:val="24"/>
                <w:szCs w:val="24"/>
                <w:highlight w:val="none"/>
              </w:rPr>
              <w:t>掌握国际贸易合规核心知识，包括RCEP原产地规则、跨境数据流动（如GDPR合规要求）、ESG贸易审查标准，熟悉WTO争端解决机制及“一带一路”特殊监管政策。</w:t>
            </w:r>
          </w:p>
          <w:p>
            <w:pPr>
              <w:pStyle w:val="13"/>
              <w:keepNext w:val="0"/>
              <w:keepLines w:val="0"/>
              <w:pageBreakBefore w:val="0"/>
              <w:widowControl w:val="0"/>
              <w:kinsoku/>
              <w:wordWrap/>
              <w:overflowPunct/>
              <w:topLinePunct w:val="0"/>
              <w:autoSpaceDE/>
              <w:autoSpaceDN/>
              <w:bidi w:val="0"/>
              <w:adjustRightInd/>
              <w:snapToGrid/>
              <w:spacing w:before="0" w:after="0" w:line="300" w:lineRule="auto"/>
              <w:ind w:left="0" w:leftChars="0"/>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b/>
                <w:bCs/>
                <w:color w:val="auto"/>
                <w:sz w:val="24"/>
                <w:szCs w:val="24"/>
                <w:highlight w:val="none"/>
              </w:rPr>
              <w:t>‌</w:t>
            </w:r>
            <w:r>
              <w:rPr>
                <w:rFonts w:hint="eastAsia" w:ascii="仿宋_GB2312" w:hAnsi="仿宋_GB2312" w:eastAsia="仿宋_GB2312" w:cs="仿宋_GB2312"/>
                <w:b w:val="0"/>
                <w:bCs w:val="0"/>
                <w:color w:val="auto"/>
                <w:sz w:val="24"/>
                <w:szCs w:val="24"/>
                <w:highlight w:val="none"/>
              </w:rPr>
              <w:t>具备贸易合规风险评估、跨境合同条款审核、AI辅助合规审查等实操能力，能处理出口管制（如美国EAR清单）与反倾销调查中的法律问题。</w:t>
            </w:r>
          </w:p>
          <w:p>
            <w:pPr>
              <w:pStyle w:val="13"/>
              <w:keepNext w:val="0"/>
              <w:keepLines w:val="0"/>
              <w:pageBreakBefore w:val="0"/>
              <w:widowControl w:val="0"/>
              <w:kinsoku/>
              <w:wordWrap/>
              <w:overflowPunct/>
              <w:topLinePunct w:val="0"/>
              <w:autoSpaceDE/>
              <w:autoSpaceDN/>
              <w:bidi w:val="0"/>
              <w:adjustRightInd/>
              <w:snapToGrid/>
              <w:spacing w:before="0" w:after="0" w:line="300" w:lineRule="auto"/>
              <w:ind w:left="0" w:leftChars="0"/>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‌素质目标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b/>
                <w:bCs/>
                <w:color w:val="auto"/>
                <w:sz w:val="24"/>
                <w:szCs w:val="24"/>
                <w:highlight w:val="none"/>
              </w:rPr>
              <w:t>‌</w:t>
            </w:r>
            <w:r>
              <w:rPr>
                <w:rFonts w:hint="eastAsia" w:ascii="仿宋_GB2312" w:hAnsi="仿宋_GB2312" w:eastAsia="仿宋_GB2312" w:cs="仿宋_GB2312"/>
                <w:b w:val="0"/>
                <w:bCs w:val="0"/>
                <w:color w:val="auto"/>
                <w:sz w:val="24"/>
                <w:szCs w:val="24"/>
                <w:highlight w:val="none"/>
              </w:rPr>
              <w:t>培养跨文化商务谈判能力、数据安全意识与合规底线思维，树立中国企业在全球贸易中的规则制定者意识。</w:t>
            </w:r>
          </w:p>
          <w:p>
            <w:pPr>
              <w:pStyle w:val="13"/>
              <w:keepNext w:val="0"/>
              <w:keepLines w:val="0"/>
              <w:pageBreakBefore w:val="0"/>
              <w:widowControl w:val="0"/>
              <w:kinsoku/>
              <w:wordWrap/>
              <w:overflowPunct/>
              <w:topLinePunct w:val="0"/>
              <w:autoSpaceDE/>
              <w:autoSpaceDN/>
              <w:bidi w:val="0"/>
              <w:adjustRightInd/>
              <w:snapToGrid/>
              <w:spacing w:before="0" w:after="0" w:line="300" w:lineRule="auto"/>
              <w:ind w:left="0" w:leftChars="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rPr>
              <w:t>‌课程思政育人目标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b/>
                <w:bCs/>
                <w:color w:val="auto"/>
                <w:sz w:val="24"/>
                <w:szCs w:val="24"/>
                <w:highlight w:val="none"/>
              </w:rPr>
              <w:t>‌</w:t>
            </w:r>
            <w:r>
              <w:rPr>
                <w:rFonts w:hint="eastAsia" w:ascii="仿宋_GB2312" w:hAnsi="仿宋_GB2312" w:eastAsia="仿宋_GB2312" w:cs="仿宋_GB2312"/>
                <w:b w:val="0"/>
                <w:bCs w:val="0"/>
                <w:color w:val="auto"/>
                <w:sz w:val="24"/>
                <w:szCs w:val="24"/>
                <w:highlight w:val="none"/>
              </w:rPr>
              <w:t>通过分析华为全球合规管理体系等案例，强化学生对国家贸易安全战略的认同；以“中国标准出海”实践为切入点，培育产业链合规协同意识，在贸易合规中践行人类命运共同体理念。</w:t>
            </w:r>
          </w:p>
        </w:tc>
        <w:tc>
          <w:tcPr>
            <w:tcW w:w="2217" w:type="dxa"/>
            <w:shd w:val="clear" w:color="auto" w:fill="auto"/>
            <w:noWrap w:val="0"/>
            <w:vAlign w:val="top"/>
          </w:tcPr>
          <w:p>
            <w:pPr>
              <w:pStyle w:val="13"/>
              <w:keepNext w:val="0"/>
              <w:keepLines w:val="0"/>
              <w:pageBreakBefore w:val="0"/>
              <w:widowControl w:val="0"/>
              <w:kinsoku/>
              <w:wordWrap/>
              <w:topLinePunct w:val="0"/>
              <w:autoSpaceDE/>
              <w:autoSpaceDN/>
              <w:bidi w:val="0"/>
              <w:snapToGrid/>
              <w:spacing w:line="300" w:lineRule="auto"/>
              <w:ind w:left="0" w:leftChars="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rPr>
              <w:t>国际贸易合规相关法律法规（海关规则、反倾销反补贴政策等）；贸易合规审查流程与方法；贸易合规风险案例分析（如违规报关、贸易制裁应对）。</w:t>
            </w:r>
          </w:p>
        </w:tc>
        <w:tc>
          <w:tcPr>
            <w:tcW w:w="2046" w:type="dxa"/>
            <w:shd w:val="clear" w:color="auto" w:fill="auto"/>
            <w:noWrap w:val="0"/>
            <w:vAlign w:val="top"/>
          </w:tcPr>
          <w:p>
            <w:pPr>
              <w:pStyle w:val="13"/>
              <w:keepNext w:val="0"/>
              <w:keepLines w:val="0"/>
              <w:pageBreakBefore w:val="0"/>
              <w:widowControl w:val="0"/>
              <w:kinsoku/>
              <w:wordWrap/>
              <w:topLinePunct w:val="0"/>
              <w:autoSpaceDE/>
              <w:autoSpaceDN/>
              <w:bidi w:val="0"/>
              <w:snapToGrid/>
              <w:spacing w:line="300" w:lineRule="auto"/>
              <w:ind w:left="0" w:leftChars="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rPr>
              <w:t>解读国际贸易合规规则，完成企业贸易合规审查模拟任务，提出贸易合规风险应对措施。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507"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rPr>
              <w:t>8</w:t>
            </w:r>
          </w:p>
        </w:tc>
        <w:tc>
          <w:tcPr>
            <w:tcW w:w="855" w:type="dxa"/>
            <w:shd w:val="clear" w:color="auto" w:fill="auto"/>
            <w:noWrap w:val="0"/>
            <w:vAlign w:val="center"/>
          </w:tcPr>
          <w:p>
            <w:pPr>
              <w:keepNext w:val="0"/>
              <w:keepLines w:val="0"/>
              <w:pageBreakBefore w:val="0"/>
              <w:kinsoku/>
              <w:wordWrap/>
              <w:overflowPunct w:val="0"/>
              <w:topLinePunct w:val="0"/>
              <w:autoSpaceDE/>
              <w:autoSpaceDN/>
              <w:bidi w:val="0"/>
              <w:adjustRightInd w:val="0"/>
              <w:snapToGrid/>
              <w:spacing w:line="300" w:lineRule="auto"/>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国际经贸规则与标准</w:t>
            </w:r>
          </w:p>
        </w:tc>
        <w:tc>
          <w:tcPr>
            <w:tcW w:w="5379" w:type="dxa"/>
            <w:shd w:val="clear" w:color="auto" w:fill="auto"/>
            <w:noWrap w:val="0"/>
            <w:vAlign w:val="top"/>
          </w:tcPr>
          <w:p>
            <w:pPr>
              <w:pStyle w:val="13"/>
              <w:keepNext w:val="0"/>
              <w:keepLines w:val="0"/>
              <w:pageBreakBefore w:val="0"/>
              <w:widowControl w:val="0"/>
              <w:kinsoku/>
              <w:wordWrap/>
              <w:overflowPunct/>
              <w:topLinePunct w:val="0"/>
              <w:autoSpaceDE/>
              <w:autoSpaceDN/>
              <w:bidi w:val="0"/>
              <w:adjustRightInd/>
              <w:snapToGrid/>
              <w:spacing w:before="0" w:after="0" w:line="300" w:lineRule="auto"/>
              <w:ind w:left="0" w:leftChars="0"/>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rPr>
              <w:t>‌使学生系统掌握国际经贸规则最新体系，包括《数字经济伙伴关系协定》（DEPA）数据流动条款、欧盟《企业可持续发展尽职调查指令》（CSDDD）合规标准，熟悉</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一带一路</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沿线国家技术性贸易措施（TBT）通报机制。深入理解AI驱动的标准互认（如区块链产品溯源）技术原理，并能操作WTO/TBT-SPS信息系统进行合规检索。</w:t>
            </w:r>
          </w:p>
          <w:p>
            <w:pPr>
              <w:pStyle w:val="13"/>
              <w:keepNext w:val="0"/>
              <w:keepLines w:val="0"/>
              <w:pageBreakBefore w:val="0"/>
              <w:widowControl w:val="0"/>
              <w:kinsoku/>
              <w:wordWrap/>
              <w:overflowPunct/>
              <w:topLinePunct w:val="0"/>
              <w:autoSpaceDE/>
              <w:autoSpaceDN/>
              <w:bidi w:val="0"/>
              <w:adjustRightInd/>
              <w:snapToGrid/>
              <w:spacing w:before="0" w:after="0" w:line="300" w:lineRule="auto"/>
              <w:ind w:left="0" w:leftChars="0"/>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rPr>
              <w:t>‌培养学生运用国际规则解决实际问题的能力，涵盖《区域全面经济伙伴关系协定》（RCEP）原产地规则实操、通过</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单一窗口</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完成标准符合性声明、运用ISO/TC 328标准体系设计绿色贸易方案。要求学生能完成CPTPP劳工条款与ISO 26000社会责任标准的对标分析。</w:t>
            </w:r>
          </w:p>
          <w:p>
            <w:pPr>
              <w:pStyle w:val="13"/>
              <w:keepNext w:val="0"/>
              <w:keepLines w:val="0"/>
              <w:pageBreakBefore w:val="0"/>
              <w:widowControl w:val="0"/>
              <w:kinsoku/>
              <w:wordWrap/>
              <w:overflowPunct/>
              <w:topLinePunct w:val="0"/>
              <w:autoSpaceDE/>
              <w:autoSpaceDN/>
              <w:bidi w:val="0"/>
              <w:adjustRightInd/>
              <w:snapToGrid/>
              <w:spacing w:before="0" w:after="0" w:line="300" w:lineRule="auto"/>
              <w:ind w:left="0" w:leftChars="0"/>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‌素质目标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rPr>
              <w:t>‌塑造学生的全球规则意识与跨文化沟通能力，强调在新能源产品出口中应对欧盟碳边境调节机制（CBAM）的标准策略，培养国际标准组织（如ISO/IEC）提案撰写能力。树立</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中国标准</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输出意识，如参与数字丝绸之路标准体系建设，同时培养</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规则谈判代表</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的职业素养。</w:t>
            </w:r>
          </w:p>
          <w:p>
            <w:pPr>
              <w:pStyle w:val="13"/>
              <w:keepNext w:val="0"/>
              <w:keepLines w:val="0"/>
              <w:pageBreakBefore w:val="0"/>
              <w:widowControl w:val="0"/>
              <w:kinsoku/>
              <w:wordWrap/>
              <w:overflowPunct/>
              <w:topLinePunct w:val="0"/>
              <w:autoSpaceDE/>
              <w:autoSpaceDN/>
              <w:bidi w:val="0"/>
              <w:adjustRightInd/>
              <w:snapToGrid/>
              <w:spacing w:before="0" w:after="0" w:line="300" w:lineRule="auto"/>
              <w:ind w:left="0" w:leftChars="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rPr>
              <w:t>‌课程思政育人目标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rPr>
              <w:t>‌通过分析华为5G标准专利布局等典型案例，强化学生对国家标准化战略的认同；以</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一带一路</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基础设施标准互认实践为切入点，培育产业链标准主导权意识。引导学生理解国际规则不仅是技术规范，更是提升全球经济治理话语权的关键路径，在数字贸易标准制定中践行人类命运共同体理念。</w:t>
            </w:r>
          </w:p>
        </w:tc>
        <w:tc>
          <w:tcPr>
            <w:tcW w:w="2217" w:type="dxa"/>
            <w:shd w:val="clear" w:color="auto" w:fill="auto"/>
            <w:noWrap w:val="0"/>
            <w:vAlign w:val="top"/>
          </w:tcPr>
          <w:p>
            <w:pPr>
              <w:pStyle w:val="13"/>
              <w:keepNext w:val="0"/>
              <w:keepLines w:val="0"/>
              <w:pageBreakBefore w:val="0"/>
              <w:widowControl w:val="0"/>
              <w:kinsoku/>
              <w:wordWrap/>
              <w:topLinePunct w:val="0"/>
              <w:autoSpaceDE/>
              <w:autoSpaceDN/>
              <w:bidi w:val="0"/>
              <w:snapToGrid/>
              <w:spacing w:line="300" w:lineRule="auto"/>
              <w:ind w:left="0" w:leftChars="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rPr>
              <w:t>WTO 规则体系核心内容；区域贸易协定（如 CPTPP、RCEP）关键条款；国际产品标准（如 ISO 标准）与贸易壁垒。</w:t>
            </w:r>
          </w:p>
        </w:tc>
        <w:tc>
          <w:tcPr>
            <w:tcW w:w="2046" w:type="dxa"/>
            <w:shd w:val="clear" w:color="auto" w:fill="auto"/>
            <w:noWrap w:val="0"/>
            <w:vAlign w:val="top"/>
          </w:tcPr>
          <w:p>
            <w:pPr>
              <w:pStyle w:val="13"/>
              <w:keepNext w:val="0"/>
              <w:keepLines w:val="0"/>
              <w:pageBreakBefore w:val="0"/>
              <w:widowControl w:val="0"/>
              <w:kinsoku/>
              <w:wordWrap/>
              <w:topLinePunct w:val="0"/>
              <w:autoSpaceDE/>
              <w:autoSpaceDN/>
              <w:bidi w:val="0"/>
              <w:snapToGrid/>
              <w:spacing w:line="300" w:lineRule="auto"/>
              <w:ind w:left="0" w:leftChars="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rPr>
              <w:t>分析国际经贸规则对企业贸易的影响，解读区域贸易协定条款，为企业参与国际经贸活动提供规则层面的建议。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5" w:hRule="atLeast"/>
          <w:jc w:val="center"/>
        </w:trPr>
        <w:tc>
          <w:tcPr>
            <w:tcW w:w="507"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rPr>
              <w:t>9</w:t>
            </w:r>
          </w:p>
        </w:tc>
        <w:tc>
          <w:tcPr>
            <w:tcW w:w="855" w:type="dxa"/>
            <w:shd w:val="clear" w:color="auto" w:fill="auto"/>
            <w:noWrap w:val="0"/>
            <w:vAlign w:val="center"/>
          </w:tcPr>
          <w:p>
            <w:pPr>
              <w:keepNext w:val="0"/>
              <w:keepLines w:val="0"/>
              <w:pageBreakBefore w:val="0"/>
              <w:kinsoku/>
              <w:wordWrap/>
              <w:overflowPunct w:val="0"/>
              <w:topLinePunct w:val="0"/>
              <w:autoSpaceDE/>
              <w:autoSpaceDN/>
              <w:bidi w:val="0"/>
              <w:adjustRightInd w:val="0"/>
              <w:snapToGrid/>
              <w:spacing w:line="300" w:lineRule="auto"/>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外贸参展实务</w:t>
            </w:r>
          </w:p>
        </w:tc>
        <w:tc>
          <w:tcPr>
            <w:tcW w:w="5379" w:type="dxa"/>
            <w:shd w:val="clear" w:color="auto" w:fill="auto"/>
            <w:noWrap w:val="0"/>
            <w:vAlign w:val="top"/>
          </w:tcPr>
          <w:p>
            <w:pPr>
              <w:pStyle w:val="13"/>
              <w:keepNext w:val="0"/>
              <w:keepLines w:val="0"/>
              <w:pageBreakBefore w:val="0"/>
              <w:widowControl w:val="0"/>
              <w:kinsoku/>
              <w:wordWrap/>
              <w:overflowPunct/>
              <w:topLinePunct w:val="0"/>
              <w:autoSpaceDE/>
              <w:autoSpaceDN/>
              <w:bidi w:val="0"/>
              <w:adjustRightInd/>
              <w:snapToGrid/>
              <w:spacing w:before="0" w:after="0" w:line="300" w:lineRule="auto"/>
              <w:ind w:left="0" w:leftChars="0"/>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rPr>
              <w:t>‌掌握元宇宙会展、跨境直播等新型参展方式，熟悉RCEP展品通关规则及AI客户画像技术应用。</w:t>
            </w:r>
          </w:p>
          <w:p>
            <w:pPr>
              <w:pStyle w:val="13"/>
              <w:keepNext w:val="0"/>
              <w:keepLines w:val="0"/>
              <w:pageBreakBefore w:val="0"/>
              <w:widowControl w:val="0"/>
              <w:kinsoku/>
              <w:wordWrap/>
              <w:overflowPunct/>
              <w:topLinePunct w:val="0"/>
              <w:autoSpaceDE/>
              <w:autoSpaceDN/>
              <w:bidi w:val="0"/>
              <w:adjustRightInd/>
              <w:snapToGrid/>
              <w:spacing w:before="0" w:after="0" w:line="300" w:lineRule="auto"/>
              <w:ind w:left="0" w:leftChars="0"/>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rPr>
              <w:t>‌具备VR展台搭建、数字邀约、绿色布展等实操能力，能处理跨国参展中的合规与纠纷问题。</w:t>
            </w:r>
          </w:p>
          <w:p>
            <w:pPr>
              <w:pStyle w:val="13"/>
              <w:keepNext w:val="0"/>
              <w:keepLines w:val="0"/>
              <w:pageBreakBefore w:val="0"/>
              <w:widowControl w:val="0"/>
              <w:kinsoku/>
              <w:wordWrap/>
              <w:overflowPunct/>
              <w:topLinePunct w:val="0"/>
              <w:autoSpaceDE/>
              <w:autoSpaceDN/>
              <w:bidi w:val="0"/>
              <w:adjustRightInd/>
              <w:snapToGrid/>
              <w:spacing w:before="0" w:after="0" w:line="300" w:lineRule="auto"/>
              <w:ind w:left="0" w:leftChars="0"/>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‌素质目标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rPr>
              <w:t>‌培养国际商务礼仪、危机处置意识，树立中国品牌输出理念，强化职业素养。</w:t>
            </w:r>
          </w:p>
          <w:p>
            <w:pPr>
              <w:pStyle w:val="13"/>
              <w:keepNext w:val="0"/>
              <w:keepLines w:val="0"/>
              <w:pageBreakBefore w:val="0"/>
              <w:widowControl w:val="0"/>
              <w:kinsoku/>
              <w:wordWrap/>
              <w:overflowPunct/>
              <w:topLinePunct w:val="0"/>
              <w:autoSpaceDE/>
              <w:autoSpaceDN/>
              <w:bidi w:val="0"/>
              <w:adjustRightInd/>
              <w:snapToGrid/>
              <w:spacing w:before="0" w:after="0" w:line="300" w:lineRule="auto"/>
              <w:ind w:left="0" w:leftChars="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rPr>
              <w:t>‌课程思政育人目标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rPr>
              <w:t>‌通过广交会等案例强化国家战略认同，培育产业链品牌意识，在会展中践行人类命运共同体理念。</w:t>
            </w:r>
          </w:p>
        </w:tc>
        <w:tc>
          <w:tcPr>
            <w:tcW w:w="2217" w:type="dxa"/>
            <w:shd w:val="clear" w:color="auto" w:fill="auto"/>
            <w:noWrap w:val="0"/>
            <w:vAlign w:val="top"/>
          </w:tcPr>
          <w:p>
            <w:pPr>
              <w:pStyle w:val="13"/>
              <w:keepNext w:val="0"/>
              <w:keepLines w:val="0"/>
              <w:pageBreakBefore w:val="0"/>
              <w:widowControl w:val="0"/>
              <w:kinsoku/>
              <w:wordWrap/>
              <w:topLinePunct w:val="0"/>
              <w:autoSpaceDE/>
              <w:autoSpaceDN/>
              <w:bidi w:val="0"/>
              <w:snapToGrid/>
              <w:spacing w:line="300" w:lineRule="auto"/>
              <w:ind w:left="0" w:leftChars="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rPr>
              <w:t>外贸展会选品策略、展位设计原则；客户洽谈技巧与商务礼仪；参展效果评估指标与方法；国际知名展会案例分析。</w:t>
            </w:r>
          </w:p>
        </w:tc>
        <w:tc>
          <w:tcPr>
            <w:tcW w:w="2046" w:type="dxa"/>
            <w:shd w:val="clear" w:color="auto" w:fill="auto"/>
            <w:noWrap w:val="0"/>
            <w:vAlign w:val="top"/>
          </w:tcPr>
          <w:p>
            <w:pPr>
              <w:pStyle w:val="13"/>
              <w:keepNext w:val="0"/>
              <w:keepLines w:val="0"/>
              <w:pageBreakBefore w:val="0"/>
              <w:widowControl w:val="0"/>
              <w:kinsoku/>
              <w:wordWrap/>
              <w:topLinePunct w:val="0"/>
              <w:autoSpaceDE/>
              <w:autoSpaceDN/>
              <w:bidi w:val="0"/>
              <w:snapToGrid/>
              <w:spacing w:line="300" w:lineRule="auto"/>
              <w:ind w:left="0" w:leftChars="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rPr>
              <w:t>策划完整的外贸参展方案，模拟外贸展会参展全流程，评估参展效果并提出改进措施。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30" w:hRule="atLeast"/>
          <w:jc w:val="center"/>
        </w:trPr>
        <w:tc>
          <w:tcPr>
            <w:tcW w:w="507"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rPr>
              <w:t>10</w:t>
            </w:r>
          </w:p>
        </w:tc>
        <w:tc>
          <w:tcPr>
            <w:tcW w:w="855" w:type="dxa"/>
            <w:shd w:val="clear" w:color="auto" w:fill="auto"/>
            <w:noWrap w:val="0"/>
            <w:vAlign w:val="center"/>
          </w:tcPr>
          <w:p>
            <w:pPr>
              <w:keepNext w:val="0"/>
              <w:keepLines w:val="0"/>
              <w:pageBreakBefore w:val="0"/>
              <w:kinsoku/>
              <w:wordWrap/>
              <w:overflowPunct w:val="0"/>
              <w:topLinePunct w:val="0"/>
              <w:autoSpaceDE/>
              <w:autoSpaceDN/>
              <w:bidi w:val="0"/>
              <w:adjustRightInd w:val="0"/>
              <w:snapToGrid/>
              <w:spacing w:line="300" w:lineRule="auto"/>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管理学</w:t>
            </w:r>
          </w:p>
        </w:tc>
        <w:tc>
          <w:tcPr>
            <w:tcW w:w="5379" w:type="dxa"/>
            <w:shd w:val="clear" w:color="auto" w:fill="auto"/>
            <w:noWrap w:val="0"/>
            <w:vAlign w:val="top"/>
          </w:tcPr>
          <w:p>
            <w:pPr>
              <w:pStyle w:val="13"/>
              <w:keepNext w:val="0"/>
              <w:keepLines w:val="0"/>
              <w:pageBreakBefore w:val="0"/>
              <w:widowControl w:val="0"/>
              <w:kinsoku/>
              <w:wordWrap/>
              <w:overflowPunct/>
              <w:topLinePunct w:val="0"/>
              <w:autoSpaceDE/>
              <w:autoSpaceDN/>
              <w:bidi w:val="0"/>
              <w:adjustRightInd/>
              <w:snapToGrid/>
              <w:spacing w:before="0" w:after="0" w:line="300" w:lineRule="auto"/>
              <w:ind w:left="0" w:leftChars="0"/>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rPr>
              <w:t>‌系统掌握管理学前沿理论，包括数字化转型下的敏捷管理、元宇宙组织架构设计原理，熟悉ESG（环境、社会、治理）评价体系在企业管理中的应用。</w:t>
            </w:r>
          </w:p>
          <w:p>
            <w:pPr>
              <w:pStyle w:val="13"/>
              <w:keepNext w:val="0"/>
              <w:keepLines w:val="0"/>
              <w:pageBreakBefore w:val="0"/>
              <w:widowControl w:val="0"/>
              <w:kinsoku/>
              <w:wordWrap/>
              <w:overflowPunct/>
              <w:topLinePunct w:val="0"/>
              <w:autoSpaceDE/>
              <w:autoSpaceDN/>
              <w:bidi w:val="0"/>
              <w:adjustRightInd/>
              <w:snapToGrid/>
              <w:spacing w:before="0" w:after="0" w:line="300" w:lineRule="auto"/>
              <w:ind w:left="0" w:leftChars="0"/>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rPr>
              <w:t>‌培养运用管理工具解决实际问题的能力，涵盖AI驱动的决策分析、通过OKR（目标与关键成果）体系实施战略分解、设计符合《绿色企业管理标准》的可持续发展方案。</w:t>
            </w:r>
          </w:p>
          <w:p>
            <w:pPr>
              <w:pStyle w:val="13"/>
              <w:keepNext w:val="0"/>
              <w:keepLines w:val="0"/>
              <w:pageBreakBefore w:val="0"/>
              <w:widowControl w:val="0"/>
              <w:kinsoku/>
              <w:wordWrap/>
              <w:overflowPunct/>
              <w:topLinePunct w:val="0"/>
              <w:autoSpaceDE/>
              <w:autoSpaceDN/>
              <w:bidi w:val="0"/>
              <w:adjustRightInd/>
              <w:snapToGrid/>
              <w:spacing w:before="0" w:after="0" w:line="300" w:lineRule="auto"/>
              <w:ind w:left="0" w:leftChars="0"/>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‌素质目标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rPr>
              <w:t>‌塑造跨文化沟通能力与创新思维，强调在全球化团队中应对文化冲突的策略，培养企业社会责任意识与职业伦理素养。</w:t>
            </w:r>
          </w:p>
          <w:p>
            <w:pPr>
              <w:pStyle w:val="13"/>
              <w:keepNext w:val="0"/>
              <w:keepLines w:val="0"/>
              <w:pageBreakBefore w:val="0"/>
              <w:widowControl w:val="0"/>
              <w:kinsoku/>
              <w:wordWrap/>
              <w:overflowPunct/>
              <w:topLinePunct w:val="0"/>
              <w:autoSpaceDE/>
              <w:autoSpaceDN/>
              <w:bidi w:val="0"/>
              <w:adjustRightInd/>
              <w:snapToGrid/>
              <w:spacing w:before="0" w:after="0" w:line="300" w:lineRule="auto"/>
              <w:ind w:left="0" w:leftChars="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rPr>
              <w:t>‌课程思政育人目标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rPr>
              <w:t>‌通过分析华为“军团制”管理模式等典型案例，强化学生对国家创新战略的认同；以“一带一路”沿线企业管理实践为切入点，培育产业链协同发展意识，在企业管理中践行社会主义核心价值观。</w:t>
            </w:r>
          </w:p>
        </w:tc>
        <w:tc>
          <w:tcPr>
            <w:tcW w:w="2217" w:type="dxa"/>
            <w:shd w:val="clear" w:color="auto" w:fill="auto"/>
            <w:noWrap w:val="0"/>
            <w:vAlign w:val="top"/>
          </w:tcPr>
          <w:p>
            <w:pPr>
              <w:pStyle w:val="13"/>
              <w:keepNext w:val="0"/>
              <w:keepLines w:val="0"/>
              <w:pageBreakBefore w:val="0"/>
              <w:widowControl w:val="0"/>
              <w:kinsoku/>
              <w:wordWrap/>
              <w:topLinePunct w:val="0"/>
              <w:autoSpaceDE/>
              <w:autoSpaceDN/>
              <w:bidi w:val="0"/>
              <w:snapToGrid/>
              <w:spacing w:line="300" w:lineRule="auto"/>
              <w:ind w:left="0" w:leftChars="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rPr>
              <w:t>管理学经典理论在企业管理中的应用；国际贸易企业组织架构设计、团队管理；企业运营中的计划制定与控制方法；管理案例分析。</w:t>
            </w:r>
          </w:p>
        </w:tc>
        <w:tc>
          <w:tcPr>
            <w:tcW w:w="2046" w:type="dxa"/>
            <w:shd w:val="clear" w:color="auto" w:fill="auto"/>
            <w:noWrap w:val="0"/>
            <w:vAlign w:val="top"/>
          </w:tcPr>
          <w:p>
            <w:pPr>
              <w:pStyle w:val="13"/>
              <w:keepNext w:val="0"/>
              <w:keepLines w:val="0"/>
              <w:pageBreakBefore w:val="0"/>
              <w:widowControl w:val="0"/>
              <w:kinsoku/>
              <w:wordWrap/>
              <w:topLinePunct w:val="0"/>
              <w:autoSpaceDE/>
              <w:autoSpaceDN/>
              <w:bidi w:val="0"/>
              <w:snapToGrid/>
              <w:spacing w:line="300" w:lineRule="auto"/>
              <w:ind w:left="0" w:leftChars="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rPr>
              <w:t>运用管理学理论分析国际贸易企业运营问题，如团队协作、供应链管理优化，提出管理改进方案。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7"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rPr>
              <w:t>11</w:t>
            </w:r>
          </w:p>
        </w:tc>
        <w:tc>
          <w:tcPr>
            <w:tcW w:w="855" w:type="dxa"/>
            <w:shd w:val="clear" w:color="auto" w:fill="auto"/>
            <w:noWrap w:val="0"/>
            <w:vAlign w:val="center"/>
          </w:tcPr>
          <w:p>
            <w:pPr>
              <w:keepNext w:val="0"/>
              <w:keepLines w:val="0"/>
              <w:pageBreakBefore w:val="0"/>
              <w:kinsoku/>
              <w:wordWrap/>
              <w:overflowPunct w:val="0"/>
              <w:topLinePunct w:val="0"/>
              <w:autoSpaceDE/>
              <w:autoSpaceDN/>
              <w:bidi w:val="0"/>
              <w:adjustRightInd w:val="0"/>
              <w:snapToGrid/>
              <w:spacing w:line="300" w:lineRule="auto"/>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电子商务</w:t>
            </w:r>
          </w:p>
        </w:tc>
        <w:tc>
          <w:tcPr>
            <w:tcW w:w="5379" w:type="dxa"/>
            <w:shd w:val="clear" w:color="auto" w:fill="auto"/>
            <w:noWrap w:val="0"/>
            <w:vAlign w:val="top"/>
          </w:tcPr>
          <w:p>
            <w:pPr>
              <w:pStyle w:val="13"/>
              <w:keepNext w:val="0"/>
              <w:keepLines w:val="0"/>
              <w:pageBreakBefore w:val="0"/>
              <w:widowControl w:val="0"/>
              <w:kinsoku/>
              <w:wordWrap/>
              <w:overflowPunct/>
              <w:topLinePunct w:val="0"/>
              <w:autoSpaceDE/>
              <w:autoSpaceDN/>
              <w:bidi w:val="0"/>
              <w:adjustRightInd/>
              <w:snapToGrid/>
              <w:spacing w:before="0" w:after="0" w:line="300" w:lineRule="auto"/>
              <w:ind w:left="0" w:leftChars="0"/>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rPr>
              <w:t>‌掌握电子商务前沿知识，包括元宇宙电商（如虚拟购物场景搭建）、跨境电商直播（如TikTok Shop运营规则）、区块链溯源技术应用，熟悉RCEP框架下跨境电商标品合规规范。</w:t>
            </w:r>
          </w:p>
          <w:p>
            <w:pPr>
              <w:pStyle w:val="13"/>
              <w:keepNext w:val="0"/>
              <w:keepLines w:val="0"/>
              <w:pageBreakBefore w:val="0"/>
              <w:widowControl w:val="0"/>
              <w:kinsoku/>
              <w:wordWrap/>
              <w:overflowPunct/>
              <w:topLinePunct w:val="0"/>
              <w:autoSpaceDE/>
              <w:autoSpaceDN/>
              <w:bidi w:val="0"/>
              <w:adjustRightInd/>
              <w:snapToGrid/>
              <w:spacing w:before="0" w:after="0" w:line="300" w:lineRule="auto"/>
              <w:ind w:left="0" w:leftChars="0"/>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rPr>
              <w:t>‌具备电商平台运营、数字营销、跨境物流方案设计等实操能力，能运用AI工具（如ChatGPT客服系统）优化用户体验，处理跨国电商中的纠纷与合规问题。</w:t>
            </w:r>
          </w:p>
          <w:p>
            <w:pPr>
              <w:pStyle w:val="13"/>
              <w:keepNext w:val="0"/>
              <w:keepLines w:val="0"/>
              <w:pageBreakBefore w:val="0"/>
              <w:widowControl w:val="0"/>
              <w:kinsoku/>
              <w:wordWrap/>
              <w:overflowPunct/>
              <w:topLinePunct w:val="0"/>
              <w:autoSpaceDE/>
              <w:autoSpaceDN/>
              <w:bidi w:val="0"/>
              <w:adjustRightInd/>
              <w:snapToGrid/>
              <w:spacing w:before="0" w:after="0" w:line="300" w:lineRule="auto"/>
              <w:ind w:left="0" w:leftChars="0"/>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‌素质目标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rPr>
              <w:t>‌培养数据安全意识、跨文化沟通能力与创新思维，树立“中国智造”电商品牌理念，强化职业伦理素养。</w:t>
            </w:r>
          </w:p>
          <w:p>
            <w:pPr>
              <w:pStyle w:val="13"/>
              <w:keepNext w:val="0"/>
              <w:keepLines w:val="0"/>
              <w:pageBreakBefore w:val="0"/>
              <w:widowControl w:val="0"/>
              <w:kinsoku/>
              <w:wordWrap/>
              <w:overflowPunct/>
              <w:topLinePunct w:val="0"/>
              <w:autoSpaceDE/>
              <w:autoSpaceDN/>
              <w:bidi w:val="0"/>
              <w:adjustRightInd/>
              <w:snapToGrid/>
              <w:spacing w:before="0" w:after="0" w:line="300" w:lineRule="auto"/>
              <w:ind w:left="0" w:leftChars="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rPr>
              <w:t>‌课程思政育人目标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rPr>
              <w:t>‌通过分析“丝路电商”合作案例，强化学生对国家数字经济战略的认同；培育产业链协同发展意识，在电商发展中践行社会主义核心价值观。</w:t>
            </w:r>
          </w:p>
        </w:tc>
        <w:tc>
          <w:tcPr>
            <w:tcW w:w="2217" w:type="dxa"/>
            <w:shd w:val="clear" w:color="auto" w:fill="auto"/>
            <w:noWrap w:val="0"/>
            <w:vAlign w:val="top"/>
          </w:tcPr>
          <w:p>
            <w:pPr>
              <w:pStyle w:val="13"/>
              <w:keepNext w:val="0"/>
              <w:keepLines w:val="0"/>
              <w:pageBreakBefore w:val="0"/>
              <w:widowControl w:val="0"/>
              <w:kinsoku/>
              <w:wordWrap/>
              <w:topLinePunct w:val="0"/>
              <w:autoSpaceDE/>
              <w:autoSpaceDN/>
              <w:bidi w:val="0"/>
              <w:snapToGrid/>
              <w:spacing w:line="300" w:lineRule="auto"/>
              <w:ind w:left="0" w:leftChars="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rPr>
              <w:t>电子商务平台运营（如国际站店铺搭建、产品推广）；电商营销手段（搜索引擎优化、社交媒体营销）；跨境电商客户管理与服务。</w:t>
            </w:r>
          </w:p>
        </w:tc>
        <w:tc>
          <w:tcPr>
            <w:tcW w:w="2046" w:type="dxa"/>
            <w:shd w:val="clear" w:color="auto" w:fill="auto"/>
            <w:noWrap w:val="0"/>
            <w:vAlign w:val="top"/>
          </w:tcPr>
          <w:p>
            <w:pPr>
              <w:pStyle w:val="13"/>
              <w:keepNext w:val="0"/>
              <w:keepLines w:val="0"/>
              <w:pageBreakBefore w:val="0"/>
              <w:widowControl w:val="0"/>
              <w:kinsoku/>
              <w:wordWrap/>
              <w:topLinePunct w:val="0"/>
              <w:autoSpaceDE/>
              <w:autoSpaceDN/>
              <w:bidi w:val="0"/>
              <w:snapToGrid/>
              <w:spacing w:line="300" w:lineRule="auto"/>
              <w:ind w:left="0" w:leftChars="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rPr>
              <w:t>操作国际电商平台基础功能，制定电商营销方案，模拟跨境电商客户服务场景。</w:t>
            </w:r>
          </w:p>
        </w:tc>
      </w:tr>
    </w:tbl>
    <w:p>
      <w:pPr>
        <w:keepNext w:val="0"/>
        <w:keepLines w:val="0"/>
        <w:pageBreakBefore w:val="0"/>
        <w:widowControl w:val="0"/>
        <w:kinsoku/>
        <w:wordWrap/>
        <w:overflowPunct/>
        <w:topLinePunct w:val="0"/>
        <w:autoSpaceDE/>
        <w:autoSpaceDN/>
        <w:bidi w:val="0"/>
        <w:adjustRightInd w:val="0"/>
        <w:snapToGrid w:val="0"/>
        <w:spacing w:after="0" w:line="520" w:lineRule="exact"/>
        <w:ind w:firstLine="640" w:firstLineChars="200"/>
        <w:textAlignment w:val="auto"/>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4</w:t>
      </w:r>
      <w:r>
        <w:rPr>
          <w:rFonts w:hint="eastAsia" w:ascii="仿宋_GB2312" w:hAnsi="仿宋_GB2312" w:eastAsia="仿宋_GB2312" w:cs="仿宋_GB2312"/>
          <w:color w:val="auto"/>
          <w:sz w:val="32"/>
          <w:szCs w:val="32"/>
          <w:highlight w:val="none"/>
        </w:rPr>
        <w:t>.实践</w:t>
      </w:r>
      <w:r>
        <w:rPr>
          <w:rFonts w:hint="eastAsia" w:ascii="仿宋_GB2312" w:hAnsi="仿宋_GB2312" w:eastAsia="仿宋_GB2312" w:cs="仿宋_GB2312"/>
          <w:color w:val="auto"/>
          <w:sz w:val="32"/>
          <w:szCs w:val="32"/>
          <w:highlight w:val="none"/>
          <w:lang w:val="en-US" w:eastAsia="zh-CN"/>
        </w:rPr>
        <w:t>性</w:t>
      </w:r>
      <w:r>
        <w:rPr>
          <w:rFonts w:hint="eastAsia" w:ascii="仿宋_GB2312" w:hAnsi="仿宋_GB2312" w:eastAsia="仿宋_GB2312" w:cs="仿宋_GB2312"/>
          <w:color w:val="auto"/>
          <w:sz w:val="32"/>
          <w:szCs w:val="32"/>
          <w:highlight w:val="none"/>
        </w:rPr>
        <w:t>教学环节 ：</w:t>
      </w:r>
      <w:r>
        <w:rPr>
          <w:rFonts w:hint="eastAsia" w:ascii="仿宋_GB2312" w:hAnsi="仿宋_GB2312" w:eastAsia="仿宋_GB2312" w:cs="仿宋_GB2312"/>
          <w:color w:val="auto"/>
          <w:sz w:val="32"/>
          <w:szCs w:val="32"/>
          <w:highlight w:val="none"/>
          <w:lang w:val="en-US" w:eastAsia="zh-CN"/>
        </w:rPr>
        <w:t>毕业设计、岗位实习。</w:t>
      </w:r>
    </w:p>
    <w:p>
      <w:pPr>
        <w:keepNext w:val="0"/>
        <w:keepLines w:val="0"/>
        <w:pageBreakBefore w:val="0"/>
        <w:widowControl w:val="0"/>
        <w:kinsoku/>
        <w:wordWrap/>
        <w:overflowPunct w:val="0"/>
        <w:topLinePunct w:val="0"/>
        <w:autoSpaceDE/>
        <w:autoSpaceDN/>
        <w:bidi w:val="0"/>
        <w:adjustRightInd w:val="0"/>
        <w:spacing w:after="0" w:line="520" w:lineRule="exact"/>
        <w:jc w:val="center"/>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表</w:t>
      </w:r>
      <w:r>
        <w:rPr>
          <w:rFonts w:hint="eastAsia" w:ascii="仿宋_GB2312" w:hAnsi="仿宋_GB2312" w:eastAsia="仿宋_GB2312" w:cs="仿宋_GB2312"/>
          <w:color w:val="auto"/>
          <w:sz w:val="32"/>
          <w:szCs w:val="32"/>
          <w:highlight w:val="none"/>
          <w:lang w:val="en-US" w:eastAsia="zh-CN"/>
        </w:rPr>
        <w:t xml:space="preserve">6 </w:t>
      </w:r>
      <w:r>
        <w:rPr>
          <w:rFonts w:hint="eastAsia" w:ascii="仿宋_GB2312" w:hAnsi="仿宋_GB2312" w:eastAsia="仿宋_GB2312" w:cs="仿宋_GB2312"/>
          <w:color w:val="auto"/>
          <w:sz w:val="32"/>
          <w:szCs w:val="32"/>
          <w:highlight w:val="none"/>
        </w:rPr>
        <w:t>实践</w:t>
      </w:r>
      <w:r>
        <w:rPr>
          <w:rFonts w:hint="eastAsia" w:ascii="仿宋_GB2312" w:hAnsi="仿宋_GB2312" w:eastAsia="仿宋_GB2312" w:cs="仿宋_GB2312"/>
          <w:color w:val="auto"/>
          <w:sz w:val="32"/>
          <w:szCs w:val="32"/>
          <w:highlight w:val="none"/>
          <w:lang w:val="en-US" w:eastAsia="zh-CN"/>
        </w:rPr>
        <w:t>性</w:t>
      </w:r>
      <w:r>
        <w:rPr>
          <w:rFonts w:hint="eastAsia" w:ascii="仿宋_GB2312" w:hAnsi="仿宋_GB2312" w:eastAsia="仿宋_GB2312" w:cs="仿宋_GB2312"/>
          <w:color w:val="auto"/>
          <w:sz w:val="32"/>
          <w:szCs w:val="32"/>
          <w:highlight w:val="none"/>
        </w:rPr>
        <w:t>教学环节课程</w:t>
      </w:r>
      <w:r>
        <w:rPr>
          <w:rFonts w:hint="eastAsia" w:ascii="仿宋_GB2312" w:hAnsi="仿宋_GB2312" w:eastAsia="仿宋_GB2312" w:cs="仿宋_GB2312"/>
          <w:color w:val="auto"/>
          <w:sz w:val="32"/>
          <w:szCs w:val="32"/>
          <w:highlight w:val="none"/>
          <w:lang w:val="en-US" w:eastAsia="zh-CN"/>
        </w:rPr>
        <w:t>目标、主要教学内容与要求</w:t>
      </w:r>
    </w:p>
    <w:tbl>
      <w:tblPr>
        <w:tblStyle w:val="8"/>
        <w:tblW w:w="1090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80" w:type="dxa"/>
          <w:left w:w="128" w:type="dxa"/>
          <w:bottom w:w="80" w:type="dxa"/>
          <w:right w:w="128" w:type="dxa"/>
        </w:tblCellMar>
      </w:tblPr>
      <w:tblGrid>
        <w:gridCol w:w="856"/>
        <w:gridCol w:w="972"/>
        <w:gridCol w:w="3716"/>
        <w:gridCol w:w="2800"/>
        <w:gridCol w:w="25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80" w:type="dxa"/>
            <w:left w:w="128" w:type="dxa"/>
            <w:bottom w:w="80" w:type="dxa"/>
            <w:right w:w="128" w:type="dxa"/>
          </w:tblCellMar>
        </w:tblPrEx>
        <w:trPr>
          <w:trHeight w:val="680" w:hRule="atLeast"/>
          <w:jc w:val="center"/>
        </w:trPr>
        <w:tc>
          <w:tcPr>
            <w:tcW w:w="856" w:type="dxa"/>
            <w:vAlign w:val="center"/>
          </w:tcPr>
          <w:p>
            <w:pPr>
              <w:overflowPunct w:val="0"/>
              <w:adjustRightInd w:val="0"/>
              <w:snapToGrid w:val="0"/>
              <w:spacing w:line="360" w:lineRule="exact"/>
              <w:jc w:val="center"/>
              <w:rPr>
                <w:rFonts w:hint="eastAsia" w:ascii="仿宋_GB2312" w:hAnsi="仿宋_GB2312" w:eastAsia="仿宋_GB2312" w:cs="仿宋_GB2312"/>
                <w:b w:val="0"/>
                <w:bCs/>
                <w:color w:val="auto"/>
                <w:sz w:val="24"/>
                <w:highlight w:val="none"/>
                <w:lang w:eastAsia="zh-CN"/>
              </w:rPr>
            </w:pPr>
            <w:bookmarkStart w:id="5" w:name="OLE_LINK21"/>
            <w:r>
              <w:rPr>
                <w:rFonts w:hint="eastAsia" w:ascii="仿宋_GB2312" w:hAnsi="仿宋_GB2312" w:eastAsia="仿宋_GB2312" w:cs="仿宋_GB2312"/>
                <w:b w:val="0"/>
                <w:bCs/>
                <w:color w:val="auto"/>
                <w:sz w:val="24"/>
                <w:highlight w:val="none"/>
                <w:lang w:eastAsia="zh-CN"/>
              </w:rPr>
              <w:t>序号</w:t>
            </w:r>
          </w:p>
        </w:tc>
        <w:tc>
          <w:tcPr>
            <w:tcW w:w="972" w:type="dxa"/>
            <w:vAlign w:val="center"/>
          </w:tcPr>
          <w:p>
            <w:pPr>
              <w:snapToGrid w:val="0"/>
              <w:spacing w:line="360" w:lineRule="exact"/>
              <w:jc w:val="center"/>
              <w:rPr>
                <w:rFonts w:hint="eastAsia" w:ascii="仿宋_GB2312" w:hAnsi="仿宋_GB2312" w:eastAsia="仿宋_GB2312" w:cs="仿宋_GB2312"/>
                <w:b w:val="0"/>
                <w:bCs/>
                <w:color w:val="auto"/>
                <w:sz w:val="24"/>
                <w:highlight w:val="none"/>
                <w:lang w:eastAsia="zh-CN"/>
              </w:rPr>
            </w:pPr>
            <w:r>
              <w:rPr>
                <w:rFonts w:hint="eastAsia" w:ascii="仿宋_GB2312" w:hAnsi="仿宋_GB2312" w:eastAsia="仿宋_GB2312" w:cs="仿宋_GB2312"/>
                <w:b w:val="0"/>
                <w:bCs/>
                <w:color w:val="auto"/>
                <w:sz w:val="24"/>
                <w:szCs w:val="24"/>
                <w:highlight w:val="none"/>
                <w:lang w:eastAsia="zh-CN"/>
              </w:rPr>
              <w:t>课程名称</w:t>
            </w:r>
          </w:p>
        </w:tc>
        <w:tc>
          <w:tcPr>
            <w:tcW w:w="3716" w:type="dxa"/>
            <w:vAlign w:val="center"/>
          </w:tcPr>
          <w:p>
            <w:pPr>
              <w:keepNext w:val="0"/>
              <w:keepLines w:val="0"/>
              <w:pageBreakBefore w:val="0"/>
              <w:widowControl w:val="0"/>
              <w:kinsoku/>
              <w:wordWrap/>
              <w:topLinePunct w:val="0"/>
              <w:autoSpaceDE/>
              <w:autoSpaceDN/>
              <w:bidi w:val="0"/>
              <w:snapToGrid w:val="0"/>
              <w:spacing w:after="0" w:line="360" w:lineRule="exact"/>
              <w:jc w:val="center"/>
              <w:textAlignment w:val="auto"/>
              <w:rPr>
                <w:rFonts w:hint="eastAsia" w:ascii="仿宋_GB2312" w:hAnsi="仿宋_GB2312" w:eastAsia="仿宋_GB2312" w:cs="仿宋_GB2312"/>
                <w:b w:val="0"/>
                <w:bCs/>
                <w:color w:val="auto"/>
                <w:sz w:val="24"/>
                <w:highlight w:val="none"/>
              </w:rPr>
            </w:pPr>
            <w:r>
              <w:rPr>
                <w:rFonts w:hint="eastAsia" w:ascii="仿宋_GB2312" w:hAnsi="仿宋_GB2312" w:eastAsia="仿宋_GB2312" w:cs="仿宋_GB2312"/>
                <w:b w:val="0"/>
                <w:bCs/>
                <w:color w:val="auto"/>
                <w:sz w:val="24"/>
                <w:szCs w:val="24"/>
                <w:highlight w:val="none"/>
                <w:lang w:val="en-US" w:eastAsia="zh-CN"/>
              </w:rPr>
              <w:t>课程目标</w:t>
            </w:r>
          </w:p>
        </w:tc>
        <w:tc>
          <w:tcPr>
            <w:tcW w:w="2800" w:type="dxa"/>
            <w:vAlign w:val="center"/>
          </w:tcPr>
          <w:p>
            <w:pPr>
              <w:snapToGrid w:val="0"/>
              <w:spacing w:line="360" w:lineRule="exact"/>
              <w:jc w:val="center"/>
              <w:rPr>
                <w:rFonts w:hint="eastAsia" w:ascii="仿宋_GB2312" w:hAnsi="仿宋_GB2312" w:eastAsia="仿宋_GB2312" w:cs="仿宋_GB2312"/>
                <w:b w:val="0"/>
                <w:bCs/>
                <w:color w:val="auto"/>
                <w:sz w:val="24"/>
                <w:highlight w:val="none"/>
              </w:rPr>
            </w:pPr>
            <w:r>
              <w:rPr>
                <w:rFonts w:hint="eastAsia" w:ascii="仿宋_GB2312" w:hAnsi="仿宋_GB2312" w:eastAsia="仿宋_GB2312" w:cs="仿宋_GB2312"/>
                <w:b w:val="0"/>
                <w:bCs/>
                <w:color w:val="auto"/>
                <w:sz w:val="24"/>
                <w:szCs w:val="24"/>
                <w:highlight w:val="none"/>
                <w:lang w:val="en-US" w:eastAsia="zh-CN"/>
              </w:rPr>
              <w:t>主要教学内容</w:t>
            </w:r>
          </w:p>
        </w:tc>
        <w:tc>
          <w:tcPr>
            <w:tcW w:w="2562" w:type="dxa"/>
            <w:vAlign w:val="center"/>
          </w:tcPr>
          <w:p>
            <w:pPr>
              <w:snapToGrid w:val="0"/>
              <w:spacing w:line="360" w:lineRule="exact"/>
              <w:jc w:val="center"/>
              <w:rPr>
                <w:rFonts w:hint="eastAsia" w:ascii="仿宋_GB2312" w:hAnsi="仿宋_GB2312" w:eastAsia="仿宋_GB2312" w:cs="仿宋_GB2312"/>
                <w:b w:val="0"/>
                <w:bCs/>
                <w:color w:val="auto"/>
                <w:sz w:val="24"/>
                <w:highlight w:val="none"/>
                <w:lang w:eastAsia="zh-CN"/>
              </w:rPr>
            </w:pPr>
            <w:r>
              <w:rPr>
                <w:rFonts w:hint="eastAsia" w:ascii="仿宋_GB2312" w:hAnsi="仿宋_GB2312" w:eastAsia="仿宋_GB2312" w:cs="仿宋_GB2312"/>
                <w:b w:val="0"/>
                <w:bCs/>
                <w:color w:val="auto"/>
                <w:sz w:val="24"/>
                <w:szCs w:val="24"/>
                <w:highlight w:val="none"/>
                <w:lang w:eastAsia="zh-CN"/>
              </w:rPr>
              <w:t>教学要求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80" w:type="dxa"/>
            <w:left w:w="128" w:type="dxa"/>
            <w:bottom w:w="80" w:type="dxa"/>
            <w:right w:w="128" w:type="dxa"/>
          </w:tblCellMar>
        </w:tblPrEx>
        <w:trPr>
          <w:trHeight w:val="0" w:hRule="atLeast"/>
          <w:jc w:val="center"/>
        </w:trPr>
        <w:tc>
          <w:tcPr>
            <w:tcW w:w="856" w:type="dxa"/>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szCs w:val="24"/>
                <w:highlight w:val="none"/>
                <w:lang w:val="en-US" w:eastAsia="zh-CN"/>
              </w:rPr>
              <w:t>1</w:t>
            </w:r>
          </w:p>
        </w:tc>
        <w:tc>
          <w:tcPr>
            <w:tcW w:w="972" w:type="dxa"/>
            <w:vAlign w:val="center"/>
          </w:tcPr>
          <w:p>
            <w:pPr>
              <w:overflowPunct w:val="0"/>
              <w:adjustRightInd w:val="0"/>
              <w:snapToGrid w:val="0"/>
              <w:spacing w:line="300" w:lineRule="auto"/>
              <w:jc w:val="center"/>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kern w:val="2"/>
                <w:sz w:val="24"/>
                <w:szCs w:val="24"/>
                <w:highlight w:val="none"/>
                <w:vertAlign w:val="baseline"/>
                <w:lang w:val="en-US" w:eastAsia="zh-CN" w:bidi="ar-SA"/>
              </w:rPr>
              <w:t>毕业设计</w:t>
            </w:r>
          </w:p>
        </w:tc>
        <w:tc>
          <w:tcPr>
            <w:tcW w:w="3716" w:type="dxa"/>
            <w:vAlign w:val="center"/>
          </w:tcPr>
          <w:p>
            <w:pPr>
              <w:keepNext w:val="0"/>
              <w:keepLines w:val="0"/>
              <w:pageBreakBefore w:val="0"/>
              <w:widowControl w:val="0"/>
              <w:kinsoku/>
              <w:wordWrap/>
              <w:overflowPunct w:val="0"/>
              <w:topLinePunct w:val="0"/>
              <w:autoSpaceDE/>
              <w:autoSpaceDN/>
              <w:bidi w:val="0"/>
              <w:adjustRightInd w:val="0"/>
              <w:snapToGrid w:val="0"/>
              <w:spacing w:after="0" w:line="320" w:lineRule="exact"/>
              <w:jc w:val="left"/>
              <w:textAlignment w:val="auto"/>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b/>
                <w:bCs/>
                <w:color w:val="auto"/>
                <w:kern w:val="2"/>
                <w:sz w:val="24"/>
                <w:szCs w:val="24"/>
                <w:highlight w:val="none"/>
                <w:vertAlign w:val="baseline"/>
                <w:lang w:val="en-US" w:eastAsia="zh-CN" w:bidi="ar-SA"/>
              </w:rPr>
              <w:t>知识目标：</w:t>
            </w:r>
            <w:r>
              <w:rPr>
                <w:rFonts w:hint="eastAsia" w:ascii="仿宋_GB2312" w:hAnsi="仿宋_GB2312" w:eastAsia="仿宋_GB2312" w:cs="仿宋_GB2312"/>
                <w:color w:val="auto"/>
                <w:kern w:val="2"/>
                <w:sz w:val="24"/>
                <w:szCs w:val="24"/>
                <w:highlight w:val="none"/>
                <w:vertAlign w:val="baseline"/>
                <w:lang w:val="en-US" w:eastAsia="zh-CN" w:bidi="ar-SA"/>
              </w:rPr>
              <w:t>通过这一课程，学生不仅能够深入研究和探讨国际经贸领域的热点问题，还能够通过规范写作和利用合适的研究方法，提高自己的学术研究能力。</w:t>
            </w:r>
          </w:p>
          <w:p>
            <w:pPr>
              <w:keepNext w:val="0"/>
              <w:keepLines w:val="0"/>
              <w:pageBreakBefore w:val="0"/>
              <w:widowControl w:val="0"/>
              <w:kinsoku/>
              <w:wordWrap/>
              <w:overflowPunct w:val="0"/>
              <w:topLinePunct w:val="0"/>
              <w:autoSpaceDE/>
              <w:autoSpaceDN/>
              <w:bidi w:val="0"/>
              <w:adjustRightInd w:val="0"/>
              <w:snapToGrid w:val="0"/>
              <w:spacing w:after="0" w:line="320" w:lineRule="exact"/>
              <w:jc w:val="left"/>
              <w:textAlignment w:val="auto"/>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b/>
                <w:bCs/>
                <w:color w:val="auto"/>
                <w:kern w:val="2"/>
                <w:sz w:val="24"/>
                <w:szCs w:val="24"/>
                <w:highlight w:val="none"/>
                <w:vertAlign w:val="baseline"/>
                <w:lang w:val="en-US" w:eastAsia="zh-CN" w:bidi="ar-SA"/>
              </w:rPr>
              <w:t>能力目标：</w:t>
            </w:r>
            <w:r>
              <w:rPr>
                <w:rFonts w:hint="eastAsia" w:ascii="仿宋_GB2312" w:hAnsi="仿宋_GB2312" w:eastAsia="仿宋_GB2312" w:cs="仿宋_GB2312"/>
                <w:color w:val="auto"/>
                <w:kern w:val="2"/>
                <w:sz w:val="24"/>
                <w:szCs w:val="24"/>
                <w:highlight w:val="none"/>
                <w:vertAlign w:val="baseline"/>
                <w:lang w:val="en-US" w:eastAsia="zh-CN" w:bidi="ar-SA"/>
              </w:rPr>
              <w:t>此外，该课程还强调学生将理论知识应用于实际问题的能力。</w:t>
            </w:r>
          </w:p>
          <w:p>
            <w:pPr>
              <w:keepNext w:val="0"/>
              <w:keepLines w:val="0"/>
              <w:pageBreakBefore w:val="0"/>
              <w:widowControl w:val="0"/>
              <w:kinsoku/>
              <w:wordWrap/>
              <w:overflowPunct w:val="0"/>
              <w:topLinePunct w:val="0"/>
              <w:autoSpaceDE/>
              <w:autoSpaceDN/>
              <w:bidi w:val="0"/>
              <w:adjustRightInd w:val="0"/>
              <w:snapToGrid w:val="0"/>
              <w:spacing w:after="0" w:line="320" w:lineRule="exact"/>
              <w:jc w:val="left"/>
              <w:textAlignment w:val="auto"/>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b/>
                <w:bCs/>
                <w:color w:val="auto"/>
                <w:kern w:val="2"/>
                <w:sz w:val="24"/>
                <w:szCs w:val="24"/>
                <w:highlight w:val="none"/>
                <w:vertAlign w:val="baseline"/>
                <w:lang w:val="en-US" w:eastAsia="zh-CN" w:bidi="ar-SA"/>
              </w:rPr>
              <w:t>素质目标：</w:t>
            </w:r>
            <w:r>
              <w:rPr>
                <w:rFonts w:hint="eastAsia" w:ascii="仿宋_GB2312" w:hAnsi="仿宋_GB2312" w:eastAsia="仿宋_GB2312" w:cs="仿宋_GB2312"/>
                <w:color w:val="auto"/>
                <w:kern w:val="2"/>
                <w:sz w:val="24"/>
                <w:szCs w:val="24"/>
                <w:highlight w:val="none"/>
                <w:vertAlign w:val="baseline"/>
                <w:lang w:val="en-US" w:eastAsia="zh-CN" w:bidi="ar-SA"/>
              </w:rPr>
              <w:t>通过选题、文献综述、任务书的撰写等步骤，培养学生的规范写作能力和科学研究的基本方法。</w:t>
            </w:r>
          </w:p>
          <w:p>
            <w:pPr>
              <w:keepNext w:val="0"/>
              <w:keepLines w:val="0"/>
              <w:pageBreakBefore w:val="0"/>
              <w:widowControl w:val="0"/>
              <w:kinsoku/>
              <w:wordWrap/>
              <w:overflowPunct w:val="0"/>
              <w:topLinePunct w:val="0"/>
              <w:autoSpaceDE/>
              <w:autoSpaceDN/>
              <w:bidi w:val="0"/>
              <w:adjustRightInd w:val="0"/>
              <w:snapToGrid w:val="0"/>
              <w:spacing w:after="0" w:line="320" w:lineRule="exact"/>
              <w:jc w:val="left"/>
              <w:textAlignment w:val="auto"/>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b/>
                <w:bCs/>
                <w:color w:val="auto"/>
                <w:kern w:val="2"/>
                <w:sz w:val="24"/>
                <w:szCs w:val="24"/>
                <w:highlight w:val="none"/>
                <w:vertAlign w:val="baseline"/>
                <w:lang w:val="en-US" w:eastAsia="zh-CN" w:bidi="ar-SA"/>
              </w:rPr>
              <w:t>‌课程思政育人目标：</w:t>
            </w:r>
            <w:r>
              <w:rPr>
                <w:rFonts w:hint="eastAsia" w:ascii="仿宋_GB2312" w:hAnsi="仿宋_GB2312" w:eastAsia="仿宋_GB2312" w:cs="仿宋_GB2312"/>
                <w:color w:val="auto"/>
                <w:kern w:val="2"/>
                <w:sz w:val="24"/>
                <w:szCs w:val="24"/>
                <w:highlight w:val="none"/>
                <w:vertAlign w:val="baseline"/>
                <w:lang w:val="en-US" w:eastAsia="zh-CN" w:bidi="ar-SA"/>
              </w:rPr>
              <w:t>‌培育创新报国情怀与工匠精神，在毕业论文中践行社会主义核心价值观，服务国家经济社会发展需求。</w:t>
            </w:r>
          </w:p>
        </w:tc>
        <w:tc>
          <w:tcPr>
            <w:tcW w:w="2800" w:type="dxa"/>
            <w:vAlign w:val="center"/>
          </w:tcPr>
          <w:p>
            <w:pPr>
              <w:keepNext w:val="0"/>
              <w:keepLines w:val="0"/>
              <w:pageBreakBefore w:val="0"/>
              <w:widowControl w:val="0"/>
              <w:kinsoku/>
              <w:wordWrap/>
              <w:overflowPunct w:val="0"/>
              <w:topLinePunct w:val="0"/>
              <w:autoSpaceDE/>
              <w:autoSpaceDN/>
              <w:bidi w:val="0"/>
              <w:adjustRightInd w:val="0"/>
              <w:snapToGrid w:val="0"/>
              <w:spacing w:after="0" w:line="320" w:lineRule="exact"/>
              <w:jc w:val="left"/>
              <w:textAlignment w:val="auto"/>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color w:val="auto"/>
                <w:kern w:val="2"/>
                <w:sz w:val="24"/>
                <w:szCs w:val="24"/>
                <w:highlight w:val="none"/>
                <w:vertAlign w:val="baseline"/>
                <w:lang w:val="en-US" w:eastAsia="zh-CN" w:bidi="ar-SA"/>
              </w:rPr>
              <w:t>学生需要按照一定的结构组织内容，包括引言部分（引入背景、目的和研究问题、研究意义）、现状分析部分（提供具体案例或数据，分析现状和问题）、问题分析部分（分析原因和对我国的影响）以及对策提出部分（提出解决方案和对策），以确保论文的逻辑性和条理性。</w:t>
            </w:r>
          </w:p>
        </w:tc>
        <w:tc>
          <w:tcPr>
            <w:tcW w:w="2562" w:type="dxa"/>
            <w:vAlign w:val="center"/>
          </w:tcPr>
          <w:p>
            <w:pPr>
              <w:keepNext w:val="0"/>
              <w:keepLines w:val="0"/>
              <w:pageBreakBefore w:val="0"/>
              <w:widowControl w:val="0"/>
              <w:kinsoku/>
              <w:wordWrap/>
              <w:overflowPunct w:val="0"/>
              <w:topLinePunct w:val="0"/>
              <w:autoSpaceDE/>
              <w:autoSpaceDN/>
              <w:bidi w:val="0"/>
              <w:adjustRightInd w:val="0"/>
              <w:snapToGrid w:val="0"/>
              <w:spacing w:after="0" w:line="320" w:lineRule="exact"/>
              <w:jc w:val="left"/>
              <w:textAlignment w:val="auto"/>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color w:val="auto"/>
                <w:kern w:val="2"/>
                <w:sz w:val="24"/>
                <w:szCs w:val="24"/>
                <w:highlight w:val="none"/>
                <w:vertAlign w:val="baseline"/>
                <w:lang w:val="en-US" w:eastAsia="zh-CN" w:bidi="ar-SA"/>
              </w:rPr>
              <w:t>毕业论文的选题必须涉及国际经济和贸易活动方面的理论和现实问题，原则上不应超出本专业的选题范围。通过毕业论文的撰写，培养学生的科学研究能力、增加对国际经济活动的感性认识、了解本领域的研究动态和理论发展前沿、加深对国际经济与贸易专业课基本概念和基本理论的理解、锻炼学生的综合分析能力和写作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80" w:type="dxa"/>
            <w:left w:w="128" w:type="dxa"/>
            <w:bottom w:w="80" w:type="dxa"/>
            <w:right w:w="128" w:type="dxa"/>
          </w:tblCellMar>
        </w:tblPrEx>
        <w:trPr>
          <w:trHeight w:val="0" w:hRule="atLeast"/>
          <w:jc w:val="center"/>
        </w:trPr>
        <w:tc>
          <w:tcPr>
            <w:tcW w:w="856" w:type="dxa"/>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color w:val="auto"/>
                <w:sz w:val="24"/>
                <w:szCs w:val="24"/>
                <w:highlight w:val="none"/>
                <w:lang w:val="en-US" w:eastAsia="zh-CN"/>
              </w:rPr>
              <w:t>2</w:t>
            </w:r>
          </w:p>
        </w:tc>
        <w:tc>
          <w:tcPr>
            <w:tcW w:w="972" w:type="dxa"/>
            <w:vAlign w:val="center"/>
          </w:tcPr>
          <w:p>
            <w:pPr>
              <w:overflowPunct w:val="0"/>
              <w:adjustRightInd w:val="0"/>
              <w:snapToGrid w:val="0"/>
              <w:spacing w:line="300" w:lineRule="auto"/>
              <w:jc w:val="center"/>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kern w:val="2"/>
                <w:sz w:val="24"/>
                <w:szCs w:val="24"/>
                <w:highlight w:val="none"/>
                <w:vertAlign w:val="baseline"/>
                <w:lang w:val="en-US" w:eastAsia="zh-CN" w:bidi="ar-SA"/>
              </w:rPr>
              <w:t>岗位实习</w:t>
            </w:r>
          </w:p>
        </w:tc>
        <w:tc>
          <w:tcPr>
            <w:tcW w:w="3716" w:type="dxa"/>
            <w:vAlign w:val="center"/>
          </w:tcPr>
          <w:p>
            <w:pPr>
              <w:keepNext w:val="0"/>
              <w:keepLines w:val="0"/>
              <w:pageBreakBefore w:val="0"/>
              <w:widowControl w:val="0"/>
              <w:kinsoku/>
              <w:wordWrap/>
              <w:overflowPunct w:val="0"/>
              <w:topLinePunct w:val="0"/>
              <w:autoSpaceDE/>
              <w:autoSpaceDN/>
              <w:bidi w:val="0"/>
              <w:adjustRightInd w:val="0"/>
              <w:snapToGrid w:val="0"/>
              <w:spacing w:after="0" w:line="320" w:lineRule="exact"/>
              <w:jc w:val="left"/>
              <w:textAlignment w:val="auto"/>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b/>
                <w:bCs/>
                <w:color w:val="auto"/>
                <w:kern w:val="2"/>
                <w:sz w:val="24"/>
                <w:szCs w:val="24"/>
                <w:highlight w:val="none"/>
                <w:vertAlign w:val="baseline"/>
                <w:lang w:val="en-US" w:eastAsia="zh-CN" w:bidi="ar-SA"/>
              </w:rPr>
              <w:t>知识目标：</w:t>
            </w:r>
            <w:r>
              <w:rPr>
                <w:rFonts w:hint="eastAsia" w:ascii="仿宋_GB2312" w:hAnsi="仿宋_GB2312" w:eastAsia="仿宋_GB2312" w:cs="仿宋_GB2312"/>
                <w:color w:val="auto"/>
                <w:kern w:val="2"/>
                <w:sz w:val="24"/>
                <w:szCs w:val="24"/>
                <w:highlight w:val="none"/>
                <w:vertAlign w:val="baseline"/>
                <w:lang w:val="en-US" w:eastAsia="zh-CN" w:bidi="ar-SA"/>
              </w:rPr>
              <w:t>掌握外贸单证处理、跟单流程、业务拓展、跨境电商运营及推广的核心知识，明晰各岗位业务标准与行业规范，理解社会对本专业人才的知识需求。</w:t>
            </w:r>
          </w:p>
          <w:p>
            <w:pPr>
              <w:keepNext w:val="0"/>
              <w:keepLines w:val="0"/>
              <w:pageBreakBefore w:val="0"/>
              <w:widowControl w:val="0"/>
              <w:kinsoku/>
              <w:wordWrap/>
              <w:overflowPunct w:val="0"/>
              <w:topLinePunct w:val="0"/>
              <w:autoSpaceDE/>
              <w:autoSpaceDN/>
              <w:bidi w:val="0"/>
              <w:adjustRightInd w:val="0"/>
              <w:snapToGrid w:val="0"/>
              <w:spacing w:after="0" w:line="320" w:lineRule="exact"/>
              <w:jc w:val="left"/>
              <w:textAlignment w:val="auto"/>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b/>
                <w:bCs/>
                <w:color w:val="auto"/>
                <w:kern w:val="2"/>
                <w:sz w:val="24"/>
                <w:szCs w:val="24"/>
                <w:highlight w:val="none"/>
                <w:vertAlign w:val="baseline"/>
                <w:lang w:val="en-US" w:eastAsia="zh-CN" w:bidi="ar-SA"/>
              </w:rPr>
              <w:t>能力目标：</w:t>
            </w:r>
            <w:r>
              <w:rPr>
                <w:rFonts w:hint="eastAsia" w:ascii="仿宋_GB2312" w:hAnsi="仿宋_GB2312" w:eastAsia="仿宋_GB2312" w:cs="仿宋_GB2312"/>
                <w:color w:val="auto"/>
                <w:kern w:val="2"/>
                <w:sz w:val="24"/>
                <w:szCs w:val="24"/>
                <w:highlight w:val="none"/>
                <w:vertAlign w:val="baseline"/>
                <w:lang w:val="en-US" w:eastAsia="zh-CN" w:bidi="ar-SA"/>
              </w:rPr>
              <w:t>提升外贸单证制作、订单跟进、客户开发、跨境电商平台操作及运营推广的实际操作能力，增强专业应用与岗位适应能力，强化动手与创新能力。</w:t>
            </w:r>
          </w:p>
          <w:p>
            <w:pPr>
              <w:keepNext w:val="0"/>
              <w:keepLines w:val="0"/>
              <w:pageBreakBefore w:val="0"/>
              <w:widowControl w:val="0"/>
              <w:kinsoku/>
              <w:wordWrap/>
              <w:overflowPunct w:val="0"/>
              <w:topLinePunct w:val="0"/>
              <w:autoSpaceDE/>
              <w:autoSpaceDN/>
              <w:bidi w:val="0"/>
              <w:adjustRightInd w:val="0"/>
              <w:snapToGrid w:val="0"/>
              <w:spacing w:after="0" w:line="320" w:lineRule="exact"/>
              <w:jc w:val="left"/>
              <w:textAlignment w:val="auto"/>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b/>
                <w:bCs/>
                <w:color w:val="auto"/>
                <w:kern w:val="2"/>
                <w:sz w:val="24"/>
                <w:szCs w:val="24"/>
                <w:highlight w:val="none"/>
                <w:vertAlign w:val="baseline"/>
                <w:lang w:val="en-US" w:eastAsia="zh-CN" w:bidi="ar-SA"/>
              </w:rPr>
              <w:t>素质目标</w:t>
            </w:r>
            <w:r>
              <w:rPr>
                <w:rFonts w:hint="eastAsia" w:ascii="仿宋_GB2312" w:hAnsi="仿宋_GB2312" w:eastAsia="仿宋_GB2312" w:cs="仿宋_GB2312"/>
                <w:color w:val="auto"/>
                <w:kern w:val="2"/>
                <w:sz w:val="24"/>
                <w:szCs w:val="24"/>
                <w:highlight w:val="none"/>
                <w:vertAlign w:val="baseline"/>
                <w:lang w:val="en-US" w:eastAsia="zh-CN" w:bidi="ar-SA"/>
              </w:rPr>
              <w:t>：培养吃苦耐劳、团结合作的精神品质，树立正确处事原则，明确自我提升方向，具备适应外贸行业发展的职业素养。</w:t>
            </w:r>
          </w:p>
          <w:p>
            <w:pPr>
              <w:keepNext w:val="0"/>
              <w:keepLines w:val="0"/>
              <w:pageBreakBefore w:val="0"/>
              <w:widowControl w:val="0"/>
              <w:kinsoku/>
              <w:wordWrap/>
              <w:overflowPunct w:val="0"/>
              <w:topLinePunct w:val="0"/>
              <w:autoSpaceDE/>
              <w:autoSpaceDN/>
              <w:bidi w:val="0"/>
              <w:adjustRightInd w:val="0"/>
              <w:snapToGrid w:val="0"/>
              <w:spacing w:after="0" w:line="320" w:lineRule="exact"/>
              <w:jc w:val="left"/>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b/>
                <w:bCs/>
                <w:color w:val="auto"/>
                <w:kern w:val="2"/>
                <w:sz w:val="24"/>
                <w:szCs w:val="24"/>
                <w:highlight w:val="none"/>
                <w:vertAlign w:val="baseline"/>
                <w:lang w:val="en-US" w:eastAsia="zh-CN" w:bidi="ar-SA"/>
              </w:rPr>
              <w:t>课程思政育人目标</w:t>
            </w:r>
            <w:r>
              <w:rPr>
                <w:rFonts w:hint="eastAsia" w:ascii="仿宋_GB2312" w:hAnsi="仿宋_GB2312" w:eastAsia="仿宋_GB2312" w:cs="仿宋_GB2312"/>
                <w:color w:val="auto"/>
                <w:kern w:val="2"/>
                <w:sz w:val="24"/>
                <w:szCs w:val="24"/>
                <w:highlight w:val="none"/>
                <w:vertAlign w:val="baseline"/>
                <w:lang w:val="en-US" w:eastAsia="zh-CN" w:bidi="ar-SA"/>
              </w:rPr>
              <w:t>：引导学生树立诚信经营、合规从业的职业观，增强行业责任感与社会使命感，助力学生以专业能力服务外贸事业，实现个人价值与行业发展同频</w:t>
            </w:r>
            <w:r>
              <w:rPr>
                <w:rFonts w:hint="eastAsia" w:ascii="仿宋_GB2312" w:hAnsi="仿宋_GB2312" w:eastAsia="仿宋_GB2312" w:cs="仿宋_GB2312"/>
                <w:color w:val="auto"/>
                <w:sz w:val="24"/>
                <w:highlight w:val="none"/>
              </w:rPr>
              <w:t>。</w:t>
            </w:r>
          </w:p>
        </w:tc>
        <w:tc>
          <w:tcPr>
            <w:tcW w:w="2800" w:type="dxa"/>
            <w:vAlign w:val="center"/>
          </w:tcPr>
          <w:p>
            <w:pPr>
              <w:keepNext w:val="0"/>
              <w:keepLines w:val="0"/>
              <w:pageBreakBefore w:val="0"/>
              <w:widowControl w:val="0"/>
              <w:kinsoku/>
              <w:wordWrap/>
              <w:overflowPunct w:val="0"/>
              <w:topLinePunct w:val="0"/>
              <w:autoSpaceDE/>
              <w:autoSpaceDN/>
              <w:bidi w:val="0"/>
              <w:adjustRightInd w:val="0"/>
              <w:snapToGrid w:val="0"/>
              <w:spacing w:after="0" w:line="320" w:lineRule="exact"/>
              <w:jc w:val="left"/>
              <w:textAlignment w:val="auto"/>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color w:val="auto"/>
                <w:kern w:val="2"/>
                <w:sz w:val="24"/>
                <w:szCs w:val="24"/>
                <w:highlight w:val="none"/>
                <w:vertAlign w:val="baseline"/>
                <w:lang w:val="en-US" w:eastAsia="zh-CN" w:bidi="ar-SA"/>
              </w:rPr>
              <w:t>外贸单证员岗位实习、外贸跟单员岗位实习、外贸业务员岗位实习、跨境电子商务岗位实习、运营推广员岗位实习。</w:t>
            </w:r>
          </w:p>
        </w:tc>
        <w:tc>
          <w:tcPr>
            <w:tcW w:w="2562" w:type="dxa"/>
            <w:vAlign w:val="center"/>
          </w:tcPr>
          <w:p>
            <w:pPr>
              <w:keepNext w:val="0"/>
              <w:keepLines w:val="0"/>
              <w:pageBreakBefore w:val="0"/>
              <w:widowControl w:val="0"/>
              <w:kinsoku/>
              <w:wordWrap/>
              <w:overflowPunct w:val="0"/>
              <w:topLinePunct w:val="0"/>
              <w:autoSpaceDE/>
              <w:autoSpaceDN/>
              <w:bidi w:val="0"/>
              <w:adjustRightInd w:val="0"/>
              <w:snapToGrid w:val="0"/>
              <w:spacing w:after="0" w:line="320" w:lineRule="exact"/>
              <w:jc w:val="left"/>
              <w:textAlignment w:val="auto"/>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color w:val="auto"/>
                <w:kern w:val="2"/>
                <w:sz w:val="24"/>
                <w:szCs w:val="24"/>
                <w:highlight w:val="none"/>
                <w:vertAlign w:val="baseline"/>
                <w:lang w:val="en-US" w:eastAsia="zh-CN" w:bidi="ar-SA"/>
              </w:rPr>
              <w:t>实习课程不仅注重学生专业技能的培养，还强调创新能力的培养。通过实习，学生可以明晰社会对本专业人才的需要，明确提升知识与技能的努力方向，强化认识能力、动手能力、创新能力，为今后的工作打下坚实的基础。‌</w:t>
            </w:r>
          </w:p>
        </w:tc>
      </w:tr>
      <w:bookmarkEnd w:id="5"/>
    </w:tbl>
    <w:p>
      <w:pPr>
        <w:keepNext w:val="0"/>
        <w:keepLines w:val="0"/>
        <w:pageBreakBefore w:val="0"/>
        <w:widowControl w:val="0"/>
        <w:kinsoku/>
        <w:wordWrap/>
        <w:topLinePunct w:val="0"/>
        <w:autoSpaceDE/>
        <w:autoSpaceDN/>
        <w:bidi w:val="0"/>
        <w:snapToGrid/>
        <w:spacing w:after="0" w:line="520" w:lineRule="exact"/>
        <w:ind w:firstLine="640" w:firstLineChars="200"/>
        <w:textAlignment w:val="auto"/>
        <w:rPr>
          <w:rFonts w:hint="eastAsia" w:ascii="楷体" w:hAnsi="楷体" w:eastAsia="楷体" w:cs="楷体"/>
          <w:color w:val="auto"/>
          <w:sz w:val="32"/>
          <w:szCs w:val="32"/>
          <w:highlight w:val="none"/>
        </w:rPr>
      </w:pPr>
      <w:r>
        <w:rPr>
          <w:rFonts w:hint="eastAsia" w:ascii="楷体" w:hAnsi="楷体" w:eastAsia="楷体" w:cs="楷体"/>
          <w:color w:val="auto"/>
          <w:sz w:val="32"/>
          <w:szCs w:val="32"/>
          <w:highlight w:val="none"/>
        </w:rPr>
        <w:t>（三）第二课堂</w:t>
      </w:r>
      <w:r>
        <w:rPr>
          <w:rFonts w:hint="eastAsia" w:ascii="楷体" w:hAnsi="楷体" w:eastAsia="楷体" w:cs="楷体"/>
          <w:color w:val="auto"/>
          <w:sz w:val="32"/>
          <w:szCs w:val="32"/>
          <w:highlight w:val="none"/>
          <w:lang w:val="en-US" w:eastAsia="zh-CN"/>
        </w:rPr>
        <w:t>素质教育课</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第二课堂</w:t>
      </w:r>
      <w:r>
        <w:rPr>
          <w:rFonts w:hint="eastAsia" w:ascii="仿宋_GB2312" w:hAnsi="仿宋_GB2312" w:eastAsia="仿宋_GB2312" w:cs="仿宋_GB2312"/>
          <w:color w:val="auto"/>
          <w:sz w:val="32"/>
          <w:szCs w:val="32"/>
          <w:highlight w:val="none"/>
          <w:lang w:val="en-US" w:eastAsia="zh-CN"/>
        </w:rPr>
        <w:t>素质教育课</w:t>
      </w:r>
      <w:r>
        <w:rPr>
          <w:rFonts w:hint="eastAsia" w:ascii="仿宋_GB2312" w:hAnsi="仿宋_GB2312" w:eastAsia="仿宋_GB2312" w:cs="仿宋_GB2312"/>
          <w:color w:val="auto"/>
          <w:sz w:val="32"/>
          <w:szCs w:val="32"/>
          <w:highlight w:val="none"/>
        </w:rPr>
        <w:t>包括思想成长、</w:t>
      </w:r>
      <w:r>
        <w:rPr>
          <w:rFonts w:hint="eastAsia" w:ascii="仿宋_GB2312" w:hAnsi="仿宋_GB2312" w:eastAsia="仿宋_GB2312" w:cs="仿宋_GB2312"/>
          <w:color w:val="auto"/>
          <w:sz w:val="32"/>
          <w:szCs w:val="32"/>
          <w:highlight w:val="none"/>
          <w:lang w:val="en-US" w:eastAsia="zh-CN"/>
        </w:rPr>
        <w:t>实践实习</w:t>
      </w:r>
      <w:r>
        <w:rPr>
          <w:rFonts w:hint="eastAsia" w:ascii="仿宋_GB2312" w:hAnsi="仿宋_GB2312" w:eastAsia="仿宋_GB2312" w:cs="仿宋_GB2312"/>
          <w:color w:val="auto"/>
          <w:sz w:val="32"/>
          <w:szCs w:val="32"/>
          <w:highlight w:val="none"/>
        </w:rPr>
        <w:t>、创新创业、</w:t>
      </w:r>
      <w:r>
        <w:rPr>
          <w:rFonts w:hint="eastAsia" w:ascii="仿宋_GB2312" w:hAnsi="仿宋_GB2312" w:eastAsia="仿宋_GB2312" w:cs="仿宋_GB2312"/>
          <w:color w:val="auto"/>
          <w:sz w:val="32"/>
          <w:szCs w:val="32"/>
          <w:highlight w:val="none"/>
          <w:lang w:val="en-US" w:eastAsia="zh-CN"/>
        </w:rPr>
        <w:t>志愿公益、</w:t>
      </w:r>
      <w:r>
        <w:rPr>
          <w:rFonts w:hint="eastAsia" w:ascii="仿宋_GB2312" w:hAnsi="仿宋_GB2312" w:eastAsia="仿宋_GB2312" w:cs="仿宋_GB2312"/>
          <w:color w:val="auto"/>
          <w:sz w:val="32"/>
          <w:szCs w:val="32"/>
          <w:highlight w:val="none"/>
        </w:rPr>
        <w:t>文体</w:t>
      </w:r>
      <w:r>
        <w:rPr>
          <w:rFonts w:hint="eastAsia" w:ascii="仿宋_GB2312" w:hAnsi="仿宋_GB2312" w:eastAsia="仿宋_GB2312" w:cs="仿宋_GB2312"/>
          <w:color w:val="auto"/>
          <w:sz w:val="32"/>
          <w:szCs w:val="32"/>
          <w:highlight w:val="none"/>
          <w:lang w:val="en-US" w:eastAsia="zh-CN"/>
        </w:rPr>
        <w:t>活动</w:t>
      </w:r>
      <w:r>
        <w:rPr>
          <w:rFonts w:hint="eastAsia" w:ascii="仿宋_GB2312" w:hAnsi="仿宋_GB2312" w:eastAsia="仿宋_GB2312" w:cs="仿宋_GB2312"/>
          <w:color w:val="auto"/>
          <w:sz w:val="32"/>
          <w:szCs w:val="32"/>
          <w:highlight w:val="none"/>
        </w:rPr>
        <w:t>、工作履历</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专业技能特长等其他各类课程及活动。</w:t>
      </w:r>
    </w:p>
    <w:p>
      <w:pPr>
        <w:keepNext w:val="0"/>
        <w:keepLines w:val="0"/>
        <w:pageBreakBefore w:val="0"/>
        <w:widowControl w:val="0"/>
        <w:kinsoku/>
        <w:wordWrap/>
        <w:overflowPunct w:val="0"/>
        <w:topLinePunct w:val="0"/>
        <w:autoSpaceDE/>
        <w:autoSpaceDN/>
        <w:bidi w:val="0"/>
        <w:adjustRightInd w:val="0"/>
        <w:snapToGrid/>
        <w:spacing w:after="0" w:line="520" w:lineRule="exact"/>
        <w:jc w:val="center"/>
        <w:textAlignment w:val="auto"/>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rPr>
        <w:t>表</w:t>
      </w:r>
      <w:r>
        <w:rPr>
          <w:rFonts w:hint="eastAsia" w:ascii="仿宋_GB2312" w:hAnsi="仿宋_GB2312" w:eastAsia="仿宋_GB2312" w:cs="仿宋_GB2312"/>
          <w:color w:val="auto"/>
          <w:sz w:val="32"/>
          <w:szCs w:val="32"/>
          <w:highlight w:val="none"/>
          <w:lang w:val="en-US" w:eastAsia="zh-CN"/>
        </w:rPr>
        <w:t>7</w:t>
      </w:r>
      <w:r>
        <w:rPr>
          <w:rFonts w:hint="eastAsia" w:ascii="仿宋_GB2312" w:hAnsi="仿宋_GB2312" w:eastAsia="仿宋_GB2312" w:cs="仿宋_GB2312"/>
          <w:color w:val="auto"/>
          <w:sz w:val="32"/>
          <w:szCs w:val="32"/>
          <w:highlight w:val="none"/>
        </w:rPr>
        <w:t xml:space="preserve"> </w:t>
      </w:r>
      <w:r>
        <w:rPr>
          <w:rFonts w:hint="eastAsia" w:ascii="仿宋_GB2312" w:hAnsi="仿宋_GB2312" w:eastAsia="仿宋_GB2312" w:cs="仿宋_GB2312"/>
          <w:color w:val="auto"/>
          <w:sz w:val="32"/>
          <w:szCs w:val="32"/>
          <w:highlight w:val="none"/>
          <w:lang w:val="en-US" w:eastAsia="zh-CN"/>
        </w:rPr>
        <w:t>第二课堂素质教育课安排表</w:t>
      </w:r>
    </w:p>
    <w:tbl>
      <w:tblPr>
        <w:tblStyle w:val="8"/>
        <w:tblW w:w="1024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5"/>
        <w:gridCol w:w="3573"/>
        <w:gridCol w:w="880"/>
        <w:gridCol w:w="1013"/>
        <w:gridCol w:w="1040"/>
        <w:gridCol w:w="1236"/>
        <w:gridCol w:w="12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65" w:type="dxa"/>
            <w:vAlign w:val="center"/>
          </w:tcPr>
          <w:p>
            <w:pPr>
              <w:overflowPunct w:val="0"/>
              <w:adjustRightInd w:val="0"/>
              <w:spacing w:line="360" w:lineRule="exact"/>
              <w:jc w:val="center"/>
              <w:rPr>
                <w:rFonts w:hint="eastAsia" w:ascii="仿宋_GB2312" w:hAnsi="仿宋_GB2312" w:eastAsia="仿宋_GB2312" w:cs="仿宋_GB2312"/>
                <w:color w:val="auto"/>
                <w:sz w:val="24"/>
                <w:highlight w:val="none"/>
                <w:lang w:eastAsia="zh-CN"/>
              </w:rPr>
            </w:pPr>
            <w:r>
              <w:rPr>
                <w:rFonts w:hint="eastAsia" w:ascii="仿宋_GB2312" w:hAnsi="仿宋_GB2312" w:eastAsia="仿宋_GB2312" w:cs="仿宋_GB2312"/>
                <w:color w:val="auto"/>
                <w:sz w:val="24"/>
                <w:highlight w:val="none"/>
                <w:lang w:val="en-US" w:eastAsia="zh-CN"/>
              </w:rPr>
              <w:t>模块</w:t>
            </w:r>
          </w:p>
        </w:tc>
        <w:tc>
          <w:tcPr>
            <w:tcW w:w="3573" w:type="dxa"/>
            <w:vAlign w:val="center"/>
          </w:tcPr>
          <w:p>
            <w:pPr>
              <w:spacing w:line="360" w:lineRule="exact"/>
              <w:jc w:val="center"/>
              <w:rPr>
                <w:rFonts w:hint="eastAsia" w:ascii="仿宋_GB2312" w:hAnsi="仿宋_GB2312" w:eastAsia="仿宋_GB2312" w:cs="仿宋_GB2312"/>
                <w:color w:val="auto"/>
                <w:sz w:val="24"/>
                <w:highlight w:val="none"/>
                <w:lang w:eastAsia="zh-CN"/>
              </w:rPr>
            </w:pPr>
            <w:r>
              <w:rPr>
                <w:rFonts w:hint="eastAsia" w:ascii="仿宋_GB2312" w:hAnsi="仿宋_GB2312" w:eastAsia="仿宋_GB2312" w:cs="仿宋_GB2312"/>
                <w:color w:val="auto"/>
                <w:sz w:val="24"/>
                <w:szCs w:val="24"/>
                <w:highlight w:val="none"/>
                <w:lang w:val="en-US" w:eastAsia="zh-CN"/>
              </w:rPr>
              <w:t>内容</w:t>
            </w:r>
          </w:p>
        </w:tc>
        <w:tc>
          <w:tcPr>
            <w:tcW w:w="880" w:type="dxa"/>
            <w:vAlign w:val="center"/>
          </w:tcPr>
          <w:p>
            <w:pPr>
              <w:spacing w:line="360" w:lineRule="exact"/>
              <w:jc w:val="center"/>
              <w:rPr>
                <w:rFonts w:hint="default"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性质</w:t>
            </w:r>
          </w:p>
        </w:tc>
        <w:tc>
          <w:tcPr>
            <w:tcW w:w="1013" w:type="dxa"/>
            <w:vAlign w:val="center"/>
          </w:tcPr>
          <w:p>
            <w:pPr>
              <w:spacing w:line="360" w:lineRule="exact"/>
              <w:jc w:val="center"/>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组织者</w:t>
            </w:r>
          </w:p>
        </w:tc>
        <w:tc>
          <w:tcPr>
            <w:tcW w:w="1040" w:type="dxa"/>
            <w:vAlign w:val="center"/>
          </w:tcPr>
          <w:p>
            <w:pPr>
              <w:spacing w:line="360" w:lineRule="exact"/>
              <w:jc w:val="center"/>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认定者</w:t>
            </w:r>
          </w:p>
        </w:tc>
        <w:tc>
          <w:tcPr>
            <w:tcW w:w="1236" w:type="dxa"/>
            <w:vAlign w:val="center"/>
          </w:tcPr>
          <w:p>
            <w:pPr>
              <w:spacing w:line="360" w:lineRule="exact"/>
              <w:jc w:val="center"/>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计分标准</w:t>
            </w:r>
          </w:p>
        </w:tc>
        <w:tc>
          <w:tcPr>
            <w:tcW w:w="1236" w:type="dxa"/>
            <w:vAlign w:val="center"/>
          </w:tcPr>
          <w:p>
            <w:pPr>
              <w:spacing w:line="360" w:lineRule="exact"/>
              <w:jc w:val="center"/>
              <w:rPr>
                <w:rFonts w:hint="default"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3" w:hRule="atLeast"/>
          <w:jc w:val="center"/>
        </w:trPr>
        <w:tc>
          <w:tcPr>
            <w:tcW w:w="1265"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思想成长</w:t>
            </w:r>
          </w:p>
        </w:tc>
        <w:tc>
          <w:tcPr>
            <w:tcW w:w="3573" w:type="dxa"/>
            <w:vAlign w:val="center"/>
          </w:tcPr>
          <w:p>
            <w:pPr>
              <w:keepNext w:val="0"/>
              <w:keepLines w:val="0"/>
              <w:pageBreakBefore w:val="0"/>
              <w:widowControl w:val="0"/>
              <w:numPr>
                <w:ilvl w:val="0"/>
                <w:numId w:val="0"/>
              </w:numPr>
              <w:kinsoku/>
              <w:wordWrap/>
              <w:topLinePunct w:val="0"/>
              <w:autoSpaceDE/>
              <w:autoSpaceDN/>
              <w:bidi w:val="0"/>
              <w:snapToGrid/>
              <w:spacing w:after="0" w:line="240" w:lineRule="atLeast"/>
              <w:jc w:val="left"/>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val="0"/>
                <w:bCs w:val="0"/>
                <w:color w:val="auto"/>
                <w:sz w:val="24"/>
                <w:szCs w:val="24"/>
                <w:highlight w:val="none"/>
                <w:lang w:val="en-US" w:eastAsia="zh-CN"/>
              </w:rPr>
              <w:t>1.思想政治教育</w:t>
            </w:r>
            <w:r>
              <w:rPr>
                <w:rFonts w:hint="eastAsia" w:ascii="仿宋_GB2312" w:hAnsi="仿宋_GB2312" w:eastAsia="仿宋_GB2312" w:cs="仿宋_GB2312"/>
                <w:b w:val="0"/>
                <w:bCs w:val="0"/>
                <w:color w:val="auto"/>
                <w:sz w:val="24"/>
                <w:szCs w:val="24"/>
                <w:highlight w:val="none"/>
              </w:rPr>
              <w:t>主题</w:t>
            </w:r>
            <w:r>
              <w:rPr>
                <w:rFonts w:hint="eastAsia" w:ascii="仿宋_GB2312" w:hAnsi="仿宋_GB2312" w:eastAsia="仿宋_GB2312" w:cs="仿宋_GB2312"/>
                <w:b w:val="0"/>
                <w:bCs w:val="0"/>
                <w:color w:val="auto"/>
                <w:sz w:val="24"/>
                <w:szCs w:val="24"/>
                <w:highlight w:val="none"/>
                <w:lang w:val="en-US" w:eastAsia="zh-CN"/>
              </w:rPr>
              <w:t>讲</w:t>
            </w:r>
            <w:r>
              <w:rPr>
                <w:rFonts w:hint="eastAsia" w:ascii="仿宋_GB2312" w:hAnsi="仿宋_GB2312" w:eastAsia="仿宋_GB2312" w:cs="仿宋_GB2312"/>
                <w:b w:val="0"/>
                <w:bCs w:val="0"/>
                <w:color w:val="auto"/>
                <w:sz w:val="24"/>
                <w:szCs w:val="24"/>
                <w:highlight w:val="none"/>
              </w:rPr>
              <w:t>座、形势与政策报告会</w:t>
            </w:r>
          </w:p>
          <w:p>
            <w:pPr>
              <w:keepNext w:val="0"/>
              <w:keepLines w:val="0"/>
              <w:pageBreakBefore w:val="0"/>
              <w:widowControl w:val="0"/>
              <w:numPr>
                <w:ilvl w:val="0"/>
                <w:numId w:val="0"/>
              </w:numPr>
              <w:kinsoku/>
              <w:wordWrap/>
              <w:topLinePunct w:val="0"/>
              <w:autoSpaceDE/>
              <w:autoSpaceDN/>
              <w:bidi w:val="0"/>
              <w:snapToGrid/>
              <w:spacing w:after="0" w:line="240" w:lineRule="atLeast"/>
              <w:jc w:val="left"/>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val="0"/>
                <w:bCs w:val="0"/>
                <w:color w:val="auto"/>
                <w:sz w:val="24"/>
                <w:szCs w:val="24"/>
                <w:highlight w:val="none"/>
                <w:lang w:val="en-US" w:eastAsia="zh-CN"/>
              </w:rPr>
              <w:t>2.</w:t>
            </w:r>
            <w:r>
              <w:rPr>
                <w:rFonts w:hint="eastAsia" w:ascii="仿宋_GB2312" w:hAnsi="仿宋_GB2312" w:eastAsia="仿宋_GB2312" w:cs="仿宋_GB2312"/>
                <w:b w:val="0"/>
                <w:bCs w:val="0"/>
                <w:color w:val="auto"/>
                <w:sz w:val="24"/>
                <w:szCs w:val="24"/>
                <w:highlight w:val="none"/>
              </w:rPr>
              <w:t>爱国主义教育活动</w:t>
            </w:r>
          </w:p>
          <w:p>
            <w:pPr>
              <w:keepNext w:val="0"/>
              <w:keepLines w:val="0"/>
              <w:pageBreakBefore w:val="0"/>
              <w:widowControl w:val="0"/>
              <w:numPr>
                <w:ilvl w:val="0"/>
                <w:numId w:val="0"/>
              </w:numPr>
              <w:kinsoku/>
              <w:wordWrap/>
              <w:topLinePunct w:val="0"/>
              <w:autoSpaceDE/>
              <w:autoSpaceDN/>
              <w:bidi w:val="0"/>
              <w:snapToGrid/>
              <w:spacing w:after="0" w:line="240" w:lineRule="atLeast"/>
              <w:ind w:leftChars="0"/>
              <w:jc w:val="left"/>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val="0"/>
                <w:bCs w:val="0"/>
                <w:color w:val="auto"/>
                <w:sz w:val="24"/>
                <w:szCs w:val="24"/>
                <w:highlight w:val="none"/>
                <w:lang w:val="en-US" w:eastAsia="zh-CN"/>
              </w:rPr>
              <w:t>3.</w:t>
            </w:r>
            <w:r>
              <w:rPr>
                <w:rFonts w:hint="eastAsia" w:ascii="仿宋_GB2312" w:hAnsi="仿宋_GB2312" w:eastAsia="仿宋_GB2312" w:cs="仿宋_GB2312"/>
                <w:b w:val="0"/>
                <w:bCs w:val="0"/>
                <w:color w:val="auto"/>
                <w:sz w:val="24"/>
                <w:szCs w:val="24"/>
                <w:highlight w:val="none"/>
              </w:rPr>
              <w:t>党团组织生活</w:t>
            </w:r>
          </w:p>
          <w:p>
            <w:pPr>
              <w:keepNext w:val="0"/>
              <w:keepLines w:val="0"/>
              <w:pageBreakBefore w:val="0"/>
              <w:widowControl w:val="0"/>
              <w:numPr>
                <w:ilvl w:val="0"/>
                <w:numId w:val="0"/>
              </w:numPr>
              <w:kinsoku/>
              <w:wordWrap/>
              <w:topLinePunct w:val="0"/>
              <w:autoSpaceDE/>
              <w:autoSpaceDN/>
              <w:bidi w:val="0"/>
              <w:snapToGrid/>
              <w:spacing w:after="0" w:line="240" w:lineRule="atLeast"/>
              <w:ind w:leftChars="0"/>
              <w:jc w:val="left"/>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val="0"/>
                <w:bCs w:val="0"/>
                <w:color w:val="auto"/>
                <w:sz w:val="24"/>
                <w:szCs w:val="24"/>
                <w:highlight w:val="none"/>
                <w:lang w:val="en-US" w:eastAsia="zh-CN"/>
              </w:rPr>
              <w:t>4.</w:t>
            </w:r>
            <w:r>
              <w:rPr>
                <w:rFonts w:hint="eastAsia" w:ascii="仿宋_GB2312" w:hAnsi="仿宋_GB2312" w:eastAsia="仿宋_GB2312" w:cs="仿宋_GB2312"/>
                <w:b w:val="0"/>
                <w:bCs w:val="0"/>
                <w:color w:val="auto"/>
                <w:sz w:val="24"/>
                <w:szCs w:val="24"/>
                <w:highlight w:val="none"/>
              </w:rPr>
              <w:t xml:space="preserve">党团培训 </w:t>
            </w:r>
          </w:p>
          <w:p>
            <w:pPr>
              <w:keepNext w:val="0"/>
              <w:keepLines w:val="0"/>
              <w:pageBreakBefore w:val="0"/>
              <w:widowControl w:val="0"/>
              <w:numPr>
                <w:ilvl w:val="0"/>
                <w:numId w:val="0"/>
              </w:numPr>
              <w:kinsoku/>
              <w:wordWrap/>
              <w:topLinePunct w:val="0"/>
              <w:autoSpaceDE/>
              <w:autoSpaceDN/>
              <w:bidi w:val="0"/>
              <w:snapToGrid/>
              <w:spacing w:after="0" w:line="240" w:lineRule="atLeast"/>
              <w:ind w:leftChars="0"/>
              <w:jc w:val="left"/>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val="0"/>
                <w:bCs w:val="0"/>
                <w:color w:val="auto"/>
                <w:sz w:val="24"/>
                <w:szCs w:val="24"/>
                <w:highlight w:val="none"/>
                <w:lang w:val="en-US" w:eastAsia="zh-CN"/>
              </w:rPr>
              <w:t>5.</w:t>
            </w:r>
            <w:r>
              <w:rPr>
                <w:rFonts w:hint="eastAsia" w:ascii="仿宋_GB2312" w:hAnsi="仿宋_GB2312" w:eastAsia="仿宋_GB2312" w:cs="仿宋_GB2312"/>
                <w:b w:val="0"/>
                <w:bCs w:val="0"/>
                <w:color w:val="auto"/>
                <w:sz w:val="24"/>
                <w:szCs w:val="24"/>
                <w:highlight w:val="none"/>
              </w:rPr>
              <w:t>青年大学习</w:t>
            </w:r>
          </w:p>
          <w:p>
            <w:pPr>
              <w:keepNext w:val="0"/>
              <w:keepLines w:val="0"/>
              <w:pageBreakBefore w:val="0"/>
              <w:widowControl w:val="0"/>
              <w:numPr>
                <w:ilvl w:val="0"/>
                <w:numId w:val="0"/>
              </w:numPr>
              <w:kinsoku/>
              <w:wordWrap/>
              <w:topLinePunct w:val="0"/>
              <w:autoSpaceDE/>
              <w:autoSpaceDN/>
              <w:bidi w:val="0"/>
              <w:snapToGrid/>
              <w:spacing w:after="0" w:line="240" w:lineRule="atLeast"/>
              <w:ind w:leftChars="0"/>
              <w:jc w:val="left"/>
              <w:textAlignment w:val="auto"/>
              <w:rPr>
                <w:rFonts w:hint="eastAsia" w:ascii="仿宋_GB2312" w:hAnsi="仿宋_GB2312" w:eastAsia="仿宋_GB2312" w:cs="仿宋_GB2312"/>
                <w:b w:val="0"/>
                <w:bCs w:val="0"/>
                <w:color w:val="auto"/>
                <w:sz w:val="24"/>
                <w:szCs w:val="24"/>
                <w:highlight w:val="none"/>
              </w:rPr>
            </w:pPr>
          </w:p>
        </w:tc>
        <w:tc>
          <w:tcPr>
            <w:tcW w:w="880"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自选</w:t>
            </w:r>
          </w:p>
        </w:tc>
        <w:tc>
          <w:tcPr>
            <w:tcW w:w="1013"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活动组 织单位</w:t>
            </w:r>
          </w:p>
        </w:tc>
        <w:tc>
          <w:tcPr>
            <w:tcW w:w="1040"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校团委</w:t>
            </w:r>
          </w:p>
        </w:tc>
        <w:tc>
          <w:tcPr>
            <w:tcW w:w="1236"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“第二课堂成绩单”活动各模块计分标准</w:t>
            </w:r>
          </w:p>
        </w:tc>
        <w:tc>
          <w:tcPr>
            <w:tcW w:w="1236" w:type="dxa"/>
            <w:vMerge w:val="restart"/>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val="0"/>
                <w:bCs w:val="0"/>
                <w:color w:val="auto"/>
                <w:sz w:val="24"/>
                <w:szCs w:val="24"/>
                <w:highlight w:val="none"/>
              </w:rPr>
              <w:t>第二课堂成绩</w:t>
            </w:r>
            <w:r>
              <w:rPr>
                <w:rFonts w:hint="eastAsia" w:ascii="仿宋_GB2312" w:hAnsi="仿宋_GB2312" w:eastAsia="仿宋_GB2312" w:cs="仿宋_GB2312"/>
                <w:b w:val="0"/>
                <w:bCs w:val="0"/>
                <w:color w:val="auto"/>
                <w:sz w:val="24"/>
                <w:szCs w:val="24"/>
                <w:highlight w:val="none"/>
                <w:lang w:val="en-US" w:eastAsia="zh-CN"/>
              </w:rPr>
              <w:t>由</w:t>
            </w:r>
            <w:r>
              <w:rPr>
                <w:rFonts w:hint="eastAsia" w:ascii="仿宋_GB2312" w:hAnsi="仿宋_GB2312" w:eastAsia="仿宋_GB2312" w:cs="仿宋_GB2312"/>
                <w:b w:val="0"/>
                <w:bCs w:val="0"/>
                <w:color w:val="auto"/>
                <w:sz w:val="24"/>
                <w:szCs w:val="24"/>
                <w:highlight w:val="none"/>
              </w:rPr>
              <w:t xml:space="preserve">网络管理系 统（到梦 空间）实 时记录，学生在大一、 </w:t>
            </w:r>
            <w:r>
              <w:rPr>
                <w:rFonts w:hint="eastAsia" w:ascii="仿宋_GB2312" w:hAnsi="仿宋_GB2312" w:eastAsia="仿宋_GB2312" w:cs="仿宋_GB2312"/>
                <w:b w:val="0"/>
                <w:bCs w:val="0"/>
                <w:color w:val="auto"/>
                <w:sz w:val="24"/>
                <w:szCs w:val="24"/>
                <w:highlight w:val="none"/>
                <w:lang w:val="en-US" w:eastAsia="zh-CN"/>
              </w:rPr>
              <w:t>大</w:t>
            </w:r>
            <w:r>
              <w:rPr>
                <w:rFonts w:hint="eastAsia" w:ascii="仿宋_GB2312" w:hAnsi="仿宋_GB2312" w:eastAsia="仿宋_GB2312" w:cs="仿宋_GB2312"/>
                <w:b w:val="0"/>
                <w:bCs w:val="0"/>
                <w:color w:val="auto"/>
                <w:sz w:val="24"/>
                <w:szCs w:val="24"/>
                <w:highlight w:val="none"/>
              </w:rPr>
              <w:t>二期间</w:t>
            </w:r>
            <w:r>
              <w:rPr>
                <w:rFonts w:hint="eastAsia" w:ascii="仿宋_GB2312" w:hAnsi="仿宋_GB2312" w:eastAsia="仿宋_GB2312" w:cs="仿宋_GB2312"/>
                <w:b w:val="0"/>
                <w:bCs w:val="0"/>
                <w:color w:val="auto"/>
                <w:sz w:val="24"/>
                <w:szCs w:val="24"/>
                <w:highlight w:val="none"/>
                <w:lang w:val="en-US" w:eastAsia="zh-CN"/>
              </w:rPr>
              <w:t>积分达60分及以上，可获4</w:t>
            </w:r>
            <w:r>
              <w:rPr>
                <w:rFonts w:hint="eastAsia" w:ascii="仿宋_GB2312" w:hAnsi="仿宋_GB2312" w:eastAsia="仿宋_GB2312" w:cs="仿宋_GB2312"/>
                <w:b w:val="0"/>
                <w:bCs w:val="0"/>
                <w:color w:val="auto"/>
                <w:sz w:val="24"/>
                <w:szCs w:val="24"/>
                <w:highlight w:val="none"/>
              </w:rPr>
              <w:t>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21" w:hRule="atLeast"/>
          <w:jc w:val="center"/>
        </w:trPr>
        <w:tc>
          <w:tcPr>
            <w:tcW w:w="1265"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rPr>
              <w:t>实践</w:t>
            </w:r>
            <w:r>
              <w:rPr>
                <w:rFonts w:hint="eastAsia" w:ascii="仿宋_GB2312" w:hAnsi="仿宋_GB2312" w:eastAsia="仿宋_GB2312" w:cs="仿宋_GB2312"/>
                <w:color w:val="auto"/>
                <w:sz w:val="24"/>
                <w:szCs w:val="24"/>
                <w:highlight w:val="none"/>
                <w:lang w:val="en-US" w:eastAsia="zh-CN"/>
              </w:rPr>
              <w:t>实习</w:t>
            </w:r>
          </w:p>
        </w:tc>
        <w:tc>
          <w:tcPr>
            <w:tcW w:w="3573" w:type="dxa"/>
            <w:vAlign w:val="center"/>
          </w:tcPr>
          <w:p>
            <w:pPr>
              <w:keepNext w:val="0"/>
              <w:keepLines w:val="0"/>
              <w:pageBreakBefore w:val="0"/>
              <w:widowControl w:val="0"/>
              <w:numPr>
                <w:ilvl w:val="0"/>
                <w:numId w:val="0"/>
              </w:numPr>
              <w:kinsoku/>
              <w:wordWrap/>
              <w:topLinePunct w:val="0"/>
              <w:autoSpaceDE/>
              <w:autoSpaceDN/>
              <w:bidi w:val="0"/>
              <w:snapToGrid/>
              <w:spacing w:after="0" w:line="240" w:lineRule="atLeast"/>
              <w:jc w:val="left"/>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val="0"/>
                <w:bCs w:val="0"/>
                <w:color w:val="auto"/>
                <w:sz w:val="24"/>
                <w:szCs w:val="24"/>
                <w:highlight w:val="none"/>
                <w:lang w:val="en-US" w:eastAsia="zh-CN"/>
              </w:rPr>
              <w:t>1.</w:t>
            </w:r>
            <w:r>
              <w:rPr>
                <w:rFonts w:hint="eastAsia" w:ascii="仿宋_GB2312" w:hAnsi="仿宋_GB2312" w:eastAsia="仿宋_GB2312" w:cs="仿宋_GB2312"/>
                <w:b w:val="0"/>
                <w:bCs w:val="0"/>
                <w:color w:val="auto"/>
                <w:sz w:val="24"/>
                <w:szCs w:val="24"/>
                <w:highlight w:val="none"/>
              </w:rPr>
              <w:t xml:space="preserve">暑期“三下乡”社会实践活动 </w:t>
            </w:r>
            <w:r>
              <w:rPr>
                <w:rFonts w:hint="eastAsia" w:ascii="仿宋_GB2312" w:hAnsi="仿宋_GB2312" w:eastAsia="仿宋_GB2312" w:cs="仿宋_GB2312"/>
                <w:b w:val="0"/>
                <w:bCs w:val="0"/>
                <w:color w:val="auto"/>
                <w:sz w:val="24"/>
                <w:szCs w:val="24"/>
                <w:highlight w:val="none"/>
                <w:lang w:val="en-US" w:eastAsia="zh-CN"/>
              </w:rPr>
              <w:t>2.</w:t>
            </w:r>
            <w:r>
              <w:rPr>
                <w:rFonts w:hint="eastAsia" w:ascii="仿宋_GB2312" w:hAnsi="仿宋_GB2312" w:eastAsia="仿宋_GB2312" w:cs="仿宋_GB2312"/>
                <w:b w:val="0"/>
                <w:bCs w:val="0"/>
                <w:color w:val="auto"/>
                <w:sz w:val="24"/>
                <w:szCs w:val="24"/>
                <w:highlight w:val="none"/>
              </w:rPr>
              <w:t xml:space="preserve">寒暑假“返家乡”实践活动 </w:t>
            </w:r>
          </w:p>
          <w:p>
            <w:pPr>
              <w:keepNext w:val="0"/>
              <w:keepLines w:val="0"/>
              <w:pageBreakBefore w:val="0"/>
              <w:widowControl w:val="0"/>
              <w:numPr>
                <w:ilvl w:val="0"/>
                <w:numId w:val="0"/>
              </w:numPr>
              <w:kinsoku/>
              <w:wordWrap/>
              <w:topLinePunct w:val="0"/>
              <w:autoSpaceDE/>
              <w:autoSpaceDN/>
              <w:bidi w:val="0"/>
              <w:snapToGrid/>
              <w:spacing w:after="0" w:line="240" w:lineRule="atLeast"/>
              <w:ind w:leftChars="0"/>
              <w:jc w:val="left"/>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val="0"/>
                <w:bCs w:val="0"/>
                <w:color w:val="auto"/>
                <w:sz w:val="24"/>
                <w:szCs w:val="24"/>
                <w:highlight w:val="none"/>
                <w:lang w:val="en-US" w:eastAsia="zh-CN"/>
              </w:rPr>
              <w:t>3.</w:t>
            </w:r>
            <w:r>
              <w:rPr>
                <w:rFonts w:hint="eastAsia" w:ascii="仿宋_GB2312" w:hAnsi="仿宋_GB2312" w:eastAsia="仿宋_GB2312" w:cs="仿宋_GB2312"/>
                <w:b w:val="0"/>
                <w:bCs w:val="0"/>
                <w:color w:val="auto"/>
                <w:sz w:val="24"/>
                <w:szCs w:val="24"/>
                <w:highlight w:val="none"/>
              </w:rPr>
              <w:t xml:space="preserve">企业见习实践 </w:t>
            </w:r>
          </w:p>
          <w:p>
            <w:pPr>
              <w:keepNext w:val="0"/>
              <w:keepLines w:val="0"/>
              <w:pageBreakBefore w:val="0"/>
              <w:widowControl w:val="0"/>
              <w:numPr>
                <w:ilvl w:val="0"/>
                <w:numId w:val="0"/>
              </w:numPr>
              <w:kinsoku/>
              <w:wordWrap/>
              <w:topLinePunct w:val="0"/>
              <w:autoSpaceDE/>
              <w:autoSpaceDN/>
              <w:bidi w:val="0"/>
              <w:snapToGrid/>
              <w:spacing w:after="0" w:line="240" w:lineRule="atLeast"/>
              <w:ind w:leftChars="0"/>
              <w:jc w:val="left"/>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val="0"/>
                <w:bCs w:val="0"/>
                <w:color w:val="auto"/>
                <w:sz w:val="24"/>
                <w:szCs w:val="24"/>
                <w:highlight w:val="none"/>
                <w:lang w:val="en-US" w:eastAsia="zh-CN"/>
              </w:rPr>
              <w:t>4.</w:t>
            </w:r>
            <w:r>
              <w:rPr>
                <w:rFonts w:hint="eastAsia" w:ascii="仿宋_GB2312" w:hAnsi="仿宋_GB2312" w:eastAsia="仿宋_GB2312" w:cs="仿宋_GB2312"/>
                <w:b w:val="0"/>
                <w:bCs w:val="0"/>
                <w:color w:val="auto"/>
                <w:sz w:val="24"/>
                <w:szCs w:val="24"/>
                <w:highlight w:val="none"/>
              </w:rPr>
              <w:t xml:space="preserve">上级、校院交予专项工作项目实践活动含兼挂职锻炼 </w:t>
            </w:r>
          </w:p>
          <w:p>
            <w:pPr>
              <w:keepNext w:val="0"/>
              <w:keepLines w:val="0"/>
              <w:pageBreakBefore w:val="0"/>
              <w:widowControl w:val="0"/>
              <w:numPr>
                <w:ilvl w:val="0"/>
                <w:numId w:val="0"/>
              </w:numPr>
              <w:kinsoku/>
              <w:wordWrap/>
              <w:topLinePunct w:val="0"/>
              <w:autoSpaceDE/>
              <w:autoSpaceDN/>
              <w:bidi w:val="0"/>
              <w:snapToGrid/>
              <w:spacing w:after="0" w:line="240" w:lineRule="atLeast"/>
              <w:ind w:leftChars="0"/>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val="0"/>
                <w:bCs w:val="0"/>
                <w:color w:val="auto"/>
                <w:sz w:val="24"/>
                <w:szCs w:val="24"/>
                <w:highlight w:val="none"/>
                <w:lang w:val="en-US" w:eastAsia="zh-CN"/>
              </w:rPr>
              <w:t>5.</w:t>
            </w:r>
            <w:r>
              <w:rPr>
                <w:rFonts w:hint="eastAsia" w:ascii="仿宋_GB2312" w:hAnsi="仿宋_GB2312" w:eastAsia="仿宋_GB2312" w:cs="仿宋_GB2312"/>
                <w:b w:val="0"/>
                <w:bCs w:val="0"/>
                <w:color w:val="auto"/>
                <w:sz w:val="24"/>
                <w:szCs w:val="24"/>
                <w:highlight w:val="none"/>
              </w:rPr>
              <w:t xml:space="preserve">新闻宣传报道被学校、学院采用或转发 </w:t>
            </w:r>
          </w:p>
          <w:p>
            <w:pPr>
              <w:keepNext w:val="0"/>
              <w:keepLines w:val="0"/>
              <w:pageBreakBefore w:val="0"/>
              <w:widowControl w:val="0"/>
              <w:numPr>
                <w:ilvl w:val="0"/>
                <w:numId w:val="0"/>
              </w:numPr>
              <w:kinsoku/>
              <w:wordWrap/>
              <w:topLinePunct w:val="0"/>
              <w:autoSpaceDE/>
              <w:autoSpaceDN/>
              <w:bidi w:val="0"/>
              <w:snapToGrid/>
              <w:spacing w:after="0" w:line="240" w:lineRule="atLeast"/>
              <w:jc w:val="left"/>
              <w:textAlignment w:val="auto"/>
              <w:rPr>
                <w:rFonts w:hint="default" w:ascii="仿宋_GB2312" w:hAnsi="仿宋_GB2312" w:eastAsia="仿宋_GB2312" w:cs="仿宋_GB2312"/>
                <w:b w:val="0"/>
                <w:bCs w:val="0"/>
                <w:color w:val="auto"/>
                <w:sz w:val="24"/>
                <w:szCs w:val="24"/>
                <w:highlight w:val="none"/>
                <w:lang w:val="en-US" w:eastAsia="zh-CN"/>
              </w:rPr>
            </w:pPr>
            <w:r>
              <w:rPr>
                <w:rFonts w:hint="eastAsia" w:ascii="仿宋_GB2312" w:hAnsi="仿宋_GB2312" w:eastAsia="仿宋_GB2312" w:cs="仿宋_GB2312"/>
                <w:b w:val="0"/>
                <w:bCs w:val="0"/>
                <w:color w:val="auto"/>
                <w:sz w:val="24"/>
                <w:szCs w:val="24"/>
                <w:highlight w:val="none"/>
                <w:lang w:val="en-US" w:eastAsia="zh-CN"/>
              </w:rPr>
              <w:t>6.晨读</w:t>
            </w:r>
          </w:p>
          <w:p>
            <w:pPr>
              <w:keepNext w:val="0"/>
              <w:keepLines w:val="0"/>
              <w:pageBreakBefore w:val="0"/>
              <w:widowControl w:val="0"/>
              <w:numPr>
                <w:ilvl w:val="0"/>
                <w:numId w:val="0"/>
              </w:numPr>
              <w:kinsoku/>
              <w:wordWrap/>
              <w:topLinePunct w:val="0"/>
              <w:autoSpaceDE/>
              <w:autoSpaceDN/>
              <w:bidi w:val="0"/>
              <w:snapToGrid/>
              <w:spacing w:after="0" w:line="240" w:lineRule="atLeast"/>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val="0"/>
                <w:bCs w:val="0"/>
                <w:color w:val="auto"/>
                <w:sz w:val="24"/>
                <w:szCs w:val="24"/>
                <w:highlight w:val="none"/>
                <w:lang w:val="en-US" w:eastAsia="zh-CN"/>
              </w:rPr>
              <w:t>7</w:t>
            </w:r>
            <w:r>
              <w:rPr>
                <w:rFonts w:hint="eastAsia" w:ascii="仿宋_GB2312" w:hAnsi="仿宋_GB2312" w:eastAsia="仿宋_GB2312" w:cs="仿宋_GB2312"/>
                <w:b w:val="0"/>
                <w:bCs w:val="0"/>
                <w:color w:val="auto"/>
                <w:sz w:val="24"/>
                <w:szCs w:val="24"/>
                <w:highlight w:val="none"/>
              </w:rPr>
              <w:t xml:space="preserve">.劳动精神、劳模精神、工匠精神专题教育 </w:t>
            </w:r>
          </w:p>
          <w:p>
            <w:pPr>
              <w:keepNext w:val="0"/>
              <w:keepLines w:val="0"/>
              <w:pageBreakBefore w:val="0"/>
              <w:widowControl w:val="0"/>
              <w:numPr>
                <w:ilvl w:val="0"/>
                <w:numId w:val="0"/>
              </w:numPr>
              <w:kinsoku/>
              <w:wordWrap/>
              <w:topLinePunct w:val="0"/>
              <w:autoSpaceDE/>
              <w:autoSpaceDN/>
              <w:bidi w:val="0"/>
              <w:snapToGrid/>
              <w:spacing w:after="0" w:line="240" w:lineRule="atLeast"/>
              <w:jc w:val="left"/>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val="0"/>
                <w:bCs w:val="0"/>
                <w:color w:val="auto"/>
                <w:sz w:val="24"/>
                <w:szCs w:val="24"/>
                <w:highlight w:val="none"/>
                <w:lang w:val="en-US" w:eastAsia="zh-CN"/>
              </w:rPr>
              <w:t>8.</w:t>
            </w:r>
            <w:r>
              <w:rPr>
                <w:rFonts w:hint="eastAsia" w:ascii="仿宋_GB2312" w:hAnsi="仿宋_GB2312" w:eastAsia="仿宋_GB2312" w:cs="仿宋_GB2312"/>
                <w:b w:val="0"/>
                <w:bCs w:val="0"/>
                <w:color w:val="auto"/>
                <w:sz w:val="24"/>
                <w:szCs w:val="24"/>
                <w:highlight w:val="none"/>
              </w:rPr>
              <w:t>实践活动的相关荣誉</w:t>
            </w:r>
          </w:p>
          <w:p>
            <w:pPr>
              <w:keepNext w:val="0"/>
              <w:keepLines w:val="0"/>
              <w:pageBreakBefore w:val="0"/>
              <w:widowControl w:val="0"/>
              <w:numPr>
                <w:ilvl w:val="0"/>
                <w:numId w:val="0"/>
              </w:numPr>
              <w:kinsoku/>
              <w:wordWrap/>
              <w:topLinePunct w:val="0"/>
              <w:autoSpaceDE/>
              <w:autoSpaceDN/>
              <w:bidi w:val="0"/>
              <w:snapToGrid/>
              <w:spacing w:after="0" w:line="240" w:lineRule="atLeast"/>
              <w:jc w:val="left"/>
              <w:textAlignment w:val="auto"/>
              <w:rPr>
                <w:rFonts w:hint="eastAsia" w:ascii="仿宋_GB2312" w:hAnsi="仿宋_GB2312" w:eastAsia="仿宋_GB2312" w:cs="仿宋_GB2312"/>
                <w:b w:val="0"/>
                <w:bCs w:val="0"/>
                <w:color w:val="auto"/>
                <w:sz w:val="24"/>
                <w:szCs w:val="24"/>
                <w:highlight w:val="none"/>
              </w:rPr>
            </w:pPr>
          </w:p>
        </w:tc>
        <w:tc>
          <w:tcPr>
            <w:tcW w:w="880"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自选</w:t>
            </w:r>
          </w:p>
        </w:tc>
        <w:tc>
          <w:tcPr>
            <w:tcW w:w="1013"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活动组 织单位</w:t>
            </w:r>
          </w:p>
        </w:tc>
        <w:tc>
          <w:tcPr>
            <w:tcW w:w="1040"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校团委</w:t>
            </w:r>
          </w:p>
        </w:tc>
        <w:tc>
          <w:tcPr>
            <w:tcW w:w="1236"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“第二课堂成绩单”活动各模块计分标准</w:t>
            </w:r>
          </w:p>
        </w:tc>
        <w:tc>
          <w:tcPr>
            <w:tcW w:w="1236" w:type="dxa"/>
            <w:vMerge w:val="continue"/>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5" w:hRule="atLeast"/>
          <w:jc w:val="center"/>
        </w:trPr>
        <w:tc>
          <w:tcPr>
            <w:tcW w:w="1265"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lang w:val="en-US" w:eastAsia="zh-CN"/>
              </w:rPr>
              <w:t>创新创业</w:t>
            </w:r>
          </w:p>
        </w:tc>
        <w:tc>
          <w:tcPr>
            <w:tcW w:w="3573" w:type="dxa"/>
            <w:vAlign w:val="center"/>
          </w:tcPr>
          <w:p>
            <w:pPr>
              <w:keepNext w:val="0"/>
              <w:keepLines w:val="0"/>
              <w:pageBreakBefore w:val="0"/>
              <w:widowControl w:val="0"/>
              <w:numPr>
                <w:ilvl w:val="0"/>
                <w:numId w:val="0"/>
              </w:numPr>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1.</w:t>
            </w:r>
            <w:r>
              <w:rPr>
                <w:rFonts w:hint="eastAsia" w:ascii="仿宋_GB2312" w:hAnsi="仿宋_GB2312" w:eastAsia="仿宋_GB2312" w:cs="仿宋_GB2312"/>
                <w:color w:val="auto"/>
                <w:sz w:val="24"/>
                <w:szCs w:val="24"/>
                <w:highlight w:val="none"/>
              </w:rPr>
              <w:t xml:space="preserve">发表文章、出版专著 </w:t>
            </w:r>
          </w:p>
          <w:p>
            <w:pPr>
              <w:keepNext w:val="0"/>
              <w:keepLines w:val="0"/>
              <w:pageBreakBefore w:val="0"/>
              <w:widowControl w:val="0"/>
              <w:numPr>
                <w:ilvl w:val="0"/>
                <w:numId w:val="0"/>
              </w:numPr>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2.</w:t>
            </w:r>
            <w:r>
              <w:rPr>
                <w:rFonts w:hint="eastAsia" w:ascii="仿宋_GB2312" w:hAnsi="仿宋_GB2312" w:eastAsia="仿宋_GB2312" w:cs="仿宋_GB2312"/>
                <w:color w:val="auto"/>
                <w:sz w:val="24"/>
                <w:szCs w:val="24"/>
                <w:highlight w:val="none"/>
              </w:rPr>
              <w:t xml:space="preserve">发明专利 </w:t>
            </w:r>
          </w:p>
          <w:p>
            <w:pPr>
              <w:keepNext w:val="0"/>
              <w:keepLines w:val="0"/>
              <w:pageBreakBefore w:val="0"/>
              <w:widowControl w:val="0"/>
              <w:numPr>
                <w:ilvl w:val="0"/>
                <w:numId w:val="0"/>
              </w:numPr>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3.</w:t>
            </w:r>
            <w:r>
              <w:rPr>
                <w:rFonts w:hint="eastAsia" w:ascii="仿宋_GB2312" w:hAnsi="仿宋_GB2312" w:eastAsia="仿宋_GB2312" w:cs="仿宋_GB2312"/>
                <w:color w:val="auto"/>
                <w:sz w:val="24"/>
                <w:szCs w:val="24"/>
                <w:highlight w:val="none"/>
              </w:rPr>
              <w:t xml:space="preserve">创新创业项目竞赛 </w:t>
            </w:r>
          </w:p>
          <w:p>
            <w:pPr>
              <w:keepNext w:val="0"/>
              <w:keepLines w:val="0"/>
              <w:pageBreakBefore w:val="0"/>
              <w:widowControl w:val="0"/>
              <w:numPr>
                <w:ilvl w:val="0"/>
                <w:numId w:val="0"/>
              </w:numPr>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4.</w:t>
            </w:r>
            <w:r>
              <w:rPr>
                <w:rFonts w:hint="eastAsia" w:ascii="仿宋_GB2312" w:hAnsi="仿宋_GB2312" w:eastAsia="仿宋_GB2312" w:cs="仿宋_GB2312"/>
                <w:color w:val="auto"/>
                <w:sz w:val="24"/>
                <w:szCs w:val="24"/>
                <w:highlight w:val="none"/>
              </w:rPr>
              <w:t xml:space="preserve">创新创业项目培训 </w:t>
            </w:r>
          </w:p>
          <w:p>
            <w:pPr>
              <w:keepNext w:val="0"/>
              <w:keepLines w:val="0"/>
              <w:pageBreakBefore w:val="0"/>
              <w:widowControl w:val="0"/>
              <w:numPr>
                <w:ilvl w:val="0"/>
                <w:numId w:val="0"/>
              </w:numPr>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5.</w:t>
            </w:r>
            <w:r>
              <w:rPr>
                <w:rFonts w:hint="eastAsia" w:ascii="仿宋_GB2312" w:hAnsi="仿宋_GB2312" w:eastAsia="仿宋_GB2312" w:cs="仿宋_GB2312"/>
                <w:color w:val="auto"/>
                <w:sz w:val="24"/>
                <w:szCs w:val="24"/>
                <w:highlight w:val="none"/>
              </w:rPr>
              <w:t xml:space="preserve">创新创业课程、讲座 </w:t>
            </w:r>
          </w:p>
          <w:p>
            <w:pPr>
              <w:keepNext w:val="0"/>
              <w:keepLines w:val="0"/>
              <w:pageBreakBefore w:val="0"/>
              <w:widowControl w:val="0"/>
              <w:numPr>
                <w:ilvl w:val="0"/>
                <w:numId w:val="0"/>
              </w:numPr>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6.</w:t>
            </w:r>
            <w:r>
              <w:rPr>
                <w:rFonts w:hint="eastAsia" w:ascii="仿宋_GB2312" w:hAnsi="仿宋_GB2312" w:eastAsia="仿宋_GB2312" w:cs="仿宋_GB2312"/>
                <w:color w:val="auto"/>
                <w:sz w:val="24"/>
                <w:szCs w:val="24"/>
                <w:highlight w:val="none"/>
              </w:rPr>
              <w:t>自主创业</w:t>
            </w:r>
          </w:p>
          <w:p>
            <w:pPr>
              <w:keepNext w:val="0"/>
              <w:keepLines w:val="0"/>
              <w:pageBreakBefore w:val="0"/>
              <w:widowControl w:val="0"/>
              <w:numPr>
                <w:ilvl w:val="0"/>
                <w:numId w:val="0"/>
              </w:numPr>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highlight w:val="none"/>
              </w:rPr>
            </w:pPr>
          </w:p>
        </w:tc>
        <w:tc>
          <w:tcPr>
            <w:tcW w:w="880"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自选</w:t>
            </w:r>
          </w:p>
        </w:tc>
        <w:tc>
          <w:tcPr>
            <w:tcW w:w="1013"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活动组 织单位</w:t>
            </w:r>
          </w:p>
        </w:tc>
        <w:tc>
          <w:tcPr>
            <w:tcW w:w="1040"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校团委</w:t>
            </w:r>
          </w:p>
        </w:tc>
        <w:tc>
          <w:tcPr>
            <w:tcW w:w="1236"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“第二课堂成绩单”活动各模块计分标准</w:t>
            </w:r>
          </w:p>
        </w:tc>
        <w:tc>
          <w:tcPr>
            <w:tcW w:w="1236" w:type="dxa"/>
            <w:vMerge w:val="continue"/>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08" w:hRule="atLeast"/>
          <w:jc w:val="center"/>
        </w:trPr>
        <w:tc>
          <w:tcPr>
            <w:tcW w:w="1265"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highlight w:val="none"/>
                <w:lang w:val="en-US" w:eastAsia="zh-CN"/>
              </w:rPr>
            </w:pPr>
          </w:p>
          <w:p>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志愿公益</w:t>
            </w:r>
          </w:p>
        </w:tc>
        <w:tc>
          <w:tcPr>
            <w:tcW w:w="3573"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 xml:space="preserve">1.校级、学院、社团、班级等学生组织开展的志愿服务活动 </w:t>
            </w:r>
          </w:p>
          <w:p>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 xml:space="preserve">2.无偿献血活动 </w:t>
            </w:r>
          </w:p>
          <w:p>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 xml:space="preserve">3.捐献造血干细胞 </w:t>
            </w:r>
          </w:p>
          <w:p>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4.相关公益类宣传讲座、报告会等志愿服务表彰</w:t>
            </w:r>
          </w:p>
          <w:p>
            <w:pPr>
              <w:keepNext w:val="0"/>
              <w:keepLines w:val="0"/>
              <w:pageBreakBefore w:val="0"/>
              <w:widowControl w:val="0"/>
              <w:numPr>
                <w:ilvl w:val="0"/>
                <w:numId w:val="0"/>
              </w:numPr>
              <w:kinsoku/>
              <w:wordWrap/>
              <w:topLinePunct w:val="0"/>
              <w:autoSpaceDE/>
              <w:autoSpaceDN/>
              <w:bidi w:val="0"/>
              <w:snapToGrid/>
              <w:spacing w:after="0" w:line="240" w:lineRule="atLeast"/>
              <w:jc w:val="left"/>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val="0"/>
                <w:bCs w:val="0"/>
                <w:color w:val="auto"/>
                <w:sz w:val="24"/>
                <w:szCs w:val="24"/>
                <w:highlight w:val="none"/>
                <w:lang w:val="en-US" w:eastAsia="zh-CN"/>
              </w:rPr>
              <w:t>5.</w:t>
            </w:r>
            <w:r>
              <w:rPr>
                <w:rFonts w:hint="eastAsia" w:ascii="仿宋_GB2312" w:hAnsi="仿宋_GB2312" w:eastAsia="仿宋_GB2312" w:cs="仿宋_GB2312"/>
                <w:b w:val="0"/>
                <w:bCs w:val="0"/>
                <w:color w:val="auto"/>
                <w:sz w:val="24"/>
                <w:szCs w:val="24"/>
                <w:highlight w:val="none"/>
              </w:rPr>
              <w:t xml:space="preserve">公益劳动 </w:t>
            </w:r>
          </w:p>
          <w:p>
            <w:pPr>
              <w:keepNext w:val="0"/>
              <w:keepLines w:val="0"/>
              <w:pageBreakBefore w:val="0"/>
              <w:widowControl w:val="0"/>
              <w:numPr>
                <w:ilvl w:val="0"/>
                <w:numId w:val="0"/>
              </w:numPr>
              <w:kinsoku/>
              <w:wordWrap/>
              <w:topLinePunct w:val="0"/>
              <w:autoSpaceDE/>
              <w:autoSpaceDN/>
              <w:bidi w:val="0"/>
              <w:snapToGrid/>
              <w:spacing w:after="0" w:line="240" w:lineRule="atLeast"/>
              <w:jc w:val="left"/>
              <w:textAlignment w:val="auto"/>
              <w:rPr>
                <w:rFonts w:hint="eastAsia" w:ascii="仿宋_GB2312" w:hAnsi="仿宋_GB2312" w:eastAsia="仿宋_GB2312" w:cs="仿宋_GB2312"/>
                <w:b w:val="0"/>
                <w:bCs w:val="0"/>
                <w:color w:val="auto"/>
                <w:sz w:val="24"/>
                <w:szCs w:val="24"/>
                <w:highlight w:val="none"/>
                <w:lang w:val="en-US" w:eastAsia="zh-CN"/>
              </w:rPr>
            </w:pPr>
          </w:p>
        </w:tc>
        <w:tc>
          <w:tcPr>
            <w:tcW w:w="880"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自选</w:t>
            </w:r>
          </w:p>
        </w:tc>
        <w:tc>
          <w:tcPr>
            <w:tcW w:w="1013"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活动组 织单位</w:t>
            </w:r>
          </w:p>
        </w:tc>
        <w:tc>
          <w:tcPr>
            <w:tcW w:w="1040"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校团委</w:t>
            </w:r>
          </w:p>
        </w:tc>
        <w:tc>
          <w:tcPr>
            <w:tcW w:w="1236"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“第二课堂成绩单”活动各模块计分标准</w:t>
            </w:r>
          </w:p>
        </w:tc>
        <w:tc>
          <w:tcPr>
            <w:tcW w:w="1236" w:type="dxa"/>
            <w:vMerge w:val="continue"/>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65" w:type="dxa"/>
            <w:vAlign w:val="center"/>
          </w:tcPr>
          <w:p>
            <w:pPr>
              <w:keepNext w:val="0"/>
              <w:keepLines w:val="0"/>
              <w:pageBreakBefore w:val="0"/>
              <w:widowControl w:val="0"/>
              <w:kinsoku/>
              <w:wordWrap/>
              <w:overflowPunct w:val="0"/>
              <w:topLinePunct w:val="0"/>
              <w:autoSpaceDE/>
              <w:autoSpaceDN/>
              <w:bidi w:val="0"/>
              <w:adjustRightInd w:val="0"/>
              <w:snapToGrid/>
              <w:spacing w:line="240" w:lineRule="atLeast"/>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val="0"/>
                <w:bCs w:val="0"/>
                <w:color w:val="auto"/>
                <w:sz w:val="24"/>
                <w:szCs w:val="24"/>
                <w:highlight w:val="none"/>
              </w:rPr>
              <w:t xml:space="preserve">文体活动 </w:t>
            </w:r>
          </w:p>
        </w:tc>
        <w:tc>
          <w:tcPr>
            <w:tcW w:w="3573"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 xml:space="preserve">1.文艺竞赛 </w:t>
            </w:r>
          </w:p>
          <w:p>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 xml:space="preserve">2.体育竞赛 </w:t>
            </w:r>
          </w:p>
          <w:p>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 xml:space="preserve">3.文艺演出 </w:t>
            </w:r>
          </w:p>
          <w:p>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 xml:space="preserve">4.体育活动 </w:t>
            </w:r>
          </w:p>
          <w:p>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5.文体讲座</w:t>
            </w:r>
          </w:p>
        </w:tc>
        <w:tc>
          <w:tcPr>
            <w:tcW w:w="880"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自选</w:t>
            </w:r>
          </w:p>
        </w:tc>
        <w:tc>
          <w:tcPr>
            <w:tcW w:w="1013"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活动组 织单位</w:t>
            </w:r>
          </w:p>
        </w:tc>
        <w:tc>
          <w:tcPr>
            <w:tcW w:w="1040"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校团委</w:t>
            </w:r>
          </w:p>
        </w:tc>
        <w:tc>
          <w:tcPr>
            <w:tcW w:w="1236"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“第二课堂成绩单”活动各模块计分标准</w:t>
            </w:r>
          </w:p>
        </w:tc>
        <w:tc>
          <w:tcPr>
            <w:tcW w:w="1236" w:type="dxa"/>
            <w:vMerge w:val="continue"/>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65" w:type="dxa"/>
            <w:vAlign w:val="center"/>
          </w:tcPr>
          <w:p>
            <w:pPr>
              <w:keepNext w:val="0"/>
              <w:keepLines w:val="0"/>
              <w:pageBreakBefore w:val="0"/>
              <w:widowControl w:val="0"/>
              <w:kinsoku/>
              <w:wordWrap/>
              <w:overflowPunct w:val="0"/>
              <w:topLinePunct w:val="0"/>
              <w:autoSpaceDE/>
              <w:autoSpaceDN/>
              <w:bidi w:val="0"/>
              <w:adjustRightInd w:val="0"/>
              <w:snapToGrid/>
              <w:spacing w:line="240" w:lineRule="atLeast"/>
              <w:jc w:val="left"/>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val="0"/>
                <w:bCs w:val="0"/>
                <w:color w:val="auto"/>
                <w:sz w:val="24"/>
                <w:szCs w:val="24"/>
                <w:highlight w:val="none"/>
              </w:rPr>
              <w:t xml:space="preserve">工作履历 </w:t>
            </w:r>
          </w:p>
        </w:tc>
        <w:tc>
          <w:tcPr>
            <w:tcW w:w="3573"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1.团学干部任职</w:t>
            </w:r>
          </w:p>
          <w:p>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2.团学先进个人</w:t>
            </w:r>
          </w:p>
          <w:p>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3.勤工俭学</w:t>
            </w:r>
          </w:p>
          <w:p>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 xml:space="preserve">4.社会任职 </w:t>
            </w:r>
          </w:p>
          <w:p>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5.退伍军人</w:t>
            </w:r>
          </w:p>
        </w:tc>
        <w:tc>
          <w:tcPr>
            <w:tcW w:w="880"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自选</w:t>
            </w:r>
          </w:p>
        </w:tc>
        <w:tc>
          <w:tcPr>
            <w:tcW w:w="1013"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活动组 织单位</w:t>
            </w:r>
          </w:p>
        </w:tc>
        <w:tc>
          <w:tcPr>
            <w:tcW w:w="1040"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校团委</w:t>
            </w:r>
          </w:p>
        </w:tc>
        <w:tc>
          <w:tcPr>
            <w:tcW w:w="1236"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“第二课堂成绩单”活动各模块计分标准</w:t>
            </w:r>
          </w:p>
        </w:tc>
        <w:tc>
          <w:tcPr>
            <w:tcW w:w="1236" w:type="dxa"/>
            <w:vMerge w:val="continue"/>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65"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 xml:space="preserve">技能特长 </w:t>
            </w:r>
          </w:p>
        </w:tc>
        <w:tc>
          <w:tcPr>
            <w:tcW w:w="3573"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 xml:space="preserve">1.职业资格证书 </w:t>
            </w:r>
          </w:p>
          <w:p>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 xml:space="preserve">2.职业技能证书 </w:t>
            </w:r>
          </w:p>
          <w:p>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3.机动车驾驶证</w:t>
            </w:r>
          </w:p>
          <w:p>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 xml:space="preserve">4.从业人员上岗资格证 </w:t>
            </w:r>
          </w:p>
          <w:p>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5.技能比赛获奖</w:t>
            </w:r>
          </w:p>
        </w:tc>
        <w:tc>
          <w:tcPr>
            <w:tcW w:w="880"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自选</w:t>
            </w:r>
          </w:p>
        </w:tc>
        <w:tc>
          <w:tcPr>
            <w:tcW w:w="1013"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活动组 织单位</w:t>
            </w:r>
          </w:p>
        </w:tc>
        <w:tc>
          <w:tcPr>
            <w:tcW w:w="1040"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校团委</w:t>
            </w:r>
          </w:p>
        </w:tc>
        <w:tc>
          <w:tcPr>
            <w:tcW w:w="1236"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“第二课堂成绩单”活动各模块计分标准</w:t>
            </w:r>
          </w:p>
        </w:tc>
        <w:tc>
          <w:tcPr>
            <w:tcW w:w="1236" w:type="dxa"/>
            <w:vMerge w:val="continue"/>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65" w:type="dxa"/>
            <w:vAlign w:val="center"/>
          </w:tcPr>
          <w:p>
            <w:pPr>
              <w:keepNext w:val="0"/>
              <w:keepLines w:val="0"/>
              <w:pageBreakBefore w:val="0"/>
              <w:widowControl w:val="0"/>
              <w:kinsoku/>
              <w:wordWrap/>
              <w:overflowPunct w:val="0"/>
              <w:topLinePunct w:val="0"/>
              <w:autoSpaceDE/>
              <w:autoSpaceDN/>
              <w:bidi w:val="0"/>
              <w:adjustRightInd w:val="0"/>
              <w:snapToGrid/>
              <w:spacing w:line="240" w:lineRule="atLeas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其他</w:t>
            </w:r>
          </w:p>
        </w:tc>
        <w:tc>
          <w:tcPr>
            <w:tcW w:w="3573"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 xml:space="preserve">1.其他证书（社会职业类证书） </w:t>
            </w:r>
          </w:p>
          <w:p>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 xml:space="preserve">2.校内各单位其他类型活动 </w:t>
            </w:r>
          </w:p>
          <w:p>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color w:val="auto"/>
                <w:sz w:val="24"/>
                <w:szCs w:val="24"/>
                <w:highlight w:val="none"/>
                <w:lang w:val="en-US" w:eastAsia="zh-CN"/>
              </w:rPr>
              <w:t>3.升旗仪式工作人员</w:t>
            </w:r>
          </w:p>
        </w:tc>
        <w:tc>
          <w:tcPr>
            <w:tcW w:w="880"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自选</w:t>
            </w:r>
          </w:p>
        </w:tc>
        <w:tc>
          <w:tcPr>
            <w:tcW w:w="1013"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活动组 织单位</w:t>
            </w:r>
          </w:p>
        </w:tc>
        <w:tc>
          <w:tcPr>
            <w:tcW w:w="1040"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校团委</w:t>
            </w:r>
          </w:p>
        </w:tc>
        <w:tc>
          <w:tcPr>
            <w:tcW w:w="1236"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“第二课堂成绩单”活动各模块计分标准</w:t>
            </w:r>
          </w:p>
        </w:tc>
        <w:tc>
          <w:tcPr>
            <w:tcW w:w="1236" w:type="dxa"/>
            <w:vMerge w:val="continue"/>
            <w:vAlign w:val="center"/>
          </w:tcPr>
          <w:p>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highlight w:val="none"/>
              </w:rPr>
            </w:pPr>
          </w:p>
        </w:tc>
      </w:tr>
    </w:tbl>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lang w:val="en-US" w:eastAsia="zh-CN"/>
        </w:rPr>
        <w:t>八</w:t>
      </w:r>
      <w:r>
        <w:rPr>
          <w:rFonts w:ascii="黑体" w:hAnsi="黑体" w:eastAsia="黑体"/>
          <w:color w:val="auto"/>
          <w:sz w:val="32"/>
          <w:szCs w:val="32"/>
          <w:highlight w:val="none"/>
        </w:rPr>
        <w:t>、教学进程总体安排</w:t>
      </w:r>
    </w:p>
    <w:p>
      <w:pPr>
        <w:keepNext w:val="0"/>
        <w:keepLines w:val="0"/>
        <w:pageBreakBefore w:val="0"/>
        <w:widowControl w:val="0"/>
        <w:kinsoku/>
        <w:wordWrap/>
        <w:topLinePunct w:val="0"/>
        <w:autoSpaceDE/>
        <w:autoSpaceDN/>
        <w:bidi w:val="0"/>
        <w:snapToGrid/>
        <w:spacing w:after="0" w:line="520" w:lineRule="exact"/>
        <w:ind w:firstLine="640" w:firstLineChars="200"/>
        <w:textAlignment w:val="auto"/>
        <w:rPr>
          <w:rFonts w:hint="eastAsia" w:ascii="楷体" w:hAnsi="楷体" w:eastAsia="楷体" w:cs="楷体"/>
          <w:color w:val="auto"/>
          <w:sz w:val="32"/>
          <w:szCs w:val="32"/>
          <w:highlight w:val="none"/>
        </w:rPr>
      </w:pPr>
      <w:r>
        <w:rPr>
          <w:rFonts w:hint="eastAsia" w:ascii="楷体" w:hAnsi="楷体" w:eastAsia="楷体" w:cs="楷体"/>
          <w:color w:val="auto"/>
          <w:sz w:val="32"/>
          <w:szCs w:val="32"/>
          <w:highlight w:val="none"/>
        </w:rPr>
        <w:t xml:space="preserve">（一）教学环节分配表 </w:t>
      </w:r>
    </w:p>
    <w:p>
      <w:pPr>
        <w:keepNext w:val="0"/>
        <w:keepLines w:val="0"/>
        <w:pageBreakBefore w:val="0"/>
        <w:widowControl w:val="0"/>
        <w:kinsoku/>
        <w:wordWrap/>
        <w:topLinePunct w:val="0"/>
        <w:autoSpaceDE/>
        <w:autoSpaceDN/>
        <w:bidi w:val="0"/>
        <w:snapToGrid/>
        <w:spacing w:after="0" w:line="520" w:lineRule="exact"/>
        <w:ind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教学周数分配表每学期总周数合计应为</w:t>
      </w:r>
      <w:r>
        <w:rPr>
          <w:rFonts w:hint="eastAsia" w:ascii="仿宋_GB2312" w:hAnsi="仿宋_GB2312" w:eastAsia="仿宋_GB2312" w:cs="仿宋_GB2312"/>
          <w:color w:val="auto"/>
          <w:sz w:val="32"/>
          <w:szCs w:val="32"/>
          <w:highlight w:val="none"/>
          <w:lang w:val="en-US" w:eastAsia="zh-CN"/>
        </w:rPr>
        <w:t>20</w:t>
      </w:r>
      <w:r>
        <w:rPr>
          <w:rFonts w:hint="eastAsia" w:ascii="仿宋_GB2312" w:hAnsi="仿宋_GB2312" w:eastAsia="仿宋_GB2312" w:cs="仿宋_GB2312"/>
          <w:color w:val="auto"/>
          <w:sz w:val="32"/>
          <w:szCs w:val="32"/>
          <w:highlight w:val="none"/>
        </w:rPr>
        <w:t>周，各学期教学周数应与教学计划进程表一致，军训、入学教育、考试环节、实习开展、毕业设计</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社会实践及毕业教育</w:t>
      </w:r>
      <w:r>
        <w:rPr>
          <w:rFonts w:hint="eastAsia" w:ascii="仿宋_GB2312" w:hAnsi="仿宋_GB2312" w:eastAsia="仿宋_GB2312" w:cs="仿宋_GB2312"/>
          <w:color w:val="auto"/>
          <w:sz w:val="32"/>
          <w:szCs w:val="32"/>
          <w:highlight w:val="none"/>
        </w:rPr>
        <w:t>等</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学期合计周数</w:t>
      </w:r>
      <w:r>
        <w:rPr>
          <w:rFonts w:hint="eastAsia" w:ascii="仿宋_GB2312" w:hAnsi="仿宋_GB2312" w:eastAsia="仿宋_GB2312" w:cs="仿宋_GB2312"/>
          <w:color w:val="auto"/>
          <w:sz w:val="32"/>
          <w:szCs w:val="32"/>
          <w:highlight w:val="none"/>
          <w:lang w:val="en-US" w:eastAsia="zh-CN"/>
        </w:rPr>
        <w:t>为</w:t>
      </w:r>
      <w:r>
        <w:rPr>
          <w:rFonts w:hint="eastAsia" w:ascii="仿宋_GB2312" w:hAnsi="仿宋_GB2312" w:eastAsia="仿宋_GB2312" w:cs="仿宋_GB2312"/>
          <w:color w:val="auto"/>
          <w:sz w:val="32"/>
          <w:szCs w:val="32"/>
          <w:highlight w:val="none"/>
        </w:rPr>
        <w:t>20周。</w:t>
      </w:r>
    </w:p>
    <w:p>
      <w:pPr>
        <w:keepNext w:val="0"/>
        <w:keepLines w:val="0"/>
        <w:pageBreakBefore w:val="0"/>
        <w:widowControl w:val="0"/>
        <w:kinsoku/>
        <w:wordWrap/>
        <w:topLinePunct w:val="0"/>
        <w:autoSpaceDE/>
        <w:autoSpaceDN/>
        <w:bidi w:val="0"/>
        <w:snapToGrid/>
        <w:spacing w:after="0" w:line="520" w:lineRule="exact"/>
        <w:ind w:firstLine="640" w:firstLineChars="200"/>
        <w:jc w:val="center"/>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表</w:t>
      </w:r>
      <w:r>
        <w:rPr>
          <w:rFonts w:hint="eastAsia" w:ascii="仿宋_GB2312" w:hAnsi="仿宋_GB2312" w:eastAsia="仿宋_GB2312" w:cs="仿宋_GB2312"/>
          <w:color w:val="auto"/>
          <w:sz w:val="32"/>
          <w:szCs w:val="32"/>
          <w:highlight w:val="none"/>
          <w:lang w:val="en-US" w:eastAsia="zh-CN"/>
        </w:rPr>
        <w:t>8</w:t>
      </w:r>
      <w:r>
        <w:rPr>
          <w:rFonts w:hint="eastAsia" w:ascii="仿宋_GB2312" w:hAnsi="仿宋_GB2312" w:eastAsia="仿宋_GB2312" w:cs="仿宋_GB2312"/>
          <w:color w:val="auto"/>
          <w:sz w:val="32"/>
          <w:szCs w:val="32"/>
          <w:highlight w:val="none"/>
        </w:rPr>
        <w:t xml:space="preserve"> 教育活动时间分配表（单位：周）</w:t>
      </w:r>
    </w:p>
    <w:tbl>
      <w:tblPr>
        <w:tblStyle w:val="8"/>
        <w:tblW w:w="5117" w:type="pct"/>
        <w:tblInd w:w="-10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33"/>
        <w:gridCol w:w="1230"/>
        <w:gridCol w:w="1108"/>
        <w:gridCol w:w="1108"/>
        <w:gridCol w:w="1108"/>
        <w:gridCol w:w="1108"/>
        <w:gridCol w:w="11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37" w:type="pct"/>
            <w:vMerge w:val="restart"/>
            <mc:AlternateContent>
              <mc:Choice Requires="wpsCustomData">
                <wpsCustomData:diagonals>
                  <wpsCustomData:diagonal from="30000" to="13800">
                    <wpsCustomData:border w:val="single" w:color="auto" w:sz="4" w:space="0"/>
                  </wpsCustomData:diagonal>
                  <wpsCustomData:diagonal from="30000" to="6000">
                    <wpsCustomData:border w:val="single" w:color="auto" w:sz="4" w:space="0"/>
                  </wpsCustomData:diagonal>
                </wpsCustomData:diagonals>
              </mc:Choice>
            </mc:AlternateContent>
          </w:tcPr>
          <w:p>
            <w:pPr>
              <w:spacing w:after="0" w:line="240" w:lineRule="auto"/>
              <w:rPr>
                <w:rFonts w:hint="eastAsia" w:ascii="仿宋_GB2312" w:hAnsi="仿宋_GB2312" w:eastAsia="仿宋_GB2312" w:cs="仿宋_GB2312"/>
                <w:color w:val="auto"/>
                <w:sz w:val="24"/>
                <w:szCs w:val="24"/>
                <w:highlight w:val="none"/>
              </w:rPr>
            </w:pPr>
          </w:p>
          <w:p>
            <w:pPr>
              <w:spacing w:after="0" w:line="240" w:lineRule="auto"/>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lang w:val="en-US" w:eastAsia="zh-CN"/>
              </w:rPr>
              <w:t>项目</w:t>
            </w:r>
          </w:p>
          <w:p>
            <w:pPr>
              <w:spacing w:after="0" w:line="240" w:lineRule="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周数</w:t>
            </w:r>
          </w:p>
          <w:p>
            <w:pPr>
              <w:spacing w:after="0" w:line="240" w:lineRule="auto"/>
              <mc:AlternateContent>
                <mc:Choice Requires="wpsCustomData">
                  <wpsCustomData:diagonalParaType/>
                </mc:Choice>
              </mc:AlternateContent>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内容</w:t>
            </w:r>
          </w:p>
          <w:p>
            <w:pPr>
              <w:spacing w:after="0" w:line="240" w:lineRule="auto"/>
              <w:rPr>
                <w:rFonts w:hint="eastAsia" w:ascii="仿宋_GB2312" w:hAnsi="仿宋_GB2312" w:eastAsia="仿宋_GB2312" w:cs="仿宋_GB2312"/>
                <w:color w:val="auto"/>
                <w:sz w:val="24"/>
                <w:szCs w:val="24"/>
                <w:highlight w:val="none"/>
                <w:lang w:val="en-US" w:eastAsia="zh-CN"/>
              </w:rPr>
            </w:pPr>
          </w:p>
          <w:p>
            <w:pPr>
              <w:spacing w:after="0" w:line="240" w:lineRule="auto"/>
              <mc:AlternateContent>
                <mc:Choice Requires="wpsCustomData">
                  <wpsCustomData:diagonalParaType/>
                </mc:Choice>
              </mc:AlternateContent>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周数</w:t>
            </w:r>
          </w:p>
          <w:p>
            <w:pPr>
              <w:spacing w:after="0" w:line="240" w:lineRule="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学年</w:t>
            </w:r>
          </w:p>
        </w:tc>
        <w:tc>
          <w:tcPr>
            <w:tcW w:w="1229" w:type="pct"/>
            <w:gridSpan w:val="2"/>
            <w:vAlign w:val="center"/>
          </w:tcPr>
          <w:p>
            <w:pPr>
              <w:spacing w:after="0" w:line="240" w:lineRule="auto"/>
              <w:jc w:val="center"/>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lang w:val="en-US" w:eastAsia="zh-CN"/>
              </w:rPr>
              <w:t>一</w:t>
            </w:r>
          </w:p>
        </w:tc>
        <w:tc>
          <w:tcPr>
            <w:tcW w:w="1165" w:type="pct"/>
            <w:gridSpan w:val="2"/>
            <w:vAlign w:val="center"/>
          </w:tcPr>
          <w:p>
            <w:pPr>
              <w:spacing w:after="0" w:line="240" w:lineRule="auto"/>
              <w:jc w:val="center"/>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lang w:val="en-US" w:eastAsia="zh-CN"/>
              </w:rPr>
              <w:t>二</w:t>
            </w:r>
          </w:p>
        </w:tc>
        <w:tc>
          <w:tcPr>
            <w:tcW w:w="1167" w:type="pct"/>
            <w:gridSpan w:val="2"/>
            <w:vAlign w:val="center"/>
          </w:tcPr>
          <w:p>
            <w:pPr>
              <w:spacing w:after="0" w:line="240" w:lineRule="auto"/>
              <w:jc w:val="center"/>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lang w:val="en-US" w:eastAsia="zh-CN"/>
              </w:rPr>
              <w:t>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trPr>
        <w:tc>
          <w:tcPr>
            <w:tcW w:w="1437" w:type="pct"/>
            <w:vMerge w:val="continue"/>
          </w:tcPr>
          <w:p>
            <w:pPr>
              <w:spacing w:after="0" w:line="240" w:lineRule="auto"/>
              <w:rPr>
                <w:rFonts w:hint="eastAsia" w:ascii="仿宋_GB2312" w:hAnsi="仿宋_GB2312" w:eastAsia="仿宋_GB2312" w:cs="仿宋_GB2312"/>
                <w:color w:val="auto"/>
                <w:sz w:val="24"/>
                <w:szCs w:val="24"/>
                <w:highlight w:val="none"/>
              </w:rPr>
            </w:pPr>
          </w:p>
        </w:tc>
        <w:tc>
          <w:tcPr>
            <w:tcW w:w="646" w:type="pct"/>
            <w:vAlign w:val="center"/>
          </w:tcPr>
          <w:p>
            <w:pPr>
              <w:spacing w:after="0" w:line="240" w:lineRule="auto"/>
              <w:jc w:val="center"/>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w:t>
            </w:r>
          </w:p>
        </w:tc>
        <w:tc>
          <w:tcPr>
            <w:tcW w:w="582" w:type="pct"/>
            <w:vAlign w:val="center"/>
          </w:tcPr>
          <w:p>
            <w:pPr>
              <w:spacing w:after="0" w:line="240" w:lineRule="auto"/>
              <w:jc w:val="center"/>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2</w:t>
            </w:r>
          </w:p>
        </w:tc>
        <w:tc>
          <w:tcPr>
            <w:tcW w:w="582" w:type="pct"/>
            <w:vAlign w:val="center"/>
          </w:tcPr>
          <w:p>
            <w:pPr>
              <w:spacing w:after="0" w:line="240" w:lineRule="auto"/>
              <w:jc w:val="center"/>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3</w:t>
            </w:r>
          </w:p>
        </w:tc>
        <w:tc>
          <w:tcPr>
            <w:tcW w:w="582" w:type="pct"/>
            <w:vAlign w:val="center"/>
          </w:tcPr>
          <w:p>
            <w:pPr>
              <w:spacing w:after="0" w:line="240" w:lineRule="auto"/>
              <w:jc w:val="center"/>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4</w:t>
            </w:r>
          </w:p>
        </w:tc>
        <w:tc>
          <w:tcPr>
            <w:tcW w:w="582" w:type="pct"/>
            <w:vAlign w:val="center"/>
          </w:tcPr>
          <w:p>
            <w:pPr>
              <w:spacing w:after="0" w:line="240" w:lineRule="auto"/>
              <w:jc w:val="center"/>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5</w:t>
            </w:r>
          </w:p>
        </w:tc>
        <w:tc>
          <w:tcPr>
            <w:tcW w:w="584" w:type="pct"/>
            <w:vAlign w:val="center"/>
          </w:tcPr>
          <w:p>
            <w:pPr>
              <w:spacing w:after="0" w:line="240" w:lineRule="auto"/>
              <w:jc w:val="center"/>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trPr>
        <w:tc>
          <w:tcPr>
            <w:tcW w:w="1437" w:type="pct"/>
            <w:vAlign w:val="center"/>
          </w:tcPr>
          <w:p>
            <w:pPr>
              <w:spacing w:after="0" w:line="240" w:lineRule="auto"/>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val="0"/>
                <w:bCs w:val="0"/>
                <w:color w:val="auto"/>
                <w:sz w:val="24"/>
                <w:szCs w:val="24"/>
                <w:highlight w:val="none"/>
              </w:rPr>
              <w:t>课堂教学</w:t>
            </w:r>
          </w:p>
        </w:tc>
        <w:tc>
          <w:tcPr>
            <w:tcW w:w="646" w:type="pct"/>
            <w:vAlign w:val="center"/>
          </w:tcPr>
          <w:p>
            <w:pPr>
              <w:spacing w:after="0" w:line="240" w:lineRule="auto"/>
              <w:jc w:val="center"/>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1-18</w:t>
            </w:r>
          </w:p>
        </w:tc>
        <w:tc>
          <w:tcPr>
            <w:tcW w:w="582" w:type="pct"/>
            <w:vAlign w:val="center"/>
          </w:tcPr>
          <w:p>
            <w:pPr>
              <w:spacing w:after="0" w:line="240" w:lineRule="auto"/>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1-18</w:t>
            </w:r>
          </w:p>
        </w:tc>
        <w:tc>
          <w:tcPr>
            <w:tcW w:w="582" w:type="pct"/>
            <w:vAlign w:val="center"/>
          </w:tcPr>
          <w:p>
            <w:pPr>
              <w:spacing w:after="0" w:line="240" w:lineRule="auto"/>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1-18</w:t>
            </w:r>
          </w:p>
        </w:tc>
        <w:tc>
          <w:tcPr>
            <w:tcW w:w="582" w:type="pct"/>
            <w:vAlign w:val="center"/>
          </w:tcPr>
          <w:p>
            <w:pPr>
              <w:spacing w:after="0" w:line="240" w:lineRule="auto"/>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1-18</w:t>
            </w:r>
          </w:p>
        </w:tc>
        <w:tc>
          <w:tcPr>
            <w:tcW w:w="582" w:type="pct"/>
            <w:vAlign w:val="center"/>
          </w:tcPr>
          <w:p>
            <w:pPr>
              <w:spacing w:after="0" w:line="240" w:lineRule="auto"/>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1-18</w:t>
            </w:r>
          </w:p>
        </w:tc>
        <w:tc>
          <w:tcPr>
            <w:tcW w:w="584" w:type="pct"/>
            <w:vAlign w:val="center"/>
          </w:tcPr>
          <w:p>
            <w:pPr>
              <w:spacing w:after="0" w:line="240" w:lineRule="auto"/>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1-18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437" w:type="pct"/>
            <w:vAlign w:val="center"/>
          </w:tcPr>
          <w:p>
            <w:pPr>
              <w:spacing w:after="0" w:line="240" w:lineRule="auto"/>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val="0"/>
                <w:bCs w:val="0"/>
                <w:color w:val="auto"/>
                <w:sz w:val="24"/>
                <w:szCs w:val="24"/>
                <w:highlight w:val="none"/>
              </w:rPr>
              <w:t>考试</w:t>
            </w:r>
          </w:p>
        </w:tc>
        <w:tc>
          <w:tcPr>
            <w:tcW w:w="646" w:type="pct"/>
            <w:vAlign w:val="center"/>
          </w:tcPr>
          <w:p>
            <w:pPr>
              <w:spacing w:after="0" w:line="240" w:lineRule="auto"/>
              <w:jc w:val="center"/>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19-20</w:t>
            </w:r>
          </w:p>
        </w:tc>
        <w:tc>
          <w:tcPr>
            <w:tcW w:w="582" w:type="pct"/>
            <w:vAlign w:val="center"/>
          </w:tcPr>
          <w:p>
            <w:pPr>
              <w:spacing w:after="0" w:line="240" w:lineRule="auto"/>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19-20</w:t>
            </w:r>
          </w:p>
        </w:tc>
        <w:tc>
          <w:tcPr>
            <w:tcW w:w="582" w:type="pct"/>
            <w:vAlign w:val="center"/>
          </w:tcPr>
          <w:p>
            <w:pPr>
              <w:spacing w:after="0" w:line="240" w:lineRule="auto"/>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19-20</w:t>
            </w:r>
          </w:p>
        </w:tc>
        <w:tc>
          <w:tcPr>
            <w:tcW w:w="582" w:type="pct"/>
            <w:vAlign w:val="center"/>
          </w:tcPr>
          <w:p>
            <w:pPr>
              <w:spacing w:after="0" w:line="240" w:lineRule="auto"/>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19-20</w:t>
            </w:r>
          </w:p>
        </w:tc>
        <w:tc>
          <w:tcPr>
            <w:tcW w:w="582" w:type="pct"/>
            <w:vAlign w:val="center"/>
          </w:tcPr>
          <w:p>
            <w:pPr>
              <w:spacing w:after="0" w:line="240" w:lineRule="auto"/>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19-20</w:t>
            </w:r>
          </w:p>
        </w:tc>
        <w:tc>
          <w:tcPr>
            <w:tcW w:w="584" w:type="pct"/>
            <w:vAlign w:val="center"/>
          </w:tcPr>
          <w:p>
            <w:pPr>
              <w:spacing w:after="0" w:line="240" w:lineRule="auto"/>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19-20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437" w:type="pct"/>
            <w:vAlign w:val="center"/>
          </w:tcPr>
          <w:p>
            <w:pPr>
              <w:spacing w:after="0" w:line="240" w:lineRule="auto"/>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val="0"/>
                <w:bCs w:val="0"/>
                <w:color w:val="auto"/>
                <w:sz w:val="24"/>
                <w:szCs w:val="24"/>
                <w:highlight w:val="none"/>
              </w:rPr>
              <w:t>军训</w:t>
            </w:r>
          </w:p>
        </w:tc>
        <w:tc>
          <w:tcPr>
            <w:tcW w:w="646" w:type="pct"/>
            <w:vAlign w:val="center"/>
          </w:tcPr>
          <w:p>
            <w:pPr>
              <w:spacing w:after="0" w:line="240" w:lineRule="auto"/>
              <w:jc w:val="center"/>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1-2</w:t>
            </w:r>
          </w:p>
        </w:tc>
        <w:tc>
          <w:tcPr>
            <w:tcW w:w="582" w:type="pct"/>
            <w:vAlign w:val="center"/>
          </w:tcPr>
          <w:p>
            <w:pPr>
              <w:spacing w:after="0" w:line="240" w:lineRule="auto"/>
              <w:jc w:val="center"/>
              <w:rPr>
                <w:rFonts w:hint="eastAsia" w:ascii="仿宋_GB2312" w:hAnsi="仿宋_GB2312" w:eastAsia="仿宋_GB2312" w:cs="仿宋_GB2312"/>
                <w:color w:val="auto"/>
                <w:sz w:val="24"/>
                <w:szCs w:val="24"/>
                <w:highlight w:val="none"/>
              </w:rPr>
            </w:pPr>
          </w:p>
        </w:tc>
        <w:tc>
          <w:tcPr>
            <w:tcW w:w="582" w:type="pct"/>
            <w:vAlign w:val="center"/>
          </w:tcPr>
          <w:p>
            <w:pPr>
              <w:spacing w:after="0" w:line="240" w:lineRule="auto"/>
              <w:jc w:val="center"/>
              <w:rPr>
                <w:rFonts w:hint="eastAsia" w:ascii="仿宋_GB2312" w:hAnsi="仿宋_GB2312" w:eastAsia="仿宋_GB2312" w:cs="仿宋_GB2312"/>
                <w:color w:val="auto"/>
                <w:sz w:val="24"/>
                <w:szCs w:val="24"/>
                <w:highlight w:val="none"/>
              </w:rPr>
            </w:pPr>
          </w:p>
        </w:tc>
        <w:tc>
          <w:tcPr>
            <w:tcW w:w="582" w:type="pct"/>
            <w:vAlign w:val="center"/>
          </w:tcPr>
          <w:p>
            <w:pPr>
              <w:spacing w:after="0" w:line="240" w:lineRule="auto"/>
              <w:jc w:val="center"/>
              <w:rPr>
                <w:rFonts w:hint="eastAsia" w:ascii="仿宋_GB2312" w:hAnsi="仿宋_GB2312" w:eastAsia="仿宋_GB2312" w:cs="仿宋_GB2312"/>
                <w:color w:val="auto"/>
                <w:sz w:val="24"/>
                <w:szCs w:val="24"/>
                <w:highlight w:val="none"/>
              </w:rPr>
            </w:pPr>
          </w:p>
        </w:tc>
        <w:tc>
          <w:tcPr>
            <w:tcW w:w="582" w:type="pct"/>
            <w:vAlign w:val="center"/>
          </w:tcPr>
          <w:p>
            <w:pPr>
              <w:spacing w:after="0" w:line="240" w:lineRule="auto"/>
              <w:jc w:val="center"/>
              <w:rPr>
                <w:rFonts w:hint="eastAsia" w:ascii="仿宋_GB2312" w:hAnsi="仿宋_GB2312" w:eastAsia="仿宋_GB2312" w:cs="仿宋_GB2312"/>
                <w:color w:val="auto"/>
                <w:sz w:val="24"/>
                <w:szCs w:val="24"/>
                <w:highlight w:val="none"/>
              </w:rPr>
            </w:pPr>
          </w:p>
        </w:tc>
        <w:tc>
          <w:tcPr>
            <w:tcW w:w="584" w:type="pct"/>
            <w:vAlign w:val="center"/>
          </w:tcPr>
          <w:p>
            <w:pPr>
              <w:spacing w:after="0" w:line="240" w:lineRule="auto"/>
              <w:jc w:val="center"/>
              <w:rPr>
                <w:rFonts w:hint="eastAsia" w:ascii="仿宋_GB2312" w:hAnsi="仿宋_GB2312" w:eastAsia="仿宋_GB2312" w:cs="仿宋_GB2312"/>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437" w:type="pct"/>
            <w:vAlign w:val="center"/>
          </w:tcPr>
          <w:p>
            <w:pPr>
              <w:spacing w:after="0" w:line="240" w:lineRule="auto"/>
              <w:jc w:val="center"/>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val="0"/>
                <w:bCs w:val="0"/>
                <w:color w:val="auto"/>
                <w:sz w:val="24"/>
                <w:szCs w:val="24"/>
                <w:highlight w:val="none"/>
              </w:rPr>
              <w:t>入学教育</w:t>
            </w:r>
          </w:p>
        </w:tc>
        <w:tc>
          <w:tcPr>
            <w:tcW w:w="646" w:type="pct"/>
            <w:vAlign w:val="center"/>
          </w:tcPr>
          <w:p>
            <w:pPr>
              <w:spacing w:after="0" w:line="240" w:lineRule="auto"/>
              <w:jc w:val="center"/>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3-8</w:t>
            </w:r>
          </w:p>
        </w:tc>
        <w:tc>
          <w:tcPr>
            <w:tcW w:w="582" w:type="pct"/>
            <w:vAlign w:val="center"/>
          </w:tcPr>
          <w:p>
            <w:pPr>
              <w:spacing w:after="0" w:line="240" w:lineRule="auto"/>
              <w:jc w:val="center"/>
              <w:rPr>
                <w:rFonts w:hint="eastAsia" w:ascii="仿宋_GB2312" w:hAnsi="仿宋_GB2312" w:eastAsia="仿宋_GB2312" w:cs="仿宋_GB2312"/>
                <w:color w:val="auto"/>
                <w:sz w:val="24"/>
                <w:szCs w:val="24"/>
                <w:highlight w:val="none"/>
              </w:rPr>
            </w:pPr>
          </w:p>
        </w:tc>
        <w:tc>
          <w:tcPr>
            <w:tcW w:w="582" w:type="pct"/>
            <w:vAlign w:val="center"/>
          </w:tcPr>
          <w:p>
            <w:pPr>
              <w:spacing w:after="0" w:line="240" w:lineRule="auto"/>
              <w:jc w:val="center"/>
              <w:rPr>
                <w:rFonts w:hint="eastAsia" w:ascii="仿宋_GB2312" w:hAnsi="仿宋_GB2312" w:eastAsia="仿宋_GB2312" w:cs="仿宋_GB2312"/>
                <w:color w:val="auto"/>
                <w:sz w:val="24"/>
                <w:szCs w:val="24"/>
                <w:highlight w:val="none"/>
              </w:rPr>
            </w:pPr>
          </w:p>
        </w:tc>
        <w:tc>
          <w:tcPr>
            <w:tcW w:w="582" w:type="pct"/>
            <w:vAlign w:val="center"/>
          </w:tcPr>
          <w:p>
            <w:pPr>
              <w:spacing w:after="0" w:line="240" w:lineRule="auto"/>
              <w:jc w:val="center"/>
              <w:rPr>
                <w:rFonts w:hint="eastAsia" w:ascii="仿宋_GB2312" w:hAnsi="仿宋_GB2312" w:eastAsia="仿宋_GB2312" w:cs="仿宋_GB2312"/>
                <w:color w:val="auto"/>
                <w:sz w:val="24"/>
                <w:szCs w:val="24"/>
                <w:highlight w:val="none"/>
              </w:rPr>
            </w:pPr>
          </w:p>
        </w:tc>
        <w:tc>
          <w:tcPr>
            <w:tcW w:w="582" w:type="pct"/>
            <w:vAlign w:val="center"/>
          </w:tcPr>
          <w:p>
            <w:pPr>
              <w:spacing w:after="0" w:line="240" w:lineRule="auto"/>
              <w:jc w:val="center"/>
              <w:rPr>
                <w:rFonts w:hint="eastAsia" w:ascii="仿宋_GB2312" w:hAnsi="仿宋_GB2312" w:eastAsia="仿宋_GB2312" w:cs="仿宋_GB2312"/>
                <w:color w:val="auto"/>
                <w:sz w:val="24"/>
                <w:szCs w:val="24"/>
                <w:highlight w:val="none"/>
              </w:rPr>
            </w:pPr>
          </w:p>
        </w:tc>
        <w:tc>
          <w:tcPr>
            <w:tcW w:w="584" w:type="pct"/>
            <w:vAlign w:val="center"/>
          </w:tcPr>
          <w:p>
            <w:pPr>
              <w:spacing w:after="0" w:line="240" w:lineRule="auto"/>
              <w:jc w:val="center"/>
              <w:rPr>
                <w:rFonts w:hint="eastAsia" w:ascii="仿宋_GB2312" w:hAnsi="仿宋_GB2312" w:eastAsia="仿宋_GB2312" w:cs="仿宋_GB2312"/>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437" w:type="pct"/>
            <w:vAlign w:val="center"/>
          </w:tcPr>
          <w:p>
            <w:pPr>
              <w:spacing w:after="0" w:line="240" w:lineRule="auto"/>
              <w:jc w:val="center"/>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val="0"/>
                <w:bCs w:val="0"/>
                <w:color w:val="auto"/>
                <w:sz w:val="24"/>
                <w:szCs w:val="24"/>
                <w:highlight w:val="none"/>
              </w:rPr>
              <w:t>毕业设计</w:t>
            </w:r>
          </w:p>
        </w:tc>
        <w:tc>
          <w:tcPr>
            <w:tcW w:w="646" w:type="pct"/>
            <w:vAlign w:val="center"/>
          </w:tcPr>
          <w:p>
            <w:pPr>
              <w:spacing w:after="0" w:line="240" w:lineRule="auto"/>
              <w:jc w:val="center"/>
              <w:rPr>
                <w:rFonts w:hint="eastAsia" w:ascii="仿宋_GB2312" w:hAnsi="仿宋_GB2312" w:eastAsia="仿宋_GB2312" w:cs="仿宋_GB2312"/>
                <w:color w:val="auto"/>
                <w:sz w:val="24"/>
                <w:szCs w:val="24"/>
                <w:highlight w:val="none"/>
                <w:lang w:val="en-US" w:eastAsia="zh-CN"/>
              </w:rPr>
            </w:pPr>
          </w:p>
        </w:tc>
        <w:tc>
          <w:tcPr>
            <w:tcW w:w="582" w:type="pct"/>
            <w:vAlign w:val="center"/>
          </w:tcPr>
          <w:p>
            <w:pPr>
              <w:spacing w:after="0" w:line="240" w:lineRule="auto"/>
              <w:jc w:val="center"/>
              <w:rPr>
                <w:rFonts w:hint="eastAsia" w:ascii="仿宋_GB2312" w:hAnsi="仿宋_GB2312" w:eastAsia="仿宋_GB2312" w:cs="仿宋_GB2312"/>
                <w:color w:val="auto"/>
                <w:sz w:val="24"/>
                <w:szCs w:val="24"/>
                <w:highlight w:val="none"/>
              </w:rPr>
            </w:pPr>
          </w:p>
        </w:tc>
        <w:tc>
          <w:tcPr>
            <w:tcW w:w="582" w:type="pct"/>
            <w:vAlign w:val="center"/>
          </w:tcPr>
          <w:p>
            <w:pPr>
              <w:spacing w:after="0" w:line="240" w:lineRule="auto"/>
              <w:jc w:val="center"/>
              <w:rPr>
                <w:rFonts w:hint="eastAsia" w:ascii="仿宋_GB2312" w:hAnsi="仿宋_GB2312" w:eastAsia="仿宋_GB2312" w:cs="仿宋_GB2312"/>
                <w:color w:val="auto"/>
                <w:sz w:val="24"/>
                <w:szCs w:val="24"/>
                <w:highlight w:val="none"/>
              </w:rPr>
            </w:pPr>
          </w:p>
        </w:tc>
        <w:tc>
          <w:tcPr>
            <w:tcW w:w="582" w:type="pct"/>
            <w:vAlign w:val="center"/>
          </w:tcPr>
          <w:p>
            <w:pPr>
              <w:spacing w:after="0" w:line="240" w:lineRule="auto"/>
              <w:jc w:val="center"/>
              <w:rPr>
                <w:rFonts w:hint="eastAsia" w:ascii="仿宋_GB2312" w:hAnsi="仿宋_GB2312" w:eastAsia="仿宋_GB2312" w:cs="仿宋_GB2312"/>
                <w:color w:val="auto"/>
                <w:sz w:val="24"/>
                <w:szCs w:val="24"/>
                <w:highlight w:val="none"/>
              </w:rPr>
            </w:pPr>
          </w:p>
        </w:tc>
        <w:tc>
          <w:tcPr>
            <w:tcW w:w="582" w:type="pct"/>
            <w:vAlign w:val="center"/>
          </w:tcPr>
          <w:p>
            <w:pPr>
              <w:spacing w:after="0" w:line="240" w:lineRule="auto"/>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1-18</w:t>
            </w:r>
          </w:p>
        </w:tc>
        <w:tc>
          <w:tcPr>
            <w:tcW w:w="584" w:type="pct"/>
            <w:vAlign w:val="center"/>
          </w:tcPr>
          <w:p>
            <w:pPr>
              <w:spacing w:after="0" w:line="240" w:lineRule="auto"/>
              <w:jc w:val="center"/>
              <w:rPr>
                <w:rFonts w:hint="eastAsia" w:ascii="仿宋_GB2312" w:hAnsi="仿宋_GB2312" w:eastAsia="仿宋_GB2312" w:cs="仿宋_GB2312"/>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437" w:type="pct"/>
            <w:vAlign w:val="center"/>
          </w:tcPr>
          <w:p>
            <w:pPr>
              <w:spacing w:after="0" w:line="240" w:lineRule="auto"/>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val="0"/>
                <w:bCs w:val="0"/>
                <w:color w:val="auto"/>
                <w:sz w:val="24"/>
                <w:szCs w:val="24"/>
                <w:highlight w:val="none"/>
              </w:rPr>
              <w:t>岗位实习</w:t>
            </w:r>
          </w:p>
        </w:tc>
        <w:tc>
          <w:tcPr>
            <w:tcW w:w="646" w:type="pct"/>
            <w:vAlign w:val="center"/>
          </w:tcPr>
          <w:p>
            <w:pPr>
              <w:spacing w:after="0" w:line="240" w:lineRule="auto"/>
              <w:jc w:val="center"/>
              <w:rPr>
                <w:rFonts w:hint="eastAsia" w:ascii="仿宋_GB2312" w:hAnsi="仿宋_GB2312" w:eastAsia="仿宋_GB2312" w:cs="仿宋_GB2312"/>
                <w:color w:val="auto"/>
                <w:sz w:val="24"/>
                <w:szCs w:val="24"/>
                <w:highlight w:val="none"/>
              </w:rPr>
            </w:pPr>
          </w:p>
        </w:tc>
        <w:tc>
          <w:tcPr>
            <w:tcW w:w="582" w:type="pct"/>
            <w:vAlign w:val="center"/>
          </w:tcPr>
          <w:p>
            <w:pPr>
              <w:spacing w:after="0" w:line="240" w:lineRule="auto"/>
              <w:jc w:val="center"/>
              <w:rPr>
                <w:rFonts w:hint="eastAsia" w:ascii="仿宋_GB2312" w:hAnsi="仿宋_GB2312" w:eastAsia="仿宋_GB2312" w:cs="仿宋_GB2312"/>
                <w:color w:val="auto"/>
                <w:sz w:val="24"/>
                <w:szCs w:val="24"/>
                <w:highlight w:val="none"/>
              </w:rPr>
            </w:pPr>
          </w:p>
        </w:tc>
        <w:tc>
          <w:tcPr>
            <w:tcW w:w="582" w:type="pct"/>
            <w:vAlign w:val="center"/>
          </w:tcPr>
          <w:p>
            <w:pPr>
              <w:spacing w:after="0" w:line="240" w:lineRule="auto"/>
              <w:jc w:val="center"/>
              <w:rPr>
                <w:rFonts w:hint="eastAsia" w:ascii="仿宋_GB2312" w:hAnsi="仿宋_GB2312" w:eastAsia="仿宋_GB2312" w:cs="仿宋_GB2312"/>
                <w:color w:val="auto"/>
                <w:sz w:val="24"/>
                <w:szCs w:val="24"/>
                <w:highlight w:val="none"/>
              </w:rPr>
            </w:pPr>
          </w:p>
        </w:tc>
        <w:tc>
          <w:tcPr>
            <w:tcW w:w="582" w:type="pct"/>
            <w:vAlign w:val="center"/>
          </w:tcPr>
          <w:p>
            <w:pPr>
              <w:spacing w:after="0" w:line="240" w:lineRule="auto"/>
              <w:jc w:val="center"/>
              <w:rPr>
                <w:rFonts w:hint="eastAsia" w:ascii="仿宋_GB2312" w:hAnsi="仿宋_GB2312" w:eastAsia="仿宋_GB2312" w:cs="仿宋_GB2312"/>
                <w:color w:val="auto"/>
                <w:sz w:val="24"/>
                <w:szCs w:val="24"/>
                <w:highlight w:val="none"/>
              </w:rPr>
            </w:pPr>
          </w:p>
        </w:tc>
        <w:tc>
          <w:tcPr>
            <w:tcW w:w="582" w:type="pct"/>
            <w:vAlign w:val="center"/>
          </w:tcPr>
          <w:p>
            <w:pPr>
              <w:spacing w:after="0" w:line="240" w:lineRule="auto"/>
              <w:jc w:val="center"/>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1-20</w:t>
            </w:r>
          </w:p>
        </w:tc>
        <w:tc>
          <w:tcPr>
            <w:tcW w:w="584" w:type="pct"/>
            <w:vAlign w:val="center"/>
          </w:tcPr>
          <w:p>
            <w:pPr>
              <w:spacing w:after="0" w:line="240" w:lineRule="auto"/>
              <w:jc w:val="center"/>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437" w:type="pct"/>
            <w:vAlign w:val="center"/>
          </w:tcPr>
          <w:p>
            <w:pPr>
              <w:spacing w:after="0" w:line="240" w:lineRule="auto"/>
              <w:jc w:val="center"/>
              <w:rPr>
                <w:rFonts w:hint="eastAsia" w:ascii="仿宋_GB2312" w:hAnsi="仿宋_GB2312" w:eastAsia="仿宋_GB2312" w:cs="仿宋_GB2312"/>
                <w:b w:val="0"/>
                <w:bCs w:val="0"/>
                <w:color w:val="auto"/>
                <w:sz w:val="24"/>
                <w:szCs w:val="24"/>
                <w:highlight w:val="none"/>
                <w:lang w:val="en-US" w:eastAsia="zh-CN"/>
              </w:rPr>
            </w:pPr>
            <w:r>
              <w:rPr>
                <w:rFonts w:hint="eastAsia" w:ascii="仿宋_GB2312" w:hAnsi="仿宋_GB2312" w:eastAsia="仿宋_GB2312" w:cs="仿宋_GB2312"/>
                <w:b w:val="0"/>
                <w:bCs w:val="0"/>
                <w:color w:val="auto"/>
                <w:sz w:val="24"/>
                <w:szCs w:val="24"/>
                <w:highlight w:val="none"/>
                <w:lang w:val="en-US" w:eastAsia="zh-CN"/>
              </w:rPr>
              <w:t>社会实践</w:t>
            </w:r>
          </w:p>
        </w:tc>
        <w:tc>
          <w:tcPr>
            <w:tcW w:w="646" w:type="pct"/>
            <w:vAlign w:val="center"/>
          </w:tcPr>
          <w:p>
            <w:pPr>
              <w:spacing w:after="0" w:line="240" w:lineRule="auto"/>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1-20</w:t>
            </w:r>
          </w:p>
        </w:tc>
        <w:tc>
          <w:tcPr>
            <w:tcW w:w="582" w:type="pct"/>
            <w:vAlign w:val="center"/>
          </w:tcPr>
          <w:p>
            <w:pPr>
              <w:spacing w:after="0" w:line="240" w:lineRule="auto"/>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1-20</w:t>
            </w:r>
          </w:p>
        </w:tc>
        <w:tc>
          <w:tcPr>
            <w:tcW w:w="582" w:type="pct"/>
            <w:vAlign w:val="center"/>
          </w:tcPr>
          <w:p>
            <w:pPr>
              <w:spacing w:after="0" w:line="240" w:lineRule="auto"/>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1-20</w:t>
            </w:r>
          </w:p>
        </w:tc>
        <w:tc>
          <w:tcPr>
            <w:tcW w:w="582" w:type="pct"/>
            <w:vAlign w:val="center"/>
          </w:tcPr>
          <w:p>
            <w:pPr>
              <w:spacing w:after="0" w:line="240" w:lineRule="auto"/>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1-20</w:t>
            </w:r>
          </w:p>
        </w:tc>
        <w:tc>
          <w:tcPr>
            <w:tcW w:w="582" w:type="pct"/>
            <w:vAlign w:val="center"/>
          </w:tcPr>
          <w:p>
            <w:pPr>
              <w:spacing w:after="0" w:line="240" w:lineRule="auto"/>
              <w:jc w:val="center"/>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1-20</w:t>
            </w:r>
          </w:p>
        </w:tc>
        <w:tc>
          <w:tcPr>
            <w:tcW w:w="584" w:type="pct"/>
            <w:vAlign w:val="center"/>
          </w:tcPr>
          <w:p>
            <w:pPr>
              <w:spacing w:after="0" w:line="240" w:lineRule="auto"/>
              <w:jc w:val="center"/>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437" w:type="pct"/>
            <w:vAlign w:val="center"/>
          </w:tcPr>
          <w:p>
            <w:pPr>
              <w:spacing w:after="0" w:line="240" w:lineRule="auto"/>
              <w:jc w:val="center"/>
              <w:rPr>
                <w:rFonts w:hint="eastAsia" w:ascii="仿宋_GB2312" w:hAnsi="仿宋_GB2312" w:eastAsia="仿宋_GB2312" w:cs="仿宋_GB2312"/>
                <w:b w:val="0"/>
                <w:bCs w:val="0"/>
                <w:color w:val="auto"/>
                <w:sz w:val="24"/>
                <w:szCs w:val="24"/>
                <w:highlight w:val="none"/>
                <w:lang w:val="en-US" w:eastAsia="zh-CN"/>
              </w:rPr>
            </w:pPr>
            <w:r>
              <w:rPr>
                <w:rFonts w:hint="eastAsia" w:ascii="仿宋_GB2312" w:hAnsi="仿宋_GB2312" w:eastAsia="仿宋_GB2312" w:cs="仿宋_GB2312"/>
                <w:b w:val="0"/>
                <w:bCs w:val="0"/>
                <w:color w:val="auto"/>
                <w:sz w:val="24"/>
                <w:szCs w:val="24"/>
                <w:highlight w:val="none"/>
                <w:lang w:val="en-US" w:eastAsia="zh-CN"/>
              </w:rPr>
              <w:t>毕业教育</w:t>
            </w:r>
          </w:p>
        </w:tc>
        <w:tc>
          <w:tcPr>
            <w:tcW w:w="646" w:type="pct"/>
            <w:vAlign w:val="center"/>
          </w:tcPr>
          <w:p>
            <w:pPr>
              <w:spacing w:after="0" w:line="240" w:lineRule="auto"/>
              <w:jc w:val="center"/>
              <w:rPr>
                <w:rFonts w:hint="eastAsia" w:ascii="仿宋_GB2312" w:hAnsi="仿宋_GB2312" w:eastAsia="仿宋_GB2312" w:cs="仿宋_GB2312"/>
                <w:color w:val="auto"/>
                <w:sz w:val="24"/>
                <w:szCs w:val="24"/>
                <w:highlight w:val="none"/>
              </w:rPr>
            </w:pPr>
          </w:p>
        </w:tc>
        <w:tc>
          <w:tcPr>
            <w:tcW w:w="582" w:type="pct"/>
            <w:vAlign w:val="center"/>
          </w:tcPr>
          <w:p>
            <w:pPr>
              <w:spacing w:after="0" w:line="240" w:lineRule="auto"/>
              <w:jc w:val="center"/>
              <w:rPr>
                <w:rFonts w:hint="eastAsia" w:ascii="仿宋_GB2312" w:hAnsi="仿宋_GB2312" w:eastAsia="仿宋_GB2312" w:cs="仿宋_GB2312"/>
                <w:color w:val="auto"/>
                <w:sz w:val="24"/>
                <w:szCs w:val="24"/>
                <w:highlight w:val="none"/>
              </w:rPr>
            </w:pPr>
          </w:p>
        </w:tc>
        <w:tc>
          <w:tcPr>
            <w:tcW w:w="582" w:type="pct"/>
            <w:vAlign w:val="center"/>
          </w:tcPr>
          <w:p>
            <w:pPr>
              <w:spacing w:after="0" w:line="240" w:lineRule="auto"/>
              <w:jc w:val="center"/>
              <w:rPr>
                <w:rFonts w:hint="eastAsia" w:ascii="仿宋_GB2312" w:hAnsi="仿宋_GB2312" w:eastAsia="仿宋_GB2312" w:cs="仿宋_GB2312"/>
                <w:color w:val="auto"/>
                <w:sz w:val="24"/>
                <w:szCs w:val="24"/>
                <w:highlight w:val="none"/>
              </w:rPr>
            </w:pPr>
          </w:p>
        </w:tc>
        <w:tc>
          <w:tcPr>
            <w:tcW w:w="582" w:type="pct"/>
            <w:vAlign w:val="center"/>
          </w:tcPr>
          <w:p>
            <w:pPr>
              <w:spacing w:after="0" w:line="240" w:lineRule="auto"/>
              <w:jc w:val="center"/>
              <w:rPr>
                <w:rFonts w:hint="eastAsia" w:ascii="仿宋_GB2312" w:hAnsi="仿宋_GB2312" w:eastAsia="仿宋_GB2312" w:cs="仿宋_GB2312"/>
                <w:color w:val="auto"/>
                <w:sz w:val="24"/>
                <w:szCs w:val="24"/>
                <w:highlight w:val="none"/>
              </w:rPr>
            </w:pPr>
          </w:p>
        </w:tc>
        <w:tc>
          <w:tcPr>
            <w:tcW w:w="582" w:type="pct"/>
            <w:vAlign w:val="center"/>
          </w:tcPr>
          <w:p>
            <w:pPr>
              <w:spacing w:after="0" w:line="240" w:lineRule="auto"/>
              <w:jc w:val="center"/>
              <w:rPr>
                <w:rFonts w:hint="eastAsia" w:ascii="仿宋_GB2312" w:hAnsi="仿宋_GB2312" w:eastAsia="仿宋_GB2312" w:cs="仿宋_GB2312"/>
                <w:color w:val="auto"/>
                <w:sz w:val="24"/>
                <w:szCs w:val="24"/>
                <w:highlight w:val="none"/>
                <w:lang w:val="en-US" w:eastAsia="zh-CN"/>
              </w:rPr>
            </w:pPr>
          </w:p>
        </w:tc>
        <w:tc>
          <w:tcPr>
            <w:tcW w:w="584" w:type="pct"/>
            <w:vAlign w:val="center"/>
          </w:tcPr>
          <w:p>
            <w:pPr>
              <w:spacing w:after="0" w:line="240" w:lineRule="auto"/>
              <w:jc w:val="center"/>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18-19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437" w:type="pct"/>
            <w:vAlign w:val="center"/>
          </w:tcPr>
          <w:p>
            <w:pPr>
              <w:spacing w:after="0" w:line="240" w:lineRule="auto"/>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val="0"/>
                <w:bCs w:val="0"/>
                <w:color w:val="auto"/>
                <w:sz w:val="24"/>
                <w:szCs w:val="24"/>
                <w:highlight w:val="none"/>
              </w:rPr>
              <w:t>学期教学总周数</w:t>
            </w:r>
          </w:p>
        </w:tc>
        <w:tc>
          <w:tcPr>
            <w:tcW w:w="646" w:type="pct"/>
            <w:vAlign w:val="center"/>
          </w:tcPr>
          <w:p>
            <w:pPr>
              <w:spacing w:after="0" w:line="240" w:lineRule="auto"/>
              <w:jc w:val="center"/>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20周</w:t>
            </w:r>
          </w:p>
        </w:tc>
        <w:tc>
          <w:tcPr>
            <w:tcW w:w="582" w:type="pct"/>
            <w:vAlign w:val="center"/>
          </w:tcPr>
          <w:p>
            <w:pPr>
              <w:spacing w:after="0" w:line="240" w:lineRule="auto"/>
              <w:jc w:val="center"/>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20周</w:t>
            </w:r>
          </w:p>
        </w:tc>
        <w:tc>
          <w:tcPr>
            <w:tcW w:w="582" w:type="pct"/>
            <w:vAlign w:val="center"/>
          </w:tcPr>
          <w:p>
            <w:pPr>
              <w:spacing w:after="0" w:line="240" w:lineRule="auto"/>
              <w:jc w:val="center"/>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20周</w:t>
            </w:r>
          </w:p>
        </w:tc>
        <w:tc>
          <w:tcPr>
            <w:tcW w:w="582" w:type="pct"/>
            <w:vAlign w:val="center"/>
          </w:tcPr>
          <w:p>
            <w:pPr>
              <w:spacing w:after="0" w:line="240" w:lineRule="auto"/>
              <w:jc w:val="center"/>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20周</w:t>
            </w:r>
          </w:p>
        </w:tc>
        <w:tc>
          <w:tcPr>
            <w:tcW w:w="582" w:type="pct"/>
            <w:vAlign w:val="center"/>
          </w:tcPr>
          <w:p>
            <w:pPr>
              <w:spacing w:after="0" w:line="240" w:lineRule="auto"/>
              <w:jc w:val="center"/>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20周</w:t>
            </w:r>
          </w:p>
        </w:tc>
        <w:tc>
          <w:tcPr>
            <w:tcW w:w="584" w:type="pct"/>
            <w:vAlign w:val="center"/>
          </w:tcPr>
          <w:p>
            <w:pPr>
              <w:spacing w:after="0" w:line="240" w:lineRule="auto"/>
              <w:jc w:val="center"/>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20周</w:t>
            </w:r>
          </w:p>
        </w:tc>
      </w:tr>
    </w:tbl>
    <w:p>
      <w:pPr>
        <w:keepNext w:val="0"/>
        <w:keepLines w:val="0"/>
        <w:pageBreakBefore w:val="0"/>
        <w:widowControl w:val="0"/>
        <w:kinsoku/>
        <w:wordWrap/>
        <w:overflowPunct/>
        <w:topLinePunct w:val="0"/>
        <w:autoSpaceDE/>
        <w:autoSpaceDN/>
        <w:bidi w:val="0"/>
        <w:adjustRightInd/>
        <w:snapToGrid/>
        <w:spacing w:after="0" w:line="520" w:lineRule="exact"/>
        <w:ind w:firstLine="640" w:firstLineChars="200"/>
        <w:textAlignment w:val="auto"/>
        <w:rPr>
          <w:rFonts w:hint="eastAsia" w:ascii="楷体" w:hAnsi="楷体" w:eastAsia="楷体" w:cs="楷体"/>
          <w:bCs/>
          <w:color w:val="auto"/>
          <w:sz w:val="32"/>
          <w:szCs w:val="32"/>
          <w:highlight w:val="none"/>
        </w:rPr>
      </w:pPr>
      <w:r>
        <w:rPr>
          <w:rFonts w:hint="eastAsia" w:ascii="楷体" w:hAnsi="楷体" w:eastAsia="楷体" w:cs="楷体"/>
          <w:color w:val="auto"/>
          <w:sz w:val="32"/>
          <w:szCs w:val="32"/>
          <w:highlight w:val="none"/>
          <w:lang w:eastAsia="zh-CN"/>
        </w:rPr>
        <w:t>（</w:t>
      </w:r>
      <w:r>
        <w:rPr>
          <w:rFonts w:hint="eastAsia" w:ascii="楷体" w:hAnsi="楷体" w:eastAsia="楷体" w:cs="楷体"/>
          <w:color w:val="auto"/>
          <w:sz w:val="32"/>
          <w:szCs w:val="32"/>
          <w:highlight w:val="none"/>
          <w:lang w:val="en-US" w:eastAsia="zh-CN"/>
        </w:rPr>
        <w:t>二</w:t>
      </w:r>
      <w:r>
        <w:rPr>
          <w:rFonts w:hint="eastAsia" w:ascii="楷体" w:hAnsi="楷体" w:eastAsia="楷体" w:cs="楷体"/>
          <w:color w:val="auto"/>
          <w:sz w:val="32"/>
          <w:szCs w:val="32"/>
          <w:highlight w:val="none"/>
          <w:lang w:eastAsia="zh-CN"/>
        </w:rPr>
        <w:t>）</w:t>
      </w:r>
      <w:r>
        <w:rPr>
          <w:rFonts w:hint="eastAsia" w:ascii="楷体" w:hAnsi="楷体" w:eastAsia="楷体" w:cs="楷体"/>
          <w:bCs/>
          <w:color w:val="auto"/>
          <w:sz w:val="32"/>
          <w:szCs w:val="32"/>
          <w:highlight w:val="none"/>
        </w:rPr>
        <w:t>课程结构与学时、学分分配</w:t>
      </w:r>
    </w:p>
    <w:p>
      <w:pPr>
        <w:keepNext w:val="0"/>
        <w:keepLines w:val="0"/>
        <w:pageBreakBefore w:val="0"/>
        <w:widowControl w:val="0"/>
        <w:kinsoku/>
        <w:wordWrap/>
        <w:overflowPunct/>
        <w:topLinePunct w:val="0"/>
        <w:autoSpaceDE/>
        <w:autoSpaceDN/>
        <w:bidi w:val="0"/>
        <w:adjustRightInd/>
        <w:snapToGrid/>
        <w:spacing w:after="0" w:line="52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bCs/>
          <w:color w:val="auto"/>
          <w:sz w:val="32"/>
          <w:szCs w:val="32"/>
          <w:highlight w:val="none"/>
        </w:rPr>
        <w:t>本专业教学总学时为</w:t>
      </w:r>
      <w:r>
        <w:rPr>
          <w:rFonts w:hint="eastAsia" w:ascii="仿宋_GB2312" w:hAnsi="仿宋_GB2312" w:eastAsia="仿宋_GB2312" w:cs="仿宋_GB2312"/>
          <w:color w:val="auto"/>
          <w:spacing w:val="-2"/>
          <w:sz w:val="32"/>
          <w:szCs w:val="32"/>
          <w:highlight w:val="none"/>
          <w:lang w:val="en-US" w:eastAsia="zh-CN"/>
        </w:rPr>
        <w:t>2694</w:t>
      </w:r>
      <w:r>
        <w:rPr>
          <w:rFonts w:hint="eastAsia" w:ascii="仿宋_GB2312" w:hAnsi="仿宋_GB2312" w:eastAsia="仿宋_GB2312" w:cs="仿宋_GB2312"/>
          <w:bCs/>
          <w:color w:val="auto"/>
          <w:sz w:val="32"/>
          <w:szCs w:val="32"/>
          <w:highlight w:val="none"/>
        </w:rPr>
        <w:t>学时。其中理论教学</w:t>
      </w:r>
      <w:r>
        <w:rPr>
          <w:rFonts w:hint="eastAsia" w:ascii="仿宋_GB2312" w:hAnsi="仿宋_GB2312" w:eastAsia="仿宋_GB2312" w:cs="仿宋_GB2312"/>
          <w:color w:val="auto"/>
          <w:spacing w:val="-2"/>
          <w:sz w:val="32"/>
          <w:szCs w:val="32"/>
          <w:highlight w:val="none"/>
          <w:lang w:val="en-US" w:eastAsia="zh-CN"/>
        </w:rPr>
        <w:t>1290</w:t>
      </w:r>
      <w:r>
        <w:rPr>
          <w:rFonts w:hint="eastAsia" w:ascii="仿宋_GB2312" w:hAnsi="仿宋_GB2312" w:eastAsia="仿宋_GB2312" w:cs="仿宋_GB2312"/>
          <w:bCs/>
          <w:color w:val="auto"/>
          <w:sz w:val="32"/>
          <w:szCs w:val="32"/>
          <w:highlight w:val="none"/>
        </w:rPr>
        <w:t>学时，占</w:t>
      </w:r>
      <w:r>
        <w:rPr>
          <w:rFonts w:hint="eastAsia" w:ascii="仿宋_GB2312" w:hAnsi="仿宋_GB2312" w:eastAsia="仿宋_GB2312" w:cs="仿宋_GB2312"/>
          <w:color w:val="auto"/>
          <w:spacing w:val="-2"/>
          <w:sz w:val="32"/>
          <w:szCs w:val="32"/>
          <w:highlight w:val="none"/>
          <w:lang w:val="en-US" w:eastAsia="zh-CN"/>
        </w:rPr>
        <w:t>47.88</w:t>
      </w:r>
      <w:r>
        <w:rPr>
          <w:rFonts w:hint="eastAsia" w:ascii="仿宋_GB2312" w:hAnsi="仿宋_GB2312" w:eastAsia="仿宋_GB2312" w:cs="仿宋_GB2312"/>
          <w:bCs/>
          <w:color w:val="auto"/>
          <w:sz w:val="32"/>
          <w:szCs w:val="32"/>
          <w:highlight w:val="none"/>
        </w:rPr>
        <w:t>%；实践教学</w:t>
      </w:r>
      <w:r>
        <w:rPr>
          <w:rFonts w:hint="eastAsia" w:ascii="仿宋_GB2312" w:hAnsi="仿宋_GB2312" w:eastAsia="仿宋_GB2312" w:cs="仿宋_GB2312"/>
          <w:color w:val="auto"/>
          <w:spacing w:val="-2"/>
          <w:sz w:val="32"/>
          <w:szCs w:val="32"/>
          <w:highlight w:val="none"/>
          <w:lang w:val="en-US" w:eastAsia="zh-CN"/>
        </w:rPr>
        <w:t>1404</w:t>
      </w:r>
      <w:r>
        <w:rPr>
          <w:rFonts w:hint="eastAsia" w:ascii="仿宋_GB2312" w:hAnsi="仿宋_GB2312" w:eastAsia="仿宋_GB2312" w:cs="仿宋_GB2312"/>
          <w:bCs/>
          <w:color w:val="auto"/>
          <w:sz w:val="32"/>
          <w:szCs w:val="32"/>
          <w:highlight w:val="none"/>
        </w:rPr>
        <w:t>学时，占</w:t>
      </w:r>
      <w:r>
        <w:rPr>
          <w:rFonts w:hint="eastAsia" w:ascii="仿宋_GB2312" w:hAnsi="仿宋_GB2312" w:eastAsia="仿宋_GB2312" w:cs="仿宋_GB2312"/>
          <w:color w:val="auto"/>
          <w:spacing w:val="-2"/>
          <w:sz w:val="32"/>
          <w:szCs w:val="32"/>
          <w:highlight w:val="none"/>
          <w:lang w:val="en-US" w:eastAsia="zh-CN"/>
        </w:rPr>
        <w:t>52.12</w:t>
      </w:r>
      <w:r>
        <w:rPr>
          <w:rFonts w:hint="eastAsia" w:ascii="仿宋_GB2312" w:hAnsi="仿宋_GB2312" w:eastAsia="仿宋_GB2312" w:cs="仿宋_GB2312"/>
          <w:bCs/>
          <w:color w:val="auto"/>
          <w:sz w:val="32"/>
          <w:szCs w:val="32"/>
          <w:highlight w:val="none"/>
        </w:rPr>
        <w:t>%，其中岗位</w:t>
      </w:r>
      <w:r>
        <w:rPr>
          <w:rFonts w:hint="eastAsia" w:ascii="仿宋_GB2312" w:hAnsi="仿宋_GB2312" w:eastAsia="仿宋_GB2312" w:cs="仿宋_GB2312"/>
          <w:color w:val="auto"/>
          <w:spacing w:val="-2"/>
          <w:sz w:val="32"/>
          <w:szCs w:val="32"/>
          <w:highlight w:val="none"/>
          <w:lang w:val="en-US" w:eastAsia="zh-CN"/>
        </w:rPr>
        <w:t>实习时间累计一般为6个月。</w:t>
      </w:r>
      <w:r>
        <w:rPr>
          <w:rFonts w:hint="eastAsia" w:ascii="仿宋_GB2312" w:hAnsi="仿宋_GB2312" w:eastAsia="仿宋_GB2312" w:cs="仿宋_GB2312"/>
          <w:bCs/>
          <w:color w:val="auto"/>
          <w:sz w:val="32"/>
          <w:szCs w:val="32"/>
          <w:highlight w:val="none"/>
        </w:rPr>
        <w:t>公共基础课</w:t>
      </w:r>
      <w:r>
        <w:rPr>
          <w:rFonts w:hint="eastAsia" w:ascii="仿宋_GB2312" w:hAnsi="仿宋_GB2312" w:eastAsia="仿宋_GB2312" w:cs="仿宋_GB2312"/>
          <w:color w:val="auto"/>
          <w:spacing w:val="-2"/>
          <w:sz w:val="32"/>
          <w:szCs w:val="32"/>
          <w:highlight w:val="none"/>
          <w:lang w:val="en-US" w:eastAsia="zh-CN"/>
        </w:rPr>
        <w:t>922</w:t>
      </w:r>
      <w:r>
        <w:rPr>
          <w:rFonts w:hint="eastAsia" w:ascii="仿宋_GB2312" w:hAnsi="仿宋_GB2312" w:eastAsia="仿宋_GB2312" w:cs="仿宋_GB2312"/>
          <w:bCs/>
          <w:color w:val="auto"/>
          <w:sz w:val="32"/>
          <w:szCs w:val="32"/>
          <w:highlight w:val="none"/>
        </w:rPr>
        <w:t>学时，占</w:t>
      </w:r>
      <w:r>
        <w:rPr>
          <w:rFonts w:hint="eastAsia" w:ascii="仿宋_GB2312" w:hAnsi="仿宋_GB2312" w:eastAsia="仿宋_GB2312" w:cs="仿宋_GB2312"/>
          <w:color w:val="auto"/>
          <w:spacing w:val="-2"/>
          <w:sz w:val="32"/>
          <w:szCs w:val="32"/>
          <w:highlight w:val="none"/>
          <w:lang w:val="en-US" w:eastAsia="zh-CN"/>
        </w:rPr>
        <w:t>34.97</w:t>
      </w:r>
      <w:r>
        <w:rPr>
          <w:rFonts w:hint="eastAsia" w:ascii="仿宋_GB2312" w:hAnsi="仿宋_GB2312" w:eastAsia="仿宋_GB2312" w:cs="仿宋_GB2312"/>
          <w:bCs/>
          <w:color w:val="auto"/>
          <w:sz w:val="32"/>
          <w:szCs w:val="32"/>
          <w:highlight w:val="none"/>
        </w:rPr>
        <w:t>%；选修课</w:t>
      </w:r>
      <w:r>
        <w:rPr>
          <w:rFonts w:hint="eastAsia" w:ascii="仿宋_GB2312" w:hAnsi="仿宋_GB2312" w:eastAsia="仿宋_GB2312" w:cs="仿宋_GB2312"/>
          <w:color w:val="auto"/>
          <w:spacing w:val="-2"/>
          <w:sz w:val="32"/>
          <w:szCs w:val="32"/>
          <w:highlight w:val="none"/>
          <w:lang w:val="en-US" w:eastAsia="zh-CN"/>
        </w:rPr>
        <w:t>272</w:t>
      </w:r>
      <w:r>
        <w:rPr>
          <w:rFonts w:hint="eastAsia" w:ascii="仿宋_GB2312" w:hAnsi="仿宋_GB2312" w:eastAsia="仿宋_GB2312" w:cs="仿宋_GB2312"/>
          <w:bCs/>
          <w:color w:val="auto"/>
          <w:sz w:val="32"/>
          <w:szCs w:val="32"/>
          <w:highlight w:val="none"/>
        </w:rPr>
        <w:t>学时，占</w:t>
      </w:r>
      <w:r>
        <w:rPr>
          <w:rFonts w:hint="eastAsia" w:ascii="仿宋_GB2312" w:hAnsi="仿宋_GB2312" w:eastAsia="仿宋_GB2312" w:cs="仿宋_GB2312"/>
          <w:color w:val="auto"/>
          <w:spacing w:val="-2"/>
          <w:sz w:val="32"/>
          <w:szCs w:val="32"/>
          <w:highlight w:val="none"/>
          <w:lang w:val="en-US" w:eastAsia="zh-CN"/>
        </w:rPr>
        <w:t>10.10</w:t>
      </w:r>
      <w:r>
        <w:rPr>
          <w:rFonts w:hint="eastAsia" w:ascii="仿宋_GB2312" w:hAnsi="仿宋_GB2312" w:eastAsia="仿宋_GB2312" w:cs="仿宋_GB2312"/>
          <w:bCs/>
          <w:color w:val="auto"/>
          <w:sz w:val="32"/>
          <w:szCs w:val="32"/>
          <w:highlight w:val="none"/>
        </w:rPr>
        <w:t xml:space="preserve">%。           </w:t>
      </w:r>
    </w:p>
    <w:p>
      <w:pPr>
        <w:keepNext w:val="0"/>
        <w:keepLines w:val="0"/>
        <w:pageBreakBefore w:val="0"/>
        <w:widowControl w:val="0"/>
        <w:kinsoku/>
        <w:wordWrap/>
        <w:overflowPunct/>
        <w:topLinePunct w:val="0"/>
        <w:autoSpaceDE/>
        <w:autoSpaceDN/>
        <w:bidi w:val="0"/>
        <w:adjustRightInd/>
        <w:snapToGrid/>
        <w:spacing w:after="0" w:line="520" w:lineRule="exact"/>
        <w:jc w:val="center"/>
        <w:textAlignment w:val="auto"/>
        <w:rPr>
          <w:rFonts w:hint="eastAsia" w:ascii="仿宋_GB2312" w:hAnsi="仿宋_GB2312" w:eastAsia="仿宋_GB2312" w:cs="仿宋_GB2312"/>
          <w:color w:val="auto"/>
          <w:spacing w:val="-2"/>
          <w:sz w:val="32"/>
          <w:szCs w:val="32"/>
          <w:highlight w:val="none"/>
        </w:rPr>
      </w:pPr>
      <w:r>
        <w:rPr>
          <w:rFonts w:hint="eastAsia" w:ascii="仿宋_GB2312" w:hAnsi="仿宋_GB2312" w:eastAsia="仿宋_GB2312" w:cs="仿宋_GB2312"/>
          <w:color w:val="auto"/>
          <w:sz w:val="32"/>
          <w:szCs w:val="32"/>
          <w:highlight w:val="none"/>
        </w:rPr>
        <w:t>表</w:t>
      </w:r>
      <w:r>
        <w:rPr>
          <w:rFonts w:hint="eastAsia" w:ascii="仿宋_GB2312" w:hAnsi="仿宋_GB2312" w:eastAsia="仿宋_GB2312" w:cs="仿宋_GB2312"/>
          <w:color w:val="auto"/>
          <w:sz w:val="32"/>
          <w:szCs w:val="32"/>
          <w:highlight w:val="none"/>
          <w:lang w:val="en-US" w:eastAsia="zh-CN"/>
        </w:rPr>
        <w:t xml:space="preserve">9 </w:t>
      </w:r>
      <w:r>
        <w:rPr>
          <w:rFonts w:hint="eastAsia" w:ascii="仿宋_GB2312" w:hAnsi="仿宋_GB2312" w:eastAsia="仿宋_GB2312" w:cs="仿宋_GB2312"/>
          <w:color w:val="auto"/>
          <w:spacing w:val="-2"/>
          <w:sz w:val="32"/>
          <w:szCs w:val="32"/>
          <w:highlight w:val="none"/>
        </w:rPr>
        <w:t>课程学时、学分分配表</w:t>
      </w:r>
    </w:p>
    <w:tbl>
      <w:tblPr>
        <w:tblStyle w:val="7"/>
        <w:tblW w:w="10627"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953"/>
        <w:gridCol w:w="1628"/>
        <w:gridCol w:w="1280"/>
        <w:gridCol w:w="718"/>
        <w:gridCol w:w="1118"/>
        <w:gridCol w:w="896"/>
        <w:gridCol w:w="759"/>
        <w:gridCol w:w="1261"/>
        <w:gridCol w:w="750"/>
        <w:gridCol w:w="126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jc w:val="center"/>
        </w:trPr>
        <w:tc>
          <w:tcPr>
            <w:tcW w:w="2581" w:type="dxa"/>
            <w:gridSpan w:val="2"/>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sz w:val="24"/>
                <w:szCs w:val="24"/>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课程类别</w:t>
            </w:r>
          </w:p>
        </w:tc>
        <w:tc>
          <w:tcPr>
            <w:tcW w:w="12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sz w:val="24"/>
                <w:szCs w:val="24"/>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课程性质</w:t>
            </w:r>
          </w:p>
        </w:tc>
        <w:tc>
          <w:tcPr>
            <w:tcW w:w="718"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left"/>
              <w:textAlignment w:val="center"/>
              <w:rPr>
                <w:rFonts w:hint="eastAsia" w:ascii="仿宋_GB2312" w:hAnsi="仿宋_GB2312" w:eastAsia="仿宋_GB2312" w:cs="仿宋_GB2312"/>
                <w:i w:val="0"/>
                <w:iCs w:val="0"/>
                <w:color w:val="auto"/>
                <w:sz w:val="24"/>
                <w:szCs w:val="24"/>
                <w:highlight w:val="none"/>
                <w:u w:val="none"/>
              </w:rPr>
            </w:pPr>
            <w:r>
              <w:rPr>
                <w:rFonts w:hint="eastAsia" w:ascii="仿宋_GB2312" w:hAnsi="仿宋_GB2312" w:eastAsia="仿宋_GB2312" w:cs="仿宋_GB2312"/>
                <w:i w:val="0"/>
                <w:iCs w:val="0"/>
                <w:color w:val="auto"/>
                <w:kern w:val="0"/>
                <w:sz w:val="24"/>
                <w:szCs w:val="24"/>
                <w:highlight w:val="none"/>
                <w:u w:val="none"/>
                <w:lang w:val="en-US" w:eastAsia="zh-CN" w:bidi="ar"/>
              </w:rPr>
              <w:t>学分</w:t>
            </w:r>
          </w:p>
        </w:tc>
        <w:tc>
          <w:tcPr>
            <w:tcW w:w="111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4"/>
                <w:szCs w:val="24"/>
                <w:highlight w:val="none"/>
                <w:u w:val="none"/>
              </w:rPr>
            </w:pPr>
            <w:r>
              <w:rPr>
                <w:rFonts w:hint="eastAsia" w:ascii="仿宋_GB2312" w:hAnsi="仿宋_GB2312" w:eastAsia="仿宋_GB2312" w:cs="仿宋_GB2312"/>
                <w:i w:val="0"/>
                <w:iCs w:val="0"/>
                <w:color w:val="auto"/>
                <w:kern w:val="0"/>
                <w:sz w:val="24"/>
                <w:szCs w:val="24"/>
                <w:highlight w:val="none"/>
                <w:u w:val="none"/>
                <w:lang w:val="en-US" w:eastAsia="zh-CN" w:bidi="ar"/>
              </w:rPr>
              <w:t>占专业总学分比例</w:t>
            </w:r>
          </w:p>
        </w:tc>
        <w:tc>
          <w:tcPr>
            <w:tcW w:w="4930"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left"/>
              <w:textAlignment w:val="center"/>
              <w:rPr>
                <w:rFonts w:hint="eastAsia" w:ascii="仿宋_GB2312" w:hAnsi="仿宋_GB2312" w:eastAsia="仿宋_GB2312" w:cs="仿宋_GB2312"/>
                <w:i w:val="0"/>
                <w:iCs w:val="0"/>
                <w:color w:val="auto"/>
                <w:sz w:val="24"/>
                <w:szCs w:val="24"/>
                <w:highlight w:val="none"/>
                <w:u w:val="none"/>
              </w:rPr>
            </w:pPr>
            <w:r>
              <w:rPr>
                <w:rFonts w:hint="eastAsia" w:ascii="仿宋_GB2312" w:hAnsi="仿宋_GB2312" w:eastAsia="仿宋_GB2312" w:cs="仿宋_GB2312"/>
                <w:i w:val="0"/>
                <w:iCs w:val="0"/>
                <w:color w:val="auto"/>
                <w:kern w:val="0"/>
                <w:sz w:val="24"/>
                <w:szCs w:val="24"/>
                <w:highlight w:val="none"/>
                <w:u w:val="none"/>
                <w:lang w:val="en-US" w:eastAsia="zh-CN" w:bidi="ar"/>
              </w:rPr>
              <w:t xml:space="preserve">                         学时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jc w:val="center"/>
        </w:trPr>
        <w:tc>
          <w:tcPr>
            <w:tcW w:w="258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4"/>
                <w:szCs w:val="24"/>
                <w:highlight w:val="none"/>
                <w:u w:val="none"/>
              </w:rPr>
            </w:pPr>
          </w:p>
        </w:tc>
        <w:tc>
          <w:tcPr>
            <w:tcW w:w="12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4"/>
                <w:szCs w:val="24"/>
                <w:highlight w:val="none"/>
                <w:u w:val="none"/>
              </w:rPr>
            </w:pPr>
          </w:p>
        </w:tc>
        <w:tc>
          <w:tcPr>
            <w:tcW w:w="71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rPr>
                <w:rFonts w:hint="eastAsia" w:ascii="仿宋_GB2312" w:hAnsi="仿宋_GB2312" w:eastAsia="仿宋_GB2312" w:cs="仿宋_GB2312"/>
                <w:i w:val="0"/>
                <w:iCs w:val="0"/>
                <w:color w:val="auto"/>
                <w:sz w:val="24"/>
                <w:szCs w:val="24"/>
                <w:highlight w:val="none"/>
                <w:u w:val="none"/>
              </w:rPr>
            </w:pPr>
          </w:p>
        </w:tc>
        <w:tc>
          <w:tcPr>
            <w:tcW w:w="11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4"/>
                <w:szCs w:val="24"/>
                <w:highlight w:val="none"/>
                <w:u w:val="none"/>
              </w:rPr>
            </w:pPr>
          </w:p>
        </w:tc>
        <w:tc>
          <w:tcPr>
            <w:tcW w:w="896"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left"/>
              <w:textAlignment w:val="center"/>
              <w:rPr>
                <w:rFonts w:hint="eastAsia" w:ascii="仿宋_GB2312" w:hAnsi="仿宋_GB2312" w:eastAsia="仿宋_GB2312" w:cs="仿宋_GB2312"/>
                <w:i w:val="0"/>
                <w:iCs w:val="0"/>
                <w:color w:val="auto"/>
                <w:sz w:val="24"/>
                <w:szCs w:val="24"/>
                <w:highlight w:val="none"/>
                <w:u w:val="none"/>
              </w:rPr>
            </w:pPr>
            <w:r>
              <w:rPr>
                <w:rFonts w:hint="eastAsia" w:ascii="仿宋_GB2312" w:hAnsi="仿宋_GB2312" w:eastAsia="仿宋_GB2312" w:cs="仿宋_GB2312"/>
                <w:i w:val="0"/>
                <w:iCs w:val="0"/>
                <w:color w:val="auto"/>
                <w:kern w:val="0"/>
                <w:sz w:val="24"/>
                <w:szCs w:val="24"/>
                <w:highlight w:val="none"/>
                <w:u w:val="none"/>
                <w:lang w:val="en-US" w:eastAsia="zh-CN" w:bidi="ar"/>
              </w:rPr>
              <w:t>合计</w:t>
            </w:r>
          </w:p>
        </w:tc>
        <w:tc>
          <w:tcPr>
            <w:tcW w:w="202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4"/>
                <w:szCs w:val="24"/>
                <w:highlight w:val="none"/>
                <w:u w:val="none"/>
              </w:rPr>
            </w:pPr>
            <w:r>
              <w:rPr>
                <w:rFonts w:hint="eastAsia" w:ascii="仿宋_GB2312" w:hAnsi="仿宋_GB2312" w:eastAsia="仿宋_GB2312" w:cs="仿宋_GB2312"/>
                <w:i w:val="0"/>
                <w:iCs w:val="0"/>
                <w:color w:val="auto"/>
                <w:kern w:val="0"/>
                <w:sz w:val="24"/>
                <w:szCs w:val="24"/>
                <w:highlight w:val="none"/>
                <w:u w:val="none"/>
                <w:lang w:val="en-US" w:eastAsia="zh-CN" w:bidi="ar"/>
              </w:rPr>
              <w:t>理论教学</w:t>
            </w:r>
          </w:p>
        </w:tc>
        <w:tc>
          <w:tcPr>
            <w:tcW w:w="2014"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4"/>
                <w:szCs w:val="24"/>
                <w:highlight w:val="none"/>
                <w:u w:val="none"/>
              </w:rPr>
            </w:pPr>
            <w:r>
              <w:rPr>
                <w:rFonts w:hint="eastAsia" w:ascii="仿宋_GB2312" w:hAnsi="仿宋_GB2312" w:eastAsia="仿宋_GB2312" w:cs="仿宋_GB2312"/>
                <w:i w:val="0"/>
                <w:iCs w:val="0"/>
                <w:color w:val="auto"/>
                <w:kern w:val="0"/>
                <w:sz w:val="24"/>
                <w:szCs w:val="24"/>
                <w:highlight w:val="none"/>
                <w:u w:val="none"/>
                <w:lang w:val="en-US" w:eastAsia="zh-CN" w:bidi="ar"/>
              </w:rPr>
              <w:t>实践教学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70" w:hRule="atLeast"/>
          <w:jc w:val="center"/>
        </w:trPr>
        <w:tc>
          <w:tcPr>
            <w:tcW w:w="258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4"/>
                <w:szCs w:val="24"/>
                <w:highlight w:val="none"/>
                <w:u w:val="none"/>
              </w:rPr>
            </w:pPr>
          </w:p>
        </w:tc>
        <w:tc>
          <w:tcPr>
            <w:tcW w:w="12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4"/>
                <w:szCs w:val="24"/>
                <w:highlight w:val="none"/>
                <w:u w:val="none"/>
              </w:rPr>
            </w:pPr>
          </w:p>
        </w:tc>
        <w:tc>
          <w:tcPr>
            <w:tcW w:w="71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rPr>
                <w:rFonts w:hint="eastAsia" w:ascii="仿宋_GB2312" w:hAnsi="仿宋_GB2312" w:eastAsia="仿宋_GB2312" w:cs="仿宋_GB2312"/>
                <w:i w:val="0"/>
                <w:iCs w:val="0"/>
                <w:color w:val="auto"/>
                <w:sz w:val="24"/>
                <w:szCs w:val="24"/>
                <w:highlight w:val="none"/>
                <w:u w:val="none"/>
              </w:rPr>
            </w:pPr>
          </w:p>
        </w:tc>
        <w:tc>
          <w:tcPr>
            <w:tcW w:w="11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4"/>
                <w:szCs w:val="24"/>
                <w:highlight w:val="none"/>
                <w:u w:val="none"/>
              </w:rPr>
            </w:pPr>
          </w:p>
        </w:tc>
        <w:tc>
          <w:tcPr>
            <w:tcW w:w="89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rPr>
                <w:rFonts w:hint="eastAsia" w:ascii="仿宋_GB2312" w:hAnsi="仿宋_GB2312" w:eastAsia="仿宋_GB2312" w:cs="仿宋_GB2312"/>
                <w:i w:val="0"/>
                <w:iCs w:val="0"/>
                <w:color w:val="auto"/>
                <w:sz w:val="24"/>
                <w:szCs w:val="24"/>
                <w:highlight w:val="none"/>
                <w:u w:val="none"/>
              </w:rPr>
            </w:pP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left"/>
              <w:textAlignment w:val="center"/>
              <w:rPr>
                <w:rFonts w:hint="eastAsia" w:ascii="仿宋_GB2312" w:hAnsi="仿宋_GB2312" w:eastAsia="仿宋_GB2312" w:cs="仿宋_GB2312"/>
                <w:i w:val="0"/>
                <w:iCs w:val="0"/>
                <w:color w:val="auto"/>
                <w:sz w:val="24"/>
                <w:szCs w:val="24"/>
                <w:highlight w:val="none"/>
                <w:u w:val="none"/>
              </w:rPr>
            </w:pPr>
            <w:r>
              <w:rPr>
                <w:rFonts w:hint="eastAsia" w:ascii="仿宋_GB2312" w:hAnsi="仿宋_GB2312" w:eastAsia="仿宋_GB2312" w:cs="仿宋_GB2312"/>
                <w:i w:val="0"/>
                <w:iCs w:val="0"/>
                <w:color w:val="auto"/>
                <w:kern w:val="0"/>
                <w:sz w:val="24"/>
                <w:szCs w:val="24"/>
                <w:highlight w:val="none"/>
                <w:u w:val="none"/>
                <w:lang w:val="en-US" w:eastAsia="zh-CN" w:bidi="ar"/>
              </w:rPr>
              <w:t>学时</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left"/>
              <w:textAlignment w:val="center"/>
              <w:rPr>
                <w:rFonts w:hint="eastAsia" w:ascii="仿宋_GB2312" w:hAnsi="仿宋_GB2312" w:eastAsia="仿宋_GB2312" w:cs="仿宋_GB2312"/>
                <w:i w:val="0"/>
                <w:iCs w:val="0"/>
                <w:color w:val="auto"/>
                <w:sz w:val="24"/>
                <w:szCs w:val="24"/>
                <w:highlight w:val="none"/>
                <w:u w:val="none"/>
              </w:rPr>
            </w:pPr>
            <w:r>
              <w:rPr>
                <w:rFonts w:hint="eastAsia" w:ascii="仿宋_GB2312" w:hAnsi="仿宋_GB2312" w:eastAsia="仿宋_GB2312" w:cs="仿宋_GB2312"/>
                <w:i w:val="0"/>
                <w:iCs w:val="0"/>
                <w:color w:val="auto"/>
                <w:kern w:val="0"/>
                <w:sz w:val="24"/>
                <w:szCs w:val="24"/>
                <w:highlight w:val="none"/>
                <w:u w:val="none"/>
                <w:lang w:val="en-US" w:eastAsia="zh-CN" w:bidi="ar"/>
              </w:rPr>
              <w:t>占专业总学时比例（%）</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left"/>
              <w:textAlignment w:val="center"/>
              <w:rPr>
                <w:rFonts w:hint="eastAsia" w:ascii="仿宋_GB2312" w:hAnsi="仿宋_GB2312" w:eastAsia="仿宋_GB2312" w:cs="仿宋_GB2312"/>
                <w:i w:val="0"/>
                <w:iCs w:val="0"/>
                <w:color w:val="auto"/>
                <w:sz w:val="24"/>
                <w:szCs w:val="24"/>
                <w:highlight w:val="none"/>
                <w:u w:val="none"/>
              </w:rPr>
            </w:pPr>
            <w:r>
              <w:rPr>
                <w:rFonts w:hint="eastAsia" w:ascii="仿宋_GB2312" w:hAnsi="仿宋_GB2312" w:eastAsia="仿宋_GB2312" w:cs="仿宋_GB2312"/>
                <w:i w:val="0"/>
                <w:iCs w:val="0"/>
                <w:color w:val="auto"/>
                <w:kern w:val="0"/>
                <w:sz w:val="24"/>
                <w:szCs w:val="24"/>
                <w:highlight w:val="none"/>
                <w:u w:val="none"/>
                <w:lang w:val="en-US" w:eastAsia="zh-CN" w:bidi="ar"/>
              </w:rPr>
              <w:t>学时</w:t>
            </w:r>
          </w:p>
        </w:tc>
        <w:tc>
          <w:tcPr>
            <w:tcW w:w="12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left"/>
              <w:textAlignment w:val="center"/>
              <w:rPr>
                <w:rFonts w:hint="eastAsia" w:ascii="仿宋_GB2312" w:hAnsi="仿宋_GB2312" w:eastAsia="仿宋_GB2312" w:cs="仿宋_GB2312"/>
                <w:i w:val="0"/>
                <w:iCs w:val="0"/>
                <w:color w:val="auto"/>
                <w:sz w:val="24"/>
                <w:szCs w:val="24"/>
                <w:highlight w:val="none"/>
                <w:u w:val="none"/>
              </w:rPr>
            </w:pPr>
            <w:r>
              <w:rPr>
                <w:rFonts w:hint="eastAsia" w:ascii="仿宋_GB2312" w:hAnsi="仿宋_GB2312" w:eastAsia="仿宋_GB2312" w:cs="仿宋_GB2312"/>
                <w:i w:val="0"/>
                <w:iCs w:val="0"/>
                <w:color w:val="auto"/>
                <w:kern w:val="0"/>
                <w:sz w:val="24"/>
                <w:szCs w:val="24"/>
                <w:highlight w:val="none"/>
                <w:u w:val="none"/>
                <w:lang w:val="en-US" w:eastAsia="zh-CN" w:bidi="ar"/>
              </w:rPr>
              <w:t>占专业总学时比例（%）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jc w:val="center"/>
        </w:trPr>
        <w:tc>
          <w:tcPr>
            <w:tcW w:w="2581" w:type="dxa"/>
            <w:gridSpan w:val="2"/>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sz w:val="24"/>
                <w:szCs w:val="24"/>
                <w:highlight w:val="none"/>
                <w:u w:val="none"/>
              </w:rPr>
            </w:pPr>
            <w:r>
              <w:rPr>
                <w:rFonts w:hint="eastAsia" w:ascii="仿宋_GB2312" w:hAnsi="仿宋_GB2312" w:eastAsia="仿宋_GB2312" w:cs="仿宋_GB2312"/>
                <w:i w:val="0"/>
                <w:color w:val="auto"/>
                <w:kern w:val="0"/>
                <w:sz w:val="20"/>
                <w:szCs w:val="20"/>
                <w:highlight w:val="none"/>
                <w:u w:val="none"/>
                <w:lang w:val="en-US" w:eastAsia="zh-CN" w:bidi="ar"/>
              </w:rPr>
              <w:t>公共基础课</w:t>
            </w:r>
          </w:p>
        </w:tc>
        <w:tc>
          <w:tcPr>
            <w:tcW w:w="12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sz w:val="24"/>
                <w:szCs w:val="24"/>
                <w:highlight w:val="none"/>
                <w:u w:val="none"/>
              </w:rPr>
            </w:pPr>
            <w:r>
              <w:rPr>
                <w:rFonts w:hint="eastAsia" w:ascii="仿宋_GB2312" w:hAnsi="仿宋_GB2312" w:eastAsia="仿宋_GB2312" w:cs="仿宋_GB2312"/>
                <w:i w:val="0"/>
                <w:color w:val="auto"/>
                <w:kern w:val="0"/>
                <w:sz w:val="20"/>
                <w:szCs w:val="20"/>
                <w:highlight w:val="none"/>
                <w:u w:val="none"/>
                <w:lang w:val="en-US" w:eastAsia="zh-CN" w:bidi="ar"/>
              </w:rPr>
              <w:t>必修</w:t>
            </w:r>
          </w:p>
        </w:tc>
        <w:tc>
          <w:tcPr>
            <w:tcW w:w="7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4"/>
                <w:szCs w:val="24"/>
                <w:highlight w:val="none"/>
                <w:u w:val="none"/>
              </w:rPr>
            </w:pPr>
            <w:r>
              <w:rPr>
                <w:rFonts w:hint="eastAsia" w:ascii="仿宋_GB2312" w:hAnsi="仿宋_GB2312" w:eastAsia="仿宋_GB2312" w:cs="仿宋_GB2312"/>
                <w:i w:val="0"/>
                <w:iCs w:val="0"/>
                <w:color w:val="auto"/>
                <w:kern w:val="0"/>
                <w:sz w:val="24"/>
                <w:szCs w:val="24"/>
                <w:highlight w:val="none"/>
                <w:u w:val="none"/>
                <w:lang w:val="en-US" w:eastAsia="zh-CN" w:bidi="ar"/>
              </w:rPr>
              <w:t>42</w:t>
            </w:r>
          </w:p>
        </w:tc>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4"/>
                <w:szCs w:val="24"/>
                <w:highlight w:val="none"/>
                <w:u w:val="none"/>
              </w:rPr>
            </w:pPr>
            <w:r>
              <w:rPr>
                <w:rFonts w:hint="eastAsia" w:ascii="仿宋_GB2312" w:hAnsi="仿宋_GB2312" w:eastAsia="仿宋_GB2312" w:cs="仿宋_GB2312"/>
                <w:i w:val="0"/>
                <w:iCs w:val="0"/>
                <w:color w:val="auto"/>
                <w:kern w:val="0"/>
                <w:sz w:val="24"/>
                <w:szCs w:val="24"/>
                <w:highlight w:val="none"/>
                <w:u w:val="none"/>
                <w:lang w:val="en-US" w:eastAsia="zh-CN" w:bidi="ar"/>
              </w:rPr>
              <w:t>29.37%</w:t>
            </w:r>
          </w:p>
        </w:tc>
        <w:tc>
          <w:tcPr>
            <w:tcW w:w="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4"/>
                <w:szCs w:val="24"/>
                <w:highlight w:val="none"/>
                <w:u w:val="none"/>
              </w:rPr>
            </w:pPr>
            <w:r>
              <w:rPr>
                <w:rFonts w:hint="eastAsia" w:ascii="仿宋_GB2312" w:hAnsi="仿宋_GB2312" w:eastAsia="仿宋_GB2312" w:cs="仿宋_GB2312"/>
                <w:i w:val="0"/>
                <w:iCs w:val="0"/>
                <w:color w:val="auto"/>
                <w:kern w:val="0"/>
                <w:sz w:val="24"/>
                <w:szCs w:val="24"/>
                <w:highlight w:val="none"/>
                <w:u w:val="none"/>
                <w:lang w:val="en-US" w:eastAsia="zh-CN" w:bidi="ar"/>
              </w:rPr>
              <w:t>794</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4"/>
                <w:szCs w:val="24"/>
                <w:highlight w:val="none"/>
                <w:u w:val="none"/>
              </w:rPr>
            </w:pPr>
            <w:r>
              <w:rPr>
                <w:rFonts w:hint="eastAsia" w:ascii="仿宋_GB2312" w:hAnsi="仿宋_GB2312" w:eastAsia="仿宋_GB2312" w:cs="仿宋_GB2312"/>
                <w:i w:val="0"/>
                <w:iCs w:val="0"/>
                <w:color w:val="auto"/>
                <w:kern w:val="0"/>
                <w:sz w:val="24"/>
                <w:szCs w:val="24"/>
                <w:highlight w:val="none"/>
                <w:u w:val="none"/>
                <w:lang w:val="en-US" w:eastAsia="zh-CN" w:bidi="ar"/>
              </w:rPr>
              <w:t>454</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4"/>
                <w:szCs w:val="24"/>
                <w:highlight w:val="none"/>
                <w:u w:val="none"/>
              </w:rPr>
            </w:pPr>
            <w:r>
              <w:rPr>
                <w:rFonts w:hint="eastAsia" w:ascii="仿宋_GB2312" w:hAnsi="仿宋_GB2312" w:eastAsia="仿宋_GB2312" w:cs="仿宋_GB2312"/>
                <w:i w:val="0"/>
                <w:iCs w:val="0"/>
                <w:color w:val="auto"/>
                <w:kern w:val="0"/>
                <w:sz w:val="24"/>
                <w:szCs w:val="24"/>
                <w:highlight w:val="none"/>
                <w:u w:val="none"/>
                <w:lang w:val="en-US" w:eastAsia="zh-CN" w:bidi="ar"/>
              </w:rPr>
              <w:t>16.85%</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4"/>
                <w:szCs w:val="24"/>
                <w:highlight w:val="none"/>
                <w:u w:val="none"/>
              </w:rPr>
            </w:pPr>
            <w:r>
              <w:rPr>
                <w:rFonts w:hint="eastAsia" w:ascii="仿宋_GB2312" w:hAnsi="仿宋_GB2312" w:eastAsia="仿宋_GB2312" w:cs="仿宋_GB2312"/>
                <w:i w:val="0"/>
                <w:iCs w:val="0"/>
                <w:color w:val="auto"/>
                <w:kern w:val="0"/>
                <w:sz w:val="24"/>
                <w:szCs w:val="24"/>
                <w:highlight w:val="none"/>
                <w:u w:val="none"/>
                <w:lang w:val="en-US" w:eastAsia="zh-CN" w:bidi="ar"/>
              </w:rPr>
              <w:t>340</w:t>
            </w:r>
          </w:p>
        </w:tc>
        <w:tc>
          <w:tcPr>
            <w:tcW w:w="12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4"/>
                <w:szCs w:val="24"/>
                <w:highlight w:val="none"/>
                <w:u w:val="none"/>
              </w:rPr>
            </w:pPr>
            <w:r>
              <w:rPr>
                <w:rFonts w:hint="eastAsia" w:ascii="仿宋_GB2312" w:hAnsi="仿宋_GB2312" w:eastAsia="仿宋_GB2312" w:cs="仿宋_GB2312"/>
                <w:i w:val="0"/>
                <w:iCs w:val="0"/>
                <w:color w:val="auto"/>
                <w:kern w:val="0"/>
                <w:sz w:val="24"/>
                <w:szCs w:val="24"/>
                <w:highlight w:val="none"/>
                <w:u w:val="none"/>
                <w:lang w:val="en-US" w:eastAsia="zh-CN" w:bidi="ar"/>
              </w:rPr>
              <w:t>12.62%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jc w:val="center"/>
        </w:trPr>
        <w:tc>
          <w:tcPr>
            <w:tcW w:w="258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20" w:lineRule="exact"/>
              <w:jc w:val="center"/>
              <w:rPr>
                <w:rFonts w:hint="eastAsia" w:ascii="仿宋_GB2312" w:hAnsi="仿宋_GB2312" w:eastAsia="仿宋_GB2312" w:cs="仿宋_GB2312"/>
                <w:i w:val="0"/>
                <w:iCs w:val="0"/>
                <w:color w:val="auto"/>
                <w:sz w:val="24"/>
                <w:szCs w:val="24"/>
                <w:highlight w:val="none"/>
                <w:u w:val="none"/>
              </w:rPr>
            </w:pPr>
            <w:bookmarkStart w:id="6" w:name="_GoBack" w:colFirst="5" w:colLast="5"/>
          </w:p>
        </w:tc>
        <w:tc>
          <w:tcPr>
            <w:tcW w:w="12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sz w:val="24"/>
                <w:szCs w:val="24"/>
                <w:highlight w:val="none"/>
                <w:u w:val="none"/>
              </w:rPr>
            </w:pPr>
            <w:r>
              <w:rPr>
                <w:rFonts w:hint="eastAsia" w:ascii="仿宋_GB2312" w:hAnsi="仿宋_GB2312" w:eastAsia="仿宋_GB2312" w:cs="仿宋_GB2312"/>
                <w:i w:val="0"/>
                <w:color w:val="auto"/>
                <w:kern w:val="0"/>
                <w:sz w:val="20"/>
                <w:szCs w:val="20"/>
                <w:highlight w:val="none"/>
                <w:u w:val="none"/>
                <w:lang w:val="en-US" w:eastAsia="zh-CN" w:bidi="ar"/>
              </w:rPr>
              <w:t>选修</w:t>
            </w:r>
          </w:p>
        </w:tc>
        <w:tc>
          <w:tcPr>
            <w:tcW w:w="7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4"/>
                <w:szCs w:val="24"/>
                <w:highlight w:val="none"/>
                <w:u w:val="none"/>
              </w:rPr>
            </w:pPr>
            <w:r>
              <w:rPr>
                <w:rFonts w:hint="eastAsia" w:ascii="仿宋_GB2312" w:hAnsi="仿宋_GB2312" w:eastAsia="仿宋_GB2312" w:cs="仿宋_GB2312"/>
                <w:i w:val="0"/>
                <w:iCs w:val="0"/>
                <w:color w:val="auto"/>
                <w:kern w:val="0"/>
                <w:sz w:val="24"/>
                <w:szCs w:val="24"/>
                <w:highlight w:val="none"/>
                <w:u w:val="none"/>
                <w:lang w:val="en-US" w:eastAsia="zh-CN" w:bidi="ar"/>
              </w:rPr>
              <w:t>8</w:t>
            </w:r>
          </w:p>
        </w:tc>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4"/>
                <w:szCs w:val="24"/>
                <w:highlight w:val="none"/>
                <w:u w:val="none"/>
              </w:rPr>
            </w:pPr>
            <w:r>
              <w:rPr>
                <w:rFonts w:hint="eastAsia" w:ascii="仿宋_GB2312" w:hAnsi="仿宋_GB2312" w:eastAsia="仿宋_GB2312" w:cs="仿宋_GB2312"/>
                <w:i w:val="0"/>
                <w:iCs w:val="0"/>
                <w:color w:val="auto"/>
                <w:kern w:val="0"/>
                <w:sz w:val="24"/>
                <w:szCs w:val="24"/>
                <w:highlight w:val="none"/>
                <w:u w:val="none"/>
                <w:lang w:val="en-US" w:eastAsia="zh-CN" w:bidi="ar"/>
              </w:rPr>
              <w:t>5.59%</w:t>
            </w:r>
          </w:p>
        </w:tc>
        <w:tc>
          <w:tcPr>
            <w:tcW w:w="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4"/>
                <w:szCs w:val="24"/>
                <w:highlight w:val="none"/>
                <w:u w:val="none"/>
              </w:rPr>
            </w:pPr>
            <w:r>
              <w:rPr>
                <w:rFonts w:hint="eastAsia" w:ascii="仿宋_GB2312" w:hAnsi="仿宋_GB2312" w:eastAsia="仿宋_GB2312" w:cs="仿宋_GB2312"/>
                <w:i w:val="0"/>
                <w:iCs w:val="0"/>
                <w:color w:val="auto"/>
                <w:kern w:val="0"/>
                <w:sz w:val="24"/>
                <w:szCs w:val="24"/>
                <w:highlight w:val="none"/>
                <w:u w:val="none"/>
                <w:lang w:val="en-US" w:eastAsia="zh-CN" w:bidi="ar"/>
              </w:rPr>
              <w:t>128</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4"/>
                <w:szCs w:val="24"/>
                <w:highlight w:val="none"/>
                <w:u w:val="none"/>
              </w:rPr>
            </w:pPr>
            <w:r>
              <w:rPr>
                <w:rFonts w:hint="eastAsia" w:ascii="仿宋_GB2312" w:hAnsi="仿宋_GB2312" w:eastAsia="仿宋_GB2312" w:cs="仿宋_GB2312"/>
                <w:i w:val="0"/>
                <w:iCs w:val="0"/>
                <w:color w:val="auto"/>
                <w:kern w:val="0"/>
                <w:sz w:val="24"/>
                <w:szCs w:val="24"/>
                <w:highlight w:val="none"/>
                <w:u w:val="none"/>
                <w:lang w:val="en-US" w:eastAsia="zh-CN" w:bidi="ar"/>
              </w:rPr>
              <w:t>80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4"/>
                <w:szCs w:val="24"/>
                <w:highlight w:val="none"/>
                <w:u w:val="none"/>
              </w:rPr>
            </w:pPr>
            <w:r>
              <w:rPr>
                <w:rFonts w:hint="eastAsia" w:ascii="仿宋_GB2312" w:hAnsi="仿宋_GB2312" w:eastAsia="仿宋_GB2312" w:cs="仿宋_GB2312"/>
                <w:i w:val="0"/>
                <w:iCs w:val="0"/>
                <w:color w:val="auto"/>
                <w:kern w:val="0"/>
                <w:sz w:val="24"/>
                <w:szCs w:val="24"/>
                <w:highlight w:val="none"/>
                <w:u w:val="none"/>
                <w:lang w:val="en-US" w:eastAsia="zh-CN" w:bidi="ar"/>
              </w:rPr>
              <w:t>2.97%</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4"/>
                <w:szCs w:val="24"/>
                <w:highlight w:val="none"/>
                <w:u w:val="none"/>
              </w:rPr>
            </w:pPr>
            <w:r>
              <w:rPr>
                <w:rFonts w:hint="eastAsia" w:ascii="仿宋_GB2312" w:hAnsi="仿宋_GB2312" w:eastAsia="仿宋_GB2312" w:cs="仿宋_GB2312"/>
                <w:i w:val="0"/>
                <w:iCs w:val="0"/>
                <w:color w:val="auto"/>
                <w:kern w:val="0"/>
                <w:sz w:val="24"/>
                <w:szCs w:val="24"/>
                <w:highlight w:val="none"/>
                <w:u w:val="none"/>
                <w:lang w:val="en-US" w:eastAsia="zh-CN" w:bidi="ar"/>
              </w:rPr>
              <w:t>48</w:t>
            </w:r>
          </w:p>
        </w:tc>
        <w:tc>
          <w:tcPr>
            <w:tcW w:w="12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4"/>
                <w:szCs w:val="24"/>
                <w:highlight w:val="none"/>
                <w:u w:val="none"/>
              </w:rPr>
            </w:pPr>
            <w:r>
              <w:rPr>
                <w:rFonts w:hint="eastAsia" w:ascii="仿宋_GB2312" w:hAnsi="仿宋_GB2312" w:eastAsia="仿宋_GB2312" w:cs="仿宋_GB2312"/>
                <w:i w:val="0"/>
                <w:iCs w:val="0"/>
                <w:color w:val="auto"/>
                <w:kern w:val="0"/>
                <w:sz w:val="24"/>
                <w:szCs w:val="24"/>
                <w:highlight w:val="none"/>
                <w:u w:val="none"/>
                <w:lang w:val="en-US" w:eastAsia="zh-CN" w:bidi="ar"/>
              </w:rPr>
              <w:t>1.78%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jc w:val="center"/>
        </w:trPr>
        <w:tc>
          <w:tcPr>
            <w:tcW w:w="258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20" w:lineRule="exact"/>
              <w:jc w:val="center"/>
              <w:rPr>
                <w:rFonts w:hint="eastAsia" w:ascii="仿宋_GB2312" w:hAnsi="仿宋_GB2312" w:eastAsia="仿宋_GB2312" w:cs="仿宋_GB2312"/>
                <w:i w:val="0"/>
                <w:iCs w:val="0"/>
                <w:color w:val="auto"/>
                <w:sz w:val="24"/>
                <w:szCs w:val="24"/>
                <w:highlight w:val="none"/>
                <w:u w:val="none"/>
              </w:rPr>
            </w:pPr>
          </w:p>
        </w:tc>
        <w:tc>
          <w:tcPr>
            <w:tcW w:w="12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sz w:val="24"/>
                <w:szCs w:val="24"/>
                <w:highlight w:val="none"/>
                <w:u w:val="none"/>
              </w:rPr>
            </w:pPr>
            <w:r>
              <w:rPr>
                <w:rFonts w:hint="eastAsia" w:ascii="仿宋_GB2312" w:hAnsi="仿宋_GB2312" w:eastAsia="仿宋_GB2312" w:cs="仿宋_GB2312"/>
                <w:i w:val="0"/>
                <w:color w:val="auto"/>
                <w:kern w:val="0"/>
                <w:sz w:val="20"/>
                <w:szCs w:val="20"/>
                <w:highlight w:val="none"/>
                <w:u w:val="none"/>
                <w:lang w:val="en-US" w:eastAsia="zh-CN" w:bidi="ar"/>
              </w:rPr>
              <w:t>小计</w:t>
            </w:r>
          </w:p>
        </w:tc>
        <w:tc>
          <w:tcPr>
            <w:tcW w:w="7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4"/>
                <w:szCs w:val="24"/>
                <w:highlight w:val="none"/>
                <w:u w:val="none"/>
              </w:rPr>
            </w:pPr>
            <w:r>
              <w:rPr>
                <w:rFonts w:hint="eastAsia" w:ascii="仿宋_GB2312" w:hAnsi="仿宋_GB2312" w:eastAsia="仿宋_GB2312" w:cs="仿宋_GB2312"/>
                <w:i w:val="0"/>
                <w:iCs w:val="0"/>
                <w:color w:val="auto"/>
                <w:kern w:val="0"/>
                <w:sz w:val="24"/>
                <w:szCs w:val="24"/>
                <w:highlight w:val="none"/>
                <w:u w:val="none"/>
                <w:lang w:val="en-US" w:eastAsia="zh-CN" w:bidi="ar"/>
              </w:rPr>
              <w:t>50</w:t>
            </w:r>
          </w:p>
        </w:tc>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4"/>
                <w:szCs w:val="24"/>
                <w:highlight w:val="none"/>
                <w:u w:val="none"/>
              </w:rPr>
            </w:pPr>
            <w:r>
              <w:rPr>
                <w:rFonts w:hint="eastAsia" w:ascii="仿宋_GB2312" w:hAnsi="仿宋_GB2312" w:eastAsia="仿宋_GB2312" w:cs="仿宋_GB2312"/>
                <w:i w:val="0"/>
                <w:iCs w:val="0"/>
                <w:color w:val="auto"/>
                <w:kern w:val="0"/>
                <w:sz w:val="24"/>
                <w:szCs w:val="24"/>
                <w:highlight w:val="none"/>
                <w:u w:val="none"/>
                <w:lang w:val="en-US" w:eastAsia="zh-CN" w:bidi="ar"/>
              </w:rPr>
              <w:t>34.97%</w:t>
            </w:r>
          </w:p>
        </w:tc>
        <w:tc>
          <w:tcPr>
            <w:tcW w:w="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4"/>
                <w:szCs w:val="24"/>
                <w:highlight w:val="none"/>
                <w:u w:val="none"/>
              </w:rPr>
            </w:pPr>
            <w:r>
              <w:rPr>
                <w:rFonts w:hint="eastAsia" w:ascii="仿宋_GB2312" w:hAnsi="仿宋_GB2312" w:eastAsia="仿宋_GB2312" w:cs="仿宋_GB2312"/>
                <w:i w:val="0"/>
                <w:iCs w:val="0"/>
                <w:color w:val="auto"/>
                <w:kern w:val="0"/>
                <w:sz w:val="24"/>
                <w:szCs w:val="24"/>
                <w:highlight w:val="none"/>
                <w:u w:val="none"/>
                <w:lang w:val="en-US" w:eastAsia="zh-CN" w:bidi="ar"/>
              </w:rPr>
              <w:t>922</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4"/>
                <w:szCs w:val="24"/>
                <w:highlight w:val="none"/>
                <w:u w:val="none"/>
              </w:rPr>
            </w:pPr>
            <w:r>
              <w:rPr>
                <w:rFonts w:hint="eastAsia" w:ascii="仿宋_GB2312" w:hAnsi="仿宋_GB2312" w:eastAsia="仿宋_GB2312" w:cs="仿宋_GB2312"/>
                <w:i w:val="0"/>
                <w:iCs w:val="0"/>
                <w:color w:val="auto"/>
                <w:kern w:val="0"/>
                <w:sz w:val="24"/>
                <w:szCs w:val="24"/>
                <w:highlight w:val="none"/>
                <w:u w:val="none"/>
                <w:lang w:val="en-US" w:eastAsia="zh-CN" w:bidi="ar"/>
              </w:rPr>
              <w:t>534</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4"/>
                <w:szCs w:val="24"/>
                <w:highlight w:val="none"/>
                <w:u w:val="none"/>
              </w:rPr>
            </w:pPr>
            <w:r>
              <w:rPr>
                <w:rFonts w:hint="eastAsia" w:ascii="仿宋_GB2312" w:hAnsi="仿宋_GB2312" w:eastAsia="仿宋_GB2312" w:cs="仿宋_GB2312"/>
                <w:i w:val="0"/>
                <w:iCs w:val="0"/>
                <w:color w:val="auto"/>
                <w:kern w:val="0"/>
                <w:sz w:val="24"/>
                <w:szCs w:val="24"/>
                <w:highlight w:val="none"/>
                <w:u w:val="none"/>
                <w:lang w:val="en-US" w:eastAsia="zh-CN" w:bidi="ar"/>
              </w:rPr>
              <w:t>19.82%</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4"/>
                <w:szCs w:val="24"/>
                <w:highlight w:val="none"/>
                <w:u w:val="none"/>
              </w:rPr>
            </w:pPr>
            <w:r>
              <w:rPr>
                <w:rFonts w:hint="eastAsia" w:ascii="仿宋_GB2312" w:hAnsi="仿宋_GB2312" w:eastAsia="仿宋_GB2312" w:cs="仿宋_GB2312"/>
                <w:i w:val="0"/>
                <w:iCs w:val="0"/>
                <w:color w:val="auto"/>
                <w:kern w:val="0"/>
                <w:sz w:val="24"/>
                <w:szCs w:val="24"/>
                <w:highlight w:val="none"/>
                <w:u w:val="none"/>
                <w:lang w:val="en-US" w:eastAsia="zh-CN" w:bidi="ar"/>
              </w:rPr>
              <w:t>388</w:t>
            </w:r>
          </w:p>
        </w:tc>
        <w:tc>
          <w:tcPr>
            <w:tcW w:w="12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4"/>
                <w:szCs w:val="24"/>
                <w:highlight w:val="none"/>
                <w:u w:val="none"/>
              </w:rPr>
            </w:pPr>
            <w:r>
              <w:rPr>
                <w:rFonts w:hint="eastAsia" w:ascii="仿宋_GB2312" w:hAnsi="仿宋_GB2312" w:eastAsia="仿宋_GB2312" w:cs="仿宋_GB2312"/>
                <w:i w:val="0"/>
                <w:iCs w:val="0"/>
                <w:color w:val="auto"/>
                <w:kern w:val="0"/>
                <w:sz w:val="24"/>
                <w:szCs w:val="24"/>
                <w:highlight w:val="none"/>
                <w:u w:val="none"/>
                <w:lang w:val="en-US" w:eastAsia="zh-CN" w:bidi="ar"/>
              </w:rPr>
              <w:t>14.40%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jc w:val="center"/>
        </w:trPr>
        <w:tc>
          <w:tcPr>
            <w:tcW w:w="95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sz w:val="24"/>
                <w:szCs w:val="24"/>
                <w:highlight w:val="none"/>
                <w:u w:val="none"/>
              </w:rPr>
            </w:pPr>
            <w:r>
              <w:rPr>
                <w:rFonts w:hint="eastAsia" w:ascii="仿宋_GB2312" w:hAnsi="仿宋_GB2312" w:eastAsia="仿宋_GB2312" w:cs="仿宋_GB2312"/>
                <w:i w:val="0"/>
                <w:color w:val="auto"/>
                <w:kern w:val="0"/>
                <w:sz w:val="20"/>
                <w:szCs w:val="20"/>
                <w:highlight w:val="none"/>
                <w:u w:val="none"/>
                <w:lang w:val="en-US" w:eastAsia="zh-CN" w:bidi="ar"/>
              </w:rPr>
              <w:t>专业课</w:t>
            </w:r>
          </w:p>
        </w:tc>
        <w:tc>
          <w:tcPr>
            <w:tcW w:w="16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sz w:val="24"/>
                <w:szCs w:val="24"/>
                <w:highlight w:val="none"/>
                <w:u w:val="none"/>
              </w:rPr>
            </w:pPr>
            <w:r>
              <w:rPr>
                <w:rFonts w:hint="eastAsia" w:ascii="仿宋_GB2312" w:hAnsi="仿宋_GB2312" w:eastAsia="仿宋_GB2312" w:cs="仿宋_GB2312"/>
                <w:i w:val="0"/>
                <w:color w:val="auto"/>
                <w:kern w:val="0"/>
                <w:sz w:val="20"/>
                <w:szCs w:val="20"/>
                <w:highlight w:val="none"/>
                <w:u w:val="none"/>
                <w:lang w:val="en-US" w:eastAsia="zh-CN" w:bidi="ar"/>
              </w:rPr>
              <w:t>专业基础课</w:t>
            </w:r>
          </w:p>
        </w:tc>
        <w:tc>
          <w:tcPr>
            <w:tcW w:w="12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sz w:val="24"/>
                <w:szCs w:val="24"/>
                <w:highlight w:val="none"/>
                <w:u w:val="none"/>
              </w:rPr>
            </w:pPr>
            <w:r>
              <w:rPr>
                <w:rFonts w:hint="eastAsia" w:ascii="仿宋_GB2312" w:hAnsi="仿宋_GB2312" w:eastAsia="仿宋_GB2312" w:cs="仿宋_GB2312"/>
                <w:i w:val="0"/>
                <w:color w:val="auto"/>
                <w:kern w:val="0"/>
                <w:sz w:val="20"/>
                <w:szCs w:val="20"/>
                <w:highlight w:val="none"/>
                <w:u w:val="none"/>
                <w:lang w:val="en-US" w:eastAsia="zh-CN" w:bidi="ar"/>
              </w:rPr>
              <w:t>必修</w:t>
            </w:r>
          </w:p>
        </w:tc>
        <w:tc>
          <w:tcPr>
            <w:tcW w:w="7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4"/>
                <w:szCs w:val="24"/>
                <w:highlight w:val="none"/>
                <w:u w:val="none"/>
              </w:rPr>
            </w:pPr>
            <w:r>
              <w:rPr>
                <w:rFonts w:hint="eastAsia" w:ascii="仿宋_GB2312" w:hAnsi="仿宋_GB2312" w:eastAsia="仿宋_GB2312" w:cs="仿宋_GB2312"/>
                <w:i w:val="0"/>
                <w:iCs w:val="0"/>
                <w:color w:val="auto"/>
                <w:kern w:val="0"/>
                <w:sz w:val="24"/>
                <w:szCs w:val="24"/>
                <w:highlight w:val="none"/>
                <w:u w:val="none"/>
                <w:lang w:val="en-US" w:eastAsia="zh-CN" w:bidi="ar"/>
              </w:rPr>
              <w:t>30</w:t>
            </w:r>
          </w:p>
        </w:tc>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4"/>
                <w:szCs w:val="24"/>
                <w:highlight w:val="none"/>
                <w:u w:val="none"/>
              </w:rPr>
            </w:pPr>
            <w:r>
              <w:rPr>
                <w:rFonts w:hint="eastAsia" w:ascii="仿宋_GB2312" w:hAnsi="仿宋_GB2312" w:eastAsia="仿宋_GB2312" w:cs="仿宋_GB2312"/>
                <w:i w:val="0"/>
                <w:iCs w:val="0"/>
                <w:color w:val="auto"/>
                <w:kern w:val="0"/>
                <w:sz w:val="24"/>
                <w:szCs w:val="24"/>
                <w:highlight w:val="none"/>
                <w:u w:val="none"/>
                <w:lang w:val="en-US" w:eastAsia="zh-CN" w:bidi="ar"/>
              </w:rPr>
              <w:t>20.98%</w:t>
            </w:r>
          </w:p>
        </w:tc>
        <w:tc>
          <w:tcPr>
            <w:tcW w:w="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4"/>
                <w:szCs w:val="24"/>
                <w:highlight w:val="none"/>
                <w:u w:val="none"/>
              </w:rPr>
            </w:pPr>
            <w:r>
              <w:rPr>
                <w:rFonts w:hint="eastAsia" w:ascii="仿宋_GB2312" w:hAnsi="仿宋_GB2312" w:eastAsia="仿宋_GB2312" w:cs="仿宋_GB2312"/>
                <w:i w:val="0"/>
                <w:iCs w:val="0"/>
                <w:color w:val="auto"/>
                <w:kern w:val="0"/>
                <w:sz w:val="24"/>
                <w:szCs w:val="24"/>
                <w:highlight w:val="none"/>
                <w:u w:val="none"/>
                <w:lang w:val="en-US" w:eastAsia="zh-CN" w:bidi="ar"/>
              </w:rPr>
              <w:t>540</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4"/>
                <w:szCs w:val="24"/>
                <w:highlight w:val="none"/>
                <w:u w:val="none"/>
              </w:rPr>
            </w:pPr>
            <w:r>
              <w:rPr>
                <w:rFonts w:hint="eastAsia" w:ascii="仿宋_GB2312" w:hAnsi="仿宋_GB2312" w:eastAsia="仿宋_GB2312" w:cs="仿宋_GB2312"/>
                <w:i w:val="0"/>
                <w:iCs w:val="0"/>
                <w:color w:val="auto"/>
                <w:kern w:val="0"/>
                <w:sz w:val="24"/>
                <w:szCs w:val="24"/>
                <w:highlight w:val="none"/>
                <w:u w:val="none"/>
                <w:lang w:val="en-US" w:eastAsia="zh-CN" w:bidi="ar"/>
              </w:rPr>
              <w:t>352</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4"/>
                <w:szCs w:val="24"/>
                <w:highlight w:val="none"/>
                <w:u w:val="none"/>
              </w:rPr>
            </w:pPr>
            <w:r>
              <w:rPr>
                <w:rFonts w:hint="eastAsia" w:ascii="仿宋_GB2312" w:hAnsi="仿宋_GB2312" w:eastAsia="仿宋_GB2312" w:cs="仿宋_GB2312"/>
                <w:i w:val="0"/>
                <w:iCs w:val="0"/>
                <w:color w:val="auto"/>
                <w:kern w:val="0"/>
                <w:sz w:val="24"/>
                <w:szCs w:val="24"/>
                <w:highlight w:val="none"/>
                <w:u w:val="none"/>
                <w:lang w:val="en-US" w:eastAsia="zh-CN" w:bidi="ar"/>
              </w:rPr>
              <w:t>13.07%</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4"/>
                <w:szCs w:val="24"/>
                <w:highlight w:val="none"/>
                <w:u w:val="none"/>
              </w:rPr>
            </w:pPr>
            <w:r>
              <w:rPr>
                <w:rFonts w:hint="eastAsia" w:ascii="仿宋_GB2312" w:hAnsi="仿宋_GB2312" w:eastAsia="仿宋_GB2312" w:cs="仿宋_GB2312"/>
                <w:i w:val="0"/>
                <w:iCs w:val="0"/>
                <w:color w:val="auto"/>
                <w:kern w:val="0"/>
                <w:sz w:val="24"/>
                <w:szCs w:val="24"/>
                <w:highlight w:val="none"/>
                <w:u w:val="none"/>
                <w:lang w:val="en-US" w:eastAsia="zh-CN" w:bidi="ar"/>
              </w:rPr>
              <w:t>188</w:t>
            </w:r>
          </w:p>
        </w:tc>
        <w:tc>
          <w:tcPr>
            <w:tcW w:w="12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4"/>
                <w:szCs w:val="24"/>
                <w:highlight w:val="none"/>
                <w:u w:val="none"/>
              </w:rPr>
            </w:pPr>
            <w:r>
              <w:rPr>
                <w:rFonts w:hint="eastAsia" w:ascii="仿宋_GB2312" w:hAnsi="仿宋_GB2312" w:eastAsia="仿宋_GB2312" w:cs="仿宋_GB2312"/>
                <w:i w:val="0"/>
                <w:iCs w:val="0"/>
                <w:color w:val="auto"/>
                <w:kern w:val="0"/>
                <w:sz w:val="24"/>
                <w:szCs w:val="24"/>
                <w:highlight w:val="none"/>
                <w:u w:val="none"/>
                <w:lang w:val="en-US" w:eastAsia="zh-CN" w:bidi="ar"/>
              </w:rPr>
              <w:t>6.98%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jc w:val="center"/>
        </w:trPr>
        <w:tc>
          <w:tcPr>
            <w:tcW w:w="9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20" w:lineRule="exact"/>
              <w:jc w:val="center"/>
              <w:rPr>
                <w:rFonts w:hint="eastAsia" w:ascii="仿宋_GB2312" w:hAnsi="仿宋_GB2312" w:eastAsia="仿宋_GB2312" w:cs="仿宋_GB2312"/>
                <w:i w:val="0"/>
                <w:iCs w:val="0"/>
                <w:color w:val="auto"/>
                <w:sz w:val="24"/>
                <w:szCs w:val="24"/>
                <w:highlight w:val="none"/>
                <w:u w:val="none"/>
              </w:rPr>
            </w:pPr>
          </w:p>
        </w:tc>
        <w:tc>
          <w:tcPr>
            <w:tcW w:w="16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sz w:val="24"/>
                <w:szCs w:val="24"/>
                <w:highlight w:val="none"/>
                <w:u w:val="none"/>
              </w:rPr>
            </w:pPr>
            <w:r>
              <w:rPr>
                <w:rFonts w:hint="eastAsia" w:ascii="仿宋_GB2312" w:hAnsi="仿宋_GB2312" w:eastAsia="仿宋_GB2312" w:cs="仿宋_GB2312"/>
                <w:i w:val="0"/>
                <w:color w:val="auto"/>
                <w:kern w:val="0"/>
                <w:sz w:val="20"/>
                <w:szCs w:val="20"/>
                <w:highlight w:val="none"/>
                <w:u w:val="none"/>
                <w:lang w:val="en-US" w:eastAsia="zh-CN" w:bidi="ar"/>
              </w:rPr>
              <w:t>专业核心课</w:t>
            </w:r>
          </w:p>
        </w:tc>
        <w:tc>
          <w:tcPr>
            <w:tcW w:w="12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sz w:val="24"/>
                <w:szCs w:val="24"/>
                <w:highlight w:val="none"/>
                <w:u w:val="none"/>
              </w:rPr>
            </w:pPr>
            <w:r>
              <w:rPr>
                <w:rFonts w:hint="eastAsia" w:ascii="仿宋_GB2312" w:hAnsi="仿宋_GB2312" w:eastAsia="仿宋_GB2312" w:cs="仿宋_GB2312"/>
                <w:i w:val="0"/>
                <w:color w:val="auto"/>
                <w:kern w:val="0"/>
                <w:sz w:val="20"/>
                <w:szCs w:val="20"/>
                <w:highlight w:val="none"/>
                <w:u w:val="none"/>
                <w:lang w:val="en-US" w:eastAsia="zh-CN" w:bidi="ar"/>
              </w:rPr>
              <w:t>必修</w:t>
            </w:r>
          </w:p>
        </w:tc>
        <w:tc>
          <w:tcPr>
            <w:tcW w:w="7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4"/>
                <w:szCs w:val="24"/>
                <w:highlight w:val="none"/>
                <w:u w:val="none"/>
              </w:rPr>
            </w:pPr>
            <w:r>
              <w:rPr>
                <w:rFonts w:hint="eastAsia" w:ascii="仿宋_GB2312" w:hAnsi="仿宋_GB2312" w:eastAsia="仿宋_GB2312" w:cs="仿宋_GB2312"/>
                <w:i w:val="0"/>
                <w:iCs w:val="0"/>
                <w:color w:val="auto"/>
                <w:kern w:val="0"/>
                <w:sz w:val="24"/>
                <w:szCs w:val="24"/>
                <w:highlight w:val="none"/>
                <w:u w:val="none"/>
                <w:lang w:val="en-US" w:eastAsia="zh-CN" w:bidi="ar"/>
              </w:rPr>
              <w:t>32</w:t>
            </w:r>
          </w:p>
        </w:tc>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4"/>
                <w:szCs w:val="24"/>
                <w:highlight w:val="none"/>
                <w:u w:val="none"/>
              </w:rPr>
            </w:pPr>
            <w:r>
              <w:rPr>
                <w:rFonts w:hint="eastAsia" w:ascii="仿宋_GB2312" w:hAnsi="仿宋_GB2312" w:eastAsia="仿宋_GB2312" w:cs="仿宋_GB2312"/>
                <w:i w:val="0"/>
                <w:iCs w:val="0"/>
                <w:color w:val="auto"/>
                <w:kern w:val="0"/>
                <w:sz w:val="24"/>
                <w:szCs w:val="24"/>
                <w:highlight w:val="none"/>
                <w:u w:val="none"/>
                <w:lang w:val="en-US" w:eastAsia="zh-CN" w:bidi="ar"/>
              </w:rPr>
              <w:t>22.38%</w:t>
            </w:r>
          </w:p>
        </w:tc>
        <w:tc>
          <w:tcPr>
            <w:tcW w:w="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4"/>
                <w:szCs w:val="24"/>
                <w:highlight w:val="none"/>
                <w:u w:val="none"/>
              </w:rPr>
            </w:pPr>
            <w:r>
              <w:rPr>
                <w:rFonts w:hint="eastAsia" w:ascii="仿宋_GB2312" w:hAnsi="仿宋_GB2312" w:eastAsia="仿宋_GB2312" w:cs="仿宋_GB2312"/>
                <w:i w:val="0"/>
                <w:iCs w:val="0"/>
                <w:color w:val="auto"/>
                <w:kern w:val="0"/>
                <w:sz w:val="24"/>
                <w:szCs w:val="24"/>
                <w:highlight w:val="none"/>
                <w:u w:val="none"/>
                <w:lang w:val="en-US" w:eastAsia="zh-CN" w:bidi="ar"/>
              </w:rPr>
              <w:t>576</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4"/>
                <w:szCs w:val="24"/>
                <w:highlight w:val="none"/>
                <w:u w:val="none"/>
              </w:rPr>
            </w:pPr>
            <w:r>
              <w:rPr>
                <w:rFonts w:hint="eastAsia" w:ascii="仿宋_GB2312" w:hAnsi="仿宋_GB2312" w:eastAsia="仿宋_GB2312" w:cs="仿宋_GB2312"/>
                <w:i w:val="0"/>
                <w:iCs w:val="0"/>
                <w:color w:val="auto"/>
                <w:kern w:val="0"/>
                <w:sz w:val="24"/>
                <w:szCs w:val="24"/>
                <w:highlight w:val="none"/>
                <w:u w:val="none"/>
                <w:lang w:val="en-US" w:eastAsia="zh-CN" w:bidi="ar"/>
              </w:rPr>
              <w:t>312</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4"/>
                <w:szCs w:val="24"/>
                <w:highlight w:val="none"/>
                <w:u w:val="none"/>
              </w:rPr>
            </w:pPr>
            <w:r>
              <w:rPr>
                <w:rFonts w:hint="eastAsia" w:ascii="仿宋_GB2312" w:hAnsi="仿宋_GB2312" w:eastAsia="仿宋_GB2312" w:cs="仿宋_GB2312"/>
                <w:i w:val="0"/>
                <w:iCs w:val="0"/>
                <w:color w:val="auto"/>
                <w:kern w:val="0"/>
                <w:sz w:val="24"/>
                <w:szCs w:val="24"/>
                <w:highlight w:val="none"/>
                <w:u w:val="none"/>
                <w:lang w:val="en-US" w:eastAsia="zh-CN" w:bidi="ar"/>
              </w:rPr>
              <w:t>11.58%</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4"/>
                <w:szCs w:val="24"/>
                <w:highlight w:val="none"/>
                <w:u w:val="none"/>
              </w:rPr>
            </w:pPr>
            <w:r>
              <w:rPr>
                <w:rFonts w:hint="eastAsia" w:ascii="仿宋_GB2312" w:hAnsi="仿宋_GB2312" w:eastAsia="仿宋_GB2312" w:cs="仿宋_GB2312"/>
                <w:i w:val="0"/>
                <w:iCs w:val="0"/>
                <w:color w:val="auto"/>
                <w:kern w:val="0"/>
                <w:sz w:val="24"/>
                <w:szCs w:val="24"/>
                <w:highlight w:val="none"/>
                <w:u w:val="none"/>
                <w:lang w:val="en-US" w:eastAsia="zh-CN" w:bidi="ar"/>
              </w:rPr>
              <w:t>264</w:t>
            </w:r>
          </w:p>
        </w:tc>
        <w:tc>
          <w:tcPr>
            <w:tcW w:w="12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4"/>
                <w:szCs w:val="24"/>
                <w:highlight w:val="none"/>
                <w:u w:val="none"/>
              </w:rPr>
            </w:pPr>
            <w:r>
              <w:rPr>
                <w:rFonts w:hint="eastAsia" w:ascii="仿宋_GB2312" w:hAnsi="仿宋_GB2312" w:eastAsia="仿宋_GB2312" w:cs="仿宋_GB2312"/>
                <w:i w:val="0"/>
                <w:iCs w:val="0"/>
                <w:color w:val="auto"/>
                <w:kern w:val="0"/>
                <w:sz w:val="24"/>
                <w:szCs w:val="24"/>
                <w:highlight w:val="none"/>
                <w:u w:val="none"/>
                <w:lang w:val="en-US" w:eastAsia="zh-CN" w:bidi="ar"/>
              </w:rPr>
              <w:t>9.80%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jc w:val="center"/>
        </w:trPr>
        <w:tc>
          <w:tcPr>
            <w:tcW w:w="9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20" w:lineRule="exact"/>
              <w:jc w:val="center"/>
              <w:rPr>
                <w:rFonts w:hint="eastAsia" w:ascii="仿宋_GB2312" w:hAnsi="仿宋_GB2312" w:eastAsia="仿宋_GB2312" w:cs="仿宋_GB2312"/>
                <w:i w:val="0"/>
                <w:iCs w:val="0"/>
                <w:color w:val="auto"/>
                <w:sz w:val="24"/>
                <w:szCs w:val="24"/>
                <w:highlight w:val="none"/>
                <w:u w:val="none"/>
              </w:rPr>
            </w:pPr>
          </w:p>
        </w:tc>
        <w:tc>
          <w:tcPr>
            <w:tcW w:w="16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sz w:val="24"/>
                <w:szCs w:val="24"/>
                <w:highlight w:val="none"/>
                <w:u w:val="none"/>
              </w:rPr>
            </w:pPr>
            <w:r>
              <w:rPr>
                <w:rFonts w:hint="eastAsia" w:ascii="仿宋_GB2312" w:hAnsi="仿宋_GB2312" w:eastAsia="仿宋_GB2312" w:cs="仿宋_GB2312"/>
                <w:i w:val="0"/>
                <w:color w:val="auto"/>
                <w:kern w:val="0"/>
                <w:sz w:val="20"/>
                <w:szCs w:val="20"/>
                <w:highlight w:val="none"/>
                <w:u w:val="none"/>
                <w:lang w:val="en-US" w:eastAsia="zh-CN" w:bidi="ar"/>
              </w:rPr>
              <w:t>专业拓展课</w:t>
            </w:r>
          </w:p>
        </w:tc>
        <w:tc>
          <w:tcPr>
            <w:tcW w:w="12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sz w:val="24"/>
                <w:szCs w:val="24"/>
                <w:highlight w:val="none"/>
                <w:u w:val="none"/>
              </w:rPr>
            </w:pPr>
            <w:r>
              <w:rPr>
                <w:rFonts w:hint="eastAsia" w:ascii="仿宋_GB2312" w:hAnsi="仿宋_GB2312" w:eastAsia="仿宋_GB2312" w:cs="仿宋_GB2312"/>
                <w:i w:val="0"/>
                <w:color w:val="auto"/>
                <w:kern w:val="0"/>
                <w:sz w:val="20"/>
                <w:szCs w:val="20"/>
                <w:highlight w:val="none"/>
                <w:u w:val="none"/>
                <w:lang w:val="en-US" w:eastAsia="zh-CN" w:bidi="ar"/>
              </w:rPr>
              <w:t>选修</w:t>
            </w:r>
          </w:p>
        </w:tc>
        <w:tc>
          <w:tcPr>
            <w:tcW w:w="7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4"/>
                <w:szCs w:val="24"/>
                <w:highlight w:val="none"/>
                <w:u w:val="none"/>
              </w:rPr>
            </w:pPr>
            <w:r>
              <w:rPr>
                <w:rFonts w:hint="eastAsia" w:ascii="仿宋_GB2312" w:hAnsi="仿宋_GB2312" w:eastAsia="仿宋_GB2312" w:cs="仿宋_GB2312"/>
                <w:i w:val="0"/>
                <w:iCs w:val="0"/>
                <w:color w:val="auto"/>
                <w:kern w:val="0"/>
                <w:sz w:val="24"/>
                <w:szCs w:val="24"/>
                <w:highlight w:val="none"/>
                <w:u w:val="none"/>
                <w:lang w:val="en-US" w:eastAsia="zh-CN" w:bidi="ar"/>
              </w:rPr>
              <w:t>8</w:t>
            </w:r>
          </w:p>
        </w:tc>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4"/>
                <w:szCs w:val="24"/>
                <w:highlight w:val="none"/>
                <w:u w:val="none"/>
              </w:rPr>
            </w:pPr>
            <w:r>
              <w:rPr>
                <w:rFonts w:hint="eastAsia" w:ascii="仿宋_GB2312" w:hAnsi="仿宋_GB2312" w:eastAsia="仿宋_GB2312" w:cs="仿宋_GB2312"/>
                <w:i w:val="0"/>
                <w:iCs w:val="0"/>
                <w:color w:val="auto"/>
                <w:kern w:val="0"/>
                <w:sz w:val="24"/>
                <w:szCs w:val="24"/>
                <w:highlight w:val="none"/>
                <w:u w:val="none"/>
                <w:lang w:val="en-US" w:eastAsia="zh-CN" w:bidi="ar"/>
              </w:rPr>
              <w:t>5.59%</w:t>
            </w:r>
          </w:p>
        </w:tc>
        <w:tc>
          <w:tcPr>
            <w:tcW w:w="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4"/>
                <w:szCs w:val="24"/>
                <w:highlight w:val="none"/>
                <w:u w:val="none"/>
              </w:rPr>
            </w:pPr>
            <w:r>
              <w:rPr>
                <w:rFonts w:hint="eastAsia" w:ascii="仿宋_GB2312" w:hAnsi="仿宋_GB2312" w:eastAsia="仿宋_GB2312" w:cs="仿宋_GB2312"/>
                <w:i w:val="0"/>
                <w:iCs w:val="0"/>
                <w:color w:val="auto"/>
                <w:kern w:val="0"/>
                <w:sz w:val="24"/>
                <w:szCs w:val="24"/>
                <w:highlight w:val="none"/>
                <w:u w:val="none"/>
                <w:lang w:val="en-US" w:eastAsia="zh-CN" w:bidi="ar"/>
              </w:rPr>
              <w:t>144</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4"/>
                <w:szCs w:val="24"/>
                <w:highlight w:val="none"/>
                <w:u w:val="none"/>
              </w:rPr>
            </w:pPr>
            <w:r>
              <w:rPr>
                <w:rFonts w:hint="eastAsia" w:ascii="仿宋_GB2312" w:hAnsi="仿宋_GB2312" w:eastAsia="仿宋_GB2312" w:cs="仿宋_GB2312"/>
                <w:i w:val="0"/>
                <w:iCs w:val="0"/>
                <w:color w:val="auto"/>
                <w:kern w:val="0"/>
                <w:sz w:val="24"/>
                <w:szCs w:val="24"/>
                <w:highlight w:val="none"/>
                <w:u w:val="none"/>
                <w:lang w:val="en-US" w:eastAsia="zh-CN" w:bidi="ar"/>
              </w:rPr>
              <w:t>72</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4"/>
                <w:szCs w:val="24"/>
                <w:highlight w:val="none"/>
                <w:u w:val="none"/>
              </w:rPr>
            </w:pPr>
            <w:r>
              <w:rPr>
                <w:rFonts w:hint="eastAsia" w:ascii="仿宋_GB2312" w:hAnsi="仿宋_GB2312" w:eastAsia="仿宋_GB2312" w:cs="仿宋_GB2312"/>
                <w:i w:val="0"/>
                <w:iCs w:val="0"/>
                <w:color w:val="auto"/>
                <w:kern w:val="0"/>
                <w:sz w:val="24"/>
                <w:szCs w:val="24"/>
                <w:highlight w:val="none"/>
                <w:u w:val="none"/>
                <w:lang w:val="en-US" w:eastAsia="zh-CN" w:bidi="ar"/>
              </w:rPr>
              <w:t>2.67%</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4"/>
                <w:szCs w:val="24"/>
                <w:highlight w:val="none"/>
                <w:u w:val="none"/>
              </w:rPr>
            </w:pPr>
            <w:r>
              <w:rPr>
                <w:rFonts w:hint="eastAsia" w:ascii="仿宋_GB2312" w:hAnsi="仿宋_GB2312" w:eastAsia="仿宋_GB2312" w:cs="仿宋_GB2312"/>
                <w:i w:val="0"/>
                <w:iCs w:val="0"/>
                <w:color w:val="auto"/>
                <w:kern w:val="0"/>
                <w:sz w:val="24"/>
                <w:szCs w:val="24"/>
                <w:highlight w:val="none"/>
                <w:u w:val="none"/>
                <w:lang w:val="en-US" w:eastAsia="zh-CN" w:bidi="ar"/>
              </w:rPr>
              <w:t>72</w:t>
            </w:r>
          </w:p>
        </w:tc>
        <w:tc>
          <w:tcPr>
            <w:tcW w:w="12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4"/>
                <w:szCs w:val="24"/>
                <w:highlight w:val="none"/>
                <w:u w:val="none"/>
              </w:rPr>
            </w:pPr>
            <w:r>
              <w:rPr>
                <w:rFonts w:hint="eastAsia" w:ascii="仿宋_GB2312" w:hAnsi="仿宋_GB2312" w:eastAsia="仿宋_GB2312" w:cs="仿宋_GB2312"/>
                <w:i w:val="0"/>
                <w:iCs w:val="0"/>
                <w:color w:val="auto"/>
                <w:kern w:val="0"/>
                <w:sz w:val="24"/>
                <w:szCs w:val="24"/>
                <w:highlight w:val="none"/>
                <w:u w:val="none"/>
                <w:lang w:val="en-US" w:eastAsia="zh-CN" w:bidi="ar"/>
              </w:rPr>
              <w:t>2.67%</w:t>
            </w:r>
          </w:p>
        </w:tc>
      </w:tr>
      <w:bookmarkEnd w:id="6"/>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jc w:val="center"/>
        </w:trPr>
        <w:tc>
          <w:tcPr>
            <w:tcW w:w="9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auto"/>
                <w:kern w:val="0"/>
                <w:sz w:val="24"/>
                <w:szCs w:val="24"/>
                <w:highlight w:val="none"/>
                <w:u w:val="none"/>
                <w:lang w:val="en-US" w:eastAsia="zh-CN" w:bidi="ar"/>
              </w:rPr>
            </w:pPr>
          </w:p>
        </w:tc>
        <w:tc>
          <w:tcPr>
            <w:tcW w:w="16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color w:val="auto"/>
                <w:highlight w:val="none"/>
              </w:rPr>
            </w:pPr>
            <w:r>
              <w:rPr>
                <w:rFonts w:hint="eastAsia" w:ascii="仿宋_GB2312" w:hAnsi="仿宋_GB2312" w:eastAsia="仿宋_GB2312" w:cs="仿宋_GB2312"/>
                <w:i w:val="0"/>
                <w:iCs w:val="0"/>
                <w:color w:val="auto"/>
                <w:sz w:val="20"/>
                <w:szCs w:val="20"/>
                <w:highlight w:val="none"/>
                <w:u w:val="none"/>
              </w:rPr>
              <w:t>实践</w:t>
            </w:r>
            <w:r>
              <w:rPr>
                <w:rFonts w:hint="eastAsia" w:ascii="仿宋_GB2312" w:hAnsi="仿宋_GB2312" w:eastAsia="仿宋_GB2312" w:cs="仿宋_GB2312"/>
                <w:i w:val="0"/>
                <w:iCs w:val="0"/>
                <w:color w:val="auto"/>
                <w:sz w:val="20"/>
                <w:szCs w:val="20"/>
                <w:highlight w:val="none"/>
                <w:u w:val="none"/>
                <w:lang w:val="en-US" w:eastAsia="zh-CN"/>
              </w:rPr>
              <w:t>性</w:t>
            </w:r>
            <w:r>
              <w:rPr>
                <w:rFonts w:hint="eastAsia" w:ascii="仿宋_GB2312" w:hAnsi="仿宋_GB2312" w:eastAsia="仿宋_GB2312" w:cs="仿宋_GB2312"/>
                <w:i w:val="0"/>
                <w:iCs w:val="0"/>
                <w:color w:val="auto"/>
                <w:sz w:val="20"/>
                <w:szCs w:val="20"/>
                <w:highlight w:val="none"/>
                <w:u w:val="none"/>
              </w:rPr>
              <w:t>教学环节</w:t>
            </w:r>
          </w:p>
        </w:tc>
        <w:tc>
          <w:tcPr>
            <w:tcW w:w="12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auto"/>
                <w:kern w:val="0"/>
                <w:sz w:val="24"/>
                <w:szCs w:val="24"/>
                <w:highlight w:val="none"/>
                <w:u w:val="none"/>
                <w:lang w:val="en-US" w:eastAsia="zh-CN" w:bidi="ar"/>
              </w:rPr>
            </w:pPr>
            <w:r>
              <w:rPr>
                <w:rFonts w:hint="eastAsia" w:ascii="仿宋_GB2312" w:hAnsi="仿宋_GB2312" w:eastAsia="仿宋_GB2312" w:cs="仿宋_GB2312"/>
                <w:i w:val="0"/>
                <w:color w:val="auto"/>
                <w:kern w:val="0"/>
                <w:sz w:val="20"/>
                <w:szCs w:val="20"/>
                <w:highlight w:val="none"/>
                <w:u w:val="none"/>
                <w:lang w:val="en-US" w:eastAsia="zh-CN" w:bidi="ar"/>
              </w:rPr>
              <w:t>必修</w:t>
            </w:r>
          </w:p>
        </w:tc>
        <w:tc>
          <w:tcPr>
            <w:tcW w:w="7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4"/>
                <w:szCs w:val="24"/>
                <w:highlight w:val="none"/>
                <w:u w:val="none"/>
              </w:rPr>
            </w:pPr>
            <w:r>
              <w:rPr>
                <w:rFonts w:hint="eastAsia" w:ascii="仿宋_GB2312" w:hAnsi="仿宋_GB2312" w:eastAsia="仿宋_GB2312" w:cs="仿宋_GB2312"/>
                <w:i w:val="0"/>
                <w:iCs w:val="0"/>
                <w:color w:val="auto"/>
                <w:kern w:val="0"/>
                <w:sz w:val="24"/>
                <w:szCs w:val="24"/>
                <w:highlight w:val="none"/>
                <w:u w:val="none"/>
                <w:lang w:val="en-US" w:eastAsia="zh-CN" w:bidi="ar"/>
              </w:rPr>
              <w:t>23</w:t>
            </w:r>
          </w:p>
        </w:tc>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4"/>
                <w:szCs w:val="24"/>
                <w:highlight w:val="none"/>
                <w:u w:val="none"/>
              </w:rPr>
            </w:pPr>
            <w:r>
              <w:rPr>
                <w:rFonts w:hint="eastAsia" w:ascii="仿宋_GB2312" w:hAnsi="仿宋_GB2312" w:eastAsia="仿宋_GB2312" w:cs="仿宋_GB2312"/>
                <w:i w:val="0"/>
                <w:iCs w:val="0"/>
                <w:color w:val="auto"/>
                <w:kern w:val="0"/>
                <w:sz w:val="24"/>
                <w:szCs w:val="24"/>
                <w:highlight w:val="none"/>
                <w:u w:val="none"/>
                <w:lang w:val="en-US" w:eastAsia="zh-CN" w:bidi="ar"/>
              </w:rPr>
              <w:t>16.08%</w:t>
            </w:r>
          </w:p>
        </w:tc>
        <w:tc>
          <w:tcPr>
            <w:tcW w:w="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4"/>
                <w:szCs w:val="24"/>
                <w:highlight w:val="none"/>
                <w:u w:val="none"/>
              </w:rPr>
            </w:pPr>
            <w:r>
              <w:rPr>
                <w:rFonts w:hint="eastAsia" w:ascii="仿宋_GB2312" w:hAnsi="仿宋_GB2312" w:eastAsia="仿宋_GB2312" w:cs="仿宋_GB2312"/>
                <w:i w:val="0"/>
                <w:iCs w:val="0"/>
                <w:color w:val="auto"/>
                <w:kern w:val="0"/>
                <w:sz w:val="24"/>
                <w:szCs w:val="24"/>
                <w:highlight w:val="none"/>
                <w:u w:val="none"/>
                <w:lang w:val="en-US" w:eastAsia="zh-CN" w:bidi="ar"/>
              </w:rPr>
              <w:t>512</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4"/>
                <w:szCs w:val="24"/>
                <w:highlight w:val="none"/>
                <w:u w:val="none"/>
              </w:rPr>
            </w:pPr>
            <w:r>
              <w:rPr>
                <w:rFonts w:hint="eastAsia" w:ascii="仿宋_GB2312" w:hAnsi="仿宋_GB2312" w:eastAsia="仿宋_GB2312" w:cs="仿宋_GB2312"/>
                <w:i w:val="0"/>
                <w:iCs w:val="0"/>
                <w:color w:val="auto"/>
                <w:kern w:val="0"/>
                <w:sz w:val="24"/>
                <w:szCs w:val="24"/>
                <w:highlight w:val="none"/>
                <w:u w:val="none"/>
                <w:lang w:val="en-US" w:eastAsia="zh-CN" w:bidi="ar"/>
              </w:rPr>
              <w:t>20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4"/>
                <w:szCs w:val="24"/>
                <w:highlight w:val="none"/>
                <w:u w:val="none"/>
              </w:rPr>
            </w:pPr>
            <w:r>
              <w:rPr>
                <w:rFonts w:hint="eastAsia" w:ascii="仿宋_GB2312" w:hAnsi="仿宋_GB2312" w:eastAsia="仿宋_GB2312" w:cs="仿宋_GB2312"/>
                <w:i w:val="0"/>
                <w:iCs w:val="0"/>
                <w:color w:val="auto"/>
                <w:kern w:val="0"/>
                <w:sz w:val="24"/>
                <w:szCs w:val="24"/>
                <w:highlight w:val="none"/>
                <w:u w:val="none"/>
                <w:lang w:val="en-US" w:eastAsia="zh-CN" w:bidi="ar"/>
              </w:rPr>
              <w:t>0.74%</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4"/>
                <w:szCs w:val="24"/>
                <w:highlight w:val="none"/>
                <w:u w:val="none"/>
              </w:rPr>
            </w:pPr>
            <w:r>
              <w:rPr>
                <w:rFonts w:hint="eastAsia" w:ascii="仿宋_GB2312" w:hAnsi="仿宋_GB2312" w:eastAsia="仿宋_GB2312" w:cs="仿宋_GB2312"/>
                <w:i w:val="0"/>
                <w:iCs w:val="0"/>
                <w:color w:val="auto"/>
                <w:kern w:val="0"/>
                <w:sz w:val="24"/>
                <w:szCs w:val="24"/>
                <w:highlight w:val="none"/>
                <w:u w:val="none"/>
                <w:lang w:val="en-US" w:eastAsia="zh-CN" w:bidi="ar"/>
              </w:rPr>
              <w:t>492</w:t>
            </w:r>
          </w:p>
        </w:tc>
        <w:tc>
          <w:tcPr>
            <w:tcW w:w="12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4"/>
                <w:szCs w:val="24"/>
                <w:highlight w:val="none"/>
                <w:u w:val="none"/>
              </w:rPr>
            </w:pPr>
            <w:r>
              <w:rPr>
                <w:rFonts w:hint="eastAsia" w:ascii="仿宋_GB2312" w:hAnsi="仿宋_GB2312" w:eastAsia="仿宋_GB2312" w:cs="仿宋_GB2312"/>
                <w:i w:val="0"/>
                <w:iCs w:val="0"/>
                <w:color w:val="auto"/>
                <w:kern w:val="0"/>
                <w:sz w:val="24"/>
                <w:szCs w:val="24"/>
                <w:highlight w:val="none"/>
                <w:u w:val="none"/>
                <w:lang w:val="en-US" w:eastAsia="zh-CN" w:bidi="ar"/>
              </w:rPr>
              <w:t>18.26%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jc w:val="center"/>
        </w:trPr>
        <w:tc>
          <w:tcPr>
            <w:tcW w:w="9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color w:val="auto"/>
                <w:kern w:val="0"/>
                <w:sz w:val="24"/>
                <w:szCs w:val="24"/>
                <w:highlight w:val="none"/>
                <w:u w:val="none"/>
                <w:lang w:val="en-US" w:eastAsia="zh-CN" w:bidi="ar"/>
              </w:rPr>
            </w:pPr>
          </w:p>
        </w:tc>
        <w:tc>
          <w:tcPr>
            <w:tcW w:w="29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color w:val="auto"/>
                <w:highlight w:val="none"/>
              </w:rPr>
            </w:pPr>
            <w:r>
              <w:rPr>
                <w:rFonts w:hint="eastAsia" w:ascii="仿宋_GB2312" w:hAnsi="仿宋_GB2312" w:eastAsia="仿宋_GB2312" w:cs="仿宋_GB2312"/>
                <w:i w:val="0"/>
                <w:color w:val="auto"/>
                <w:kern w:val="0"/>
                <w:sz w:val="20"/>
                <w:szCs w:val="20"/>
                <w:highlight w:val="none"/>
                <w:u w:val="none"/>
                <w:lang w:val="en-US" w:eastAsia="zh-CN" w:bidi="ar"/>
              </w:rPr>
              <w:t>小计</w:t>
            </w:r>
          </w:p>
        </w:tc>
        <w:tc>
          <w:tcPr>
            <w:tcW w:w="7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4"/>
                <w:szCs w:val="24"/>
                <w:highlight w:val="none"/>
                <w:u w:val="none"/>
              </w:rPr>
            </w:pPr>
            <w:r>
              <w:rPr>
                <w:rFonts w:hint="eastAsia" w:ascii="仿宋_GB2312" w:hAnsi="仿宋_GB2312" w:eastAsia="仿宋_GB2312" w:cs="仿宋_GB2312"/>
                <w:i w:val="0"/>
                <w:iCs w:val="0"/>
                <w:color w:val="auto"/>
                <w:kern w:val="0"/>
                <w:sz w:val="24"/>
                <w:szCs w:val="24"/>
                <w:highlight w:val="none"/>
                <w:u w:val="none"/>
                <w:lang w:val="en-US" w:eastAsia="zh-CN" w:bidi="ar"/>
              </w:rPr>
              <w:t>93</w:t>
            </w:r>
          </w:p>
        </w:tc>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4"/>
                <w:szCs w:val="24"/>
                <w:highlight w:val="none"/>
                <w:u w:val="none"/>
              </w:rPr>
            </w:pPr>
            <w:r>
              <w:rPr>
                <w:rFonts w:hint="eastAsia" w:ascii="仿宋_GB2312" w:hAnsi="仿宋_GB2312" w:eastAsia="仿宋_GB2312" w:cs="仿宋_GB2312"/>
                <w:i w:val="0"/>
                <w:iCs w:val="0"/>
                <w:color w:val="auto"/>
                <w:kern w:val="0"/>
                <w:sz w:val="24"/>
                <w:szCs w:val="24"/>
                <w:highlight w:val="none"/>
                <w:u w:val="none"/>
                <w:lang w:val="en-US" w:eastAsia="zh-CN" w:bidi="ar"/>
              </w:rPr>
              <w:t>65.03%</w:t>
            </w:r>
          </w:p>
        </w:tc>
        <w:tc>
          <w:tcPr>
            <w:tcW w:w="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4"/>
                <w:szCs w:val="24"/>
                <w:highlight w:val="none"/>
                <w:u w:val="none"/>
              </w:rPr>
            </w:pPr>
            <w:r>
              <w:rPr>
                <w:rFonts w:hint="eastAsia" w:ascii="仿宋_GB2312" w:hAnsi="仿宋_GB2312" w:eastAsia="仿宋_GB2312" w:cs="仿宋_GB2312"/>
                <w:i w:val="0"/>
                <w:iCs w:val="0"/>
                <w:color w:val="auto"/>
                <w:kern w:val="0"/>
                <w:sz w:val="24"/>
                <w:szCs w:val="24"/>
                <w:highlight w:val="none"/>
                <w:u w:val="none"/>
                <w:lang w:val="en-US" w:eastAsia="zh-CN" w:bidi="ar"/>
              </w:rPr>
              <w:t>1772</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4"/>
                <w:szCs w:val="24"/>
                <w:highlight w:val="none"/>
                <w:u w:val="none"/>
              </w:rPr>
            </w:pPr>
            <w:r>
              <w:rPr>
                <w:rFonts w:hint="eastAsia" w:ascii="仿宋_GB2312" w:hAnsi="仿宋_GB2312" w:eastAsia="仿宋_GB2312" w:cs="仿宋_GB2312"/>
                <w:i w:val="0"/>
                <w:iCs w:val="0"/>
                <w:color w:val="auto"/>
                <w:kern w:val="0"/>
                <w:sz w:val="24"/>
                <w:szCs w:val="24"/>
                <w:highlight w:val="none"/>
                <w:u w:val="none"/>
                <w:lang w:val="en-US" w:eastAsia="zh-CN" w:bidi="ar"/>
              </w:rPr>
              <w:t>756</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4"/>
                <w:szCs w:val="24"/>
                <w:highlight w:val="none"/>
                <w:u w:val="none"/>
              </w:rPr>
            </w:pPr>
            <w:r>
              <w:rPr>
                <w:rFonts w:hint="eastAsia" w:ascii="仿宋_GB2312" w:hAnsi="仿宋_GB2312" w:eastAsia="仿宋_GB2312" w:cs="仿宋_GB2312"/>
                <w:i w:val="0"/>
                <w:iCs w:val="0"/>
                <w:color w:val="auto"/>
                <w:kern w:val="0"/>
                <w:sz w:val="24"/>
                <w:szCs w:val="24"/>
                <w:highlight w:val="none"/>
                <w:u w:val="none"/>
                <w:lang w:val="en-US" w:eastAsia="zh-CN" w:bidi="ar"/>
              </w:rPr>
              <w:t>28.06%</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4"/>
                <w:szCs w:val="24"/>
                <w:highlight w:val="none"/>
                <w:u w:val="none"/>
              </w:rPr>
            </w:pPr>
            <w:r>
              <w:rPr>
                <w:rFonts w:hint="eastAsia" w:ascii="仿宋_GB2312" w:hAnsi="仿宋_GB2312" w:eastAsia="仿宋_GB2312" w:cs="仿宋_GB2312"/>
                <w:i w:val="0"/>
                <w:iCs w:val="0"/>
                <w:color w:val="auto"/>
                <w:kern w:val="0"/>
                <w:sz w:val="24"/>
                <w:szCs w:val="24"/>
                <w:highlight w:val="none"/>
                <w:u w:val="none"/>
                <w:lang w:val="en-US" w:eastAsia="zh-CN" w:bidi="ar"/>
              </w:rPr>
              <w:t>1016</w:t>
            </w:r>
          </w:p>
        </w:tc>
        <w:tc>
          <w:tcPr>
            <w:tcW w:w="12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4"/>
                <w:szCs w:val="24"/>
                <w:highlight w:val="none"/>
                <w:u w:val="none"/>
              </w:rPr>
            </w:pPr>
            <w:r>
              <w:rPr>
                <w:rFonts w:hint="eastAsia" w:ascii="仿宋_GB2312" w:hAnsi="仿宋_GB2312" w:eastAsia="仿宋_GB2312" w:cs="仿宋_GB2312"/>
                <w:i w:val="0"/>
                <w:iCs w:val="0"/>
                <w:color w:val="auto"/>
                <w:kern w:val="0"/>
                <w:sz w:val="24"/>
                <w:szCs w:val="24"/>
                <w:highlight w:val="none"/>
                <w:u w:val="none"/>
                <w:lang w:val="en-US" w:eastAsia="zh-CN" w:bidi="ar"/>
              </w:rPr>
              <w:t>37.71%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jc w:val="center"/>
        </w:trPr>
        <w:tc>
          <w:tcPr>
            <w:tcW w:w="2581"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rFonts w:hint="eastAsia" w:ascii="仿宋_GB2312" w:hAnsi="仿宋_GB2312" w:eastAsia="仿宋_GB2312" w:cs="仿宋_GB2312"/>
                <w:i w:val="0"/>
                <w:iCs w:val="0"/>
                <w:color w:val="auto"/>
                <w:sz w:val="24"/>
                <w:szCs w:val="24"/>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课程类别</w:t>
            </w:r>
          </w:p>
        </w:tc>
        <w:tc>
          <w:tcPr>
            <w:tcW w:w="12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jc w:val="center"/>
              <w:textAlignment w:val="center"/>
              <w:rPr>
                <w:color w:val="auto"/>
                <w:highlight w:val="none"/>
              </w:rPr>
            </w:pPr>
            <w:r>
              <w:rPr>
                <w:rFonts w:hint="eastAsia" w:ascii="仿宋_GB2312" w:hAnsi="仿宋_GB2312" w:eastAsia="仿宋_GB2312" w:cs="仿宋_GB2312"/>
                <w:i w:val="0"/>
                <w:iCs w:val="0"/>
                <w:color w:val="auto"/>
                <w:kern w:val="0"/>
                <w:sz w:val="20"/>
                <w:szCs w:val="20"/>
                <w:highlight w:val="none"/>
                <w:u w:val="none"/>
                <w:lang w:val="en-US" w:eastAsia="zh-CN" w:bidi="ar"/>
              </w:rPr>
              <w:t>课程性质</w:t>
            </w:r>
          </w:p>
        </w:tc>
        <w:tc>
          <w:tcPr>
            <w:tcW w:w="7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4"/>
                <w:szCs w:val="24"/>
                <w:highlight w:val="none"/>
                <w:u w:val="none"/>
              </w:rPr>
            </w:pPr>
            <w:r>
              <w:rPr>
                <w:rFonts w:hint="eastAsia" w:ascii="仿宋_GB2312" w:hAnsi="仿宋_GB2312" w:eastAsia="仿宋_GB2312" w:cs="仿宋_GB2312"/>
                <w:i w:val="0"/>
                <w:iCs w:val="0"/>
                <w:color w:val="auto"/>
                <w:kern w:val="0"/>
                <w:sz w:val="24"/>
                <w:szCs w:val="24"/>
                <w:highlight w:val="none"/>
                <w:u w:val="none"/>
                <w:lang w:val="en-US" w:eastAsia="zh-CN" w:bidi="ar"/>
              </w:rPr>
              <w:t>143</w:t>
            </w:r>
          </w:p>
        </w:tc>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4"/>
                <w:szCs w:val="24"/>
                <w:highlight w:val="none"/>
                <w:u w:val="none"/>
              </w:rPr>
            </w:pPr>
            <w:r>
              <w:rPr>
                <w:rFonts w:hint="eastAsia" w:ascii="仿宋_GB2312" w:hAnsi="仿宋_GB2312" w:eastAsia="仿宋_GB2312" w:cs="仿宋_GB2312"/>
                <w:i w:val="0"/>
                <w:iCs w:val="0"/>
                <w:color w:val="auto"/>
                <w:kern w:val="0"/>
                <w:sz w:val="24"/>
                <w:szCs w:val="24"/>
                <w:highlight w:val="none"/>
                <w:u w:val="none"/>
                <w:lang w:val="en-US" w:eastAsia="zh-CN" w:bidi="ar"/>
              </w:rPr>
              <w:t>100.00%</w:t>
            </w:r>
          </w:p>
        </w:tc>
        <w:tc>
          <w:tcPr>
            <w:tcW w:w="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4"/>
                <w:szCs w:val="24"/>
                <w:highlight w:val="none"/>
                <w:u w:val="none"/>
              </w:rPr>
            </w:pPr>
            <w:r>
              <w:rPr>
                <w:rFonts w:hint="eastAsia" w:ascii="仿宋_GB2312" w:hAnsi="仿宋_GB2312" w:eastAsia="仿宋_GB2312" w:cs="仿宋_GB2312"/>
                <w:i w:val="0"/>
                <w:iCs w:val="0"/>
                <w:color w:val="auto"/>
                <w:kern w:val="0"/>
                <w:sz w:val="24"/>
                <w:szCs w:val="24"/>
                <w:highlight w:val="none"/>
                <w:u w:val="none"/>
                <w:lang w:val="en-US" w:eastAsia="zh-CN" w:bidi="ar"/>
              </w:rPr>
              <w:t>2694</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4"/>
                <w:szCs w:val="24"/>
                <w:highlight w:val="none"/>
                <w:u w:val="none"/>
              </w:rPr>
            </w:pPr>
            <w:r>
              <w:rPr>
                <w:rFonts w:hint="eastAsia" w:ascii="仿宋_GB2312" w:hAnsi="仿宋_GB2312" w:eastAsia="仿宋_GB2312" w:cs="仿宋_GB2312"/>
                <w:i w:val="0"/>
                <w:iCs w:val="0"/>
                <w:color w:val="auto"/>
                <w:kern w:val="0"/>
                <w:sz w:val="24"/>
                <w:szCs w:val="24"/>
                <w:highlight w:val="none"/>
                <w:u w:val="none"/>
                <w:lang w:val="en-US" w:eastAsia="zh-CN" w:bidi="ar"/>
              </w:rPr>
              <w:t>1290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4"/>
                <w:szCs w:val="24"/>
                <w:highlight w:val="none"/>
                <w:u w:val="none"/>
              </w:rPr>
            </w:pPr>
            <w:r>
              <w:rPr>
                <w:rFonts w:hint="eastAsia" w:ascii="仿宋_GB2312" w:hAnsi="仿宋_GB2312" w:eastAsia="仿宋_GB2312" w:cs="仿宋_GB2312"/>
                <w:i w:val="0"/>
                <w:iCs w:val="0"/>
                <w:color w:val="auto"/>
                <w:kern w:val="0"/>
                <w:sz w:val="24"/>
                <w:szCs w:val="24"/>
                <w:highlight w:val="none"/>
                <w:u w:val="none"/>
                <w:lang w:val="en-US" w:eastAsia="zh-CN" w:bidi="ar"/>
              </w:rPr>
              <w:t>47.88%</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4"/>
                <w:szCs w:val="24"/>
                <w:highlight w:val="none"/>
                <w:u w:val="none"/>
              </w:rPr>
            </w:pPr>
            <w:r>
              <w:rPr>
                <w:rFonts w:hint="eastAsia" w:ascii="仿宋_GB2312" w:hAnsi="仿宋_GB2312" w:eastAsia="仿宋_GB2312" w:cs="仿宋_GB2312"/>
                <w:i w:val="0"/>
                <w:iCs w:val="0"/>
                <w:color w:val="auto"/>
                <w:kern w:val="0"/>
                <w:sz w:val="24"/>
                <w:szCs w:val="24"/>
                <w:highlight w:val="none"/>
                <w:u w:val="none"/>
                <w:lang w:val="en-US" w:eastAsia="zh-CN" w:bidi="ar"/>
              </w:rPr>
              <w:t>1404</w:t>
            </w:r>
          </w:p>
        </w:tc>
        <w:tc>
          <w:tcPr>
            <w:tcW w:w="12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4"/>
                <w:szCs w:val="24"/>
                <w:highlight w:val="none"/>
                <w:u w:val="none"/>
              </w:rPr>
            </w:pPr>
            <w:r>
              <w:rPr>
                <w:rFonts w:hint="eastAsia" w:ascii="仿宋_GB2312" w:hAnsi="仿宋_GB2312" w:eastAsia="仿宋_GB2312" w:cs="仿宋_GB2312"/>
                <w:i w:val="0"/>
                <w:iCs w:val="0"/>
                <w:color w:val="auto"/>
                <w:kern w:val="0"/>
                <w:sz w:val="24"/>
                <w:szCs w:val="24"/>
                <w:highlight w:val="none"/>
                <w:u w:val="none"/>
                <w:lang w:val="en-US" w:eastAsia="zh-CN" w:bidi="ar"/>
              </w:rPr>
              <w:t>52.12%</w:t>
            </w:r>
          </w:p>
        </w:tc>
      </w:tr>
    </w:tbl>
    <w:p>
      <w:pPr>
        <w:keepNext w:val="0"/>
        <w:keepLines w:val="0"/>
        <w:pageBreakBefore w:val="0"/>
        <w:widowControl w:val="0"/>
        <w:kinsoku/>
        <w:wordWrap/>
        <w:overflowPunct/>
        <w:topLinePunct w:val="0"/>
        <w:autoSpaceDE/>
        <w:autoSpaceDN/>
        <w:bidi w:val="0"/>
        <w:adjustRightInd/>
        <w:snapToGrid/>
        <w:spacing w:after="0" w:line="520" w:lineRule="exact"/>
        <w:textAlignment w:val="auto"/>
        <w:rPr>
          <w:rFonts w:hint="eastAsia" w:ascii="楷体" w:hAnsi="楷体" w:eastAsia="楷体" w:cs="楷体"/>
          <w:color w:val="auto"/>
          <w:sz w:val="32"/>
          <w:szCs w:val="32"/>
          <w:highlight w:val="none"/>
        </w:rPr>
      </w:pPr>
      <w:r>
        <w:rPr>
          <w:rFonts w:hint="eastAsia" w:ascii="楷体" w:hAnsi="楷体" w:eastAsia="楷体" w:cs="楷体"/>
          <w:color w:val="auto"/>
          <w:sz w:val="32"/>
          <w:szCs w:val="32"/>
          <w:highlight w:val="none"/>
          <w:lang w:eastAsia="zh-CN"/>
        </w:rPr>
        <w:t>（</w:t>
      </w:r>
      <w:r>
        <w:rPr>
          <w:rFonts w:hint="eastAsia" w:ascii="楷体" w:hAnsi="楷体" w:eastAsia="楷体" w:cs="楷体"/>
          <w:color w:val="auto"/>
          <w:sz w:val="32"/>
          <w:szCs w:val="32"/>
          <w:highlight w:val="none"/>
          <w:lang w:val="en-US" w:eastAsia="zh-CN"/>
        </w:rPr>
        <w:t>三</w:t>
      </w:r>
      <w:r>
        <w:rPr>
          <w:rFonts w:hint="eastAsia" w:ascii="楷体" w:hAnsi="楷体" w:eastAsia="楷体" w:cs="楷体"/>
          <w:color w:val="auto"/>
          <w:sz w:val="32"/>
          <w:szCs w:val="32"/>
          <w:highlight w:val="none"/>
          <w:lang w:eastAsia="zh-CN"/>
        </w:rPr>
        <w:t>）</w:t>
      </w:r>
      <w:r>
        <w:rPr>
          <w:rFonts w:hint="eastAsia" w:ascii="楷体" w:hAnsi="楷体" w:eastAsia="楷体" w:cs="楷体"/>
          <w:color w:val="auto"/>
          <w:sz w:val="32"/>
          <w:szCs w:val="32"/>
          <w:highlight w:val="none"/>
        </w:rPr>
        <w:t>教学计划进程</w:t>
      </w:r>
    </w:p>
    <w:p>
      <w:pPr>
        <w:pStyle w:val="6"/>
        <w:keepNext w:val="0"/>
        <w:keepLines w:val="0"/>
        <w:pageBreakBefore w:val="0"/>
        <w:shd w:val="clear" w:color="auto" w:fill="FFFFFF"/>
        <w:kinsoku/>
        <w:wordWrap/>
        <w:topLinePunct w:val="0"/>
        <w:autoSpaceDE/>
        <w:autoSpaceDN/>
        <w:bidi w:val="0"/>
        <w:snapToGrid/>
        <w:spacing w:before="0" w:beforeAutospacing="0" w:afterAutospacing="0" w:line="520" w:lineRule="exact"/>
        <w:jc w:val="center"/>
        <w:textAlignment w:val="auto"/>
        <w:rPr>
          <w:rFonts w:hint="eastAsia" w:ascii="仿宋_GB2312" w:hAnsi="仿宋_GB2312" w:eastAsia="仿宋_GB2312" w:cs="仿宋_GB2312"/>
          <w:color w:val="auto"/>
          <w:sz w:val="32"/>
          <w:szCs w:val="32"/>
          <w:highlight w:val="none"/>
          <w:shd w:val="clear" w:color="auto" w:fill="FFFFFF"/>
          <w:lang w:bidi="ar"/>
        </w:rPr>
      </w:pPr>
      <w:r>
        <w:rPr>
          <w:rFonts w:hint="eastAsia" w:ascii="仿宋_GB2312" w:hAnsi="仿宋_GB2312" w:eastAsia="仿宋_GB2312" w:cs="仿宋_GB2312"/>
          <w:color w:val="auto"/>
          <w:sz w:val="32"/>
          <w:szCs w:val="32"/>
          <w:highlight w:val="none"/>
        </w:rPr>
        <w:t>表</w:t>
      </w:r>
      <w:r>
        <w:rPr>
          <w:rFonts w:hint="eastAsia" w:ascii="仿宋_GB2312" w:hAnsi="仿宋_GB2312" w:eastAsia="仿宋_GB2312" w:cs="仿宋_GB2312"/>
          <w:color w:val="auto"/>
          <w:sz w:val="32"/>
          <w:szCs w:val="32"/>
          <w:highlight w:val="none"/>
          <w:lang w:val="en-US" w:eastAsia="zh-CN"/>
        </w:rPr>
        <w:t xml:space="preserve">10 </w:t>
      </w:r>
      <w:r>
        <w:rPr>
          <w:rFonts w:hint="eastAsia" w:ascii="仿宋_GB2312" w:hAnsi="仿宋_GB2312" w:eastAsia="仿宋_GB2312" w:cs="仿宋_GB2312"/>
          <w:color w:val="auto"/>
          <w:sz w:val="32"/>
          <w:szCs w:val="32"/>
          <w:highlight w:val="none"/>
          <w:shd w:val="clear" w:color="auto" w:fill="FFFFFF"/>
          <w:lang w:bidi="ar"/>
        </w:rPr>
        <w:t>教学计划进程安排表</w:t>
      </w:r>
    </w:p>
    <w:tbl>
      <w:tblPr>
        <w:tblStyle w:val="7"/>
        <w:tblW w:w="5707" w:type="pct"/>
        <w:tblInd w:w="-654"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371"/>
        <w:gridCol w:w="371"/>
        <w:gridCol w:w="406"/>
        <w:gridCol w:w="495"/>
        <w:gridCol w:w="1240"/>
        <w:gridCol w:w="1545"/>
        <w:gridCol w:w="685"/>
        <w:gridCol w:w="685"/>
        <w:gridCol w:w="685"/>
        <w:gridCol w:w="687"/>
        <w:gridCol w:w="371"/>
        <w:gridCol w:w="371"/>
        <w:gridCol w:w="371"/>
        <w:gridCol w:w="372"/>
        <w:gridCol w:w="372"/>
        <w:gridCol w:w="383"/>
        <w:gridCol w:w="119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541" w:type="pct"/>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left"/>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课程类型</w:t>
            </w:r>
          </w:p>
        </w:tc>
        <w:tc>
          <w:tcPr>
            <w:tcW w:w="23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序号</w:t>
            </w:r>
          </w:p>
        </w:tc>
        <w:tc>
          <w:tcPr>
            <w:tcW w:w="58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课程代码</w:t>
            </w:r>
          </w:p>
        </w:tc>
        <w:tc>
          <w:tcPr>
            <w:tcW w:w="72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课程名称</w:t>
            </w:r>
          </w:p>
        </w:tc>
        <w:tc>
          <w:tcPr>
            <w:tcW w:w="32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学分</w:t>
            </w:r>
          </w:p>
        </w:tc>
        <w:tc>
          <w:tcPr>
            <w:tcW w:w="970" w:type="pct"/>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教学学时数</w:t>
            </w:r>
          </w:p>
        </w:tc>
        <w:tc>
          <w:tcPr>
            <w:tcW w:w="1056" w:type="pct"/>
            <w:gridSpan w:val="6"/>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开课学期和周学时</w:t>
            </w:r>
          </w:p>
        </w:tc>
        <w:tc>
          <w:tcPr>
            <w:tcW w:w="56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考核类型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541" w:type="pct"/>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300" w:lineRule="exact"/>
              <w:jc w:val="left"/>
              <w:rPr>
                <w:rFonts w:hint="eastAsia" w:ascii="仿宋_GB2312" w:hAnsi="仿宋_GB2312" w:eastAsia="仿宋_GB2312" w:cs="仿宋_GB2312"/>
                <w:i w:val="0"/>
                <w:iCs w:val="0"/>
                <w:color w:val="auto"/>
                <w:sz w:val="20"/>
                <w:szCs w:val="20"/>
                <w:highlight w:val="none"/>
                <w:u w:val="none"/>
              </w:rPr>
            </w:pPr>
          </w:p>
        </w:tc>
        <w:tc>
          <w:tcPr>
            <w:tcW w:w="23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58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72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32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970" w:type="pct"/>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1056" w:type="pct"/>
            <w:gridSpan w:val="6"/>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56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541" w:type="pct"/>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300" w:lineRule="exact"/>
              <w:jc w:val="left"/>
              <w:rPr>
                <w:rFonts w:hint="eastAsia" w:ascii="仿宋_GB2312" w:hAnsi="仿宋_GB2312" w:eastAsia="仿宋_GB2312" w:cs="仿宋_GB2312"/>
                <w:i w:val="0"/>
                <w:iCs w:val="0"/>
                <w:color w:val="auto"/>
                <w:sz w:val="20"/>
                <w:szCs w:val="20"/>
                <w:highlight w:val="none"/>
                <w:u w:val="none"/>
              </w:rPr>
            </w:pPr>
          </w:p>
        </w:tc>
        <w:tc>
          <w:tcPr>
            <w:tcW w:w="23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58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72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32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3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合计</w:t>
            </w:r>
          </w:p>
        </w:tc>
        <w:tc>
          <w:tcPr>
            <w:tcW w:w="3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理论学时</w:t>
            </w:r>
          </w:p>
        </w:tc>
        <w:tc>
          <w:tcPr>
            <w:tcW w:w="3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实践学时</w:t>
            </w:r>
          </w:p>
        </w:tc>
        <w:tc>
          <w:tcPr>
            <w:tcW w:w="1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一</w:t>
            </w:r>
          </w:p>
        </w:tc>
        <w:tc>
          <w:tcPr>
            <w:tcW w:w="1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二</w:t>
            </w:r>
          </w:p>
        </w:tc>
        <w:tc>
          <w:tcPr>
            <w:tcW w:w="1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三</w:t>
            </w:r>
          </w:p>
        </w:tc>
        <w:tc>
          <w:tcPr>
            <w:tcW w:w="1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四</w:t>
            </w:r>
          </w:p>
        </w:tc>
        <w:tc>
          <w:tcPr>
            <w:tcW w:w="1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五</w:t>
            </w:r>
          </w:p>
        </w:tc>
        <w:tc>
          <w:tcPr>
            <w:tcW w:w="18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六</w:t>
            </w:r>
          </w:p>
        </w:tc>
        <w:tc>
          <w:tcPr>
            <w:tcW w:w="56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2" w:hRule="atLeast"/>
        </w:trPr>
        <w:tc>
          <w:tcPr>
            <w:tcW w:w="349" w:type="pct"/>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公共基础课</w:t>
            </w:r>
          </w:p>
        </w:tc>
        <w:tc>
          <w:tcPr>
            <w:tcW w:w="19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after="0" w:line="300" w:lineRule="exact"/>
              <w:jc w:val="both"/>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必修</w:t>
            </w:r>
          </w:p>
        </w:tc>
        <w:tc>
          <w:tcPr>
            <w:tcW w:w="2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1</w:t>
            </w:r>
          </w:p>
        </w:tc>
        <w:tc>
          <w:tcPr>
            <w:tcW w:w="5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pacing w:val="-11"/>
                <w:kern w:val="0"/>
                <w:sz w:val="20"/>
                <w:szCs w:val="20"/>
                <w:highlight w:val="none"/>
                <w:u w:val="none"/>
                <w:lang w:val="en-US" w:eastAsia="zh-CN" w:bidi="ar"/>
              </w:rPr>
            </w:pPr>
            <w:r>
              <w:rPr>
                <w:rFonts w:hint="eastAsia" w:ascii="仿宋_GB2312" w:hAnsi="仿宋_GB2312" w:eastAsia="仿宋_GB2312" w:cs="仿宋_GB2312"/>
                <w:i w:val="0"/>
                <w:iCs w:val="0"/>
                <w:color w:val="auto"/>
                <w:spacing w:val="-11"/>
                <w:kern w:val="0"/>
                <w:sz w:val="20"/>
                <w:szCs w:val="20"/>
                <w:highlight w:val="none"/>
                <w:u w:val="none"/>
                <w:lang w:val="en-US" w:eastAsia="zh-CN" w:bidi="ar"/>
              </w:rPr>
              <w:t>1B410101101</w:t>
            </w:r>
          </w:p>
        </w:tc>
        <w:tc>
          <w:tcPr>
            <w:tcW w:w="7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思想道德与法治</w:t>
            </w:r>
          </w:p>
        </w:tc>
        <w:tc>
          <w:tcPr>
            <w:tcW w:w="3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3</w:t>
            </w:r>
          </w:p>
        </w:tc>
        <w:tc>
          <w:tcPr>
            <w:tcW w:w="3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48</w:t>
            </w:r>
          </w:p>
        </w:tc>
        <w:tc>
          <w:tcPr>
            <w:tcW w:w="3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36</w:t>
            </w:r>
          </w:p>
        </w:tc>
        <w:tc>
          <w:tcPr>
            <w:tcW w:w="3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12</w:t>
            </w:r>
          </w:p>
        </w:tc>
        <w:tc>
          <w:tcPr>
            <w:tcW w:w="1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4</w:t>
            </w:r>
          </w:p>
        </w:tc>
        <w:tc>
          <w:tcPr>
            <w:tcW w:w="1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1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1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1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18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56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考试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349"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19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2</w:t>
            </w:r>
          </w:p>
        </w:tc>
        <w:tc>
          <w:tcPr>
            <w:tcW w:w="5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pacing w:val="-11"/>
                <w:kern w:val="0"/>
                <w:sz w:val="20"/>
                <w:szCs w:val="20"/>
                <w:highlight w:val="none"/>
                <w:u w:val="none"/>
                <w:lang w:val="en-US" w:eastAsia="zh-CN" w:bidi="ar"/>
              </w:rPr>
            </w:pPr>
            <w:r>
              <w:rPr>
                <w:rFonts w:hint="eastAsia" w:ascii="仿宋_GB2312" w:hAnsi="仿宋_GB2312" w:eastAsia="仿宋_GB2312" w:cs="仿宋_GB2312"/>
                <w:i w:val="0"/>
                <w:iCs w:val="0"/>
                <w:color w:val="auto"/>
                <w:spacing w:val="-11"/>
                <w:kern w:val="0"/>
                <w:sz w:val="20"/>
                <w:szCs w:val="20"/>
                <w:highlight w:val="none"/>
                <w:u w:val="none"/>
                <w:lang w:val="en-US" w:eastAsia="zh-CN" w:bidi="ar"/>
              </w:rPr>
              <w:t>1A410101102</w:t>
            </w:r>
          </w:p>
        </w:tc>
        <w:tc>
          <w:tcPr>
            <w:tcW w:w="7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形势与政策</w:t>
            </w:r>
          </w:p>
        </w:tc>
        <w:tc>
          <w:tcPr>
            <w:tcW w:w="3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1</w:t>
            </w:r>
          </w:p>
        </w:tc>
        <w:tc>
          <w:tcPr>
            <w:tcW w:w="3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32</w:t>
            </w:r>
          </w:p>
        </w:tc>
        <w:tc>
          <w:tcPr>
            <w:tcW w:w="3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32</w:t>
            </w:r>
          </w:p>
        </w:tc>
        <w:tc>
          <w:tcPr>
            <w:tcW w:w="3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0</w:t>
            </w:r>
          </w:p>
        </w:tc>
        <w:tc>
          <w:tcPr>
            <w:tcW w:w="1056" w:type="pct"/>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1到4学期开课，每学期8学时。</w:t>
            </w:r>
          </w:p>
        </w:tc>
        <w:tc>
          <w:tcPr>
            <w:tcW w:w="56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349"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19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3</w:t>
            </w:r>
          </w:p>
        </w:tc>
        <w:tc>
          <w:tcPr>
            <w:tcW w:w="5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pacing w:val="-11"/>
                <w:kern w:val="0"/>
                <w:sz w:val="20"/>
                <w:szCs w:val="20"/>
                <w:highlight w:val="none"/>
                <w:u w:val="none"/>
                <w:lang w:val="en-US" w:eastAsia="zh-CN" w:bidi="ar"/>
              </w:rPr>
            </w:pPr>
            <w:r>
              <w:rPr>
                <w:rFonts w:hint="eastAsia" w:ascii="仿宋_GB2312" w:hAnsi="仿宋_GB2312" w:eastAsia="仿宋_GB2312" w:cs="仿宋_GB2312"/>
                <w:i w:val="0"/>
                <w:iCs w:val="0"/>
                <w:color w:val="auto"/>
                <w:spacing w:val="-11"/>
                <w:kern w:val="0"/>
                <w:sz w:val="20"/>
                <w:szCs w:val="20"/>
                <w:highlight w:val="none"/>
                <w:u w:val="none"/>
                <w:lang w:val="en-US" w:eastAsia="zh-CN" w:bidi="ar"/>
              </w:rPr>
              <w:t>1A410101103</w:t>
            </w:r>
          </w:p>
        </w:tc>
        <w:tc>
          <w:tcPr>
            <w:tcW w:w="7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国家安全教育</w:t>
            </w:r>
          </w:p>
        </w:tc>
        <w:tc>
          <w:tcPr>
            <w:tcW w:w="3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1</w:t>
            </w:r>
          </w:p>
        </w:tc>
        <w:tc>
          <w:tcPr>
            <w:tcW w:w="3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16</w:t>
            </w:r>
          </w:p>
        </w:tc>
        <w:tc>
          <w:tcPr>
            <w:tcW w:w="3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16</w:t>
            </w:r>
          </w:p>
        </w:tc>
        <w:tc>
          <w:tcPr>
            <w:tcW w:w="3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0</w:t>
            </w:r>
          </w:p>
        </w:tc>
        <w:tc>
          <w:tcPr>
            <w:tcW w:w="1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2</w:t>
            </w:r>
          </w:p>
        </w:tc>
        <w:tc>
          <w:tcPr>
            <w:tcW w:w="1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1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1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1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18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56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349"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19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4</w:t>
            </w:r>
          </w:p>
        </w:tc>
        <w:tc>
          <w:tcPr>
            <w:tcW w:w="5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pacing w:val="-11"/>
                <w:kern w:val="0"/>
                <w:sz w:val="20"/>
                <w:szCs w:val="20"/>
                <w:highlight w:val="none"/>
                <w:u w:val="none"/>
                <w:lang w:val="en-US" w:eastAsia="zh-CN" w:bidi="ar"/>
              </w:rPr>
            </w:pPr>
            <w:r>
              <w:rPr>
                <w:rFonts w:hint="eastAsia" w:ascii="仿宋_GB2312" w:hAnsi="仿宋_GB2312" w:eastAsia="仿宋_GB2312" w:cs="仿宋_GB2312"/>
                <w:i w:val="0"/>
                <w:iCs w:val="0"/>
                <w:color w:val="auto"/>
                <w:spacing w:val="-11"/>
                <w:kern w:val="0"/>
                <w:sz w:val="20"/>
                <w:szCs w:val="20"/>
                <w:highlight w:val="none"/>
                <w:u w:val="none"/>
                <w:lang w:val="en-US" w:eastAsia="zh-CN" w:bidi="ar"/>
              </w:rPr>
              <w:t>1A410101104</w:t>
            </w:r>
          </w:p>
        </w:tc>
        <w:tc>
          <w:tcPr>
            <w:tcW w:w="7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军事理论</w:t>
            </w:r>
          </w:p>
        </w:tc>
        <w:tc>
          <w:tcPr>
            <w:tcW w:w="3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2</w:t>
            </w:r>
          </w:p>
        </w:tc>
        <w:tc>
          <w:tcPr>
            <w:tcW w:w="3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36</w:t>
            </w:r>
          </w:p>
        </w:tc>
        <w:tc>
          <w:tcPr>
            <w:tcW w:w="3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36</w:t>
            </w:r>
          </w:p>
        </w:tc>
        <w:tc>
          <w:tcPr>
            <w:tcW w:w="3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0</w:t>
            </w:r>
          </w:p>
        </w:tc>
        <w:tc>
          <w:tcPr>
            <w:tcW w:w="1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2</w:t>
            </w:r>
          </w:p>
        </w:tc>
        <w:tc>
          <w:tcPr>
            <w:tcW w:w="1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1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1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1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18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56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349"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19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5</w:t>
            </w:r>
          </w:p>
        </w:tc>
        <w:tc>
          <w:tcPr>
            <w:tcW w:w="5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pacing w:val="-11"/>
                <w:kern w:val="0"/>
                <w:sz w:val="20"/>
                <w:szCs w:val="20"/>
                <w:highlight w:val="none"/>
                <w:u w:val="none"/>
                <w:lang w:val="en-US" w:eastAsia="zh-CN" w:bidi="ar"/>
              </w:rPr>
            </w:pPr>
            <w:r>
              <w:rPr>
                <w:rFonts w:hint="eastAsia" w:ascii="仿宋_GB2312" w:hAnsi="仿宋_GB2312" w:eastAsia="仿宋_GB2312" w:cs="仿宋_GB2312"/>
                <w:i w:val="0"/>
                <w:iCs w:val="0"/>
                <w:color w:val="auto"/>
                <w:spacing w:val="-11"/>
                <w:kern w:val="0"/>
                <w:sz w:val="20"/>
                <w:szCs w:val="20"/>
                <w:highlight w:val="none"/>
                <w:u w:val="none"/>
                <w:lang w:val="en-US" w:eastAsia="zh-CN" w:bidi="ar"/>
              </w:rPr>
              <w:t>1C410101105</w:t>
            </w:r>
          </w:p>
        </w:tc>
        <w:tc>
          <w:tcPr>
            <w:tcW w:w="7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军训</w:t>
            </w:r>
          </w:p>
        </w:tc>
        <w:tc>
          <w:tcPr>
            <w:tcW w:w="3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2</w:t>
            </w:r>
          </w:p>
        </w:tc>
        <w:tc>
          <w:tcPr>
            <w:tcW w:w="3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112</w:t>
            </w:r>
          </w:p>
        </w:tc>
        <w:tc>
          <w:tcPr>
            <w:tcW w:w="3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0</w:t>
            </w:r>
          </w:p>
        </w:tc>
        <w:tc>
          <w:tcPr>
            <w:tcW w:w="3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112</w:t>
            </w:r>
          </w:p>
        </w:tc>
        <w:tc>
          <w:tcPr>
            <w:tcW w:w="1056" w:type="pct"/>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第1学期，实际训练时间不少于14天</w:t>
            </w:r>
          </w:p>
        </w:tc>
        <w:tc>
          <w:tcPr>
            <w:tcW w:w="56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349"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19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6</w:t>
            </w:r>
          </w:p>
        </w:tc>
        <w:tc>
          <w:tcPr>
            <w:tcW w:w="5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pacing w:val="-11"/>
                <w:kern w:val="0"/>
                <w:sz w:val="20"/>
                <w:szCs w:val="20"/>
                <w:highlight w:val="none"/>
                <w:u w:val="none"/>
                <w:lang w:val="en-US" w:eastAsia="zh-CN" w:bidi="ar"/>
              </w:rPr>
            </w:pPr>
            <w:r>
              <w:rPr>
                <w:rFonts w:hint="eastAsia" w:ascii="仿宋_GB2312" w:hAnsi="仿宋_GB2312" w:eastAsia="仿宋_GB2312" w:cs="仿宋_GB2312"/>
                <w:i w:val="0"/>
                <w:iCs w:val="0"/>
                <w:color w:val="auto"/>
                <w:spacing w:val="-11"/>
                <w:kern w:val="0"/>
                <w:sz w:val="20"/>
                <w:szCs w:val="20"/>
                <w:highlight w:val="none"/>
                <w:u w:val="none"/>
                <w:lang w:val="en-US" w:eastAsia="zh-CN" w:bidi="ar"/>
              </w:rPr>
              <w:t>1B410101106</w:t>
            </w:r>
          </w:p>
        </w:tc>
        <w:tc>
          <w:tcPr>
            <w:tcW w:w="7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计算机基础</w:t>
            </w:r>
          </w:p>
        </w:tc>
        <w:tc>
          <w:tcPr>
            <w:tcW w:w="3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4</w:t>
            </w:r>
          </w:p>
        </w:tc>
        <w:tc>
          <w:tcPr>
            <w:tcW w:w="3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64</w:t>
            </w:r>
          </w:p>
        </w:tc>
        <w:tc>
          <w:tcPr>
            <w:tcW w:w="3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32</w:t>
            </w:r>
          </w:p>
        </w:tc>
        <w:tc>
          <w:tcPr>
            <w:tcW w:w="3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32</w:t>
            </w:r>
          </w:p>
        </w:tc>
        <w:tc>
          <w:tcPr>
            <w:tcW w:w="1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4</w:t>
            </w:r>
          </w:p>
        </w:tc>
        <w:tc>
          <w:tcPr>
            <w:tcW w:w="1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1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1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1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18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56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349"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19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7</w:t>
            </w:r>
          </w:p>
        </w:tc>
        <w:tc>
          <w:tcPr>
            <w:tcW w:w="5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pacing w:val="-11"/>
                <w:kern w:val="0"/>
                <w:sz w:val="20"/>
                <w:szCs w:val="20"/>
                <w:highlight w:val="none"/>
                <w:u w:val="none"/>
                <w:lang w:val="en-US" w:eastAsia="zh-CN" w:bidi="ar"/>
              </w:rPr>
            </w:pPr>
            <w:r>
              <w:rPr>
                <w:rFonts w:hint="eastAsia" w:ascii="仿宋_GB2312" w:hAnsi="仿宋_GB2312" w:eastAsia="仿宋_GB2312" w:cs="仿宋_GB2312"/>
                <w:i w:val="0"/>
                <w:iCs w:val="0"/>
                <w:color w:val="auto"/>
                <w:spacing w:val="-11"/>
                <w:kern w:val="0"/>
                <w:sz w:val="20"/>
                <w:szCs w:val="20"/>
                <w:highlight w:val="none"/>
                <w:u w:val="none"/>
                <w:lang w:val="en-US" w:eastAsia="zh-CN" w:bidi="ar"/>
              </w:rPr>
              <w:t>1B410101107</w:t>
            </w:r>
          </w:p>
        </w:tc>
        <w:tc>
          <w:tcPr>
            <w:tcW w:w="7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高等数学</w:t>
            </w:r>
          </w:p>
        </w:tc>
        <w:tc>
          <w:tcPr>
            <w:tcW w:w="3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4</w:t>
            </w:r>
          </w:p>
        </w:tc>
        <w:tc>
          <w:tcPr>
            <w:tcW w:w="3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64</w:t>
            </w:r>
          </w:p>
        </w:tc>
        <w:tc>
          <w:tcPr>
            <w:tcW w:w="3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64</w:t>
            </w:r>
          </w:p>
        </w:tc>
        <w:tc>
          <w:tcPr>
            <w:tcW w:w="3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0</w:t>
            </w:r>
          </w:p>
        </w:tc>
        <w:tc>
          <w:tcPr>
            <w:tcW w:w="1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2</w:t>
            </w:r>
          </w:p>
        </w:tc>
        <w:tc>
          <w:tcPr>
            <w:tcW w:w="1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2</w:t>
            </w:r>
          </w:p>
        </w:tc>
        <w:tc>
          <w:tcPr>
            <w:tcW w:w="1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300" w:lineRule="exact"/>
              <w:rPr>
                <w:rFonts w:hint="eastAsia" w:ascii="仿宋_GB2312" w:hAnsi="仿宋_GB2312" w:eastAsia="仿宋_GB2312" w:cs="仿宋_GB2312"/>
                <w:i w:val="0"/>
                <w:iCs w:val="0"/>
                <w:color w:val="auto"/>
                <w:sz w:val="20"/>
                <w:szCs w:val="20"/>
                <w:highlight w:val="none"/>
                <w:u w:val="none"/>
              </w:rPr>
            </w:pPr>
          </w:p>
        </w:tc>
        <w:tc>
          <w:tcPr>
            <w:tcW w:w="1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300" w:lineRule="exact"/>
              <w:rPr>
                <w:rFonts w:hint="eastAsia" w:ascii="仿宋_GB2312" w:hAnsi="仿宋_GB2312" w:eastAsia="仿宋_GB2312" w:cs="仿宋_GB2312"/>
                <w:i w:val="0"/>
                <w:iCs w:val="0"/>
                <w:color w:val="auto"/>
                <w:sz w:val="20"/>
                <w:szCs w:val="20"/>
                <w:highlight w:val="none"/>
                <w:u w:val="none"/>
              </w:rPr>
            </w:pPr>
          </w:p>
        </w:tc>
        <w:tc>
          <w:tcPr>
            <w:tcW w:w="1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300" w:lineRule="exact"/>
              <w:rPr>
                <w:rFonts w:hint="eastAsia" w:ascii="仿宋_GB2312" w:hAnsi="仿宋_GB2312" w:eastAsia="仿宋_GB2312" w:cs="仿宋_GB2312"/>
                <w:i w:val="0"/>
                <w:iCs w:val="0"/>
                <w:color w:val="auto"/>
                <w:sz w:val="20"/>
                <w:szCs w:val="20"/>
                <w:highlight w:val="none"/>
                <w:u w:val="none"/>
              </w:rPr>
            </w:pPr>
          </w:p>
        </w:tc>
        <w:tc>
          <w:tcPr>
            <w:tcW w:w="1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300" w:lineRule="exact"/>
              <w:rPr>
                <w:rFonts w:hint="eastAsia" w:ascii="仿宋_GB2312" w:hAnsi="仿宋_GB2312" w:eastAsia="仿宋_GB2312" w:cs="仿宋_GB2312"/>
                <w:i w:val="0"/>
                <w:iCs w:val="0"/>
                <w:color w:val="auto"/>
                <w:sz w:val="20"/>
                <w:szCs w:val="20"/>
                <w:highlight w:val="none"/>
                <w:u w:val="none"/>
              </w:rPr>
            </w:pPr>
          </w:p>
        </w:tc>
        <w:tc>
          <w:tcPr>
            <w:tcW w:w="56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考试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349"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19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8</w:t>
            </w:r>
          </w:p>
        </w:tc>
        <w:tc>
          <w:tcPr>
            <w:tcW w:w="5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pacing w:val="-11"/>
                <w:kern w:val="0"/>
                <w:sz w:val="20"/>
                <w:szCs w:val="20"/>
                <w:highlight w:val="none"/>
                <w:u w:val="none"/>
                <w:lang w:val="en-US" w:eastAsia="zh-CN" w:bidi="ar"/>
              </w:rPr>
            </w:pPr>
            <w:r>
              <w:rPr>
                <w:rFonts w:hint="eastAsia" w:ascii="仿宋_GB2312" w:hAnsi="仿宋_GB2312" w:eastAsia="仿宋_GB2312" w:cs="仿宋_GB2312"/>
                <w:i w:val="0"/>
                <w:iCs w:val="0"/>
                <w:color w:val="auto"/>
                <w:spacing w:val="-11"/>
                <w:kern w:val="0"/>
                <w:sz w:val="20"/>
                <w:szCs w:val="20"/>
                <w:highlight w:val="none"/>
                <w:u w:val="none"/>
                <w:lang w:val="en-US" w:eastAsia="zh-CN" w:bidi="ar"/>
              </w:rPr>
              <w:t>1B410101108</w:t>
            </w:r>
          </w:p>
        </w:tc>
        <w:tc>
          <w:tcPr>
            <w:tcW w:w="7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大学英语</w:t>
            </w:r>
          </w:p>
        </w:tc>
        <w:tc>
          <w:tcPr>
            <w:tcW w:w="3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8</w:t>
            </w:r>
          </w:p>
        </w:tc>
        <w:tc>
          <w:tcPr>
            <w:tcW w:w="3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128</w:t>
            </w:r>
          </w:p>
        </w:tc>
        <w:tc>
          <w:tcPr>
            <w:tcW w:w="3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104</w:t>
            </w:r>
          </w:p>
        </w:tc>
        <w:tc>
          <w:tcPr>
            <w:tcW w:w="3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24</w:t>
            </w:r>
          </w:p>
        </w:tc>
        <w:tc>
          <w:tcPr>
            <w:tcW w:w="1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4</w:t>
            </w:r>
          </w:p>
        </w:tc>
        <w:tc>
          <w:tcPr>
            <w:tcW w:w="1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4</w:t>
            </w:r>
          </w:p>
        </w:tc>
        <w:tc>
          <w:tcPr>
            <w:tcW w:w="1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1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1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18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56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考试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349"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19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9</w:t>
            </w:r>
          </w:p>
        </w:tc>
        <w:tc>
          <w:tcPr>
            <w:tcW w:w="5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pacing w:val="-11"/>
                <w:kern w:val="0"/>
                <w:sz w:val="20"/>
                <w:szCs w:val="20"/>
                <w:highlight w:val="none"/>
                <w:u w:val="none"/>
                <w:lang w:val="en-US" w:eastAsia="zh-CN" w:bidi="ar"/>
              </w:rPr>
            </w:pPr>
            <w:r>
              <w:rPr>
                <w:rFonts w:hint="eastAsia" w:ascii="仿宋_GB2312" w:hAnsi="仿宋_GB2312" w:eastAsia="仿宋_GB2312" w:cs="仿宋_GB2312"/>
                <w:i w:val="0"/>
                <w:iCs w:val="0"/>
                <w:color w:val="auto"/>
                <w:spacing w:val="-11"/>
                <w:kern w:val="0"/>
                <w:sz w:val="20"/>
                <w:szCs w:val="20"/>
                <w:highlight w:val="none"/>
                <w:u w:val="none"/>
                <w:lang w:val="en-US" w:eastAsia="zh-CN" w:bidi="ar"/>
              </w:rPr>
              <w:t>1C410101109</w:t>
            </w:r>
          </w:p>
        </w:tc>
        <w:tc>
          <w:tcPr>
            <w:tcW w:w="7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大学体育</w:t>
            </w:r>
          </w:p>
        </w:tc>
        <w:tc>
          <w:tcPr>
            <w:tcW w:w="3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6</w:t>
            </w:r>
          </w:p>
        </w:tc>
        <w:tc>
          <w:tcPr>
            <w:tcW w:w="3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108</w:t>
            </w:r>
          </w:p>
        </w:tc>
        <w:tc>
          <w:tcPr>
            <w:tcW w:w="3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0</w:t>
            </w:r>
          </w:p>
        </w:tc>
        <w:tc>
          <w:tcPr>
            <w:tcW w:w="3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108</w:t>
            </w:r>
          </w:p>
        </w:tc>
        <w:tc>
          <w:tcPr>
            <w:tcW w:w="1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2</w:t>
            </w:r>
          </w:p>
        </w:tc>
        <w:tc>
          <w:tcPr>
            <w:tcW w:w="1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2</w:t>
            </w:r>
          </w:p>
        </w:tc>
        <w:tc>
          <w:tcPr>
            <w:tcW w:w="1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2</w:t>
            </w:r>
          </w:p>
        </w:tc>
        <w:tc>
          <w:tcPr>
            <w:tcW w:w="1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1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18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56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349"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19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10</w:t>
            </w:r>
          </w:p>
        </w:tc>
        <w:tc>
          <w:tcPr>
            <w:tcW w:w="5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pacing w:val="-11"/>
                <w:kern w:val="0"/>
                <w:sz w:val="20"/>
                <w:szCs w:val="20"/>
                <w:highlight w:val="none"/>
                <w:u w:val="none"/>
                <w:lang w:val="en-US" w:eastAsia="zh-CN" w:bidi="ar"/>
              </w:rPr>
            </w:pPr>
            <w:r>
              <w:rPr>
                <w:rFonts w:hint="eastAsia" w:ascii="仿宋_GB2312" w:hAnsi="仿宋_GB2312" w:eastAsia="仿宋_GB2312" w:cs="仿宋_GB2312"/>
                <w:i w:val="0"/>
                <w:iCs w:val="0"/>
                <w:color w:val="auto"/>
                <w:spacing w:val="-11"/>
                <w:kern w:val="0"/>
                <w:sz w:val="20"/>
                <w:szCs w:val="20"/>
                <w:highlight w:val="none"/>
                <w:u w:val="none"/>
                <w:lang w:val="en-US" w:eastAsia="zh-CN" w:bidi="ar"/>
              </w:rPr>
              <w:t>1B410101110</w:t>
            </w:r>
          </w:p>
        </w:tc>
        <w:tc>
          <w:tcPr>
            <w:tcW w:w="7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大学生职业发展与就业指导</w:t>
            </w:r>
          </w:p>
        </w:tc>
        <w:tc>
          <w:tcPr>
            <w:tcW w:w="3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2</w:t>
            </w:r>
          </w:p>
        </w:tc>
        <w:tc>
          <w:tcPr>
            <w:tcW w:w="3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38</w:t>
            </w:r>
          </w:p>
        </w:tc>
        <w:tc>
          <w:tcPr>
            <w:tcW w:w="3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26</w:t>
            </w:r>
          </w:p>
        </w:tc>
        <w:tc>
          <w:tcPr>
            <w:tcW w:w="3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12</w:t>
            </w:r>
          </w:p>
        </w:tc>
        <w:tc>
          <w:tcPr>
            <w:tcW w:w="1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2</w:t>
            </w:r>
          </w:p>
        </w:tc>
        <w:tc>
          <w:tcPr>
            <w:tcW w:w="1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1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2</w:t>
            </w:r>
          </w:p>
        </w:tc>
        <w:tc>
          <w:tcPr>
            <w:tcW w:w="1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1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18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56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349"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19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11</w:t>
            </w:r>
          </w:p>
        </w:tc>
        <w:tc>
          <w:tcPr>
            <w:tcW w:w="5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pacing w:val="-11"/>
                <w:kern w:val="0"/>
                <w:sz w:val="20"/>
                <w:szCs w:val="20"/>
                <w:highlight w:val="none"/>
                <w:u w:val="none"/>
                <w:lang w:val="en-US" w:eastAsia="zh-CN" w:bidi="ar"/>
              </w:rPr>
            </w:pPr>
            <w:r>
              <w:rPr>
                <w:rFonts w:hint="eastAsia" w:ascii="仿宋_GB2312" w:hAnsi="仿宋_GB2312" w:eastAsia="仿宋_GB2312" w:cs="仿宋_GB2312"/>
                <w:i w:val="0"/>
                <w:iCs w:val="0"/>
                <w:color w:val="auto"/>
                <w:spacing w:val="-11"/>
                <w:kern w:val="0"/>
                <w:sz w:val="20"/>
                <w:szCs w:val="20"/>
                <w:highlight w:val="none"/>
                <w:u w:val="none"/>
                <w:lang w:val="en-US" w:eastAsia="zh-CN" w:bidi="ar"/>
              </w:rPr>
              <w:t>1B410101111</w:t>
            </w:r>
          </w:p>
        </w:tc>
        <w:tc>
          <w:tcPr>
            <w:tcW w:w="7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大学生心理健康教育</w:t>
            </w:r>
          </w:p>
        </w:tc>
        <w:tc>
          <w:tcPr>
            <w:tcW w:w="3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2</w:t>
            </w:r>
          </w:p>
        </w:tc>
        <w:tc>
          <w:tcPr>
            <w:tcW w:w="3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32</w:t>
            </w:r>
          </w:p>
        </w:tc>
        <w:tc>
          <w:tcPr>
            <w:tcW w:w="3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20</w:t>
            </w:r>
          </w:p>
        </w:tc>
        <w:tc>
          <w:tcPr>
            <w:tcW w:w="3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12</w:t>
            </w:r>
          </w:p>
        </w:tc>
        <w:tc>
          <w:tcPr>
            <w:tcW w:w="1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1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2</w:t>
            </w:r>
          </w:p>
        </w:tc>
        <w:tc>
          <w:tcPr>
            <w:tcW w:w="1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1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1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18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56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349"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19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12</w:t>
            </w:r>
          </w:p>
        </w:tc>
        <w:tc>
          <w:tcPr>
            <w:tcW w:w="5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pacing w:val="-11"/>
                <w:kern w:val="0"/>
                <w:sz w:val="20"/>
                <w:szCs w:val="20"/>
                <w:highlight w:val="none"/>
                <w:u w:val="none"/>
                <w:lang w:val="en-US" w:eastAsia="zh-CN" w:bidi="ar"/>
              </w:rPr>
            </w:pPr>
            <w:r>
              <w:rPr>
                <w:rFonts w:hint="eastAsia" w:ascii="仿宋_GB2312" w:hAnsi="仿宋_GB2312" w:eastAsia="仿宋_GB2312" w:cs="仿宋_GB2312"/>
                <w:i w:val="0"/>
                <w:iCs w:val="0"/>
                <w:color w:val="auto"/>
                <w:spacing w:val="-11"/>
                <w:kern w:val="0"/>
                <w:sz w:val="20"/>
                <w:szCs w:val="20"/>
                <w:highlight w:val="none"/>
                <w:u w:val="none"/>
                <w:lang w:val="en-US" w:eastAsia="zh-CN" w:bidi="ar"/>
              </w:rPr>
              <w:t>1C410101112</w:t>
            </w:r>
          </w:p>
        </w:tc>
        <w:tc>
          <w:tcPr>
            <w:tcW w:w="7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劳动教育</w:t>
            </w:r>
          </w:p>
        </w:tc>
        <w:tc>
          <w:tcPr>
            <w:tcW w:w="3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1</w:t>
            </w:r>
          </w:p>
        </w:tc>
        <w:tc>
          <w:tcPr>
            <w:tcW w:w="3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16</w:t>
            </w:r>
          </w:p>
        </w:tc>
        <w:tc>
          <w:tcPr>
            <w:tcW w:w="3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0</w:t>
            </w:r>
          </w:p>
        </w:tc>
        <w:tc>
          <w:tcPr>
            <w:tcW w:w="3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16</w:t>
            </w:r>
          </w:p>
        </w:tc>
        <w:tc>
          <w:tcPr>
            <w:tcW w:w="1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2</w:t>
            </w:r>
          </w:p>
        </w:tc>
        <w:tc>
          <w:tcPr>
            <w:tcW w:w="1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1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300" w:lineRule="exact"/>
              <w:rPr>
                <w:rFonts w:hint="eastAsia" w:ascii="仿宋_GB2312" w:hAnsi="仿宋_GB2312" w:eastAsia="仿宋_GB2312" w:cs="仿宋_GB2312"/>
                <w:i w:val="0"/>
                <w:iCs w:val="0"/>
                <w:color w:val="auto"/>
                <w:sz w:val="20"/>
                <w:szCs w:val="20"/>
                <w:highlight w:val="none"/>
                <w:u w:val="none"/>
              </w:rPr>
            </w:pPr>
          </w:p>
        </w:tc>
        <w:tc>
          <w:tcPr>
            <w:tcW w:w="1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1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18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56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349"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19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13</w:t>
            </w:r>
          </w:p>
        </w:tc>
        <w:tc>
          <w:tcPr>
            <w:tcW w:w="5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pacing w:val="-11"/>
                <w:kern w:val="0"/>
                <w:sz w:val="20"/>
                <w:szCs w:val="20"/>
                <w:highlight w:val="none"/>
                <w:u w:val="none"/>
                <w:lang w:val="en-US" w:eastAsia="zh-CN" w:bidi="ar"/>
              </w:rPr>
            </w:pPr>
            <w:r>
              <w:rPr>
                <w:rFonts w:hint="eastAsia" w:ascii="仿宋_GB2312" w:hAnsi="仿宋_GB2312" w:eastAsia="仿宋_GB2312" w:cs="仿宋_GB2312"/>
                <w:i w:val="0"/>
                <w:iCs w:val="0"/>
                <w:color w:val="auto"/>
                <w:spacing w:val="-11"/>
                <w:kern w:val="0"/>
                <w:sz w:val="20"/>
                <w:szCs w:val="20"/>
                <w:highlight w:val="none"/>
                <w:u w:val="none"/>
                <w:lang w:val="en-US" w:eastAsia="zh-CN" w:bidi="ar"/>
              </w:rPr>
              <w:t>1B410101113</w:t>
            </w:r>
          </w:p>
        </w:tc>
        <w:tc>
          <w:tcPr>
            <w:tcW w:w="7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毛泽东思想和中国特色社会主义理论体系概论</w:t>
            </w:r>
          </w:p>
        </w:tc>
        <w:tc>
          <w:tcPr>
            <w:tcW w:w="3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2</w:t>
            </w:r>
          </w:p>
        </w:tc>
        <w:tc>
          <w:tcPr>
            <w:tcW w:w="3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32</w:t>
            </w:r>
          </w:p>
        </w:tc>
        <w:tc>
          <w:tcPr>
            <w:tcW w:w="3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28</w:t>
            </w:r>
          </w:p>
        </w:tc>
        <w:tc>
          <w:tcPr>
            <w:tcW w:w="3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4</w:t>
            </w:r>
          </w:p>
        </w:tc>
        <w:tc>
          <w:tcPr>
            <w:tcW w:w="1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1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1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2</w:t>
            </w:r>
          </w:p>
        </w:tc>
        <w:tc>
          <w:tcPr>
            <w:tcW w:w="1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1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18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56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考试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349"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19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14</w:t>
            </w:r>
          </w:p>
        </w:tc>
        <w:tc>
          <w:tcPr>
            <w:tcW w:w="5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pacing w:val="-11"/>
                <w:kern w:val="0"/>
                <w:sz w:val="20"/>
                <w:szCs w:val="20"/>
                <w:highlight w:val="none"/>
                <w:u w:val="none"/>
                <w:lang w:val="en-US" w:eastAsia="zh-CN" w:bidi="ar"/>
              </w:rPr>
            </w:pPr>
            <w:r>
              <w:rPr>
                <w:rFonts w:hint="eastAsia" w:ascii="仿宋_GB2312" w:hAnsi="仿宋_GB2312" w:eastAsia="仿宋_GB2312" w:cs="仿宋_GB2312"/>
                <w:i w:val="0"/>
                <w:iCs w:val="0"/>
                <w:color w:val="auto"/>
                <w:spacing w:val="-11"/>
                <w:kern w:val="0"/>
                <w:sz w:val="20"/>
                <w:szCs w:val="20"/>
                <w:highlight w:val="none"/>
                <w:u w:val="none"/>
                <w:lang w:val="en-US" w:eastAsia="zh-CN" w:bidi="ar"/>
              </w:rPr>
              <w:t>1B410101114</w:t>
            </w:r>
          </w:p>
        </w:tc>
        <w:tc>
          <w:tcPr>
            <w:tcW w:w="7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创新创业教育</w:t>
            </w:r>
          </w:p>
        </w:tc>
        <w:tc>
          <w:tcPr>
            <w:tcW w:w="3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1</w:t>
            </w:r>
          </w:p>
        </w:tc>
        <w:tc>
          <w:tcPr>
            <w:tcW w:w="3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16</w:t>
            </w:r>
          </w:p>
        </w:tc>
        <w:tc>
          <w:tcPr>
            <w:tcW w:w="3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12</w:t>
            </w:r>
          </w:p>
        </w:tc>
        <w:tc>
          <w:tcPr>
            <w:tcW w:w="3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4</w:t>
            </w:r>
          </w:p>
        </w:tc>
        <w:tc>
          <w:tcPr>
            <w:tcW w:w="1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2</w:t>
            </w:r>
          </w:p>
        </w:tc>
        <w:tc>
          <w:tcPr>
            <w:tcW w:w="1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1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300" w:lineRule="exact"/>
              <w:rPr>
                <w:rFonts w:hint="eastAsia" w:ascii="仿宋_GB2312" w:hAnsi="仿宋_GB2312" w:eastAsia="仿宋_GB2312" w:cs="仿宋_GB2312"/>
                <w:i w:val="0"/>
                <w:iCs w:val="0"/>
                <w:color w:val="auto"/>
                <w:sz w:val="20"/>
                <w:szCs w:val="20"/>
                <w:highlight w:val="none"/>
                <w:u w:val="none"/>
              </w:rPr>
            </w:pPr>
          </w:p>
        </w:tc>
        <w:tc>
          <w:tcPr>
            <w:tcW w:w="1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1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18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56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349"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19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15</w:t>
            </w:r>
          </w:p>
        </w:tc>
        <w:tc>
          <w:tcPr>
            <w:tcW w:w="5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pacing w:val="-11"/>
                <w:kern w:val="0"/>
                <w:sz w:val="20"/>
                <w:szCs w:val="20"/>
                <w:highlight w:val="none"/>
                <w:u w:val="none"/>
                <w:lang w:val="en-US" w:eastAsia="zh-CN" w:bidi="ar"/>
              </w:rPr>
            </w:pPr>
            <w:r>
              <w:rPr>
                <w:rFonts w:hint="eastAsia" w:ascii="仿宋_GB2312" w:hAnsi="仿宋_GB2312" w:eastAsia="仿宋_GB2312" w:cs="仿宋_GB2312"/>
                <w:i w:val="0"/>
                <w:iCs w:val="0"/>
                <w:color w:val="auto"/>
                <w:spacing w:val="-11"/>
                <w:kern w:val="0"/>
                <w:sz w:val="20"/>
                <w:szCs w:val="20"/>
                <w:highlight w:val="none"/>
                <w:u w:val="none"/>
                <w:lang w:val="en-US" w:eastAsia="zh-CN" w:bidi="ar"/>
              </w:rPr>
              <w:t>1B410101115</w:t>
            </w:r>
          </w:p>
        </w:tc>
        <w:tc>
          <w:tcPr>
            <w:tcW w:w="7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习近平新时代中国特色社会主义思想概论</w:t>
            </w:r>
          </w:p>
        </w:tc>
        <w:tc>
          <w:tcPr>
            <w:tcW w:w="3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3</w:t>
            </w:r>
          </w:p>
        </w:tc>
        <w:tc>
          <w:tcPr>
            <w:tcW w:w="3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52</w:t>
            </w:r>
          </w:p>
        </w:tc>
        <w:tc>
          <w:tcPr>
            <w:tcW w:w="3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48</w:t>
            </w:r>
          </w:p>
        </w:tc>
        <w:tc>
          <w:tcPr>
            <w:tcW w:w="3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4</w:t>
            </w:r>
          </w:p>
        </w:tc>
        <w:tc>
          <w:tcPr>
            <w:tcW w:w="1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1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1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1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4</w:t>
            </w:r>
          </w:p>
        </w:tc>
        <w:tc>
          <w:tcPr>
            <w:tcW w:w="1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18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56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考试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349"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19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选修</w:t>
            </w:r>
          </w:p>
        </w:tc>
        <w:tc>
          <w:tcPr>
            <w:tcW w:w="2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1</w:t>
            </w:r>
          </w:p>
        </w:tc>
        <w:tc>
          <w:tcPr>
            <w:tcW w:w="5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pacing w:val="-11"/>
                <w:kern w:val="0"/>
                <w:sz w:val="20"/>
                <w:szCs w:val="20"/>
                <w:highlight w:val="none"/>
                <w:u w:val="none"/>
                <w:lang w:val="en-US" w:eastAsia="zh-CN" w:bidi="ar"/>
              </w:rPr>
            </w:pPr>
            <w:r>
              <w:rPr>
                <w:rFonts w:hint="eastAsia" w:ascii="仿宋_GB2312" w:hAnsi="仿宋_GB2312" w:eastAsia="仿宋_GB2312" w:cs="仿宋_GB2312"/>
                <w:i w:val="0"/>
                <w:iCs w:val="0"/>
                <w:color w:val="auto"/>
                <w:spacing w:val="-11"/>
                <w:kern w:val="0"/>
                <w:sz w:val="20"/>
                <w:szCs w:val="20"/>
                <w:highlight w:val="none"/>
                <w:u w:val="none"/>
                <w:lang w:val="en-US" w:eastAsia="zh-CN" w:bidi="ar"/>
              </w:rPr>
              <w:t>1B410101201</w:t>
            </w:r>
          </w:p>
        </w:tc>
        <w:tc>
          <w:tcPr>
            <w:tcW w:w="7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中国民俗剪纸技法</w:t>
            </w:r>
          </w:p>
        </w:tc>
        <w:tc>
          <w:tcPr>
            <w:tcW w:w="3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2</w:t>
            </w:r>
          </w:p>
        </w:tc>
        <w:tc>
          <w:tcPr>
            <w:tcW w:w="3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32</w:t>
            </w:r>
          </w:p>
        </w:tc>
        <w:tc>
          <w:tcPr>
            <w:tcW w:w="3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8</w:t>
            </w:r>
          </w:p>
        </w:tc>
        <w:tc>
          <w:tcPr>
            <w:tcW w:w="3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24</w:t>
            </w:r>
          </w:p>
        </w:tc>
        <w:tc>
          <w:tcPr>
            <w:tcW w:w="1056" w:type="pct"/>
            <w:gridSpan w:val="6"/>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公共选修课最低学分要求为8学分，其中要求2个学分为思政选修课学分。</w:t>
            </w:r>
          </w:p>
        </w:tc>
        <w:tc>
          <w:tcPr>
            <w:tcW w:w="56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349"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19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2</w:t>
            </w:r>
          </w:p>
        </w:tc>
        <w:tc>
          <w:tcPr>
            <w:tcW w:w="5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pacing w:val="-11"/>
                <w:kern w:val="0"/>
                <w:sz w:val="20"/>
                <w:szCs w:val="20"/>
                <w:highlight w:val="none"/>
                <w:u w:val="none"/>
                <w:lang w:val="en-US" w:eastAsia="zh-CN" w:bidi="ar"/>
              </w:rPr>
            </w:pPr>
            <w:r>
              <w:rPr>
                <w:rFonts w:hint="eastAsia" w:ascii="仿宋_GB2312" w:hAnsi="仿宋_GB2312" w:eastAsia="仿宋_GB2312" w:cs="仿宋_GB2312"/>
                <w:i w:val="0"/>
                <w:iCs w:val="0"/>
                <w:color w:val="auto"/>
                <w:spacing w:val="-11"/>
                <w:kern w:val="0"/>
                <w:sz w:val="20"/>
                <w:szCs w:val="20"/>
                <w:highlight w:val="none"/>
                <w:u w:val="none"/>
                <w:lang w:val="en-US" w:eastAsia="zh-CN" w:bidi="ar"/>
              </w:rPr>
              <w:t>1B410101202</w:t>
            </w:r>
          </w:p>
        </w:tc>
        <w:tc>
          <w:tcPr>
            <w:tcW w:w="7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影视与鉴赏</w:t>
            </w:r>
          </w:p>
        </w:tc>
        <w:tc>
          <w:tcPr>
            <w:tcW w:w="3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2</w:t>
            </w:r>
          </w:p>
        </w:tc>
        <w:tc>
          <w:tcPr>
            <w:tcW w:w="3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32</w:t>
            </w:r>
          </w:p>
        </w:tc>
        <w:tc>
          <w:tcPr>
            <w:tcW w:w="3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8</w:t>
            </w:r>
          </w:p>
        </w:tc>
        <w:tc>
          <w:tcPr>
            <w:tcW w:w="3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24</w:t>
            </w:r>
          </w:p>
        </w:tc>
        <w:tc>
          <w:tcPr>
            <w:tcW w:w="1056" w:type="pct"/>
            <w:gridSpan w:val="6"/>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56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349"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19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3</w:t>
            </w:r>
          </w:p>
        </w:tc>
        <w:tc>
          <w:tcPr>
            <w:tcW w:w="5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pacing w:val="-11"/>
                <w:kern w:val="0"/>
                <w:sz w:val="20"/>
                <w:szCs w:val="20"/>
                <w:highlight w:val="none"/>
                <w:u w:val="none"/>
                <w:lang w:val="en-US" w:eastAsia="zh-CN" w:bidi="ar"/>
              </w:rPr>
            </w:pPr>
            <w:r>
              <w:rPr>
                <w:rFonts w:hint="eastAsia" w:ascii="仿宋_GB2312" w:hAnsi="仿宋_GB2312" w:eastAsia="仿宋_GB2312" w:cs="仿宋_GB2312"/>
                <w:i w:val="0"/>
                <w:iCs w:val="0"/>
                <w:color w:val="auto"/>
                <w:spacing w:val="-11"/>
                <w:kern w:val="0"/>
                <w:sz w:val="20"/>
                <w:szCs w:val="20"/>
                <w:highlight w:val="none"/>
                <w:u w:val="none"/>
                <w:lang w:val="en-US" w:eastAsia="zh-CN" w:bidi="ar"/>
              </w:rPr>
              <w:t>1B410101203</w:t>
            </w:r>
          </w:p>
        </w:tc>
        <w:tc>
          <w:tcPr>
            <w:tcW w:w="7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中华优秀传统文化</w:t>
            </w:r>
          </w:p>
        </w:tc>
        <w:tc>
          <w:tcPr>
            <w:tcW w:w="3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2</w:t>
            </w:r>
          </w:p>
        </w:tc>
        <w:tc>
          <w:tcPr>
            <w:tcW w:w="3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32</w:t>
            </w:r>
          </w:p>
        </w:tc>
        <w:tc>
          <w:tcPr>
            <w:tcW w:w="3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32</w:t>
            </w:r>
          </w:p>
        </w:tc>
        <w:tc>
          <w:tcPr>
            <w:tcW w:w="3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0</w:t>
            </w:r>
          </w:p>
        </w:tc>
        <w:tc>
          <w:tcPr>
            <w:tcW w:w="1056" w:type="pct"/>
            <w:gridSpan w:val="6"/>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56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349"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19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4</w:t>
            </w:r>
          </w:p>
        </w:tc>
        <w:tc>
          <w:tcPr>
            <w:tcW w:w="5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pacing w:val="-11"/>
                <w:kern w:val="0"/>
                <w:sz w:val="20"/>
                <w:szCs w:val="20"/>
                <w:highlight w:val="none"/>
                <w:u w:val="none"/>
                <w:lang w:val="en-US" w:eastAsia="zh-CN" w:bidi="ar"/>
              </w:rPr>
            </w:pPr>
            <w:r>
              <w:rPr>
                <w:rFonts w:hint="eastAsia" w:ascii="仿宋_GB2312" w:hAnsi="仿宋_GB2312" w:eastAsia="仿宋_GB2312" w:cs="仿宋_GB2312"/>
                <w:i w:val="0"/>
                <w:iCs w:val="0"/>
                <w:color w:val="auto"/>
                <w:spacing w:val="-11"/>
                <w:kern w:val="0"/>
                <w:sz w:val="20"/>
                <w:szCs w:val="20"/>
                <w:highlight w:val="none"/>
                <w:u w:val="none"/>
                <w:lang w:val="en-US" w:eastAsia="zh-CN" w:bidi="ar"/>
              </w:rPr>
              <w:t>1B410101204</w:t>
            </w:r>
          </w:p>
        </w:tc>
        <w:tc>
          <w:tcPr>
            <w:tcW w:w="7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中国共产党简史</w:t>
            </w:r>
          </w:p>
        </w:tc>
        <w:tc>
          <w:tcPr>
            <w:tcW w:w="3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2</w:t>
            </w:r>
          </w:p>
        </w:tc>
        <w:tc>
          <w:tcPr>
            <w:tcW w:w="3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32</w:t>
            </w:r>
          </w:p>
        </w:tc>
        <w:tc>
          <w:tcPr>
            <w:tcW w:w="3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32</w:t>
            </w:r>
          </w:p>
        </w:tc>
        <w:tc>
          <w:tcPr>
            <w:tcW w:w="3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0</w:t>
            </w:r>
          </w:p>
        </w:tc>
        <w:tc>
          <w:tcPr>
            <w:tcW w:w="1056" w:type="pct"/>
            <w:gridSpan w:val="6"/>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56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349"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19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5</w:t>
            </w:r>
          </w:p>
        </w:tc>
        <w:tc>
          <w:tcPr>
            <w:tcW w:w="5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pacing w:val="-11"/>
                <w:kern w:val="0"/>
                <w:sz w:val="20"/>
                <w:szCs w:val="20"/>
                <w:highlight w:val="none"/>
                <w:u w:val="none"/>
                <w:lang w:val="en-US" w:eastAsia="zh-CN" w:bidi="ar"/>
              </w:rPr>
            </w:pPr>
            <w:r>
              <w:rPr>
                <w:rFonts w:hint="eastAsia" w:ascii="仿宋_GB2312" w:hAnsi="仿宋_GB2312" w:eastAsia="仿宋_GB2312" w:cs="仿宋_GB2312"/>
                <w:i w:val="0"/>
                <w:iCs w:val="0"/>
                <w:color w:val="auto"/>
                <w:spacing w:val="-11"/>
                <w:kern w:val="0"/>
                <w:sz w:val="20"/>
                <w:szCs w:val="20"/>
                <w:highlight w:val="none"/>
                <w:u w:val="none"/>
                <w:lang w:val="en-US" w:eastAsia="zh-CN" w:bidi="ar"/>
              </w:rPr>
              <w:t>1B410101205</w:t>
            </w:r>
          </w:p>
        </w:tc>
        <w:tc>
          <w:tcPr>
            <w:tcW w:w="7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改革开放简史</w:t>
            </w:r>
          </w:p>
        </w:tc>
        <w:tc>
          <w:tcPr>
            <w:tcW w:w="3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2</w:t>
            </w:r>
          </w:p>
        </w:tc>
        <w:tc>
          <w:tcPr>
            <w:tcW w:w="3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32</w:t>
            </w:r>
          </w:p>
        </w:tc>
        <w:tc>
          <w:tcPr>
            <w:tcW w:w="3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32</w:t>
            </w:r>
          </w:p>
        </w:tc>
        <w:tc>
          <w:tcPr>
            <w:tcW w:w="3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0</w:t>
            </w:r>
          </w:p>
        </w:tc>
        <w:tc>
          <w:tcPr>
            <w:tcW w:w="1056" w:type="pct"/>
            <w:gridSpan w:val="6"/>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56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349"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19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6</w:t>
            </w:r>
          </w:p>
        </w:tc>
        <w:tc>
          <w:tcPr>
            <w:tcW w:w="5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pacing w:val="-11"/>
                <w:kern w:val="0"/>
                <w:sz w:val="20"/>
                <w:szCs w:val="20"/>
                <w:highlight w:val="none"/>
                <w:u w:val="none"/>
                <w:lang w:val="en-US" w:eastAsia="zh-CN" w:bidi="ar"/>
              </w:rPr>
            </w:pPr>
            <w:r>
              <w:rPr>
                <w:rFonts w:hint="eastAsia" w:ascii="仿宋_GB2312" w:hAnsi="仿宋_GB2312" w:eastAsia="仿宋_GB2312" w:cs="仿宋_GB2312"/>
                <w:i w:val="0"/>
                <w:iCs w:val="0"/>
                <w:color w:val="auto"/>
                <w:spacing w:val="-11"/>
                <w:kern w:val="0"/>
                <w:sz w:val="20"/>
                <w:szCs w:val="20"/>
                <w:highlight w:val="none"/>
                <w:u w:val="none"/>
                <w:lang w:val="en-US" w:eastAsia="zh-CN" w:bidi="ar"/>
              </w:rPr>
              <w:t>1B410101206</w:t>
            </w:r>
          </w:p>
        </w:tc>
        <w:tc>
          <w:tcPr>
            <w:tcW w:w="7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中华人民共和国简史</w:t>
            </w:r>
          </w:p>
        </w:tc>
        <w:tc>
          <w:tcPr>
            <w:tcW w:w="3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2</w:t>
            </w:r>
          </w:p>
        </w:tc>
        <w:tc>
          <w:tcPr>
            <w:tcW w:w="3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32</w:t>
            </w:r>
          </w:p>
        </w:tc>
        <w:tc>
          <w:tcPr>
            <w:tcW w:w="3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32</w:t>
            </w:r>
          </w:p>
        </w:tc>
        <w:tc>
          <w:tcPr>
            <w:tcW w:w="3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0</w:t>
            </w:r>
          </w:p>
        </w:tc>
        <w:tc>
          <w:tcPr>
            <w:tcW w:w="1056" w:type="pct"/>
            <w:gridSpan w:val="6"/>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56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349"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19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7</w:t>
            </w:r>
          </w:p>
        </w:tc>
        <w:tc>
          <w:tcPr>
            <w:tcW w:w="5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pacing w:val="-11"/>
                <w:kern w:val="0"/>
                <w:sz w:val="20"/>
                <w:szCs w:val="20"/>
                <w:highlight w:val="none"/>
                <w:u w:val="none"/>
                <w:lang w:val="en-US" w:eastAsia="zh-CN" w:bidi="ar"/>
              </w:rPr>
            </w:pPr>
            <w:r>
              <w:rPr>
                <w:rFonts w:hint="eastAsia" w:ascii="仿宋_GB2312" w:hAnsi="仿宋_GB2312" w:eastAsia="仿宋_GB2312" w:cs="仿宋_GB2312"/>
                <w:i w:val="0"/>
                <w:iCs w:val="0"/>
                <w:color w:val="auto"/>
                <w:spacing w:val="-11"/>
                <w:kern w:val="0"/>
                <w:sz w:val="20"/>
                <w:szCs w:val="20"/>
                <w:highlight w:val="none"/>
                <w:u w:val="none"/>
                <w:lang w:val="en-US" w:eastAsia="zh-CN" w:bidi="ar"/>
              </w:rPr>
              <w:t>1B410101207</w:t>
            </w:r>
          </w:p>
        </w:tc>
        <w:tc>
          <w:tcPr>
            <w:tcW w:w="7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社会主义发展简史</w:t>
            </w:r>
          </w:p>
        </w:tc>
        <w:tc>
          <w:tcPr>
            <w:tcW w:w="3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2</w:t>
            </w:r>
          </w:p>
        </w:tc>
        <w:tc>
          <w:tcPr>
            <w:tcW w:w="3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32</w:t>
            </w:r>
          </w:p>
        </w:tc>
        <w:tc>
          <w:tcPr>
            <w:tcW w:w="3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32</w:t>
            </w:r>
          </w:p>
        </w:tc>
        <w:tc>
          <w:tcPr>
            <w:tcW w:w="3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0</w:t>
            </w:r>
          </w:p>
        </w:tc>
        <w:tc>
          <w:tcPr>
            <w:tcW w:w="1056" w:type="pct"/>
            <w:gridSpan w:val="6"/>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56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349"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19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8</w:t>
            </w:r>
          </w:p>
        </w:tc>
        <w:tc>
          <w:tcPr>
            <w:tcW w:w="5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pacing w:val="-11"/>
                <w:kern w:val="0"/>
                <w:sz w:val="20"/>
                <w:szCs w:val="20"/>
                <w:highlight w:val="none"/>
                <w:u w:val="none"/>
                <w:lang w:val="en-US" w:eastAsia="zh-CN" w:bidi="ar"/>
              </w:rPr>
            </w:pPr>
            <w:r>
              <w:rPr>
                <w:rFonts w:hint="eastAsia" w:ascii="仿宋_GB2312" w:hAnsi="仿宋_GB2312" w:eastAsia="仿宋_GB2312" w:cs="仿宋_GB2312"/>
                <w:i w:val="0"/>
                <w:iCs w:val="0"/>
                <w:color w:val="auto"/>
                <w:spacing w:val="-11"/>
                <w:kern w:val="0"/>
                <w:sz w:val="20"/>
                <w:szCs w:val="20"/>
                <w:highlight w:val="none"/>
                <w:u w:val="none"/>
                <w:lang w:val="en-US" w:eastAsia="zh-CN" w:bidi="ar"/>
              </w:rPr>
              <w:t>1B410101208</w:t>
            </w:r>
          </w:p>
        </w:tc>
        <w:tc>
          <w:tcPr>
            <w:tcW w:w="7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中华民族共同体概论</w:t>
            </w:r>
          </w:p>
        </w:tc>
        <w:tc>
          <w:tcPr>
            <w:tcW w:w="3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2</w:t>
            </w:r>
          </w:p>
        </w:tc>
        <w:tc>
          <w:tcPr>
            <w:tcW w:w="3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32</w:t>
            </w:r>
          </w:p>
        </w:tc>
        <w:tc>
          <w:tcPr>
            <w:tcW w:w="3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32</w:t>
            </w:r>
          </w:p>
        </w:tc>
        <w:tc>
          <w:tcPr>
            <w:tcW w:w="3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0</w:t>
            </w:r>
          </w:p>
        </w:tc>
        <w:tc>
          <w:tcPr>
            <w:tcW w:w="1056" w:type="pct"/>
            <w:gridSpan w:val="6"/>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56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349"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19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9</w:t>
            </w:r>
          </w:p>
        </w:tc>
        <w:tc>
          <w:tcPr>
            <w:tcW w:w="5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pacing w:val="-11"/>
                <w:kern w:val="0"/>
                <w:sz w:val="20"/>
                <w:szCs w:val="20"/>
                <w:highlight w:val="none"/>
                <w:u w:val="none"/>
                <w:lang w:val="en-US" w:eastAsia="zh-CN" w:bidi="ar"/>
              </w:rPr>
            </w:pPr>
            <w:r>
              <w:rPr>
                <w:rFonts w:hint="eastAsia" w:ascii="仿宋_GB2312" w:hAnsi="仿宋_GB2312" w:eastAsia="仿宋_GB2312" w:cs="仿宋_GB2312"/>
                <w:i w:val="0"/>
                <w:iCs w:val="0"/>
                <w:color w:val="auto"/>
                <w:spacing w:val="-11"/>
                <w:kern w:val="0"/>
                <w:sz w:val="20"/>
                <w:szCs w:val="20"/>
                <w:highlight w:val="none"/>
                <w:u w:val="none"/>
                <w:lang w:val="en-US" w:eastAsia="zh-CN" w:bidi="ar"/>
              </w:rPr>
              <w:t>1B410101210</w:t>
            </w:r>
          </w:p>
        </w:tc>
        <w:tc>
          <w:tcPr>
            <w:tcW w:w="7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语文</w:t>
            </w:r>
          </w:p>
        </w:tc>
        <w:tc>
          <w:tcPr>
            <w:tcW w:w="3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2</w:t>
            </w:r>
          </w:p>
        </w:tc>
        <w:tc>
          <w:tcPr>
            <w:tcW w:w="3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32</w:t>
            </w:r>
          </w:p>
        </w:tc>
        <w:tc>
          <w:tcPr>
            <w:tcW w:w="3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32</w:t>
            </w:r>
          </w:p>
        </w:tc>
        <w:tc>
          <w:tcPr>
            <w:tcW w:w="3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0</w:t>
            </w:r>
          </w:p>
        </w:tc>
        <w:tc>
          <w:tcPr>
            <w:tcW w:w="1056" w:type="pct"/>
            <w:gridSpan w:val="6"/>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56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5" w:hRule="atLeast"/>
        </w:trPr>
        <w:tc>
          <w:tcPr>
            <w:tcW w:w="349"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19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233" w:type="pct"/>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10</w:t>
            </w:r>
          </w:p>
        </w:tc>
        <w:tc>
          <w:tcPr>
            <w:tcW w:w="584"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pacing w:val="-11"/>
                <w:kern w:val="0"/>
                <w:sz w:val="20"/>
                <w:szCs w:val="20"/>
                <w:highlight w:val="none"/>
                <w:u w:val="none"/>
                <w:lang w:val="en-US" w:eastAsia="zh-CN" w:bidi="ar"/>
              </w:rPr>
            </w:pPr>
            <w:r>
              <w:rPr>
                <w:rFonts w:hint="eastAsia" w:ascii="仿宋_GB2312" w:hAnsi="仿宋_GB2312" w:eastAsia="仿宋_GB2312" w:cs="仿宋_GB2312"/>
                <w:i w:val="0"/>
                <w:iCs w:val="0"/>
                <w:color w:val="auto"/>
                <w:spacing w:val="-11"/>
                <w:kern w:val="0"/>
                <w:sz w:val="20"/>
                <w:szCs w:val="20"/>
                <w:highlight w:val="none"/>
                <w:u w:val="none"/>
                <w:lang w:val="en-US" w:eastAsia="zh-CN" w:bidi="ar"/>
              </w:rPr>
              <w:t>1B410101215</w:t>
            </w:r>
          </w:p>
        </w:tc>
        <w:tc>
          <w:tcPr>
            <w:tcW w:w="7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社会责任</w:t>
            </w:r>
          </w:p>
        </w:tc>
        <w:tc>
          <w:tcPr>
            <w:tcW w:w="3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2</w:t>
            </w:r>
          </w:p>
        </w:tc>
        <w:tc>
          <w:tcPr>
            <w:tcW w:w="3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32</w:t>
            </w:r>
          </w:p>
        </w:tc>
        <w:tc>
          <w:tcPr>
            <w:tcW w:w="3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32</w:t>
            </w:r>
          </w:p>
        </w:tc>
        <w:tc>
          <w:tcPr>
            <w:tcW w:w="323"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0</w:t>
            </w:r>
          </w:p>
        </w:tc>
        <w:tc>
          <w:tcPr>
            <w:tcW w:w="1056" w:type="pct"/>
            <w:gridSpan w:val="6"/>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56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5" w:hRule="atLeast"/>
        </w:trPr>
        <w:tc>
          <w:tcPr>
            <w:tcW w:w="349"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19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11</w:t>
            </w:r>
          </w:p>
        </w:tc>
        <w:tc>
          <w:tcPr>
            <w:tcW w:w="584"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pacing w:val="-11"/>
                <w:kern w:val="0"/>
                <w:sz w:val="20"/>
                <w:szCs w:val="20"/>
                <w:highlight w:val="none"/>
                <w:u w:val="none"/>
                <w:lang w:val="en-US" w:eastAsia="zh-CN" w:bidi="ar"/>
              </w:rPr>
            </w:pPr>
            <w:r>
              <w:rPr>
                <w:rFonts w:hint="eastAsia" w:ascii="仿宋_GB2312" w:hAnsi="仿宋_GB2312" w:eastAsia="仿宋_GB2312" w:cs="仿宋_GB2312"/>
                <w:i w:val="0"/>
                <w:iCs w:val="0"/>
                <w:color w:val="auto"/>
                <w:spacing w:val="-11"/>
                <w:kern w:val="0"/>
                <w:sz w:val="20"/>
                <w:szCs w:val="20"/>
                <w:highlight w:val="none"/>
                <w:u w:val="none"/>
                <w:lang w:val="en-US" w:eastAsia="zh-CN" w:bidi="ar"/>
              </w:rPr>
              <w:t>1B410101216</w:t>
            </w:r>
          </w:p>
        </w:tc>
        <w:tc>
          <w:tcPr>
            <w:tcW w:w="7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金融知识</w:t>
            </w:r>
          </w:p>
        </w:tc>
        <w:tc>
          <w:tcPr>
            <w:tcW w:w="3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2</w:t>
            </w:r>
          </w:p>
        </w:tc>
        <w:tc>
          <w:tcPr>
            <w:tcW w:w="3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32</w:t>
            </w:r>
          </w:p>
        </w:tc>
        <w:tc>
          <w:tcPr>
            <w:tcW w:w="3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32</w:t>
            </w:r>
          </w:p>
        </w:tc>
        <w:tc>
          <w:tcPr>
            <w:tcW w:w="323"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0</w:t>
            </w:r>
          </w:p>
        </w:tc>
        <w:tc>
          <w:tcPr>
            <w:tcW w:w="1056" w:type="pct"/>
            <w:gridSpan w:val="6"/>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56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349"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1738"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公共必修课程学分、学时小计</w:t>
            </w:r>
          </w:p>
        </w:tc>
        <w:tc>
          <w:tcPr>
            <w:tcW w:w="323" w:type="pct"/>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42</w:t>
            </w:r>
          </w:p>
        </w:tc>
        <w:tc>
          <w:tcPr>
            <w:tcW w:w="323" w:type="pct"/>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794</w:t>
            </w:r>
          </w:p>
        </w:tc>
        <w:tc>
          <w:tcPr>
            <w:tcW w:w="323" w:type="pct"/>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454</w:t>
            </w:r>
          </w:p>
        </w:tc>
        <w:tc>
          <w:tcPr>
            <w:tcW w:w="323" w:type="pct"/>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340</w:t>
            </w:r>
          </w:p>
        </w:tc>
        <w:tc>
          <w:tcPr>
            <w:tcW w:w="1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1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1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1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1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1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300" w:lineRule="exact"/>
              <w:jc w:val="both"/>
              <w:rPr>
                <w:rFonts w:hint="eastAsia" w:ascii="仿宋_GB2312" w:hAnsi="仿宋_GB2312" w:eastAsia="仿宋_GB2312" w:cs="仿宋_GB2312"/>
                <w:i w:val="0"/>
                <w:iCs w:val="0"/>
                <w:color w:val="auto"/>
                <w:sz w:val="20"/>
                <w:szCs w:val="20"/>
                <w:highlight w:val="none"/>
                <w:u w:val="none"/>
              </w:rPr>
            </w:pPr>
          </w:p>
        </w:tc>
        <w:tc>
          <w:tcPr>
            <w:tcW w:w="5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349"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1738"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公共必修课程学分、学时占比</w:t>
            </w:r>
          </w:p>
        </w:tc>
        <w:tc>
          <w:tcPr>
            <w:tcW w:w="3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pacing w:val="-23"/>
                <w:sz w:val="20"/>
                <w:szCs w:val="20"/>
                <w:highlight w:val="none"/>
                <w:u w:val="none"/>
              </w:rPr>
            </w:pPr>
            <w:r>
              <w:rPr>
                <w:rFonts w:hint="eastAsia" w:ascii="仿宋_GB2312" w:hAnsi="仿宋_GB2312" w:eastAsia="仿宋_GB2312" w:cs="仿宋_GB2312"/>
                <w:i w:val="0"/>
                <w:iCs w:val="0"/>
                <w:color w:val="auto"/>
                <w:spacing w:val="-23"/>
                <w:kern w:val="0"/>
                <w:sz w:val="20"/>
                <w:szCs w:val="20"/>
                <w:highlight w:val="none"/>
                <w:u w:val="none"/>
                <w:lang w:val="en-US" w:eastAsia="zh-CN" w:bidi="ar"/>
              </w:rPr>
              <w:t>29.37%</w:t>
            </w:r>
          </w:p>
        </w:tc>
        <w:tc>
          <w:tcPr>
            <w:tcW w:w="3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pacing w:val="-23"/>
                <w:sz w:val="20"/>
                <w:szCs w:val="20"/>
                <w:highlight w:val="none"/>
                <w:u w:val="none"/>
              </w:rPr>
            </w:pPr>
            <w:r>
              <w:rPr>
                <w:rFonts w:hint="eastAsia" w:ascii="仿宋_GB2312" w:hAnsi="仿宋_GB2312" w:eastAsia="仿宋_GB2312" w:cs="仿宋_GB2312"/>
                <w:i w:val="0"/>
                <w:iCs w:val="0"/>
                <w:color w:val="auto"/>
                <w:spacing w:val="-23"/>
                <w:kern w:val="0"/>
                <w:sz w:val="20"/>
                <w:szCs w:val="20"/>
                <w:highlight w:val="none"/>
                <w:u w:val="none"/>
                <w:lang w:val="en-US" w:eastAsia="zh-CN" w:bidi="ar"/>
              </w:rPr>
              <w:t>29.47%</w:t>
            </w:r>
          </w:p>
        </w:tc>
        <w:tc>
          <w:tcPr>
            <w:tcW w:w="3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pacing w:val="-23"/>
                <w:sz w:val="20"/>
                <w:szCs w:val="20"/>
                <w:highlight w:val="none"/>
                <w:u w:val="none"/>
              </w:rPr>
            </w:pPr>
            <w:r>
              <w:rPr>
                <w:rFonts w:hint="eastAsia" w:ascii="仿宋_GB2312" w:hAnsi="仿宋_GB2312" w:eastAsia="仿宋_GB2312" w:cs="仿宋_GB2312"/>
                <w:i w:val="0"/>
                <w:iCs w:val="0"/>
                <w:color w:val="auto"/>
                <w:spacing w:val="-23"/>
                <w:kern w:val="0"/>
                <w:sz w:val="20"/>
                <w:szCs w:val="20"/>
                <w:highlight w:val="none"/>
                <w:u w:val="none"/>
                <w:lang w:val="en-US" w:eastAsia="zh-CN" w:bidi="ar"/>
              </w:rPr>
              <w:t>16.85%</w:t>
            </w:r>
          </w:p>
        </w:tc>
        <w:tc>
          <w:tcPr>
            <w:tcW w:w="3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pacing w:val="-23"/>
                <w:sz w:val="20"/>
                <w:szCs w:val="20"/>
                <w:highlight w:val="none"/>
                <w:u w:val="none"/>
              </w:rPr>
            </w:pPr>
            <w:r>
              <w:rPr>
                <w:rFonts w:hint="eastAsia" w:ascii="仿宋_GB2312" w:hAnsi="仿宋_GB2312" w:eastAsia="仿宋_GB2312" w:cs="仿宋_GB2312"/>
                <w:i w:val="0"/>
                <w:iCs w:val="0"/>
                <w:color w:val="auto"/>
                <w:spacing w:val="-23"/>
                <w:kern w:val="0"/>
                <w:sz w:val="20"/>
                <w:szCs w:val="20"/>
                <w:highlight w:val="none"/>
                <w:u w:val="none"/>
                <w:lang w:val="en-US" w:eastAsia="zh-CN" w:bidi="ar"/>
              </w:rPr>
              <w:t>12.62%</w:t>
            </w:r>
          </w:p>
        </w:tc>
        <w:tc>
          <w:tcPr>
            <w:tcW w:w="1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1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1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1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1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1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300" w:lineRule="exact"/>
              <w:jc w:val="both"/>
              <w:rPr>
                <w:rFonts w:hint="eastAsia" w:ascii="仿宋_GB2312" w:hAnsi="仿宋_GB2312" w:eastAsia="仿宋_GB2312" w:cs="仿宋_GB2312"/>
                <w:i w:val="0"/>
                <w:iCs w:val="0"/>
                <w:color w:val="auto"/>
                <w:sz w:val="20"/>
                <w:szCs w:val="20"/>
                <w:highlight w:val="none"/>
                <w:u w:val="none"/>
              </w:rPr>
            </w:pPr>
          </w:p>
        </w:tc>
        <w:tc>
          <w:tcPr>
            <w:tcW w:w="5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349"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1738"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公共选修课程学分、学时小计</w:t>
            </w:r>
          </w:p>
        </w:tc>
        <w:tc>
          <w:tcPr>
            <w:tcW w:w="3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8</w:t>
            </w:r>
          </w:p>
        </w:tc>
        <w:tc>
          <w:tcPr>
            <w:tcW w:w="3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128</w:t>
            </w:r>
          </w:p>
        </w:tc>
        <w:tc>
          <w:tcPr>
            <w:tcW w:w="3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80</w:t>
            </w:r>
          </w:p>
        </w:tc>
        <w:tc>
          <w:tcPr>
            <w:tcW w:w="3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48</w:t>
            </w:r>
          </w:p>
        </w:tc>
        <w:tc>
          <w:tcPr>
            <w:tcW w:w="1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1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1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1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1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1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300" w:lineRule="exact"/>
              <w:jc w:val="both"/>
              <w:rPr>
                <w:rFonts w:hint="eastAsia" w:ascii="仿宋_GB2312" w:hAnsi="仿宋_GB2312" w:eastAsia="仿宋_GB2312" w:cs="仿宋_GB2312"/>
                <w:i w:val="0"/>
                <w:iCs w:val="0"/>
                <w:color w:val="auto"/>
                <w:sz w:val="20"/>
                <w:szCs w:val="20"/>
                <w:highlight w:val="none"/>
                <w:u w:val="none"/>
              </w:rPr>
            </w:pPr>
          </w:p>
        </w:tc>
        <w:tc>
          <w:tcPr>
            <w:tcW w:w="56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349"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1738"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公共选修课程学分、学时占比</w:t>
            </w:r>
          </w:p>
        </w:tc>
        <w:tc>
          <w:tcPr>
            <w:tcW w:w="3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pacing w:val="-20"/>
                <w:sz w:val="20"/>
                <w:szCs w:val="20"/>
                <w:highlight w:val="none"/>
                <w:u w:val="none"/>
              </w:rPr>
            </w:pPr>
            <w:r>
              <w:rPr>
                <w:rFonts w:hint="eastAsia" w:ascii="仿宋_GB2312" w:hAnsi="仿宋_GB2312" w:eastAsia="仿宋_GB2312" w:cs="仿宋_GB2312"/>
                <w:i w:val="0"/>
                <w:iCs w:val="0"/>
                <w:color w:val="auto"/>
                <w:spacing w:val="-20"/>
                <w:kern w:val="0"/>
                <w:sz w:val="20"/>
                <w:szCs w:val="20"/>
                <w:highlight w:val="none"/>
                <w:u w:val="none"/>
                <w:lang w:val="en-US" w:eastAsia="zh-CN" w:bidi="ar"/>
              </w:rPr>
              <w:t>5.59%</w:t>
            </w:r>
          </w:p>
        </w:tc>
        <w:tc>
          <w:tcPr>
            <w:tcW w:w="3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pacing w:val="-20"/>
                <w:sz w:val="20"/>
                <w:szCs w:val="20"/>
                <w:highlight w:val="none"/>
                <w:u w:val="none"/>
              </w:rPr>
            </w:pPr>
            <w:r>
              <w:rPr>
                <w:rFonts w:hint="eastAsia" w:ascii="仿宋_GB2312" w:hAnsi="仿宋_GB2312" w:eastAsia="仿宋_GB2312" w:cs="仿宋_GB2312"/>
                <w:i w:val="0"/>
                <w:iCs w:val="0"/>
                <w:color w:val="auto"/>
                <w:spacing w:val="-20"/>
                <w:kern w:val="0"/>
                <w:sz w:val="20"/>
                <w:szCs w:val="20"/>
                <w:highlight w:val="none"/>
                <w:u w:val="none"/>
                <w:lang w:val="en-US" w:eastAsia="zh-CN" w:bidi="ar"/>
              </w:rPr>
              <w:t>4.75%</w:t>
            </w:r>
          </w:p>
        </w:tc>
        <w:tc>
          <w:tcPr>
            <w:tcW w:w="3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pacing w:val="-20"/>
                <w:sz w:val="20"/>
                <w:szCs w:val="20"/>
                <w:highlight w:val="none"/>
                <w:u w:val="none"/>
              </w:rPr>
            </w:pPr>
            <w:r>
              <w:rPr>
                <w:rFonts w:hint="eastAsia" w:ascii="仿宋_GB2312" w:hAnsi="仿宋_GB2312" w:eastAsia="仿宋_GB2312" w:cs="仿宋_GB2312"/>
                <w:i w:val="0"/>
                <w:iCs w:val="0"/>
                <w:color w:val="auto"/>
                <w:spacing w:val="-20"/>
                <w:kern w:val="0"/>
                <w:sz w:val="20"/>
                <w:szCs w:val="20"/>
                <w:highlight w:val="none"/>
                <w:u w:val="none"/>
                <w:lang w:val="en-US" w:eastAsia="zh-CN" w:bidi="ar"/>
              </w:rPr>
              <w:t>2.97%</w:t>
            </w:r>
          </w:p>
        </w:tc>
        <w:tc>
          <w:tcPr>
            <w:tcW w:w="3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pacing w:val="-20"/>
                <w:sz w:val="20"/>
                <w:szCs w:val="20"/>
                <w:highlight w:val="none"/>
                <w:u w:val="none"/>
              </w:rPr>
            </w:pPr>
            <w:r>
              <w:rPr>
                <w:rFonts w:hint="eastAsia" w:ascii="仿宋_GB2312" w:hAnsi="仿宋_GB2312" w:eastAsia="仿宋_GB2312" w:cs="仿宋_GB2312"/>
                <w:i w:val="0"/>
                <w:iCs w:val="0"/>
                <w:color w:val="auto"/>
                <w:spacing w:val="-20"/>
                <w:kern w:val="0"/>
                <w:sz w:val="20"/>
                <w:szCs w:val="20"/>
                <w:highlight w:val="none"/>
                <w:u w:val="none"/>
                <w:lang w:val="en-US" w:eastAsia="zh-CN" w:bidi="ar"/>
              </w:rPr>
              <w:t>1.78%</w:t>
            </w:r>
          </w:p>
        </w:tc>
        <w:tc>
          <w:tcPr>
            <w:tcW w:w="1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1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1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1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1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1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56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174" w:type="pct"/>
            <w:vMerge w:val="restart"/>
            <w:tcBorders>
              <w:top w:val="single" w:color="000000" w:sz="4" w:space="0"/>
              <w:left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专业课</w:t>
            </w:r>
          </w:p>
        </w:tc>
        <w:tc>
          <w:tcPr>
            <w:tcW w:w="174" w:type="pct"/>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专业基础课</w:t>
            </w:r>
          </w:p>
        </w:tc>
        <w:tc>
          <w:tcPr>
            <w:tcW w:w="191" w:type="pct"/>
            <w:vMerge w:val="restart"/>
            <w:tcBorders>
              <w:top w:val="single" w:color="000000" w:sz="4" w:space="0"/>
              <w:left w:val="single" w:color="000000" w:sz="4" w:space="0"/>
              <w:bottom w:val="nil"/>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必修</w:t>
            </w:r>
          </w:p>
        </w:tc>
        <w:tc>
          <w:tcPr>
            <w:tcW w:w="2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1</w:t>
            </w:r>
          </w:p>
        </w:tc>
        <w:tc>
          <w:tcPr>
            <w:tcW w:w="5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pacing w:val="-11"/>
                <w:kern w:val="0"/>
                <w:sz w:val="20"/>
                <w:szCs w:val="20"/>
                <w:highlight w:val="none"/>
                <w:u w:val="none"/>
                <w:lang w:val="en-US" w:eastAsia="zh-CN" w:bidi="ar"/>
              </w:rPr>
            </w:pPr>
            <w:r>
              <w:rPr>
                <w:rFonts w:hint="eastAsia" w:ascii="仿宋_GB2312" w:hAnsi="仿宋_GB2312" w:eastAsia="仿宋_GB2312" w:cs="仿宋_GB2312"/>
                <w:i w:val="0"/>
                <w:iCs w:val="0"/>
                <w:color w:val="auto"/>
                <w:spacing w:val="-11"/>
                <w:kern w:val="0"/>
                <w:sz w:val="20"/>
                <w:szCs w:val="20"/>
                <w:highlight w:val="none"/>
                <w:u w:val="none"/>
                <w:lang w:val="en-US" w:eastAsia="zh-CN" w:bidi="ar"/>
              </w:rPr>
              <w:t>5B530501302</w:t>
            </w:r>
          </w:p>
        </w:tc>
        <w:tc>
          <w:tcPr>
            <w:tcW w:w="7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国际贸易基础</w:t>
            </w:r>
          </w:p>
        </w:tc>
        <w:tc>
          <w:tcPr>
            <w:tcW w:w="3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4</w:t>
            </w:r>
          </w:p>
        </w:tc>
        <w:tc>
          <w:tcPr>
            <w:tcW w:w="3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72</w:t>
            </w:r>
          </w:p>
        </w:tc>
        <w:tc>
          <w:tcPr>
            <w:tcW w:w="3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56</w:t>
            </w:r>
          </w:p>
        </w:tc>
        <w:tc>
          <w:tcPr>
            <w:tcW w:w="3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16</w:t>
            </w:r>
          </w:p>
        </w:tc>
        <w:tc>
          <w:tcPr>
            <w:tcW w:w="1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4</w:t>
            </w:r>
          </w:p>
        </w:tc>
        <w:tc>
          <w:tcPr>
            <w:tcW w:w="1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1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1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1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1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56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考试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174" w:type="pct"/>
            <w:vMerge w:val="continue"/>
            <w:tcBorders>
              <w:left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174" w:type="pct"/>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191" w:type="pct"/>
            <w:vMerge w:val="continue"/>
            <w:tcBorders>
              <w:top w:val="single" w:color="000000" w:sz="4" w:space="0"/>
              <w:left w:val="single" w:color="000000" w:sz="4" w:space="0"/>
              <w:bottom w:val="nil"/>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2</w:t>
            </w:r>
          </w:p>
        </w:tc>
        <w:tc>
          <w:tcPr>
            <w:tcW w:w="5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pacing w:val="-11"/>
                <w:kern w:val="0"/>
                <w:sz w:val="20"/>
                <w:szCs w:val="20"/>
                <w:highlight w:val="none"/>
                <w:u w:val="none"/>
                <w:lang w:val="en-US" w:eastAsia="zh-CN" w:bidi="ar"/>
              </w:rPr>
            </w:pPr>
            <w:r>
              <w:rPr>
                <w:rFonts w:hint="eastAsia" w:ascii="仿宋_GB2312" w:hAnsi="仿宋_GB2312" w:eastAsia="仿宋_GB2312" w:cs="仿宋_GB2312"/>
                <w:i w:val="0"/>
                <w:iCs w:val="0"/>
                <w:color w:val="auto"/>
                <w:spacing w:val="-11"/>
                <w:kern w:val="0"/>
                <w:sz w:val="20"/>
                <w:szCs w:val="20"/>
                <w:highlight w:val="none"/>
                <w:u w:val="none"/>
                <w:lang w:val="en-US" w:eastAsia="zh-CN" w:bidi="ar"/>
              </w:rPr>
              <w:t>5A530605304</w:t>
            </w:r>
          </w:p>
        </w:tc>
        <w:tc>
          <w:tcPr>
            <w:tcW w:w="7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经济学基础</w:t>
            </w:r>
          </w:p>
        </w:tc>
        <w:tc>
          <w:tcPr>
            <w:tcW w:w="3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4</w:t>
            </w:r>
          </w:p>
        </w:tc>
        <w:tc>
          <w:tcPr>
            <w:tcW w:w="3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72</w:t>
            </w:r>
          </w:p>
        </w:tc>
        <w:tc>
          <w:tcPr>
            <w:tcW w:w="3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72</w:t>
            </w:r>
          </w:p>
        </w:tc>
        <w:tc>
          <w:tcPr>
            <w:tcW w:w="3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0</w:t>
            </w:r>
          </w:p>
        </w:tc>
        <w:tc>
          <w:tcPr>
            <w:tcW w:w="1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4</w:t>
            </w:r>
          </w:p>
        </w:tc>
        <w:tc>
          <w:tcPr>
            <w:tcW w:w="1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1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1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1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1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56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考试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74" w:type="pct"/>
            <w:vMerge w:val="continue"/>
            <w:tcBorders>
              <w:left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174" w:type="pct"/>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191" w:type="pct"/>
            <w:vMerge w:val="continue"/>
            <w:tcBorders>
              <w:top w:val="single" w:color="000000" w:sz="4" w:space="0"/>
              <w:left w:val="single" w:color="000000" w:sz="4" w:space="0"/>
              <w:bottom w:val="nil"/>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3</w:t>
            </w:r>
          </w:p>
        </w:tc>
        <w:tc>
          <w:tcPr>
            <w:tcW w:w="5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pacing w:val="-11"/>
                <w:kern w:val="0"/>
                <w:sz w:val="20"/>
                <w:szCs w:val="20"/>
                <w:highlight w:val="none"/>
                <w:u w:val="none"/>
                <w:lang w:val="en-US" w:eastAsia="zh-CN" w:bidi="ar"/>
              </w:rPr>
            </w:pPr>
            <w:r>
              <w:rPr>
                <w:rFonts w:hint="eastAsia" w:ascii="仿宋_GB2312" w:hAnsi="仿宋_GB2312" w:eastAsia="仿宋_GB2312" w:cs="仿宋_GB2312"/>
                <w:i w:val="0"/>
                <w:iCs w:val="0"/>
                <w:color w:val="auto"/>
                <w:spacing w:val="-11"/>
                <w:kern w:val="0"/>
                <w:sz w:val="20"/>
                <w:szCs w:val="20"/>
                <w:highlight w:val="none"/>
                <w:u w:val="none"/>
                <w:lang w:val="en-US" w:eastAsia="zh-CN" w:bidi="ar"/>
              </w:rPr>
              <w:t>5B530501301</w:t>
            </w:r>
          </w:p>
        </w:tc>
        <w:tc>
          <w:tcPr>
            <w:tcW w:w="7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会计基础</w:t>
            </w:r>
          </w:p>
        </w:tc>
        <w:tc>
          <w:tcPr>
            <w:tcW w:w="3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2</w:t>
            </w:r>
          </w:p>
        </w:tc>
        <w:tc>
          <w:tcPr>
            <w:tcW w:w="3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36</w:t>
            </w:r>
          </w:p>
        </w:tc>
        <w:tc>
          <w:tcPr>
            <w:tcW w:w="3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28</w:t>
            </w:r>
          </w:p>
        </w:tc>
        <w:tc>
          <w:tcPr>
            <w:tcW w:w="3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8</w:t>
            </w:r>
          </w:p>
        </w:tc>
        <w:tc>
          <w:tcPr>
            <w:tcW w:w="1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2</w:t>
            </w:r>
          </w:p>
        </w:tc>
        <w:tc>
          <w:tcPr>
            <w:tcW w:w="1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1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1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1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1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56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考试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74" w:type="pct"/>
            <w:vMerge w:val="continue"/>
            <w:tcBorders>
              <w:left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174" w:type="pct"/>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191" w:type="pct"/>
            <w:vMerge w:val="continue"/>
            <w:tcBorders>
              <w:top w:val="single" w:color="000000" w:sz="4" w:space="0"/>
              <w:left w:val="single" w:color="000000" w:sz="4" w:space="0"/>
              <w:bottom w:val="nil"/>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4</w:t>
            </w:r>
          </w:p>
        </w:tc>
        <w:tc>
          <w:tcPr>
            <w:tcW w:w="5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pacing w:val="-11"/>
                <w:kern w:val="0"/>
                <w:sz w:val="20"/>
                <w:szCs w:val="20"/>
                <w:highlight w:val="none"/>
                <w:u w:val="none"/>
                <w:lang w:val="en-US" w:eastAsia="zh-CN" w:bidi="ar"/>
              </w:rPr>
            </w:pPr>
            <w:r>
              <w:rPr>
                <w:rFonts w:hint="eastAsia" w:ascii="仿宋_GB2312" w:hAnsi="仿宋_GB2312" w:eastAsia="仿宋_GB2312" w:cs="仿宋_GB2312"/>
                <w:i w:val="0"/>
                <w:iCs w:val="0"/>
                <w:color w:val="auto"/>
                <w:spacing w:val="-11"/>
                <w:kern w:val="0"/>
                <w:sz w:val="20"/>
                <w:szCs w:val="20"/>
                <w:highlight w:val="none"/>
                <w:u w:val="none"/>
                <w:lang w:val="en-US" w:eastAsia="zh-CN" w:bidi="ar"/>
              </w:rPr>
              <w:t>5B530501304</w:t>
            </w:r>
          </w:p>
        </w:tc>
        <w:tc>
          <w:tcPr>
            <w:tcW w:w="7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跨境电商基础</w:t>
            </w:r>
          </w:p>
        </w:tc>
        <w:tc>
          <w:tcPr>
            <w:tcW w:w="3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4</w:t>
            </w:r>
          </w:p>
        </w:tc>
        <w:tc>
          <w:tcPr>
            <w:tcW w:w="3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72</w:t>
            </w:r>
          </w:p>
        </w:tc>
        <w:tc>
          <w:tcPr>
            <w:tcW w:w="3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56</w:t>
            </w:r>
          </w:p>
        </w:tc>
        <w:tc>
          <w:tcPr>
            <w:tcW w:w="3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16</w:t>
            </w:r>
          </w:p>
        </w:tc>
        <w:tc>
          <w:tcPr>
            <w:tcW w:w="1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4</w:t>
            </w:r>
          </w:p>
        </w:tc>
        <w:tc>
          <w:tcPr>
            <w:tcW w:w="1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1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1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1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1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56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考试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74" w:type="pct"/>
            <w:vMerge w:val="continue"/>
            <w:tcBorders>
              <w:left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174" w:type="pct"/>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191" w:type="pct"/>
            <w:vMerge w:val="continue"/>
            <w:tcBorders>
              <w:top w:val="single" w:color="000000" w:sz="4" w:space="0"/>
              <w:left w:val="single" w:color="000000" w:sz="4" w:space="0"/>
              <w:bottom w:val="nil"/>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5</w:t>
            </w:r>
          </w:p>
        </w:tc>
        <w:tc>
          <w:tcPr>
            <w:tcW w:w="5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pacing w:val="-11"/>
                <w:kern w:val="0"/>
                <w:sz w:val="20"/>
                <w:szCs w:val="20"/>
                <w:highlight w:val="none"/>
                <w:u w:val="none"/>
                <w:lang w:val="en-US" w:eastAsia="zh-CN" w:bidi="ar"/>
              </w:rPr>
            </w:pPr>
            <w:r>
              <w:rPr>
                <w:rFonts w:hint="eastAsia" w:ascii="仿宋_GB2312" w:hAnsi="仿宋_GB2312" w:eastAsia="仿宋_GB2312" w:cs="仿宋_GB2312"/>
                <w:i w:val="0"/>
                <w:iCs w:val="0"/>
                <w:color w:val="auto"/>
                <w:spacing w:val="-11"/>
                <w:kern w:val="0"/>
                <w:sz w:val="20"/>
                <w:szCs w:val="20"/>
                <w:highlight w:val="none"/>
                <w:u w:val="none"/>
                <w:lang w:val="en-US" w:eastAsia="zh-CN" w:bidi="ar"/>
              </w:rPr>
              <w:t>5B530501305</w:t>
            </w:r>
          </w:p>
        </w:tc>
        <w:tc>
          <w:tcPr>
            <w:tcW w:w="7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外贸英语口语</w:t>
            </w:r>
          </w:p>
        </w:tc>
        <w:tc>
          <w:tcPr>
            <w:tcW w:w="3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4</w:t>
            </w:r>
          </w:p>
        </w:tc>
        <w:tc>
          <w:tcPr>
            <w:tcW w:w="3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72</w:t>
            </w:r>
          </w:p>
        </w:tc>
        <w:tc>
          <w:tcPr>
            <w:tcW w:w="3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48</w:t>
            </w:r>
          </w:p>
        </w:tc>
        <w:tc>
          <w:tcPr>
            <w:tcW w:w="3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24</w:t>
            </w:r>
          </w:p>
        </w:tc>
        <w:tc>
          <w:tcPr>
            <w:tcW w:w="1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1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4</w:t>
            </w:r>
          </w:p>
        </w:tc>
        <w:tc>
          <w:tcPr>
            <w:tcW w:w="1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1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1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1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56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74" w:type="pct"/>
            <w:vMerge w:val="continue"/>
            <w:tcBorders>
              <w:left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174" w:type="pct"/>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191" w:type="pct"/>
            <w:vMerge w:val="continue"/>
            <w:tcBorders>
              <w:top w:val="single" w:color="000000" w:sz="4" w:space="0"/>
              <w:left w:val="single" w:color="000000" w:sz="4" w:space="0"/>
              <w:bottom w:val="nil"/>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6</w:t>
            </w:r>
          </w:p>
        </w:tc>
        <w:tc>
          <w:tcPr>
            <w:tcW w:w="5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pacing w:val="-11"/>
                <w:kern w:val="0"/>
                <w:sz w:val="20"/>
                <w:szCs w:val="20"/>
                <w:highlight w:val="none"/>
                <w:u w:val="none"/>
                <w:lang w:val="en-US" w:eastAsia="zh-CN" w:bidi="ar"/>
              </w:rPr>
            </w:pPr>
            <w:r>
              <w:rPr>
                <w:rFonts w:hint="eastAsia" w:ascii="仿宋_GB2312" w:hAnsi="仿宋_GB2312" w:eastAsia="仿宋_GB2312" w:cs="仿宋_GB2312"/>
                <w:i w:val="0"/>
                <w:iCs w:val="0"/>
                <w:color w:val="auto"/>
                <w:spacing w:val="-11"/>
                <w:kern w:val="0"/>
                <w:sz w:val="20"/>
                <w:szCs w:val="20"/>
                <w:highlight w:val="none"/>
                <w:u w:val="none"/>
                <w:lang w:val="en-US" w:eastAsia="zh-CN" w:bidi="ar"/>
              </w:rPr>
              <w:t>5B530501306</w:t>
            </w:r>
          </w:p>
        </w:tc>
        <w:tc>
          <w:tcPr>
            <w:tcW w:w="7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国际商务礼仪</w:t>
            </w:r>
          </w:p>
        </w:tc>
        <w:tc>
          <w:tcPr>
            <w:tcW w:w="3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4</w:t>
            </w:r>
          </w:p>
        </w:tc>
        <w:tc>
          <w:tcPr>
            <w:tcW w:w="3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72</w:t>
            </w:r>
          </w:p>
        </w:tc>
        <w:tc>
          <w:tcPr>
            <w:tcW w:w="3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8</w:t>
            </w:r>
          </w:p>
        </w:tc>
        <w:tc>
          <w:tcPr>
            <w:tcW w:w="3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64</w:t>
            </w:r>
          </w:p>
        </w:tc>
        <w:tc>
          <w:tcPr>
            <w:tcW w:w="1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1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4</w:t>
            </w:r>
          </w:p>
        </w:tc>
        <w:tc>
          <w:tcPr>
            <w:tcW w:w="1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1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1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1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56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74" w:type="pct"/>
            <w:vMerge w:val="continue"/>
            <w:tcBorders>
              <w:left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174" w:type="pct"/>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191" w:type="pct"/>
            <w:vMerge w:val="continue"/>
            <w:tcBorders>
              <w:top w:val="single" w:color="000000" w:sz="4" w:space="0"/>
              <w:left w:val="single" w:color="000000" w:sz="4" w:space="0"/>
              <w:bottom w:val="nil"/>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7</w:t>
            </w:r>
          </w:p>
        </w:tc>
        <w:tc>
          <w:tcPr>
            <w:tcW w:w="5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pacing w:val="-11"/>
                <w:kern w:val="0"/>
                <w:sz w:val="20"/>
                <w:szCs w:val="20"/>
                <w:highlight w:val="none"/>
                <w:u w:val="none"/>
                <w:lang w:val="en-US" w:eastAsia="zh-CN" w:bidi="ar"/>
              </w:rPr>
            </w:pPr>
            <w:r>
              <w:rPr>
                <w:rFonts w:hint="eastAsia" w:ascii="仿宋_GB2312" w:hAnsi="仿宋_GB2312" w:eastAsia="仿宋_GB2312" w:cs="仿宋_GB2312"/>
                <w:i w:val="0"/>
                <w:iCs w:val="0"/>
                <w:color w:val="auto"/>
                <w:spacing w:val="-11"/>
                <w:kern w:val="0"/>
                <w:sz w:val="20"/>
                <w:szCs w:val="20"/>
                <w:highlight w:val="none"/>
                <w:u w:val="none"/>
                <w:lang w:val="en-US" w:eastAsia="zh-CN" w:bidi="ar"/>
              </w:rPr>
              <w:t>5B530501307</w:t>
            </w:r>
          </w:p>
        </w:tc>
        <w:tc>
          <w:tcPr>
            <w:tcW w:w="7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国际商法</w:t>
            </w:r>
          </w:p>
        </w:tc>
        <w:tc>
          <w:tcPr>
            <w:tcW w:w="3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4</w:t>
            </w:r>
          </w:p>
        </w:tc>
        <w:tc>
          <w:tcPr>
            <w:tcW w:w="3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72</w:t>
            </w:r>
          </w:p>
        </w:tc>
        <w:tc>
          <w:tcPr>
            <w:tcW w:w="3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48</w:t>
            </w:r>
          </w:p>
        </w:tc>
        <w:tc>
          <w:tcPr>
            <w:tcW w:w="3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24</w:t>
            </w:r>
          </w:p>
        </w:tc>
        <w:tc>
          <w:tcPr>
            <w:tcW w:w="1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1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4</w:t>
            </w:r>
          </w:p>
        </w:tc>
        <w:tc>
          <w:tcPr>
            <w:tcW w:w="1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1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1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1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56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考试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174" w:type="pct"/>
            <w:vMerge w:val="continue"/>
            <w:tcBorders>
              <w:left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174" w:type="pct"/>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191" w:type="pct"/>
            <w:vMerge w:val="continue"/>
            <w:tcBorders>
              <w:top w:val="single" w:color="000000" w:sz="4" w:space="0"/>
              <w:left w:val="single" w:color="000000" w:sz="4" w:space="0"/>
              <w:bottom w:val="nil"/>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8</w:t>
            </w:r>
          </w:p>
        </w:tc>
        <w:tc>
          <w:tcPr>
            <w:tcW w:w="5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pacing w:val="-11"/>
                <w:kern w:val="0"/>
                <w:sz w:val="20"/>
                <w:szCs w:val="20"/>
                <w:highlight w:val="none"/>
                <w:u w:val="none"/>
                <w:lang w:val="en-US" w:eastAsia="zh-CN" w:bidi="ar"/>
              </w:rPr>
            </w:pPr>
            <w:r>
              <w:rPr>
                <w:rFonts w:hint="eastAsia" w:ascii="仿宋_GB2312" w:hAnsi="仿宋_GB2312" w:eastAsia="仿宋_GB2312" w:cs="仿宋_GB2312"/>
                <w:i w:val="0"/>
                <w:iCs w:val="0"/>
                <w:color w:val="auto"/>
                <w:spacing w:val="-11"/>
                <w:kern w:val="0"/>
                <w:sz w:val="20"/>
                <w:szCs w:val="20"/>
                <w:highlight w:val="none"/>
                <w:u w:val="none"/>
                <w:lang w:val="en-US" w:eastAsia="zh-CN" w:bidi="ar"/>
              </w:rPr>
              <w:t>5B530501308</w:t>
            </w:r>
          </w:p>
        </w:tc>
        <w:tc>
          <w:tcPr>
            <w:tcW w:w="7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国际贸易结算</w:t>
            </w:r>
          </w:p>
        </w:tc>
        <w:tc>
          <w:tcPr>
            <w:tcW w:w="3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4</w:t>
            </w:r>
          </w:p>
        </w:tc>
        <w:tc>
          <w:tcPr>
            <w:tcW w:w="3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72</w:t>
            </w:r>
          </w:p>
        </w:tc>
        <w:tc>
          <w:tcPr>
            <w:tcW w:w="3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36</w:t>
            </w:r>
          </w:p>
        </w:tc>
        <w:tc>
          <w:tcPr>
            <w:tcW w:w="3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36</w:t>
            </w:r>
          </w:p>
        </w:tc>
        <w:tc>
          <w:tcPr>
            <w:tcW w:w="1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1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1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1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4</w:t>
            </w:r>
          </w:p>
        </w:tc>
        <w:tc>
          <w:tcPr>
            <w:tcW w:w="1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1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56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74" w:type="pct"/>
            <w:vMerge w:val="continue"/>
            <w:tcBorders>
              <w:left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17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专业核心课</w:t>
            </w:r>
          </w:p>
        </w:tc>
        <w:tc>
          <w:tcPr>
            <w:tcW w:w="191"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必修</w:t>
            </w:r>
          </w:p>
        </w:tc>
        <w:tc>
          <w:tcPr>
            <w:tcW w:w="2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1</w:t>
            </w:r>
          </w:p>
        </w:tc>
        <w:tc>
          <w:tcPr>
            <w:tcW w:w="12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pacing w:val="-11"/>
                <w:kern w:val="0"/>
                <w:sz w:val="20"/>
                <w:szCs w:val="20"/>
                <w:highlight w:val="none"/>
                <w:u w:val="none"/>
                <w:lang w:val="en-US" w:eastAsia="zh-CN" w:bidi="ar"/>
              </w:rPr>
            </w:pPr>
            <w:r>
              <w:rPr>
                <w:rFonts w:hint="eastAsia" w:ascii="仿宋_GB2312" w:hAnsi="仿宋_GB2312" w:eastAsia="仿宋_GB2312" w:cs="仿宋_GB2312"/>
                <w:i w:val="0"/>
                <w:iCs w:val="0"/>
                <w:color w:val="auto"/>
                <w:spacing w:val="-11"/>
                <w:kern w:val="0"/>
                <w:sz w:val="20"/>
                <w:szCs w:val="20"/>
                <w:highlight w:val="none"/>
                <w:u w:val="none"/>
                <w:lang w:val="en-US" w:eastAsia="zh-CN" w:bidi="ar"/>
              </w:rPr>
              <w:t>5B530501401</w:t>
            </w:r>
          </w:p>
        </w:tc>
        <w:tc>
          <w:tcPr>
            <w:tcW w:w="7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外贸单证操作</w:t>
            </w:r>
          </w:p>
        </w:tc>
        <w:tc>
          <w:tcPr>
            <w:tcW w:w="3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4</w:t>
            </w:r>
          </w:p>
        </w:tc>
        <w:tc>
          <w:tcPr>
            <w:tcW w:w="3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72</w:t>
            </w:r>
          </w:p>
        </w:tc>
        <w:tc>
          <w:tcPr>
            <w:tcW w:w="3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36</w:t>
            </w:r>
          </w:p>
        </w:tc>
        <w:tc>
          <w:tcPr>
            <w:tcW w:w="3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36</w:t>
            </w:r>
          </w:p>
        </w:tc>
        <w:tc>
          <w:tcPr>
            <w:tcW w:w="1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1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4</w:t>
            </w:r>
          </w:p>
        </w:tc>
        <w:tc>
          <w:tcPr>
            <w:tcW w:w="1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1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1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1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56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174" w:type="pct"/>
            <w:vMerge w:val="continue"/>
            <w:tcBorders>
              <w:left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1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19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2</w:t>
            </w:r>
          </w:p>
        </w:tc>
        <w:tc>
          <w:tcPr>
            <w:tcW w:w="12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pacing w:val="-11"/>
                <w:kern w:val="0"/>
                <w:sz w:val="20"/>
                <w:szCs w:val="20"/>
                <w:highlight w:val="none"/>
                <w:u w:val="none"/>
                <w:lang w:val="en-US" w:eastAsia="zh-CN" w:bidi="ar"/>
              </w:rPr>
            </w:pPr>
            <w:r>
              <w:rPr>
                <w:rFonts w:hint="eastAsia" w:ascii="仿宋_GB2312" w:hAnsi="仿宋_GB2312" w:eastAsia="仿宋_GB2312" w:cs="仿宋_GB2312"/>
                <w:i w:val="0"/>
                <w:iCs w:val="0"/>
                <w:color w:val="auto"/>
                <w:spacing w:val="-11"/>
                <w:kern w:val="0"/>
                <w:sz w:val="20"/>
                <w:szCs w:val="20"/>
                <w:highlight w:val="none"/>
                <w:u w:val="none"/>
                <w:lang w:val="en-US" w:eastAsia="zh-CN" w:bidi="ar"/>
              </w:rPr>
              <w:t>5B530501402</w:t>
            </w:r>
          </w:p>
        </w:tc>
        <w:tc>
          <w:tcPr>
            <w:tcW w:w="7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进出口业务操作</w:t>
            </w:r>
          </w:p>
        </w:tc>
        <w:tc>
          <w:tcPr>
            <w:tcW w:w="3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4</w:t>
            </w:r>
          </w:p>
        </w:tc>
        <w:tc>
          <w:tcPr>
            <w:tcW w:w="3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72</w:t>
            </w:r>
          </w:p>
        </w:tc>
        <w:tc>
          <w:tcPr>
            <w:tcW w:w="3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36</w:t>
            </w:r>
          </w:p>
        </w:tc>
        <w:tc>
          <w:tcPr>
            <w:tcW w:w="3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36</w:t>
            </w:r>
          </w:p>
        </w:tc>
        <w:tc>
          <w:tcPr>
            <w:tcW w:w="1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1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1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4</w:t>
            </w:r>
          </w:p>
        </w:tc>
        <w:tc>
          <w:tcPr>
            <w:tcW w:w="1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1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1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56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74" w:type="pct"/>
            <w:vMerge w:val="continue"/>
            <w:tcBorders>
              <w:left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1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19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3</w:t>
            </w:r>
          </w:p>
        </w:tc>
        <w:tc>
          <w:tcPr>
            <w:tcW w:w="12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pacing w:val="-11"/>
                <w:kern w:val="0"/>
                <w:sz w:val="20"/>
                <w:szCs w:val="20"/>
                <w:highlight w:val="none"/>
                <w:u w:val="none"/>
                <w:lang w:val="en-US" w:eastAsia="zh-CN" w:bidi="ar"/>
              </w:rPr>
            </w:pPr>
            <w:r>
              <w:rPr>
                <w:rFonts w:hint="eastAsia" w:ascii="仿宋_GB2312" w:hAnsi="仿宋_GB2312" w:eastAsia="仿宋_GB2312" w:cs="仿宋_GB2312"/>
                <w:i w:val="0"/>
                <w:iCs w:val="0"/>
                <w:color w:val="auto"/>
                <w:spacing w:val="-11"/>
                <w:kern w:val="0"/>
                <w:sz w:val="20"/>
                <w:szCs w:val="20"/>
                <w:highlight w:val="none"/>
                <w:u w:val="none"/>
                <w:lang w:val="en-US" w:eastAsia="zh-CN" w:bidi="ar"/>
              </w:rPr>
              <w:t>5B530501403</w:t>
            </w:r>
          </w:p>
        </w:tc>
        <w:tc>
          <w:tcPr>
            <w:tcW w:w="7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外贸跟单操作</w:t>
            </w:r>
          </w:p>
        </w:tc>
        <w:tc>
          <w:tcPr>
            <w:tcW w:w="3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4</w:t>
            </w:r>
          </w:p>
        </w:tc>
        <w:tc>
          <w:tcPr>
            <w:tcW w:w="3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72</w:t>
            </w:r>
          </w:p>
        </w:tc>
        <w:tc>
          <w:tcPr>
            <w:tcW w:w="3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36</w:t>
            </w:r>
          </w:p>
        </w:tc>
        <w:tc>
          <w:tcPr>
            <w:tcW w:w="3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36</w:t>
            </w:r>
          </w:p>
        </w:tc>
        <w:tc>
          <w:tcPr>
            <w:tcW w:w="1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1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1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4</w:t>
            </w:r>
          </w:p>
        </w:tc>
        <w:tc>
          <w:tcPr>
            <w:tcW w:w="1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1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1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56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74" w:type="pct"/>
            <w:vMerge w:val="continue"/>
            <w:tcBorders>
              <w:left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1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19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4</w:t>
            </w:r>
          </w:p>
        </w:tc>
        <w:tc>
          <w:tcPr>
            <w:tcW w:w="12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pacing w:val="-11"/>
                <w:kern w:val="0"/>
                <w:sz w:val="20"/>
                <w:szCs w:val="20"/>
                <w:highlight w:val="none"/>
                <w:u w:val="none"/>
                <w:lang w:val="en-US" w:eastAsia="zh-CN" w:bidi="ar"/>
              </w:rPr>
            </w:pPr>
            <w:r>
              <w:rPr>
                <w:rFonts w:hint="eastAsia" w:ascii="仿宋_GB2312" w:hAnsi="仿宋_GB2312" w:eastAsia="仿宋_GB2312" w:cs="仿宋_GB2312"/>
                <w:i w:val="0"/>
                <w:iCs w:val="0"/>
                <w:color w:val="auto"/>
                <w:spacing w:val="-11"/>
                <w:kern w:val="0"/>
                <w:sz w:val="20"/>
                <w:szCs w:val="20"/>
                <w:highlight w:val="none"/>
                <w:u w:val="none"/>
                <w:lang w:val="en-US" w:eastAsia="zh-CN" w:bidi="ar"/>
              </w:rPr>
              <w:t>5B530501404</w:t>
            </w:r>
          </w:p>
        </w:tc>
        <w:tc>
          <w:tcPr>
            <w:tcW w:w="7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跨境电商B2B运营</w:t>
            </w:r>
          </w:p>
        </w:tc>
        <w:tc>
          <w:tcPr>
            <w:tcW w:w="3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4</w:t>
            </w:r>
          </w:p>
        </w:tc>
        <w:tc>
          <w:tcPr>
            <w:tcW w:w="3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72</w:t>
            </w:r>
          </w:p>
        </w:tc>
        <w:tc>
          <w:tcPr>
            <w:tcW w:w="3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36</w:t>
            </w:r>
          </w:p>
        </w:tc>
        <w:tc>
          <w:tcPr>
            <w:tcW w:w="3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36</w:t>
            </w:r>
          </w:p>
        </w:tc>
        <w:tc>
          <w:tcPr>
            <w:tcW w:w="1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1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1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4</w:t>
            </w:r>
          </w:p>
        </w:tc>
        <w:tc>
          <w:tcPr>
            <w:tcW w:w="1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1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1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56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74" w:type="pct"/>
            <w:vMerge w:val="continue"/>
            <w:tcBorders>
              <w:left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1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19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5</w:t>
            </w:r>
          </w:p>
        </w:tc>
        <w:tc>
          <w:tcPr>
            <w:tcW w:w="12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pacing w:val="-11"/>
                <w:kern w:val="0"/>
                <w:sz w:val="20"/>
                <w:szCs w:val="20"/>
                <w:highlight w:val="none"/>
                <w:u w:val="none"/>
                <w:lang w:val="en-US" w:eastAsia="zh-CN" w:bidi="ar"/>
              </w:rPr>
            </w:pPr>
            <w:r>
              <w:rPr>
                <w:rFonts w:hint="eastAsia" w:ascii="仿宋_GB2312" w:hAnsi="仿宋_GB2312" w:eastAsia="仿宋_GB2312" w:cs="仿宋_GB2312"/>
                <w:i w:val="0"/>
                <w:iCs w:val="0"/>
                <w:color w:val="auto"/>
                <w:spacing w:val="-11"/>
                <w:kern w:val="0"/>
                <w:sz w:val="20"/>
                <w:szCs w:val="20"/>
                <w:highlight w:val="none"/>
                <w:u w:val="none"/>
                <w:lang w:val="en-US" w:eastAsia="zh-CN" w:bidi="ar"/>
              </w:rPr>
              <w:t>5B530501405</w:t>
            </w:r>
          </w:p>
        </w:tc>
        <w:tc>
          <w:tcPr>
            <w:tcW w:w="7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跨境电商B2B营销</w:t>
            </w:r>
          </w:p>
        </w:tc>
        <w:tc>
          <w:tcPr>
            <w:tcW w:w="3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4</w:t>
            </w:r>
          </w:p>
        </w:tc>
        <w:tc>
          <w:tcPr>
            <w:tcW w:w="3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72</w:t>
            </w:r>
          </w:p>
        </w:tc>
        <w:tc>
          <w:tcPr>
            <w:tcW w:w="3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36</w:t>
            </w:r>
          </w:p>
        </w:tc>
        <w:tc>
          <w:tcPr>
            <w:tcW w:w="3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36</w:t>
            </w:r>
          </w:p>
        </w:tc>
        <w:tc>
          <w:tcPr>
            <w:tcW w:w="1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1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1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4</w:t>
            </w:r>
          </w:p>
        </w:tc>
        <w:tc>
          <w:tcPr>
            <w:tcW w:w="1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1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1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56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74" w:type="pct"/>
            <w:vMerge w:val="continue"/>
            <w:tcBorders>
              <w:left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1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19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6</w:t>
            </w:r>
          </w:p>
        </w:tc>
        <w:tc>
          <w:tcPr>
            <w:tcW w:w="12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pacing w:val="-11"/>
                <w:kern w:val="0"/>
                <w:sz w:val="20"/>
                <w:szCs w:val="20"/>
                <w:highlight w:val="none"/>
                <w:u w:val="none"/>
                <w:lang w:val="en-US" w:eastAsia="zh-CN" w:bidi="ar"/>
              </w:rPr>
            </w:pPr>
            <w:r>
              <w:rPr>
                <w:rFonts w:hint="eastAsia" w:ascii="仿宋_GB2312" w:hAnsi="仿宋_GB2312" w:eastAsia="仿宋_GB2312" w:cs="仿宋_GB2312"/>
                <w:i w:val="0"/>
                <w:iCs w:val="0"/>
                <w:color w:val="auto"/>
                <w:spacing w:val="-11"/>
                <w:kern w:val="0"/>
                <w:sz w:val="20"/>
                <w:szCs w:val="20"/>
                <w:highlight w:val="none"/>
                <w:u w:val="none"/>
                <w:lang w:val="en-US" w:eastAsia="zh-CN" w:bidi="ar"/>
              </w:rPr>
              <w:t>5B530501406</w:t>
            </w:r>
          </w:p>
        </w:tc>
        <w:tc>
          <w:tcPr>
            <w:tcW w:w="7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外贸英文函电</w:t>
            </w:r>
          </w:p>
        </w:tc>
        <w:tc>
          <w:tcPr>
            <w:tcW w:w="3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4</w:t>
            </w:r>
          </w:p>
        </w:tc>
        <w:tc>
          <w:tcPr>
            <w:tcW w:w="3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72</w:t>
            </w:r>
          </w:p>
        </w:tc>
        <w:tc>
          <w:tcPr>
            <w:tcW w:w="3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48</w:t>
            </w:r>
          </w:p>
        </w:tc>
        <w:tc>
          <w:tcPr>
            <w:tcW w:w="3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24</w:t>
            </w:r>
          </w:p>
        </w:tc>
        <w:tc>
          <w:tcPr>
            <w:tcW w:w="1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1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1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1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4</w:t>
            </w:r>
          </w:p>
        </w:tc>
        <w:tc>
          <w:tcPr>
            <w:tcW w:w="1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1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56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174" w:type="pct"/>
            <w:vMerge w:val="continue"/>
            <w:tcBorders>
              <w:left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1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19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7</w:t>
            </w:r>
          </w:p>
        </w:tc>
        <w:tc>
          <w:tcPr>
            <w:tcW w:w="12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pacing w:val="-11"/>
                <w:kern w:val="0"/>
                <w:sz w:val="20"/>
                <w:szCs w:val="20"/>
                <w:highlight w:val="none"/>
                <w:u w:val="none"/>
                <w:lang w:val="en-US" w:eastAsia="zh-CN" w:bidi="ar"/>
              </w:rPr>
            </w:pPr>
            <w:r>
              <w:rPr>
                <w:rFonts w:hint="eastAsia" w:ascii="仿宋_GB2312" w:hAnsi="仿宋_GB2312" w:eastAsia="仿宋_GB2312" w:cs="仿宋_GB2312"/>
                <w:i w:val="0"/>
                <w:iCs w:val="0"/>
                <w:color w:val="auto"/>
                <w:spacing w:val="-11"/>
                <w:kern w:val="0"/>
                <w:sz w:val="20"/>
                <w:szCs w:val="20"/>
                <w:highlight w:val="none"/>
                <w:u w:val="none"/>
                <w:lang w:val="en-US" w:eastAsia="zh-CN" w:bidi="ar"/>
              </w:rPr>
              <w:t>5B530501407</w:t>
            </w:r>
          </w:p>
        </w:tc>
        <w:tc>
          <w:tcPr>
            <w:tcW w:w="7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外贸风险管理</w:t>
            </w:r>
          </w:p>
        </w:tc>
        <w:tc>
          <w:tcPr>
            <w:tcW w:w="3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4</w:t>
            </w:r>
          </w:p>
        </w:tc>
        <w:tc>
          <w:tcPr>
            <w:tcW w:w="3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72</w:t>
            </w:r>
          </w:p>
        </w:tc>
        <w:tc>
          <w:tcPr>
            <w:tcW w:w="3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48</w:t>
            </w:r>
          </w:p>
        </w:tc>
        <w:tc>
          <w:tcPr>
            <w:tcW w:w="3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24</w:t>
            </w:r>
          </w:p>
        </w:tc>
        <w:tc>
          <w:tcPr>
            <w:tcW w:w="1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1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1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1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4</w:t>
            </w:r>
          </w:p>
        </w:tc>
        <w:tc>
          <w:tcPr>
            <w:tcW w:w="1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1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56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考试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74" w:type="pct"/>
            <w:vMerge w:val="continue"/>
            <w:tcBorders>
              <w:left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1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19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8</w:t>
            </w:r>
          </w:p>
        </w:tc>
        <w:tc>
          <w:tcPr>
            <w:tcW w:w="12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pacing w:val="-11"/>
                <w:kern w:val="0"/>
                <w:sz w:val="20"/>
                <w:szCs w:val="20"/>
                <w:highlight w:val="none"/>
                <w:u w:val="none"/>
                <w:lang w:val="en-US" w:eastAsia="zh-CN" w:bidi="ar"/>
              </w:rPr>
            </w:pPr>
            <w:r>
              <w:rPr>
                <w:rFonts w:hint="eastAsia" w:ascii="仿宋_GB2312" w:hAnsi="仿宋_GB2312" w:eastAsia="仿宋_GB2312" w:cs="仿宋_GB2312"/>
                <w:i w:val="0"/>
                <w:iCs w:val="0"/>
                <w:color w:val="auto"/>
                <w:spacing w:val="-11"/>
                <w:kern w:val="0"/>
                <w:sz w:val="20"/>
                <w:szCs w:val="20"/>
                <w:highlight w:val="none"/>
                <w:u w:val="none"/>
                <w:lang w:val="en-US" w:eastAsia="zh-CN" w:bidi="ar"/>
              </w:rPr>
              <w:t>5B530501408</w:t>
            </w:r>
          </w:p>
        </w:tc>
        <w:tc>
          <w:tcPr>
            <w:tcW w:w="7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跨境电商B2B销售</w:t>
            </w:r>
          </w:p>
        </w:tc>
        <w:tc>
          <w:tcPr>
            <w:tcW w:w="3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4</w:t>
            </w:r>
          </w:p>
        </w:tc>
        <w:tc>
          <w:tcPr>
            <w:tcW w:w="3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72</w:t>
            </w:r>
          </w:p>
        </w:tc>
        <w:tc>
          <w:tcPr>
            <w:tcW w:w="3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36</w:t>
            </w:r>
          </w:p>
        </w:tc>
        <w:tc>
          <w:tcPr>
            <w:tcW w:w="3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36</w:t>
            </w:r>
          </w:p>
        </w:tc>
        <w:tc>
          <w:tcPr>
            <w:tcW w:w="1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1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1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1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4</w:t>
            </w:r>
          </w:p>
        </w:tc>
        <w:tc>
          <w:tcPr>
            <w:tcW w:w="1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1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56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174" w:type="pct"/>
            <w:vMerge w:val="continue"/>
            <w:tcBorders>
              <w:left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17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专业拓展课</w:t>
            </w:r>
          </w:p>
        </w:tc>
        <w:tc>
          <w:tcPr>
            <w:tcW w:w="191" w:type="pct"/>
            <w:vMerge w:val="restart"/>
            <w:tcBorders>
              <w:top w:val="single" w:color="000000" w:sz="4" w:space="0"/>
              <w:left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选修</w:t>
            </w:r>
          </w:p>
        </w:tc>
        <w:tc>
          <w:tcPr>
            <w:tcW w:w="2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1</w:t>
            </w:r>
          </w:p>
        </w:tc>
        <w:tc>
          <w:tcPr>
            <w:tcW w:w="12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pacing w:val="-11"/>
                <w:kern w:val="0"/>
                <w:sz w:val="20"/>
                <w:szCs w:val="20"/>
                <w:highlight w:val="none"/>
                <w:u w:val="none"/>
                <w:lang w:val="en-US" w:eastAsia="zh-CN" w:bidi="ar"/>
              </w:rPr>
            </w:pPr>
            <w:r>
              <w:rPr>
                <w:rFonts w:hint="eastAsia" w:ascii="仿宋_GB2312" w:hAnsi="仿宋_GB2312" w:eastAsia="仿宋_GB2312" w:cs="仿宋_GB2312"/>
                <w:i w:val="0"/>
                <w:iCs w:val="0"/>
                <w:color w:val="auto"/>
                <w:spacing w:val="-11"/>
                <w:kern w:val="0"/>
                <w:sz w:val="20"/>
                <w:szCs w:val="20"/>
                <w:highlight w:val="none"/>
                <w:u w:val="none"/>
                <w:lang w:val="en-US" w:eastAsia="zh-CN" w:bidi="ar"/>
              </w:rPr>
              <w:t>5B530501501</w:t>
            </w:r>
          </w:p>
        </w:tc>
        <w:tc>
          <w:tcPr>
            <w:tcW w:w="7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数字贸易</w:t>
            </w:r>
          </w:p>
        </w:tc>
        <w:tc>
          <w:tcPr>
            <w:tcW w:w="3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2</w:t>
            </w:r>
          </w:p>
        </w:tc>
        <w:tc>
          <w:tcPr>
            <w:tcW w:w="3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36</w:t>
            </w:r>
          </w:p>
        </w:tc>
        <w:tc>
          <w:tcPr>
            <w:tcW w:w="3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18</w:t>
            </w:r>
          </w:p>
        </w:tc>
        <w:tc>
          <w:tcPr>
            <w:tcW w:w="323" w:type="pct"/>
            <w:tcBorders>
              <w:top w:val="single" w:color="000000" w:sz="4" w:space="0"/>
              <w:left w:val="single" w:color="000000" w:sz="4" w:space="0"/>
              <w:bottom w:val="single" w:color="000000" w:sz="4" w:space="0"/>
              <w:right w:val="nil"/>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18</w:t>
            </w:r>
          </w:p>
        </w:tc>
        <w:tc>
          <w:tcPr>
            <w:tcW w:w="1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300" w:lineRule="exact"/>
              <w:rPr>
                <w:rFonts w:hint="eastAsia" w:ascii="仿宋_GB2312" w:hAnsi="仿宋_GB2312" w:eastAsia="仿宋_GB2312" w:cs="仿宋_GB2312"/>
                <w:i w:val="0"/>
                <w:iCs w:val="0"/>
                <w:color w:val="auto"/>
                <w:sz w:val="20"/>
                <w:szCs w:val="20"/>
                <w:highlight w:val="none"/>
                <w:u w:val="none"/>
              </w:rPr>
            </w:pPr>
          </w:p>
        </w:tc>
        <w:tc>
          <w:tcPr>
            <w:tcW w:w="1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1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1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356" w:type="pct"/>
            <w:gridSpan w:val="2"/>
            <w:vMerge w:val="restart"/>
            <w:tcBorders>
              <w:top w:val="single" w:color="000000" w:sz="4" w:space="0"/>
              <w:left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专业拓展课最低学分要求为8学分</w:t>
            </w:r>
          </w:p>
        </w:tc>
        <w:tc>
          <w:tcPr>
            <w:tcW w:w="5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174" w:type="pct"/>
            <w:vMerge w:val="continue"/>
            <w:tcBorders>
              <w:left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1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191" w:type="pct"/>
            <w:vMerge w:val="continue"/>
            <w:tcBorders>
              <w:left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2</w:t>
            </w:r>
          </w:p>
        </w:tc>
        <w:tc>
          <w:tcPr>
            <w:tcW w:w="12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pacing w:val="-11"/>
                <w:kern w:val="0"/>
                <w:sz w:val="20"/>
                <w:szCs w:val="20"/>
                <w:highlight w:val="none"/>
                <w:u w:val="none"/>
                <w:lang w:val="en-US" w:eastAsia="zh-CN" w:bidi="ar"/>
              </w:rPr>
            </w:pPr>
            <w:r>
              <w:rPr>
                <w:rFonts w:hint="eastAsia" w:ascii="仿宋_GB2312" w:hAnsi="仿宋_GB2312" w:eastAsia="仿宋_GB2312" w:cs="仿宋_GB2312"/>
                <w:i w:val="0"/>
                <w:iCs w:val="0"/>
                <w:color w:val="auto"/>
                <w:spacing w:val="-11"/>
                <w:kern w:val="0"/>
                <w:sz w:val="20"/>
                <w:szCs w:val="20"/>
                <w:highlight w:val="none"/>
                <w:u w:val="none"/>
                <w:lang w:val="en-US" w:eastAsia="zh-CN" w:bidi="ar"/>
              </w:rPr>
              <w:t>5B530501502</w:t>
            </w:r>
          </w:p>
        </w:tc>
        <w:tc>
          <w:tcPr>
            <w:tcW w:w="7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跨境电商供应链管理</w:t>
            </w:r>
          </w:p>
        </w:tc>
        <w:tc>
          <w:tcPr>
            <w:tcW w:w="3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2</w:t>
            </w:r>
          </w:p>
        </w:tc>
        <w:tc>
          <w:tcPr>
            <w:tcW w:w="3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36</w:t>
            </w:r>
          </w:p>
        </w:tc>
        <w:tc>
          <w:tcPr>
            <w:tcW w:w="3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18</w:t>
            </w:r>
          </w:p>
        </w:tc>
        <w:tc>
          <w:tcPr>
            <w:tcW w:w="323" w:type="pct"/>
            <w:tcBorders>
              <w:top w:val="single" w:color="000000" w:sz="4" w:space="0"/>
              <w:left w:val="single" w:color="000000" w:sz="4" w:space="0"/>
              <w:bottom w:val="single" w:color="000000" w:sz="4" w:space="0"/>
              <w:right w:val="nil"/>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18</w:t>
            </w:r>
          </w:p>
        </w:tc>
        <w:tc>
          <w:tcPr>
            <w:tcW w:w="1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1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1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1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p>
        </w:tc>
        <w:tc>
          <w:tcPr>
            <w:tcW w:w="356" w:type="pct"/>
            <w:gridSpan w:val="2"/>
            <w:vMerge w:val="continue"/>
            <w:tcBorders>
              <w:left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5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74" w:type="pct"/>
            <w:vMerge w:val="continue"/>
            <w:tcBorders>
              <w:left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1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191" w:type="pct"/>
            <w:vMerge w:val="continue"/>
            <w:tcBorders>
              <w:left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3</w:t>
            </w:r>
          </w:p>
        </w:tc>
        <w:tc>
          <w:tcPr>
            <w:tcW w:w="12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pacing w:val="-11"/>
                <w:kern w:val="0"/>
                <w:sz w:val="20"/>
                <w:szCs w:val="20"/>
                <w:highlight w:val="none"/>
                <w:u w:val="none"/>
                <w:lang w:val="en-US" w:eastAsia="zh-CN" w:bidi="ar"/>
              </w:rPr>
            </w:pPr>
            <w:r>
              <w:rPr>
                <w:rFonts w:hint="eastAsia" w:ascii="仿宋_GB2312" w:hAnsi="仿宋_GB2312" w:eastAsia="仿宋_GB2312" w:cs="仿宋_GB2312"/>
                <w:i w:val="0"/>
                <w:iCs w:val="0"/>
                <w:color w:val="auto"/>
                <w:spacing w:val="-11"/>
                <w:kern w:val="0"/>
                <w:sz w:val="20"/>
                <w:szCs w:val="20"/>
                <w:highlight w:val="none"/>
                <w:u w:val="none"/>
                <w:lang w:val="en-US" w:eastAsia="zh-CN" w:bidi="ar"/>
              </w:rPr>
              <w:t>5B530501503</w:t>
            </w:r>
          </w:p>
        </w:tc>
        <w:tc>
          <w:tcPr>
            <w:tcW w:w="7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跨境电商数据分析</w:t>
            </w:r>
          </w:p>
        </w:tc>
        <w:tc>
          <w:tcPr>
            <w:tcW w:w="3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2</w:t>
            </w:r>
          </w:p>
        </w:tc>
        <w:tc>
          <w:tcPr>
            <w:tcW w:w="3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36</w:t>
            </w:r>
          </w:p>
        </w:tc>
        <w:tc>
          <w:tcPr>
            <w:tcW w:w="3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18</w:t>
            </w:r>
          </w:p>
        </w:tc>
        <w:tc>
          <w:tcPr>
            <w:tcW w:w="323" w:type="pct"/>
            <w:tcBorders>
              <w:top w:val="single" w:color="000000" w:sz="4" w:space="0"/>
              <w:left w:val="single" w:color="000000" w:sz="4" w:space="0"/>
              <w:bottom w:val="single" w:color="000000" w:sz="4" w:space="0"/>
              <w:right w:val="nil"/>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18</w:t>
            </w:r>
          </w:p>
        </w:tc>
        <w:tc>
          <w:tcPr>
            <w:tcW w:w="1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1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1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1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356" w:type="pct"/>
            <w:gridSpan w:val="2"/>
            <w:vMerge w:val="continue"/>
            <w:tcBorders>
              <w:left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5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74" w:type="pct"/>
            <w:vMerge w:val="continue"/>
            <w:tcBorders>
              <w:left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1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191" w:type="pct"/>
            <w:vMerge w:val="continue"/>
            <w:tcBorders>
              <w:left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4</w:t>
            </w:r>
          </w:p>
        </w:tc>
        <w:tc>
          <w:tcPr>
            <w:tcW w:w="12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pacing w:val="-11"/>
                <w:kern w:val="0"/>
                <w:sz w:val="20"/>
                <w:szCs w:val="20"/>
                <w:highlight w:val="none"/>
                <w:u w:val="none"/>
                <w:lang w:val="en-US" w:eastAsia="zh-CN" w:bidi="ar"/>
              </w:rPr>
            </w:pPr>
            <w:r>
              <w:rPr>
                <w:rFonts w:hint="eastAsia" w:ascii="仿宋_GB2312" w:hAnsi="仿宋_GB2312" w:eastAsia="仿宋_GB2312" w:cs="仿宋_GB2312"/>
                <w:i w:val="0"/>
                <w:iCs w:val="0"/>
                <w:color w:val="auto"/>
                <w:spacing w:val="-11"/>
                <w:kern w:val="0"/>
                <w:sz w:val="20"/>
                <w:szCs w:val="20"/>
                <w:highlight w:val="none"/>
                <w:u w:val="none"/>
                <w:lang w:val="en-US" w:eastAsia="zh-CN" w:bidi="ar"/>
              </w:rPr>
              <w:t>5B530501504</w:t>
            </w:r>
          </w:p>
        </w:tc>
        <w:tc>
          <w:tcPr>
            <w:tcW w:w="7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“一带一路”贸易概览</w:t>
            </w:r>
          </w:p>
        </w:tc>
        <w:tc>
          <w:tcPr>
            <w:tcW w:w="3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2</w:t>
            </w:r>
          </w:p>
        </w:tc>
        <w:tc>
          <w:tcPr>
            <w:tcW w:w="3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36</w:t>
            </w:r>
          </w:p>
        </w:tc>
        <w:tc>
          <w:tcPr>
            <w:tcW w:w="3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18</w:t>
            </w:r>
          </w:p>
        </w:tc>
        <w:tc>
          <w:tcPr>
            <w:tcW w:w="323" w:type="pct"/>
            <w:tcBorders>
              <w:top w:val="single" w:color="000000" w:sz="4" w:space="0"/>
              <w:left w:val="single" w:color="000000" w:sz="4" w:space="0"/>
              <w:bottom w:val="single" w:color="000000" w:sz="4" w:space="0"/>
              <w:right w:val="nil"/>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18</w:t>
            </w:r>
          </w:p>
        </w:tc>
        <w:tc>
          <w:tcPr>
            <w:tcW w:w="1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1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1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1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356" w:type="pct"/>
            <w:gridSpan w:val="2"/>
            <w:vMerge w:val="continue"/>
            <w:tcBorders>
              <w:left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5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74" w:type="pct"/>
            <w:vMerge w:val="continue"/>
            <w:tcBorders>
              <w:left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1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191" w:type="pct"/>
            <w:vMerge w:val="continue"/>
            <w:tcBorders>
              <w:left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5</w:t>
            </w:r>
          </w:p>
        </w:tc>
        <w:tc>
          <w:tcPr>
            <w:tcW w:w="12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pacing w:val="-11"/>
                <w:kern w:val="0"/>
                <w:sz w:val="20"/>
                <w:szCs w:val="20"/>
                <w:highlight w:val="none"/>
                <w:u w:val="none"/>
                <w:lang w:val="en-US" w:eastAsia="zh-CN" w:bidi="ar"/>
              </w:rPr>
            </w:pPr>
            <w:r>
              <w:rPr>
                <w:rFonts w:hint="eastAsia" w:ascii="仿宋_GB2312" w:hAnsi="仿宋_GB2312" w:eastAsia="仿宋_GB2312" w:cs="仿宋_GB2312"/>
                <w:i w:val="0"/>
                <w:iCs w:val="0"/>
                <w:color w:val="auto"/>
                <w:spacing w:val="-11"/>
                <w:kern w:val="0"/>
                <w:sz w:val="20"/>
                <w:szCs w:val="20"/>
                <w:highlight w:val="none"/>
                <w:u w:val="none"/>
                <w:lang w:val="en-US" w:eastAsia="zh-CN" w:bidi="ar"/>
              </w:rPr>
              <w:t>5B530501505</w:t>
            </w:r>
          </w:p>
        </w:tc>
        <w:tc>
          <w:tcPr>
            <w:tcW w:w="7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国际服务贸易</w:t>
            </w:r>
          </w:p>
        </w:tc>
        <w:tc>
          <w:tcPr>
            <w:tcW w:w="3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2</w:t>
            </w:r>
          </w:p>
        </w:tc>
        <w:tc>
          <w:tcPr>
            <w:tcW w:w="3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36</w:t>
            </w:r>
          </w:p>
        </w:tc>
        <w:tc>
          <w:tcPr>
            <w:tcW w:w="3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18</w:t>
            </w:r>
          </w:p>
        </w:tc>
        <w:tc>
          <w:tcPr>
            <w:tcW w:w="323" w:type="pct"/>
            <w:tcBorders>
              <w:top w:val="single" w:color="000000" w:sz="4" w:space="0"/>
              <w:left w:val="single" w:color="000000" w:sz="4" w:space="0"/>
              <w:bottom w:val="single" w:color="000000" w:sz="4" w:space="0"/>
              <w:right w:val="nil"/>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18</w:t>
            </w:r>
          </w:p>
        </w:tc>
        <w:tc>
          <w:tcPr>
            <w:tcW w:w="1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1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p>
        </w:tc>
        <w:tc>
          <w:tcPr>
            <w:tcW w:w="1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1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356" w:type="pct"/>
            <w:gridSpan w:val="2"/>
            <w:vMerge w:val="continue"/>
            <w:tcBorders>
              <w:left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5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174" w:type="pct"/>
            <w:vMerge w:val="continue"/>
            <w:tcBorders>
              <w:left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1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191" w:type="pct"/>
            <w:vMerge w:val="continue"/>
            <w:tcBorders>
              <w:left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6</w:t>
            </w:r>
          </w:p>
        </w:tc>
        <w:tc>
          <w:tcPr>
            <w:tcW w:w="12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pacing w:val="-11"/>
                <w:kern w:val="0"/>
                <w:sz w:val="20"/>
                <w:szCs w:val="20"/>
                <w:highlight w:val="none"/>
                <w:u w:val="none"/>
                <w:lang w:val="en-US" w:eastAsia="zh-CN" w:bidi="ar"/>
              </w:rPr>
            </w:pPr>
            <w:r>
              <w:rPr>
                <w:rFonts w:hint="eastAsia" w:ascii="仿宋_GB2312" w:hAnsi="仿宋_GB2312" w:eastAsia="仿宋_GB2312" w:cs="仿宋_GB2312"/>
                <w:i w:val="0"/>
                <w:iCs w:val="0"/>
                <w:color w:val="auto"/>
                <w:spacing w:val="-11"/>
                <w:kern w:val="0"/>
                <w:sz w:val="20"/>
                <w:szCs w:val="20"/>
                <w:highlight w:val="none"/>
                <w:u w:val="none"/>
                <w:lang w:val="en-US" w:eastAsia="zh-CN" w:bidi="ar"/>
              </w:rPr>
              <w:t>5B530501506</w:t>
            </w:r>
          </w:p>
        </w:tc>
        <w:tc>
          <w:tcPr>
            <w:tcW w:w="7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出口信用保险实务</w:t>
            </w:r>
          </w:p>
        </w:tc>
        <w:tc>
          <w:tcPr>
            <w:tcW w:w="3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2</w:t>
            </w:r>
          </w:p>
        </w:tc>
        <w:tc>
          <w:tcPr>
            <w:tcW w:w="3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36</w:t>
            </w:r>
          </w:p>
        </w:tc>
        <w:tc>
          <w:tcPr>
            <w:tcW w:w="3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18</w:t>
            </w:r>
          </w:p>
        </w:tc>
        <w:tc>
          <w:tcPr>
            <w:tcW w:w="323" w:type="pct"/>
            <w:tcBorders>
              <w:top w:val="single" w:color="000000" w:sz="4" w:space="0"/>
              <w:left w:val="single" w:color="000000" w:sz="4" w:space="0"/>
              <w:bottom w:val="single" w:color="000000" w:sz="4" w:space="0"/>
              <w:right w:val="nil"/>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18</w:t>
            </w:r>
          </w:p>
        </w:tc>
        <w:tc>
          <w:tcPr>
            <w:tcW w:w="1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1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1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1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356" w:type="pct"/>
            <w:gridSpan w:val="2"/>
            <w:vMerge w:val="continue"/>
            <w:tcBorders>
              <w:left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5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74" w:type="pct"/>
            <w:vMerge w:val="continue"/>
            <w:tcBorders>
              <w:left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1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191" w:type="pct"/>
            <w:vMerge w:val="continue"/>
            <w:tcBorders>
              <w:left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7</w:t>
            </w:r>
          </w:p>
        </w:tc>
        <w:tc>
          <w:tcPr>
            <w:tcW w:w="12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pacing w:val="-11"/>
                <w:kern w:val="0"/>
                <w:sz w:val="20"/>
                <w:szCs w:val="20"/>
                <w:highlight w:val="none"/>
                <w:u w:val="none"/>
                <w:lang w:val="en-US" w:eastAsia="zh-CN" w:bidi="ar"/>
              </w:rPr>
            </w:pPr>
            <w:r>
              <w:rPr>
                <w:rFonts w:hint="eastAsia" w:ascii="仿宋_GB2312" w:hAnsi="仿宋_GB2312" w:eastAsia="仿宋_GB2312" w:cs="仿宋_GB2312"/>
                <w:i w:val="0"/>
                <w:iCs w:val="0"/>
                <w:color w:val="auto"/>
                <w:spacing w:val="-11"/>
                <w:kern w:val="0"/>
                <w:sz w:val="20"/>
                <w:szCs w:val="20"/>
                <w:highlight w:val="none"/>
                <w:u w:val="none"/>
                <w:lang w:val="en-US" w:eastAsia="zh-CN" w:bidi="ar"/>
              </w:rPr>
              <w:t>5B530501507</w:t>
            </w:r>
          </w:p>
        </w:tc>
        <w:tc>
          <w:tcPr>
            <w:tcW w:w="7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贸易合规</w:t>
            </w:r>
          </w:p>
        </w:tc>
        <w:tc>
          <w:tcPr>
            <w:tcW w:w="3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2</w:t>
            </w:r>
          </w:p>
        </w:tc>
        <w:tc>
          <w:tcPr>
            <w:tcW w:w="3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36</w:t>
            </w:r>
          </w:p>
        </w:tc>
        <w:tc>
          <w:tcPr>
            <w:tcW w:w="3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18</w:t>
            </w:r>
          </w:p>
        </w:tc>
        <w:tc>
          <w:tcPr>
            <w:tcW w:w="323" w:type="pct"/>
            <w:tcBorders>
              <w:top w:val="single" w:color="000000" w:sz="4" w:space="0"/>
              <w:left w:val="single" w:color="000000" w:sz="4" w:space="0"/>
              <w:bottom w:val="single" w:color="000000" w:sz="4" w:space="0"/>
              <w:right w:val="nil"/>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18</w:t>
            </w:r>
          </w:p>
        </w:tc>
        <w:tc>
          <w:tcPr>
            <w:tcW w:w="1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1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1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1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356" w:type="pct"/>
            <w:gridSpan w:val="2"/>
            <w:vMerge w:val="continue"/>
            <w:tcBorders>
              <w:left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5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74" w:type="pct"/>
            <w:vMerge w:val="continue"/>
            <w:tcBorders>
              <w:left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1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191" w:type="pct"/>
            <w:vMerge w:val="continue"/>
            <w:tcBorders>
              <w:left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8</w:t>
            </w:r>
          </w:p>
        </w:tc>
        <w:tc>
          <w:tcPr>
            <w:tcW w:w="12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pacing w:val="-11"/>
                <w:kern w:val="0"/>
                <w:sz w:val="20"/>
                <w:szCs w:val="20"/>
                <w:highlight w:val="none"/>
                <w:u w:val="none"/>
                <w:lang w:val="en-US" w:eastAsia="zh-CN" w:bidi="ar"/>
              </w:rPr>
            </w:pPr>
            <w:r>
              <w:rPr>
                <w:rFonts w:hint="eastAsia" w:ascii="仿宋_GB2312" w:hAnsi="仿宋_GB2312" w:eastAsia="仿宋_GB2312" w:cs="仿宋_GB2312"/>
                <w:i w:val="0"/>
                <w:iCs w:val="0"/>
                <w:color w:val="auto"/>
                <w:spacing w:val="-11"/>
                <w:kern w:val="0"/>
                <w:sz w:val="20"/>
                <w:szCs w:val="20"/>
                <w:highlight w:val="none"/>
                <w:u w:val="none"/>
                <w:lang w:val="en-US" w:eastAsia="zh-CN" w:bidi="ar"/>
              </w:rPr>
              <w:t>5B530501508</w:t>
            </w:r>
          </w:p>
        </w:tc>
        <w:tc>
          <w:tcPr>
            <w:tcW w:w="7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国际经贸规则与标准</w:t>
            </w:r>
          </w:p>
        </w:tc>
        <w:tc>
          <w:tcPr>
            <w:tcW w:w="3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2</w:t>
            </w:r>
          </w:p>
        </w:tc>
        <w:tc>
          <w:tcPr>
            <w:tcW w:w="3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36</w:t>
            </w:r>
          </w:p>
        </w:tc>
        <w:tc>
          <w:tcPr>
            <w:tcW w:w="3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18</w:t>
            </w:r>
          </w:p>
        </w:tc>
        <w:tc>
          <w:tcPr>
            <w:tcW w:w="323" w:type="pct"/>
            <w:tcBorders>
              <w:top w:val="single" w:color="000000" w:sz="4" w:space="0"/>
              <w:left w:val="single" w:color="000000" w:sz="4" w:space="0"/>
              <w:bottom w:val="single" w:color="000000" w:sz="4" w:space="0"/>
              <w:right w:val="nil"/>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18</w:t>
            </w:r>
          </w:p>
        </w:tc>
        <w:tc>
          <w:tcPr>
            <w:tcW w:w="1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1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1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1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356" w:type="pct"/>
            <w:gridSpan w:val="2"/>
            <w:vMerge w:val="continue"/>
            <w:tcBorders>
              <w:left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5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174" w:type="pct"/>
            <w:vMerge w:val="continue"/>
            <w:tcBorders>
              <w:left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1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191" w:type="pct"/>
            <w:vMerge w:val="continue"/>
            <w:tcBorders>
              <w:left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9</w:t>
            </w:r>
          </w:p>
        </w:tc>
        <w:tc>
          <w:tcPr>
            <w:tcW w:w="12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pacing w:val="-11"/>
                <w:kern w:val="0"/>
                <w:sz w:val="20"/>
                <w:szCs w:val="20"/>
                <w:highlight w:val="none"/>
                <w:u w:val="none"/>
                <w:lang w:val="en-US" w:eastAsia="zh-CN" w:bidi="ar"/>
              </w:rPr>
            </w:pPr>
            <w:r>
              <w:rPr>
                <w:rFonts w:hint="eastAsia" w:ascii="仿宋_GB2312" w:hAnsi="仿宋_GB2312" w:eastAsia="仿宋_GB2312" w:cs="仿宋_GB2312"/>
                <w:i w:val="0"/>
                <w:iCs w:val="0"/>
                <w:color w:val="auto"/>
                <w:spacing w:val="-11"/>
                <w:kern w:val="0"/>
                <w:sz w:val="20"/>
                <w:szCs w:val="20"/>
                <w:highlight w:val="none"/>
                <w:u w:val="none"/>
                <w:lang w:val="en-US" w:eastAsia="zh-CN" w:bidi="ar"/>
              </w:rPr>
              <w:t>5B530501509</w:t>
            </w:r>
          </w:p>
        </w:tc>
        <w:tc>
          <w:tcPr>
            <w:tcW w:w="7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外贸参展实务</w:t>
            </w:r>
          </w:p>
        </w:tc>
        <w:tc>
          <w:tcPr>
            <w:tcW w:w="3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2</w:t>
            </w:r>
          </w:p>
        </w:tc>
        <w:tc>
          <w:tcPr>
            <w:tcW w:w="3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36</w:t>
            </w:r>
          </w:p>
        </w:tc>
        <w:tc>
          <w:tcPr>
            <w:tcW w:w="3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18</w:t>
            </w:r>
          </w:p>
        </w:tc>
        <w:tc>
          <w:tcPr>
            <w:tcW w:w="323" w:type="pct"/>
            <w:tcBorders>
              <w:top w:val="single" w:color="000000" w:sz="4" w:space="0"/>
              <w:left w:val="single" w:color="000000" w:sz="4" w:space="0"/>
              <w:bottom w:val="single" w:color="000000" w:sz="4" w:space="0"/>
              <w:right w:val="nil"/>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18</w:t>
            </w:r>
          </w:p>
        </w:tc>
        <w:tc>
          <w:tcPr>
            <w:tcW w:w="1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1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1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p>
        </w:tc>
        <w:tc>
          <w:tcPr>
            <w:tcW w:w="1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356" w:type="pct"/>
            <w:gridSpan w:val="2"/>
            <w:vMerge w:val="continue"/>
            <w:tcBorders>
              <w:left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5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74" w:type="pct"/>
            <w:vMerge w:val="continue"/>
            <w:tcBorders>
              <w:left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1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191" w:type="pct"/>
            <w:vMerge w:val="continue"/>
            <w:tcBorders>
              <w:left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10</w:t>
            </w:r>
          </w:p>
        </w:tc>
        <w:tc>
          <w:tcPr>
            <w:tcW w:w="12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pacing w:val="-11"/>
                <w:kern w:val="0"/>
                <w:sz w:val="20"/>
                <w:szCs w:val="20"/>
                <w:highlight w:val="none"/>
                <w:u w:val="none"/>
                <w:lang w:val="en-US" w:eastAsia="zh-CN" w:bidi="ar"/>
              </w:rPr>
            </w:pPr>
            <w:r>
              <w:rPr>
                <w:rFonts w:hint="eastAsia" w:ascii="仿宋_GB2312" w:hAnsi="仿宋_GB2312" w:eastAsia="仿宋_GB2312" w:cs="仿宋_GB2312"/>
                <w:i w:val="0"/>
                <w:iCs w:val="0"/>
                <w:color w:val="auto"/>
                <w:spacing w:val="-11"/>
                <w:kern w:val="0"/>
                <w:sz w:val="20"/>
                <w:szCs w:val="20"/>
                <w:highlight w:val="none"/>
                <w:u w:val="none"/>
                <w:lang w:val="en-US" w:eastAsia="zh-CN" w:bidi="ar"/>
              </w:rPr>
              <w:t>5B530302510</w:t>
            </w:r>
          </w:p>
        </w:tc>
        <w:tc>
          <w:tcPr>
            <w:tcW w:w="7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管理学</w:t>
            </w:r>
          </w:p>
        </w:tc>
        <w:tc>
          <w:tcPr>
            <w:tcW w:w="3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2</w:t>
            </w:r>
          </w:p>
        </w:tc>
        <w:tc>
          <w:tcPr>
            <w:tcW w:w="3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36</w:t>
            </w:r>
          </w:p>
        </w:tc>
        <w:tc>
          <w:tcPr>
            <w:tcW w:w="3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18</w:t>
            </w:r>
          </w:p>
        </w:tc>
        <w:tc>
          <w:tcPr>
            <w:tcW w:w="323" w:type="pct"/>
            <w:tcBorders>
              <w:top w:val="single" w:color="000000" w:sz="4" w:space="0"/>
              <w:left w:val="single" w:color="000000" w:sz="4" w:space="0"/>
              <w:bottom w:val="single" w:color="000000" w:sz="4" w:space="0"/>
              <w:right w:val="nil"/>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18</w:t>
            </w:r>
          </w:p>
        </w:tc>
        <w:tc>
          <w:tcPr>
            <w:tcW w:w="1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p>
        </w:tc>
        <w:tc>
          <w:tcPr>
            <w:tcW w:w="1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1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1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356" w:type="pct"/>
            <w:gridSpan w:val="2"/>
            <w:vMerge w:val="continue"/>
            <w:tcBorders>
              <w:left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5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74" w:type="pct"/>
            <w:vMerge w:val="continue"/>
            <w:tcBorders>
              <w:left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1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191" w:type="pct"/>
            <w:vMerge w:val="continue"/>
            <w:tcBorders>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11</w:t>
            </w:r>
          </w:p>
        </w:tc>
        <w:tc>
          <w:tcPr>
            <w:tcW w:w="12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pacing w:val="-11"/>
                <w:kern w:val="0"/>
                <w:sz w:val="20"/>
                <w:szCs w:val="20"/>
                <w:highlight w:val="none"/>
                <w:u w:val="none"/>
                <w:lang w:val="en-US" w:eastAsia="zh-CN" w:bidi="ar"/>
              </w:rPr>
            </w:pPr>
            <w:r>
              <w:rPr>
                <w:rFonts w:hint="eastAsia" w:ascii="仿宋_GB2312" w:hAnsi="仿宋_GB2312" w:eastAsia="仿宋_GB2312" w:cs="仿宋_GB2312"/>
                <w:i w:val="0"/>
                <w:iCs w:val="0"/>
                <w:color w:val="auto"/>
                <w:spacing w:val="-11"/>
                <w:kern w:val="0"/>
                <w:sz w:val="20"/>
                <w:szCs w:val="20"/>
                <w:highlight w:val="none"/>
                <w:u w:val="none"/>
                <w:lang w:val="en-US" w:eastAsia="zh-CN" w:bidi="ar"/>
              </w:rPr>
              <w:t>5B530302511</w:t>
            </w:r>
          </w:p>
        </w:tc>
        <w:tc>
          <w:tcPr>
            <w:tcW w:w="7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电子商务</w:t>
            </w:r>
          </w:p>
        </w:tc>
        <w:tc>
          <w:tcPr>
            <w:tcW w:w="3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2</w:t>
            </w:r>
          </w:p>
        </w:tc>
        <w:tc>
          <w:tcPr>
            <w:tcW w:w="3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36</w:t>
            </w:r>
          </w:p>
        </w:tc>
        <w:tc>
          <w:tcPr>
            <w:tcW w:w="3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18</w:t>
            </w:r>
          </w:p>
        </w:tc>
        <w:tc>
          <w:tcPr>
            <w:tcW w:w="323" w:type="pct"/>
            <w:tcBorders>
              <w:top w:val="single" w:color="000000" w:sz="4" w:space="0"/>
              <w:left w:val="single" w:color="000000" w:sz="4" w:space="0"/>
              <w:bottom w:val="single" w:color="000000" w:sz="4" w:space="0"/>
              <w:right w:val="nil"/>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18</w:t>
            </w:r>
          </w:p>
        </w:tc>
        <w:tc>
          <w:tcPr>
            <w:tcW w:w="1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1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p>
        </w:tc>
        <w:tc>
          <w:tcPr>
            <w:tcW w:w="1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1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356" w:type="pct"/>
            <w:gridSpan w:val="2"/>
            <w:vMerge w:val="continue"/>
            <w:tcBorders>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5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14" w:hRule="atLeast"/>
        </w:trPr>
        <w:tc>
          <w:tcPr>
            <w:tcW w:w="174" w:type="pct"/>
            <w:vMerge w:val="continue"/>
            <w:tcBorders>
              <w:left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p>
        </w:tc>
        <w:tc>
          <w:tcPr>
            <w:tcW w:w="17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kern w:val="0"/>
                <w:sz w:val="20"/>
                <w:szCs w:val="20"/>
                <w:highlight w:val="none"/>
                <w:u w:val="none"/>
                <w:lang w:val="en-US" w:eastAsia="zh-CN" w:bidi="ar"/>
              </w:rPr>
            </w:pPr>
            <w:r>
              <w:rPr>
                <w:rFonts w:hint="eastAsia" w:ascii="仿宋_GB2312" w:hAnsi="仿宋_GB2312" w:eastAsia="仿宋_GB2312" w:cs="仿宋_GB2312"/>
                <w:i w:val="0"/>
                <w:iCs w:val="0"/>
                <w:color w:val="auto"/>
                <w:kern w:val="0"/>
                <w:sz w:val="20"/>
                <w:szCs w:val="20"/>
                <w:highlight w:val="none"/>
                <w:u w:val="none"/>
                <w:lang w:val="en-US" w:eastAsia="zh-CN" w:bidi="ar"/>
              </w:rPr>
              <w:t>实践性教学环节</w:t>
            </w:r>
          </w:p>
        </w:tc>
        <w:tc>
          <w:tcPr>
            <w:tcW w:w="19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必修</w:t>
            </w: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1</w:t>
            </w:r>
          </w:p>
        </w:tc>
        <w:tc>
          <w:tcPr>
            <w:tcW w:w="5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pacing w:val="-11"/>
                <w:kern w:val="0"/>
                <w:sz w:val="20"/>
                <w:szCs w:val="20"/>
                <w:highlight w:val="none"/>
                <w:u w:val="none"/>
                <w:lang w:val="en-US" w:eastAsia="zh-CN" w:bidi="ar"/>
              </w:rPr>
            </w:pPr>
            <w:r>
              <w:rPr>
                <w:rFonts w:hint="eastAsia" w:ascii="仿宋_GB2312" w:hAnsi="仿宋_GB2312" w:eastAsia="仿宋_GB2312" w:cs="仿宋_GB2312"/>
                <w:i w:val="0"/>
                <w:iCs w:val="0"/>
                <w:color w:val="auto"/>
                <w:spacing w:val="-11"/>
                <w:kern w:val="0"/>
                <w:sz w:val="20"/>
                <w:szCs w:val="20"/>
                <w:highlight w:val="none"/>
                <w:u w:val="none"/>
                <w:lang w:val="en-US" w:eastAsia="zh-CN" w:bidi="ar"/>
              </w:rPr>
              <w:t>1B410101601</w:t>
            </w:r>
          </w:p>
        </w:tc>
        <w:tc>
          <w:tcPr>
            <w:tcW w:w="7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毕业设计</w:t>
            </w:r>
          </w:p>
        </w:tc>
        <w:tc>
          <w:tcPr>
            <w:tcW w:w="3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5</w:t>
            </w:r>
          </w:p>
        </w:tc>
        <w:tc>
          <w:tcPr>
            <w:tcW w:w="3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80</w:t>
            </w:r>
          </w:p>
        </w:tc>
        <w:tc>
          <w:tcPr>
            <w:tcW w:w="3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20</w:t>
            </w:r>
          </w:p>
        </w:tc>
        <w:tc>
          <w:tcPr>
            <w:tcW w:w="3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60</w:t>
            </w:r>
          </w:p>
        </w:tc>
        <w:tc>
          <w:tcPr>
            <w:tcW w:w="1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1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1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1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300" w:lineRule="exact"/>
              <w:jc w:val="both"/>
              <w:rPr>
                <w:rFonts w:hint="eastAsia" w:ascii="仿宋_GB2312" w:hAnsi="仿宋_GB2312" w:eastAsia="仿宋_GB2312" w:cs="仿宋_GB2312"/>
                <w:i w:val="0"/>
                <w:iCs w:val="0"/>
                <w:color w:val="auto"/>
                <w:sz w:val="20"/>
                <w:szCs w:val="20"/>
                <w:highlight w:val="none"/>
                <w:u w:val="none"/>
              </w:rPr>
            </w:pPr>
          </w:p>
        </w:tc>
        <w:tc>
          <w:tcPr>
            <w:tcW w:w="175" w:type="pct"/>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20</w:t>
            </w:r>
          </w:p>
        </w:tc>
        <w:tc>
          <w:tcPr>
            <w:tcW w:w="180" w:type="pct"/>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300" w:lineRule="exact"/>
              <w:jc w:val="both"/>
              <w:rPr>
                <w:rFonts w:hint="eastAsia" w:ascii="仿宋_GB2312" w:hAnsi="仿宋_GB2312" w:eastAsia="仿宋_GB2312" w:cs="仿宋_GB2312"/>
                <w:i w:val="0"/>
                <w:iCs w:val="0"/>
                <w:color w:val="auto"/>
                <w:sz w:val="20"/>
                <w:szCs w:val="20"/>
                <w:highlight w:val="none"/>
                <w:u w:val="none"/>
              </w:rPr>
            </w:pPr>
          </w:p>
        </w:tc>
        <w:tc>
          <w:tcPr>
            <w:tcW w:w="5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174" w:type="pct"/>
            <w:vMerge w:val="continue"/>
            <w:tcBorders>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1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19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2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2</w:t>
            </w:r>
          </w:p>
        </w:tc>
        <w:tc>
          <w:tcPr>
            <w:tcW w:w="5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pacing w:val="-11"/>
                <w:kern w:val="0"/>
                <w:sz w:val="20"/>
                <w:szCs w:val="20"/>
                <w:highlight w:val="none"/>
                <w:u w:val="none"/>
                <w:lang w:val="en-US" w:eastAsia="zh-CN" w:bidi="ar"/>
              </w:rPr>
            </w:pPr>
            <w:r>
              <w:rPr>
                <w:rFonts w:hint="eastAsia" w:ascii="仿宋_GB2312" w:hAnsi="仿宋_GB2312" w:eastAsia="仿宋_GB2312" w:cs="仿宋_GB2312"/>
                <w:i w:val="0"/>
                <w:iCs w:val="0"/>
                <w:color w:val="auto"/>
                <w:spacing w:val="-11"/>
                <w:kern w:val="0"/>
                <w:sz w:val="20"/>
                <w:szCs w:val="20"/>
                <w:highlight w:val="none"/>
                <w:u w:val="none"/>
                <w:lang w:val="en-US" w:eastAsia="zh-CN" w:bidi="ar"/>
              </w:rPr>
              <w:t>1C410101602</w:t>
            </w:r>
          </w:p>
        </w:tc>
        <w:tc>
          <w:tcPr>
            <w:tcW w:w="7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岗位实习</w:t>
            </w:r>
          </w:p>
        </w:tc>
        <w:tc>
          <w:tcPr>
            <w:tcW w:w="3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18</w:t>
            </w:r>
          </w:p>
        </w:tc>
        <w:tc>
          <w:tcPr>
            <w:tcW w:w="3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432</w:t>
            </w:r>
          </w:p>
        </w:tc>
        <w:tc>
          <w:tcPr>
            <w:tcW w:w="3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0</w:t>
            </w:r>
          </w:p>
        </w:tc>
        <w:tc>
          <w:tcPr>
            <w:tcW w:w="3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432</w:t>
            </w:r>
          </w:p>
        </w:tc>
        <w:tc>
          <w:tcPr>
            <w:tcW w:w="174" w:type="pct"/>
            <w:tcBorders>
              <w:top w:val="single" w:color="000000" w:sz="4" w:space="0"/>
              <w:left w:val="single" w:color="000000" w:sz="4" w:space="0"/>
              <w:bottom w:val="nil"/>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174" w:type="pct"/>
            <w:tcBorders>
              <w:top w:val="single" w:color="000000" w:sz="4" w:space="0"/>
              <w:left w:val="single" w:color="000000" w:sz="4" w:space="0"/>
              <w:bottom w:val="nil"/>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174" w:type="pct"/>
            <w:tcBorders>
              <w:top w:val="single" w:color="000000" w:sz="4" w:space="0"/>
              <w:left w:val="single" w:color="000000" w:sz="4" w:space="0"/>
              <w:bottom w:val="nil"/>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175" w:type="pct"/>
            <w:tcBorders>
              <w:top w:val="single" w:color="000000" w:sz="4" w:space="0"/>
              <w:left w:val="single" w:color="000000" w:sz="4" w:space="0"/>
              <w:bottom w:val="nil"/>
              <w:right w:val="single" w:color="auto"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175" w:type="pct"/>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180" w:type="pct"/>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18</w:t>
            </w:r>
          </w:p>
        </w:tc>
        <w:tc>
          <w:tcPr>
            <w:tcW w:w="562" w:type="pct"/>
            <w:tcBorders>
              <w:top w:val="single" w:color="000000" w:sz="4" w:space="0"/>
              <w:left w:val="single" w:color="auto"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2088" w:type="pct"/>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专业必修课程学分、学时小计</w:t>
            </w:r>
          </w:p>
        </w:tc>
        <w:tc>
          <w:tcPr>
            <w:tcW w:w="3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85</w:t>
            </w:r>
          </w:p>
        </w:tc>
        <w:tc>
          <w:tcPr>
            <w:tcW w:w="3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1628</w:t>
            </w:r>
          </w:p>
        </w:tc>
        <w:tc>
          <w:tcPr>
            <w:tcW w:w="3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684</w:t>
            </w:r>
          </w:p>
        </w:tc>
        <w:tc>
          <w:tcPr>
            <w:tcW w:w="3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944</w:t>
            </w:r>
          </w:p>
        </w:tc>
        <w:tc>
          <w:tcPr>
            <w:tcW w:w="1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1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1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175" w:type="pct"/>
            <w:tcBorders>
              <w:top w:val="single" w:color="000000" w:sz="4" w:space="0"/>
              <w:left w:val="single" w:color="000000" w:sz="4" w:space="0"/>
              <w:bottom w:val="single" w:color="000000" w:sz="4" w:space="0"/>
              <w:right w:val="single" w:color="auto"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300" w:lineRule="exact"/>
              <w:jc w:val="both"/>
              <w:rPr>
                <w:rFonts w:hint="eastAsia" w:ascii="仿宋_GB2312" w:hAnsi="仿宋_GB2312" w:eastAsia="仿宋_GB2312" w:cs="仿宋_GB2312"/>
                <w:i w:val="0"/>
                <w:iCs w:val="0"/>
                <w:color w:val="auto"/>
                <w:sz w:val="20"/>
                <w:szCs w:val="20"/>
                <w:highlight w:val="none"/>
                <w:u w:val="none"/>
              </w:rPr>
            </w:pPr>
          </w:p>
        </w:tc>
        <w:tc>
          <w:tcPr>
            <w:tcW w:w="175" w:type="pct"/>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300" w:lineRule="exact"/>
              <w:jc w:val="both"/>
              <w:rPr>
                <w:rFonts w:hint="eastAsia" w:ascii="仿宋_GB2312" w:hAnsi="仿宋_GB2312" w:eastAsia="仿宋_GB2312" w:cs="仿宋_GB2312"/>
                <w:i w:val="0"/>
                <w:iCs w:val="0"/>
                <w:color w:val="auto"/>
                <w:sz w:val="20"/>
                <w:szCs w:val="20"/>
                <w:highlight w:val="none"/>
                <w:u w:val="none"/>
              </w:rPr>
            </w:pPr>
          </w:p>
        </w:tc>
        <w:tc>
          <w:tcPr>
            <w:tcW w:w="180" w:type="pct"/>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300" w:lineRule="exact"/>
              <w:jc w:val="both"/>
              <w:rPr>
                <w:rFonts w:hint="eastAsia" w:ascii="仿宋_GB2312" w:hAnsi="仿宋_GB2312" w:eastAsia="仿宋_GB2312" w:cs="仿宋_GB2312"/>
                <w:i w:val="0"/>
                <w:iCs w:val="0"/>
                <w:color w:val="auto"/>
                <w:sz w:val="20"/>
                <w:szCs w:val="20"/>
                <w:highlight w:val="none"/>
                <w:u w:val="none"/>
              </w:rPr>
            </w:pPr>
          </w:p>
        </w:tc>
        <w:tc>
          <w:tcPr>
            <w:tcW w:w="562" w:type="pct"/>
            <w:tcBorders>
              <w:top w:val="single" w:color="000000" w:sz="4" w:space="0"/>
              <w:left w:val="single" w:color="auto"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2088" w:type="pct"/>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专业必修课程学分、学时占比</w:t>
            </w:r>
          </w:p>
        </w:tc>
        <w:tc>
          <w:tcPr>
            <w:tcW w:w="3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pacing w:val="-23"/>
                <w:sz w:val="20"/>
                <w:szCs w:val="20"/>
                <w:highlight w:val="none"/>
                <w:u w:val="none"/>
              </w:rPr>
            </w:pPr>
            <w:r>
              <w:rPr>
                <w:rFonts w:hint="eastAsia" w:ascii="仿宋_GB2312" w:hAnsi="仿宋_GB2312" w:eastAsia="仿宋_GB2312" w:cs="仿宋_GB2312"/>
                <w:i w:val="0"/>
                <w:iCs w:val="0"/>
                <w:color w:val="auto"/>
                <w:spacing w:val="-23"/>
                <w:kern w:val="0"/>
                <w:sz w:val="20"/>
                <w:szCs w:val="20"/>
                <w:highlight w:val="none"/>
                <w:u w:val="none"/>
                <w:lang w:val="en-US" w:eastAsia="zh-CN" w:bidi="ar"/>
              </w:rPr>
              <w:t>59.44%</w:t>
            </w:r>
          </w:p>
        </w:tc>
        <w:tc>
          <w:tcPr>
            <w:tcW w:w="3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pacing w:val="-23"/>
                <w:sz w:val="20"/>
                <w:szCs w:val="20"/>
                <w:highlight w:val="none"/>
                <w:u w:val="none"/>
              </w:rPr>
            </w:pPr>
            <w:r>
              <w:rPr>
                <w:rFonts w:hint="eastAsia" w:ascii="仿宋_GB2312" w:hAnsi="仿宋_GB2312" w:eastAsia="仿宋_GB2312" w:cs="仿宋_GB2312"/>
                <w:i w:val="0"/>
                <w:iCs w:val="0"/>
                <w:color w:val="auto"/>
                <w:spacing w:val="-23"/>
                <w:kern w:val="0"/>
                <w:sz w:val="20"/>
                <w:szCs w:val="20"/>
                <w:highlight w:val="none"/>
                <w:u w:val="none"/>
                <w:lang w:val="en-US" w:eastAsia="zh-CN" w:bidi="ar"/>
              </w:rPr>
              <w:t>60.43%</w:t>
            </w:r>
          </w:p>
        </w:tc>
        <w:tc>
          <w:tcPr>
            <w:tcW w:w="3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pacing w:val="-23"/>
                <w:sz w:val="20"/>
                <w:szCs w:val="20"/>
                <w:highlight w:val="none"/>
                <w:u w:val="none"/>
              </w:rPr>
            </w:pPr>
            <w:r>
              <w:rPr>
                <w:rFonts w:hint="eastAsia" w:ascii="仿宋_GB2312" w:hAnsi="仿宋_GB2312" w:eastAsia="仿宋_GB2312" w:cs="仿宋_GB2312"/>
                <w:i w:val="0"/>
                <w:iCs w:val="0"/>
                <w:color w:val="auto"/>
                <w:spacing w:val="-23"/>
                <w:kern w:val="0"/>
                <w:sz w:val="20"/>
                <w:szCs w:val="20"/>
                <w:highlight w:val="none"/>
                <w:u w:val="none"/>
                <w:lang w:val="en-US" w:eastAsia="zh-CN" w:bidi="ar"/>
              </w:rPr>
              <w:t>25.39%</w:t>
            </w:r>
          </w:p>
        </w:tc>
        <w:tc>
          <w:tcPr>
            <w:tcW w:w="3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pacing w:val="-23"/>
                <w:sz w:val="20"/>
                <w:szCs w:val="20"/>
                <w:highlight w:val="none"/>
                <w:u w:val="none"/>
              </w:rPr>
            </w:pPr>
            <w:r>
              <w:rPr>
                <w:rFonts w:hint="eastAsia" w:ascii="仿宋_GB2312" w:hAnsi="仿宋_GB2312" w:eastAsia="仿宋_GB2312" w:cs="仿宋_GB2312"/>
                <w:i w:val="0"/>
                <w:iCs w:val="0"/>
                <w:color w:val="auto"/>
                <w:spacing w:val="-23"/>
                <w:kern w:val="0"/>
                <w:sz w:val="20"/>
                <w:szCs w:val="20"/>
                <w:highlight w:val="none"/>
                <w:u w:val="none"/>
                <w:lang w:val="en-US" w:eastAsia="zh-CN" w:bidi="ar"/>
              </w:rPr>
              <w:t>35.04%</w:t>
            </w:r>
          </w:p>
        </w:tc>
        <w:tc>
          <w:tcPr>
            <w:tcW w:w="174" w:type="pct"/>
            <w:tcBorders>
              <w:top w:val="nil"/>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300" w:lineRule="exact"/>
              <w:jc w:val="both"/>
              <w:rPr>
                <w:rFonts w:hint="eastAsia" w:ascii="仿宋_GB2312" w:hAnsi="仿宋_GB2312" w:eastAsia="仿宋_GB2312" w:cs="仿宋_GB2312"/>
                <w:i w:val="0"/>
                <w:iCs w:val="0"/>
                <w:color w:val="auto"/>
                <w:sz w:val="20"/>
                <w:szCs w:val="20"/>
                <w:highlight w:val="none"/>
                <w:u w:val="none"/>
              </w:rPr>
            </w:pPr>
          </w:p>
        </w:tc>
        <w:tc>
          <w:tcPr>
            <w:tcW w:w="174" w:type="pct"/>
            <w:tcBorders>
              <w:top w:val="nil"/>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300" w:lineRule="exact"/>
              <w:jc w:val="both"/>
              <w:rPr>
                <w:rFonts w:hint="eastAsia" w:ascii="仿宋_GB2312" w:hAnsi="仿宋_GB2312" w:eastAsia="仿宋_GB2312" w:cs="仿宋_GB2312"/>
                <w:i w:val="0"/>
                <w:iCs w:val="0"/>
                <w:color w:val="auto"/>
                <w:sz w:val="20"/>
                <w:szCs w:val="20"/>
                <w:highlight w:val="none"/>
                <w:u w:val="none"/>
              </w:rPr>
            </w:pPr>
          </w:p>
        </w:tc>
        <w:tc>
          <w:tcPr>
            <w:tcW w:w="174" w:type="pct"/>
            <w:tcBorders>
              <w:top w:val="nil"/>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300" w:lineRule="exact"/>
              <w:jc w:val="both"/>
              <w:rPr>
                <w:rFonts w:hint="eastAsia" w:ascii="仿宋_GB2312" w:hAnsi="仿宋_GB2312" w:eastAsia="仿宋_GB2312" w:cs="仿宋_GB2312"/>
                <w:i w:val="0"/>
                <w:iCs w:val="0"/>
                <w:color w:val="auto"/>
                <w:sz w:val="20"/>
                <w:szCs w:val="20"/>
                <w:highlight w:val="none"/>
                <w:u w:val="none"/>
              </w:rPr>
            </w:pPr>
          </w:p>
        </w:tc>
        <w:tc>
          <w:tcPr>
            <w:tcW w:w="175" w:type="pct"/>
            <w:tcBorders>
              <w:top w:val="nil"/>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300" w:lineRule="exact"/>
              <w:jc w:val="both"/>
              <w:rPr>
                <w:rFonts w:hint="eastAsia" w:ascii="仿宋_GB2312" w:hAnsi="仿宋_GB2312" w:eastAsia="仿宋_GB2312" w:cs="仿宋_GB2312"/>
                <w:i w:val="0"/>
                <w:iCs w:val="0"/>
                <w:color w:val="auto"/>
                <w:sz w:val="20"/>
                <w:szCs w:val="20"/>
                <w:highlight w:val="none"/>
                <w:u w:val="none"/>
              </w:rPr>
            </w:pPr>
          </w:p>
        </w:tc>
        <w:tc>
          <w:tcPr>
            <w:tcW w:w="175" w:type="pct"/>
            <w:tcBorders>
              <w:top w:val="single" w:color="auto"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300" w:lineRule="exact"/>
              <w:jc w:val="both"/>
              <w:rPr>
                <w:rFonts w:hint="eastAsia" w:ascii="仿宋_GB2312" w:hAnsi="仿宋_GB2312" w:eastAsia="仿宋_GB2312" w:cs="仿宋_GB2312"/>
                <w:i w:val="0"/>
                <w:iCs w:val="0"/>
                <w:color w:val="auto"/>
                <w:sz w:val="20"/>
                <w:szCs w:val="20"/>
                <w:highlight w:val="none"/>
                <w:u w:val="none"/>
              </w:rPr>
            </w:pPr>
          </w:p>
        </w:tc>
        <w:tc>
          <w:tcPr>
            <w:tcW w:w="180" w:type="pct"/>
            <w:tcBorders>
              <w:top w:val="single" w:color="auto"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300" w:lineRule="exact"/>
              <w:jc w:val="both"/>
              <w:rPr>
                <w:rFonts w:hint="eastAsia" w:ascii="仿宋_GB2312" w:hAnsi="仿宋_GB2312" w:eastAsia="仿宋_GB2312" w:cs="仿宋_GB2312"/>
                <w:i w:val="0"/>
                <w:iCs w:val="0"/>
                <w:color w:val="auto"/>
                <w:sz w:val="20"/>
                <w:szCs w:val="20"/>
                <w:highlight w:val="none"/>
                <w:u w:val="none"/>
              </w:rPr>
            </w:pPr>
          </w:p>
        </w:tc>
        <w:tc>
          <w:tcPr>
            <w:tcW w:w="5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2088" w:type="pct"/>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专业拓展课程学分、学时小计</w:t>
            </w:r>
          </w:p>
        </w:tc>
        <w:tc>
          <w:tcPr>
            <w:tcW w:w="3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8</w:t>
            </w:r>
          </w:p>
        </w:tc>
        <w:tc>
          <w:tcPr>
            <w:tcW w:w="3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144</w:t>
            </w:r>
          </w:p>
        </w:tc>
        <w:tc>
          <w:tcPr>
            <w:tcW w:w="3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72</w:t>
            </w:r>
          </w:p>
        </w:tc>
        <w:tc>
          <w:tcPr>
            <w:tcW w:w="3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72</w:t>
            </w:r>
          </w:p>
        </w:tc>
        <w:tc>
          <w:tcPr>
            <w:tcW w:w="1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1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c>
          <w:tcPr>
            <w:tcW w:w="1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300" w:lineRule="exact"/>
              <w:jc w:val="both"/>
              <w:rPr>
                <w:rFonts w:hint="eastAsia" w:ascii="仿宋_GB2312" w:hAnsi="仿宋_GB2312" w:eastAsia="仿宋_GB2312" w:cs="仿宋_GB2312"/>
                <w:i w:val="0"/>
                <w:iCs w:val="0"/>
                <w:color w:val="auto"/>
                <w:sz w:val="20"/>
                <w:szCs w:val="20"/>
                <w:highlight w:val="none"/>
                <w:u w:val="none"/>
              </w:rPr>
            </w:pPr>
          </w:p>
        </w:tc>
        <w:tc>
          <w:tcPr>
            <w:tcW w:w="1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300" w:lineRule="exact"/>
              <w:jc w:val="both"/>
              <w:rPr>
                <w:rFonts w:hint="eastAsia" w:ascii="仿宋_GB2312" w:hAnsi="仿宋_GB2312" w:eastAsia="仿宋_GB2312" w:cs="仿宋_GB2312"/>
                <w:i w:val="0"/>
                <w:iCs w:val="0"/>
                <w:color w:val="auto"/>
                <w:sz w:val="20"/>
                <w:szCs w:val="20"/>
                <w:highlight w:val="none"/>
                <w:u w:val="none"/>
              </w:rPr>
            </w:pPr>
          </w:p>
        </w:tc>
        <w:tc>
          <w:tcPr>
            <w:tcW w:w="1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300" w:lineRule="exact"/>
              <w:jc w:val="both"/>
              <w:rPr>
                <w:rFonts w:hint="eastAsia" w:ascii="仿宋_GB2312" w:hAnsi="仿宋_GB2312" w:eastAsia="仿宋_GB2312" w:cs="仿宋_GB2312"/>
                <w:i w:val="0"/>
                <w:iCs w:val="0"/>
                <w:color w:val="auto"/>
                <w:sz w:val="20"/>
                <w:szCs w:val="20"/>
                <w:highlight w:val="none"/>
                <w:u w:val="none"/>
              </w:rPr>
            </w:pPr>
          </w:p>
        </w:tc>
        <w:tc>
          <w:tcPr>
            <w:tcW w:w="1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300" w:lineRule="exact"/>
              <w:jc w:val="both"/>
              <w:rPr>
                <w:rFonts w:hint="eastAsia" w:ascii="仿宋_GB2312" w:hAnsi="仿宋_GB2312" w:eastAsia="仿宋_GB2312" w:cs="仿宋_GB2312"/>
                <w:i w:val="0"/>
                <w:iCs w:val="0"/>
                <w:color w:val="auto"/>
                <w:sz w:val="20"/>
                <w:szCs w:val="20"/>
                <w:highlight w:val="none"/>
                <w:u w:val="none"/>
              </w:rPr>
            </w:pPr>
          </w:p>
        </w:tc>
        <w:tc>
          <w:tcPr>
            <w:tcW w:w="5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2088" w:type="pct"/>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专业拓展课程学分、学时占比</w:t>
            </w:r>
          </w:p>
        </w:tc>
        <w:tc>
          <w:tcPr>
            <w:tcW w:w="3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pacing w:val="-20"/>
                <w:sz w:val="20"/>
                <w:szCs w:val="20"/>
                <w:highlight w:val="none"/>
                <w:u w:val="none"/>
              </w:rPr>
            </w:pPr>
            <w:r>
              <w:rPr>
                <w:rFonts w:hint="eastAsia" w:ascii="仿宋_GB2312" w:hAnsi="仿宋_GB2312" w:eastAsia="仿宋_GB2312" w:cs="仿宋_GB2312"/>
                <w:i w:val="0"/>
                <w:iCs w:val="0"/>
                <w:color w:val="auto"/>
                <w:spacing w:val="-20"/>
                <w:kern w:val="0"/>
                <w:sz w:val="20"/>
                <w:szCs w:val="20"/>
                <w:highlight w:val="none"/>
                <w:u w:val="none"/>
                <w:lang w:val="en-US" w:eastAsia="zh-CN" w:bidi="ar"/>
              </w:rPr>
              <w:t>5.59%</w:t>
            </w:r>
          </w:p>
        </w:tc>
        <w:tc>
          <w:tcPr>
            <w:tcW w:w="3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pacing w:val="-20"/>
                <w:sz w:val="20"/>
                <w:szCs w:val="20"/>
                <w:highlight w:val="none"/>
                <w:u w:val="none"/>
              </w:rPr>
            </w:pPr>
            <w:r>
              <w:rPr>
                <w:rFonts w:hint="eastAsia" w:ascii="仿宋_GB2312" w:hAnsi="仿宋_GB2312" w:eastAsia="仿宋_GB2312" w:cs="仿宋_GB2312"/>
                <w:i w:val="0"/>
                <w:iCs w:val="0"/>
                <w:color w:val="auto"/>
                <w:spacing w:val="-20"/>
                <w:kern w:val="0"/>
                <w:sz w:val="20"/>
                <w:szCs w:val="20"/>
                <w:highlight w:val="none"/>
                <w:u w:val="none"/>
                <w:lang w:val="en-US" w:eastAsia="zh-CN" w:bidi="ar"/>
              </w:rPr>
              <w:t>5.35%</w:t>
            </w:r>
          </w:p>
        </w:tc>
        <w:tc>
          <w:tcPr>
            <w:tcW w:w="3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pacing w:val="-20"/>
                <w:sz w:val="20"/>
                <w:szCs w:val="20"/>
                <w:highlight w:val="none"/>
                <w:u w:val="none"/>
              </w:rPr>
            </w:pPr>
            <w:r>
              <w:rPr>
                <w:rFonts w:hint="eastAsia" w:ascii="仿宋_GB2312" w:hAnsi="仿宋_GB2312" w:eastAsia="仿宋_GB2312" w:cs="仿宋_GB2312"/>
                <w:i w:val="0"/>
                <w:iCs w:val="0"/>
                <w:color w:val="auto"/>
                <w:spacing w:val="-20"/>
                <w:kern w:val="0"/>
                <w:sz w:val="20"/>
                <w:szCs w:val="20"/>
                <w:highlight w:val="none"/>
                <w:u w:val="none"/>
                <w:lang w:val="en-US" w:eastAsia="zh-CN" w:bidi="ar"/>
              </w:rPr>
              <w:t>2.67%</w:t>
            </w:r>
          </w:p>
        </w:tc>
        <w:tc>
          <w:tcPr>
            <w:tcW w:w="3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pacing w:val="-20"/>
                <w:sz w:val="20"/>
                <w:szCs w:val="20"/>
                <w:highlight w:val="none"/>
                <w:u w:val="none"/>
              </w:rPr>
            </w:pPr>
            <w:r>
              <w:rPr>
                <w:rFonts w:hint="eastAsia" w:ascii="仿宋_GB2312" w:hAnsi="仿宋_GB2312" w:eastAsia="仿宋_GB2312" w:cs="仿宋_GB2312"/>
                <w:i w:val="0"/>
                <w:iCs w:val="0"/>
                <w:color w:val="auto"/>
                <w:spacing w:val="-20"/>
                <w:kern w:val="0"/>
                <w:sz w:val="20"/>
                <w:szCs w:val="20"/>
                <w:highlight w:val="none"/>
                <w:u w:val="none"/>
                <w:lang w:val="en-US" w:eastAsia="zh-CN" w:bidi="ar"/>
              </w:rPr>
              <w:t>2.67%</w:t>
            </w:r>
          </w:p>
        </w:tc>
        <w:tc>
          <w:tcPr>
            <w:tcW w:w="1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300" w:lineRule="exact"/>
              <w:jc w:val="both"/>
              <w:rPr>
                <w:rFonts w:hint="eastAsia" w:ascii="仿宋_GB2312" w:hAnsi="仿宋_GB2312" w:eastAsia="仿宋_GB2312" w:cs="仿宋_GB2312"/>
                <w:i w:val="0"/>
                <w:iCs w:val="0"/>
                <w:color w:val="auto"/>
                <w:sz w:val="20"/>
                <w:szCs w:val="20"/>
                <w:highlight w:val="none"/>
                <w:u w:val="none"/>
              </w:rPr>
            </w:pPr>
          </w:p>
        </w:tc>
        <w:tc>
          <w:tcPr>
            <w:tcW w:w="1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300" w:lineRule="exact"/>
              <w:jc w:val="both"/>
              <w:rPr>
                <w:rFonts w:hint="eastAsia" w:ascii="仿宋_GB2312" w:hAnsi="仿宋_GB2312" w:eastAsia="仿宋_GB2312" w:cs="仿宋_GB2312"/>
                <w:i w:val="0"/>
                <w:iCs w:val="0"/>
                <w:color w:val="auto"/>
                <w:sz w:val="20"/>
                <w:szCs w:val="20"/>
                <w:highlight w:val="none"/>
                <w:u w:val="none"/>
              </w:rPr>
            </w:pPr>
          </w:p>
        </w:tc>
        <w:tc>
          <w:tcPr>
            <w:tcW w:w="1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300" w:lineRule="exact"/>
              <w:jc w:val="both"/>
              <w:rPr>
                <w:rFonts w:hint="eastAsia" w:ascii="仿宋_GB2312" w:hAnsi="仿宋_GB2312" w:eastAsia="仿宋_GB2312" w:cs="仿宋_GB2312"/>
                <w:i w:val="0"/>
                <w:iCs w:val="0"/>
                <w:color w:val="auto"/>
                <w:sz w:val="20"/>
                <w:szCs w:val="20"/>
                <w:highlight w:val="none"/>
                <w:u w:val="none"/>
              </w:rPr>
            </w:pPr>
          </w:p>
        </w:tc>
        <w:tc>
          <w:tcPr>
            <w:tcW w:w="1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300" w:lineRule="exact"/>
              <w:jc w:val="both"/>
              <w:rPr>
                <w:rFonts w:hint="eastAsia" w:ascii="仿宋_GB2312" w:hAnsi="仿宋_GB2312" w:eastAsia="仿宋_GB2312" w:cs="仿宋_GB2312"/>
                <w:i w:val="0"/>
                <w:iCs w:val="0"/>
                <w:color w:val="auto"/>
                <w:sz w:val="20"/>
                <w:szCs w:val="20"/>
                <w:highlight w:val="none"/>
                <w:u w:val="none"/>
              </w:rPr>
            </w:pPr>
          </w:p>
        </w:tc>
        <w:tc>
          <w:tcPr>
            <w:tcW w:w="1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300" w:lineRule="exact"/>
              <w:jc w:val="both"/>
              <w:rPr>
                <w:rFonts w:hint="eastAsia" w:ascii="仿宋_GB2312" w:hAnsi="仿宋_GB2312" w:eastAsia="仿宋_GB2312" w:cs="仿宋_GB2312"/>
                <w:i w:val="0"/>
                <w:iCs w:val="0"/>
                <w:color w:val="auto"/>
                <w:sz w:val="20"/>
                <w:szCs w:val="20"/>
                <w:highlight w:val="none"/>
                <w:u w:val="none"/>
              </w:rPr>
            </w:pPr>
          </w:p>
        </w:tc>
        <w:tc>
          <w:tcPr>
            <w:tcW w:w="1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300" w:lineRule="exact"/>
              <w:jc w:val="both"/>
              <w:rPr>
                <w:rFonts w:hint="eastAsia" w:ascii="仿宋_GB2312" w:hAnsi="仿宋_GB2312" w:eastAsia="仿宋_GB2312" w:cs="仿宋_GB2312"/>
                <w:i w:val="0"/>
                <w:iCs w:val="0"/>
                <w:color w:val="auto"/>
                <w:sz w:val="20"/>
                <w:szCs w:val="20"/>
                <w:highlight w:val="none"/>
                <w:u w:val="none"/>
              </w:rPr>
            </w:pPr>
          </w:p>
        </w:tc>
        <w:tc>
          <w:tcPr>
            <w:tcW w:w="5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2088" w:type="pct"/>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总学分、学时合计</w:t>
            </w:r>
          </w:p>
        </w:tc>
        <w:tc>
          <w:tcPr>
            <w:tcW w:w="3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143</w:t>
            </w:r>
          </w:p>
        </w:tc>
        <w:tc>
          <w:tcPr>
            <w:tcW w:w="3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2694</w:t>
            </w:r>
          </w:p>
        </w:tc>
        <w:tc>
          <w:tcPr>
            <w:tcW w:w="3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1290</w:t>
            </w:r>
          </w:p>
        </w:tc>
        <w:tc>
          <w:tcPr>
            <w:tcW w:w="3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highlight w:val="none"/>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1404</w:t>
            </w:r>
          </w:p>
        </w:tc>
        <w:tc>
          <w:tcPr>
            <w:tcW w:w="1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300" w:lineRule="exact"/>
              <w:jc w:val="both"/>
              <w:rPr>
                <w:rFonts w:hint="eastAsia" w:ascii="仿宋_GB2312" w:hAnsi="仿宋_GB2312" w:eastAsia="仿宋_GB2312" w:cs="仿宋_GB2312"/>
                <w:i w:val="0"/>
                <w:iCs w:val="0"/>
                <w:color w:val="auto"/>
                <w:sz w:val="20"/>
                <w:szCs w:val="20"/>
                <w:highlight w:val="none"/>
                <w:u w:val="none"/>
              </w:rPr>
            </w:pPr>
          </w:p>
        </w:tc>
        <w:tc>
          <w:tcPr>
            <w:tcW w:w="1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300" w:lineRule="exact"/>
              <w:jc w:val="both"/>
              <w:rPr>
                <w:rFonts w:hint="eastAsia" w:ascii="仿宋_GB2312" w:hAnsi="仿宋_GB2312" w:eastAsia="仿宋_GB2312" w:cs="仿宋_GB2312"/>
                <w:i w:val="0"/>
                <w:iCs w:val="0"/>
                <w:color w:val="auto"/>
                <w:sz w:val="20"/>
                <w:szCs w:val="20"/>
                <w:highlight w:val="none"/>
                <w:u w:val="none"/>
              </w:rPr>
            </w:pPr>
          </w:p>
        </w:tc>
        <w:tc>
          <w:tcPr>
            <w:tcW w:w="1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300" w:lineRule="exact"/>
              <w:jc w:val="both"/>
              <w:rPr>
                <w:rFonts w:hint="eastAsia" w:ascii="仿宋_GB2312" w:hAnsi="仿宋_GB2312" w:eastAsia="仿宋_GB2312" w:cs="仿宋_GB2312"/>
                <w:i w:val="0"/>
                <w:iCs w:val="0"/>
                <w:color w:val="auto"/>
                <w:sz w:val="20"/>
                <w:szCs w:val="20"/>
                <w:highlight w:val="none"/>
                <w:u w:val="none"/>
              </w:rPr>
            </w:pPr>
          </w:p>
        </w:tc>
        <w:tc>
          <w:tcPr>
            <w:tcW w:w="1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300" w:lineRule="exact"/>
              <w:jc w:val="both"/>
              <w:rPr>
                <w:rFonts w:hint="eastAsia" w:ascii="仿宋_GB2312" w:hAnsi="仿宋_GB2312" w:eastAsia="仿宋_GB2312" w:cs="仿宋_GB2312"/>
                <w:i w:val="0"/>
                <w:iCs w:val="0"/>
                <w:color w:val="auto"/>
                <w:sz w:val="20"/>
                <w:szCs w:val="20"/>
                <w:highlight w:val="none"/>
                <w:u w:val="none"/>
              </w:rPr>
            </w:pPr>
          </w:p>
        </w:tc>
        <w:tc>
          <w:tcPr>
            <w:tcW w:w="1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300" w:lineRule="exact"/>
              <w:jc w:val="both"/>
              <w:rPr>
                <w:rFonts w:hint="eastAsia" w:ascii="仿宋_GB2312" w:hAnsi="仿宋_GB2312" w:eastAsia="仿宋_GB2312" w:cs="仿宋_GB2312"/>
                <w:i w:val="0"/>
                <w:iCs w:val="0"/>
                <w:color w:val="auto"/>
                <w:sz w:val="20"/>
                <w:szCs w:val="20"/>
                <w:highlight w:val="none"/>
                <w:u w:val="none"/>
              </w:rPr>
            </w:pPr>
          </w:p>
        </w:tc>
        <w:tc>
          <w:tcPr>
            <w:tcW w:w="1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300" w:lineRule="exact"/>
              <w:jc w:val="both"/>
              <w:rPr>
                <w:rFonts w:hint="eastAsia" w:ascii="仿宋_GB2312" w:hAnsi="仿宋_GB2312" w:eastAsia="仿宋_GB2312" w:cs="仿宋_GB2312"/>
                <w:i w:val="0"/>
                <w:iCs w:val="0"/>
                <w:color w:val="auto"/>
                <w:sz w:val="20"/>
                <w:szCs w:val="20"/>
                <w:highlight w:val="none"/>
                <w:u w:val="none"/>
              </w:rPr>
            </w:pPr>
          </w:p>
        </w:tc>
        <w:tc>
          <w:tcPr>
            <w:tcW w:w="5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highlight w:val="none"/>
                <w:u w:val="none"/>
              </w:rPr>
            </w:pPr>
          </w:p>
        </w:tc>
      </w:tr>
    </w:tbl>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default"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九</w:t>
      </w:r>
      <w:r>
        <w:rPr>
          <w:rFonts w:hint="eastAsia" w:ascii="黑体" w:hAnsi="黑体" w:eastAsia="黑体" w:cs="黑体"/>
          <w:color w:val="auto"/>
          <w:sz w:val="32"/>
          <w:szCs w:val="32"/>
          <w:highlight w:val="none"/>
        </w:rPr>
        <w:t>、</w:t>
      </w:r>
      <w:r>
        <w:rPr>
          <w:rFonts w:hint="eastAsia" w:ascii="黑体" w:hAnsi="黑体" w:eastAsia="黑体" w:cs="黑体"/>
          <w:color w:val="auto"/>
          <w:sz w:val="32"/>
          <w:szCs w:val="32"/>
          <w:highlight w:val="none"/>
          <w:lang w:val="en-US" w:eastAsia="zh-CN"/>
        </w:rPr>
        <w:t>师资队伍</w:t>
      </w:r>
    </w:p>
    <w:p>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按照“四有好老师”“四个相统一”“四个引路人”的要求建设专业教师队伍，将师德师风作为教师队伍建设的第一标准。</w:t>
      </w:r>
    </w:p>
    <w:p>
      <w:pPr>
        <w:keepNext w:val="0"/>
        <w:keepLines w:val="0"/>
        <w:pageBreakBefore w:val="0"/>
        <w:widowControl w:val="0"/>
        <w:numPr>
          <w:ilvl w:val="0"/>
          <w:numId w:val="2"/>
        </w:numPr>
        <w:kinsoku/>
        <w:wordWrap/>
        <w:overflowPunct w:val="0"/>
        <w:topLinePunct w:val="0"/>
        <w:autoSpaceDE/>
        <w:autoSpaceDN/>
        <w:bidi w:val="0"/>
        <w:adjustRightInd w:val="0"/>
        <w:snapToGrid/>
        <w:spacing w:after="0" w:line="520" w:lineRule="exact"/>
        <w:ind w:firstLine="640" w:firstLineChars="200"/>
        <w:textAlignment w:val="auto"/>
        <w:rPr>
          <w:rFonts w:hint="default" w:ascii="楷体" w:hAnsi="楷体" w:eastAsia="楷体" w:cs="楷体"/>
          <w:b w:val="0"/>
          <w:bCs w:val="0"/>
          <w:color w:val="auto"/>
          <w:sz w:val="32"/>
          <w:szCs w:val="32"/>
          <w:highlight w:val="none"/>
          <w:lang w:val="en-US" w:eastAsia="zh-CN"/>
        </w:rPr>
      </w:pPr>
      <w:r>
        <w:rPr>
          <w:rFonts w:hint="eastAsia" w:ascii="楷体" w:hAnsi="楷体" w:eastAsia="楷体" w:cs="楷体"/>
          <w:b w:val="0"/>
          <w:bCs w:val="0"/>
          <w:color w:val="auto"/>
          <w:sz w:val="32"/>
          <w:szCs w:val="32"/>
          <w:highlight w:val="none"/>
          <w:lang w:val="en-US" w:eastAsia="zh-CN"/>
        </w:rPr>
        <w:t>队伍结构</w:t>
      </w:r>
    </w:p>
    <w:p>
      <w:pPr>
        <w:keepNext w:val="0"/>
        <w:keepLines w:val="0"/>
        <w:pageBreakBefore w:val="0"/>
        <w:widowControl w:val="0"/>
        <w:numPr>
          <w:ilvl w:val="0"/>
          <w:numId w:val="0"/>
        </w:numPr>
        <w:kinsoku/>
        <w:wordWrap/>
        <w:overflowPunct w:val="0"/>
        <w:topLinePunct w:val="0"/>
        <w:autoSpaceDE/>
        <w:autoSpaceDN/>
        <w:bidi w:val="0"/>
        <w:adjustRightInd w:val="0"/>
        <w:snapToGrid w:val="0"/>
        <w:spacing w:after="0" w:line="520" w:lineRule="exact"/>
        <w:ind w:firstLine="640" w:firstLineChars="200"/>
        <w:textAlignment w:val="auto"/>
        <w:rPr>
          <w:rFonts w:hint="default" w:ascii="楷体" w:hAnsi="楷体" w:eastAsia="楷体" w:cs="楷体"/>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专业教师团队现有专任教师4人，获取职称人数为3人。其中副高及以上职称1人，中级职称1人，初级职称1人。双师型专任教师1人，</w:t>
      </w:r>
      <w:r>
        <w:rPr>
          <w:rFonts w:hint="eastAsia" w:ascii="仿宋_GB2312" w:hAnsi="仿宋_GB2312" w:eastAsia="仿宋_GB2312" w:cs="仿宋_GB2312"/>
          <w:b w:val="0"/>
          <w:bCs w:val="0"/>
          <w:color w:val="auto"/>
          <w:sz w:val="32"/>
          <w:szCs w:val="32"/>
          <w:highlight w:val="none"/>
        </w:rPr>
        <w:t>具有研究生学位教师</w:t>
      </w:r>
      <w:r>
        <w:rPr>
          <w:rFonts w:hint="eastAsia" w:ascii="仿宋_GB2312" w:hAnsi="仿宋_GB2312" w:eastAsia="仿宋_GB2312" w:cs="仿宋_GB2312"/>
          <w:b w:val="0"/>
          <w:bCs w:val="0"/>
          <w:color w:val="auto"/>
          <w:sz w:val="32"/>
          <w:szCs w:val="32"/>
          <w:highlight w:val="none"/>
          <w:lang w:val="en-US" w:eastAsia="zh-CN"/>
        </w:rPr>
        <w:t>1人。</w:t>
      </w:r>
      <w:r>
        <w:rPr>
          <w:rFonts w:hint="eastAsia" w:ascii="仿宋_GB2312" w:hAnsi="仿宋_GB2312" w:eastAsia="仿宋_GB2312" w:cs="仿宋_GB2312"/>
          <w:b w:val="0"/>
          <w:bCs w:val="0"/>
          <w:color w:val="auto"/>
          <w:sz w:val="32"/>
          <w:szCs w:val="32"/>
          <w:highlight w:val="none"/>
          <w:lang w:eastAsia="zh-CN"/>
        </w:rPr>
        <w:t>本专业还会不断完善专任教师的学历结构和职称结构；增强专任教师的实践能力，提高教学效果；积极开展教学和科研经验、成果、动态方面的交流探讨，实现科研与教学之间的良性互动，在科研中进一步提升教师的专业素养和学术水平。</w:t>
      </w:r>
    </w:p>
    <w:p>
      <w:pPr>
        <w:keepNext w:val="0"/>
        <w:keepLines w:val="0"/>
        <w:pageBreakBefore w:val="0"/>
        <w:widowControl w:val="0"/>
        <w:numPr>
          <w:ilvl w:val="0"/>
          <w:numId w:val="2"/>
        </w:numPr>
        <w:kinsoku/>
        <w:wordWrap/>
        <w:overflowPunct w:val="0"/>
        <w:topLinePunct w:val="0"/>
        <w:autoSpaceDE/>
        <w:autoSpaceDN/>
        <w:bidi w:val="0"/>
        <w:adjustRightInd w:val="0"/>
        <w:snapToGrid w:val="0"/>
        <w:spacing w:after="0" w:line="520" w:lineRule="exact"/>
        <w:ind w:left="0" w:leftChars="0" w:firstLine="640" w:firstLineChars="200"/>
        <w:textAlignment w:val="auto"/>
        <w:rPr>
          <w:rFonts w:hint="eastAsia" w:ascii="楷体" w:hAnsi="楷体" w:eastAsia="楷体" w:cs="楷体"/>
          <w:color w:val="auto"/>
          <w:sz w:val="32"/>
          <w:szCs w:val="32"/>
          <w:highlight w:val="none"/>
        </w:rPr>
      </w:pPr>
      <w:r>
        <w:rPr>
          <w:rFonts w:hint="eastAsia" w:ascii="楷体" w:hAnsi="楷体" w:eastAsia="楷体" w:cs="楷体"/>
          <w:color w:val="auto"/>
          <w:sz w:val="32"/>
          <w:szCs w:val="32"/>
          <w:highlight w:val="none"/>
        </w:rPr>
        <w:t>专业带头人</w:t>
      </w:r>
    </w:p>
    <w:p>
      <w:pPr>
        <w:keepNext w:val="0"/>
        <w:keepLines w:val="0"/>
        <w:pageBreakBefore w:val="0"/>
        <w:widowControl w:val="0"/>
        <w:numPr>
          <w:ilvl w:val="0"/>
          <w:numId w:val="0"/>
        </w:numPr>
        <w:kinsoku/>
        <w:wordWrap/>
        <w:overflowPunct w:val="0"/>
        <w:topLinePunct w:val="0"/>
        <w:autoSpaceDE/>
        <w:autoSpaceDN/>
        <w:bidi w:val="0"/>
        <w:adjustRightInd w:val="0"/>
        <w:snapToGrid w:val="0"/>
        <w:spacing w:after="0" w:line="520" w:lineRule="exact"/>
        <w:ind w:firstLine="640" w:firstLineChars="200"/>
        <w:textAlignment w:val="auto"/>
        <w:rPr>
          <w:rFonts w:hint="eastAsia" w:ascii="楷体" w:hAnsi="楷体" w:eastAsia="楷体" w:cs="楷体"/>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专业带头人原则上应具有本专业及相关专业副高及以上职称和较强的实践能力，能够较好地把握国内外经济发展现状，国际经济与贸易专业发展趋势，能广泛联系行业企业，了解行业企业对本专业人才的需求实际，主持专业建设、开展教育教学改革、教科研工作和社会服务能力强，在本专业改革发展中起引领作用。国际经济与贸易专业带头人应立足“四有好老师”标准，以扎实的国际贸易理论功底和跨境电商等前沿实践能力，通过RCEP案例分析等教学创新培养学生国际视野；践行“四个引路人”要求，在数字贸易课程中植入商业伦理教育，组织WTO模拟谈判训练批判思维；落实“四个相统一”，将自贸区政策研究与国家安全教育相结合，实现教书与育人、言传与身教的有机融合，最终培养出适应“双循环”新格局的高素质经贸人才。</w:t>
      </w:r>
      <w:r>
        <w:rPr>
          <w:rFonts w:hint="eastAsia" w:ascii="楷体" w:hAnsi="楷体" w:eastAsia="楷体" w:cs="楷体"/>
          <w:color w:val="auto"/>
          <w:sz w:val="32"/>
          <w:szCs w:val="32"/>
          <w:highlight w:val="none"/>
        </w:rPr>
        <w:br w:type="textWrapping"/>
      </w:r>
      <w:r>
        <w:rPr>
          <w:rFonts w:hint="eastAsia" w:ascii="楷体" w:hAnsi="楷体" w:eastAsia="楷体" w:cs="楷体"/>
          <w:color w:val="auto"/>
          <w:sz w:val="32"/>
          <w:szCs w:val="32"/>
          <w:highlight w:val="none"/>
        </w:rPr>
        <w:t xml:space="preserve">    </w:t>
      </w:r>
      <w:r>
        <w:rPr>
          <w:rFonts w:hint="eastAsia" w:ascii="楷体" w:hAnsi="楷体" w:eastAsia="楷体" w:cs="楷体"/>
          <w:color w:val="auto"/>
          <w:sz w:val="32"/>
          <w:szCs w:val="32"/>
          <w:highlight w:val="none"/>
          <w:lang w:eastAsia="zh-CN"/>
        </w:rPr>
        <w:t>（</w:t>
      </w:r>
      <w:r>
        <w:rPr>
          <w:rFonts w:hint="eastAsia" w:ascii="楷体" w:hAnsi="楷体" w:eastAsia="楷体" w:cs="楷体"/>
          <w:color w:val="auto"/>
          <w:sz w:val="32"/>
          <w:szCs w:val="32"/>
          <w:highlight w:val="none"/>
          <w:lang w:val="en-US" w:eastAsia="zh-CN"/>
        </w:rPr>
        <w:t>三</w:t>
      </w:r>
      <w:r>
        <w:rPr>
          <w:rFonts w:hint="eastAsia" w:ascii="楷体" w:hAnsi="楷体" w:eastAsia="楷体" w:cs="楷体"/>
          <w:color w:val="auto"/>
          <w:sz w:val="32"/>
          <w:szCs w:val="32"/>
          <w:highlight w:val="none"/>
          <w:lang w:eastAsia="zh-CN"/>
        </w:rPr>
        <w:t>）</w:t>
      </w:r>
      <w:r>
        <w:rPr>
          <w:rFonts w:hint="eastAsia" w:ascii="楷体" w:hAnsi="楷体" w:eastAsia="楷体" w:cs="楷体"/>
          <w:color w:val="auto"/>
          <w:sz w:val="32"/>
          <w:szCs w:val="32"/>
          <w:highlight w:val="none"/>
          <w:lang w:val="en-US" w:eastAsia="zh-CN"/>
        </w:rPr>
        <w:t>专任教师</w:t>
      </w:r>
    </w:p>
    <w:p>
      <w:pPr>
        <w:keepNext w:val="0"/>
        <w:keepLines w:val="0"/>
        <w:pageBreakBefore w:val="0"/>
        <w:widowControl w:val="0"/>
        <w:numPr>
          <w:ilvl w:val="0"/>
          <w:numId w:val="0"/>
        </w:numPr>
        <w:kinsoku/>
        <w:wordWrap/>
        <w:overflowPunct w:val="0"/>
        <w:topLinePunct w:val="0"/>
        <w:autoSpaceDE/>
        <w:autoSpaceDN/>
        <w:bidi w:val="0"/>
        <w:adjustRightInd w:val="0"/>
        <w:snapToGrid w:val="0"/>
        <w:spacing w:after="0" w:line="520" w:lineRule="exact"/>
        <w:ind w:firstLine="640" w:firstLineChars="200"/>
        <w:textAlignment w:val="auto"/>
        <w:rPr>
          <w:rFonts w:hint="eastAsia" w:ascii="楷体" w:hAnsi="楷体" w:eastAsia="楷体" w:cs="楷体"/>
          <w:color w:val="auto"/>
          <w:sz w:val="32"/>
          <w:szCs w:val="32"/>
          <w:highlight w:val="none"/>
        </w:rPr>
      </w:pPr>
      <w:r>
        <w:rPr>
          <w:rFonts w:hint="eastAsia" w:ascii="仿宋_GB2312" w:hAnsi="仿宋_GB2312" w:eastAsia="仿宋_GB2312" w:cs="仿宋_GB2312"/>
          <w:b w:val="0"/>
          <w:bCs w:val="0"/>
          <w:color w:val="auto"/>
          <w:sz w:val="32"/>
          <w:szCs w:val="32"/>
          <w:highlight w:val="none"/>
        </w:rPr>
        <w:t>国际经济与贸易专业专任教师应自觉践行</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四有好老师</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标准，以深厚的国际贸易理论素养和跨境电商实务能力，通过</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一带一路</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案例教学培育学生家国情怀；落实</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四个引路人</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要求，开展RCEP规则模拟谈判训练创新思维；坚持</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四个相统一</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 xml:space="preserve">，将自贸区政策研究与贸易安全审查相结合，实现理论教学与实践指导、专业能力与职业素养的协同发展。专任教师应具有高校教师资格；原则上具有国际经济与贸易、国际商务等相关专业本科及以上学历；具有一定年限的相应工作经历或者实践经验，达到相应的技术技能水平；具有本专业理论和实践能力；能够落实课程思政要求，挖掘专业课程中的思政教育元素和资源；能够运用信息技术开展混合式教学等教法改革；能够跟踪新经济、新技术发展前沿，开展技术研发与社会服务；专业教师每年至少1个月在企业或生产性实训基地锻炼，每5年累计不少于6个月的企业实践经历。 </w:t>
      </w:r>
      <w:r>
        <w:rPr>
          <w:rFonts w:hint="eastAsia" w:ascii="楷体" w:hAnsi="楷体" w:eastAsia="楷体" w:cs="楷体"/>
          <w:color w:val="auto"/>
          <w:sz w:val="32"/>
          <w:szCs w:val="32"/>
          <w:highlight w:val="none"/>
        </w:rPr>
        <w:br w:type="textWrapping"/>
      </w:r>
      <w:r>
        <w:rPr>
          <w:rFonts w:hint="eastAsia" w:ascii="楷体" w:hAnsi="楷体" w:eastAsia="楷体" w:cs="楷体"/>
          <w:color w:val="auto"/>
          <w:sz w:val="32"/>
          <w:szCs w:val="32"/>
          <w:highlight w:val="none"/>
        </w:rPr>
        <w:t xml:space="preserve">    </w:t>
      </w:r>
      <w:r>
        <w:rPr>
          <w:rFonts w:hint="eastAsia" w:ascii="楷体" w:hAnsi="楷体" w:eastAsia="楷体" w:cs="楷体"/>
          <w:color w:val="auto"/>
          <w:sz w:val="32"/>
          <w:szCs w:val="32"/>
          <w:highlight w:val="none"/>
          <w:lang w:eastAsia="zh-CN"/>
        </w:rPr>
        <w:t>（</w:t>
      </w:r>
      <w:r>
        <w:rPr>
          <w:rFonts w:hint="eastAsia" w:ascii="楷体" w:hAnsi="楷体" w:eastAsia="楷体" w:cs="楷体"/>
          <w:color w:val="auto"/>
          <w:sz w:val="32"/>
          <w:szCs w:val="32"/>
          <w:highlight w:val="none"/>
          <w:lang w:val="en-US" w:eastAsia="zh-CN"/>
        </w:rPr>
        <w:t>四</w:t>
      </w:r>
      <w:r>
        <w:rPr>
          <w:rFonts w:hint="eastAsia" w:ascii="楷体" w:hAnsi="楷体" w:eastAsia="楷体" w:cs="楷体"/>
          <w:color w:val="auto"/>
          <w:sz w:val="32"/>
          <w:szCs w:val="32"/>
          <w:highlight w:val="none"/>
          <w:lang w:eastAsia="zh-CN"/>
        </w:rPr>
        <w:t>）</w:t>
      </w:r>
      <w:r>
        <w:rPr>
          <w:rFonts w:hint="eastAsia" w:ascii="楷体" w:hAnsi="楷体" w:eastAsia="楷体" w:cs="楷体"/>
          <w:color w:val="auto"/>
          <w:sz w:val="32"/>
          <w:szCs w:val="32"/>
          <w:highlight w:val="none"/>
        </w:rPr>
        <w:t>兼职教师</w:t>
      </w:r>
    </w:p>
    <w:p>
      <w:pPr>
        <w:keepNext w:val="0"/>
        <w:keepLines w:val="0"/>
        <w:pageBreakBefore w:val="0"/>
        <w:widowControl w:val="0"/>
        <w:numPr>
          <w:ilvl w:val="0"/>
          <w:numId w:val="0"/>
        </w:numPr>
        <w:kinsoku/>
        <w:wordWrap/>
        <w:overflowPunct w:val="0"/>
        <w:topLinePunct w:val="0"/>
        <w:autoSpaceDE/>
        <w:autoSpaceDN/>
        <w:bidi w:val="0"/>
        <w:adjustRightInd w:val="0"/>
        <w:snapToGrid w:val="0"/>
        <w:spacing w:after="0" w:line="520" w:lineRule="exact"/>
        <w:ind w:firstLine="640" w:firstLineChars="200"/>
        <w:textAlignment w:val="auto"/>
        <w:rPr>
          <w:rFonts w:hint="eastAsia" w:ascii="楷体" w:hAnsi="楷体" w:eastAsia="楷体" w:cs="楷体"/>
          <w:color w:val="auto"/>
          <w:sz w:val="32"/>
          <w:szCs w:val="32"/>
          <w:highlight w:val="none"/>
        </w:rPr>
      </w:pPr>
      <w:r>
        <w:rPr>
          <w:rFonts w:hint="eastAsia" w:ascii="仿宋_GB2312" w:hAnsi="仿宋_GB2312" w:eastAsia="仿宋_GB2312" w:cs="仿宋_GB2312"/>
          <w:b w:val="0"/>
          <w:bCs w:val="0"/>
          <w:color w:val="auto"/>
          <w:sz w:val="32"/>
          <w:szCs w:val="32"/>
          <w:highlight w:val="none"/>
          <w:lang w:val="en-US" w:eastAsia="zh-CN"/>
        </w:rPr>
        <w:t>主要从本专业相关行业企业的高技能人才中聘任，应具有扎实的专业知识和丰富的实际工作经验，一般应具有中级及以上专业技术职务（职称）或高级工及以上职业技能等级，了7解教育教学规律，能承担专业课程教学、实习实训指导和学生职业发展规划指导等专业教学任务。根据需要聘请技能大师、劳动模范、能工巧匠等高技能人才，根据国家有关要求制定针对兼职教师聘任与管理的具体实施办法。</w:t>
      </w:r>
    </w:p>
    <w:p>
      <w:pPr>
        <w:keepNext w:val="0"/>
        <w:keepLines w:val="0"/>
        <w:pageBreakBefore w:val="0"/>
        <w:widowControl w:val="0"/>
        <w:kinsoku/>
        <w:wordWrap/>
        <w:overflowPunct w:val="0"/>
        <w:topLinePunct w:val="0"/>
        <w:autoSpaceDE/>
        <w:autoSpaceDN/>
        <w:bidi w:val="0"/>
        <w:adjustRightInd w:val="0"/>
        <w:snapToGrid w:val="0"/>
        <w:spacing w:after="0" w:line="520" w:lineRule="exact"/>
        <w:ind w:firstLine="640" w:firstLineChars="200"/>
        <w:textAlignment w:val="auto"/>
        <w:outlineLvl w:val="0"/>
        <w:rPr>
          <w:rFonts w:hint="eastAsia" w:ascii="楷体" w:hAnsi="楷体" w:eastAsia="楷体" w:cs="楷体"/>
          <w:color w:val="auto"/>
          <w:sz w:val="32"/>
          <w:szCs w:val="32"/>
          <w:highlight w:val="none"/>
        </w:rPr>
      </w:pPr>
      <w:r>
        <w:rPr>
          <w:rFonts w:hint="eastAsia" w:ascii="黑体" w:hAnsi="黑体" w:eastAsia="黑体" w:cs="黑体"/>
          <w:color w:val="auto"/>
          <w:sz w:val="32"/>
          <w:szCs w:val="32"/>
          <w:highlight w:val="none"/>
          <w:lang w:val="en-US" w:eastAsia="zh-CN"/>
        </w:rPr>
        <w:t>十、教学条件</w:t>
      </w:r>
    </w:p>
    <w:p>
      <w:pPr>
        <w:keepNext w:val="0"/>
        <w:keepLines w:val="0"/>
        <w:pageBreakBefore w:val="0"/>
        <w:widowControl w:val="0"/>
        <w:kinsoku/>
        <w:wordWrap/>
        <w:overflowPunct w:val="0"/>
        <w:topLinePunct w:val="0"/>
        <w:autoSpaceDE/>
        <w:autoSpaceDN/>
        <w:bidi w:val="0"/>
        <w:adjustRightInd w:val="0"/>
        <w:snapToGrid w:val="0"/>
        <w:spacing w:after="0" w:line="520" w:lineRule="exact"/>
        <w:ind w:firstLine="640" w:firstLineChars="200"/>
        <w:textAlignment w:val="auto"/>
        <w:rPr>
          <w:rFonts w:hint="eastAsia" w:ascii="楷体" w:hAnsi="楷体" w:eastAsia="楷体" w:cs="楷体"/>
          <w:color w:val="auto"/>
          <w:sz w:val="32"/>
          <w:szCs w:val="32"/>
          <w:highlight w:val="none"/>
        </w:rPr>
      </w:pPr>
      <w:r>
        <w:rPr>
          <w:rFonts w:hint="eastAsia" w:ascii="楷体" w:hAnsi="楷体" w:eastAsia="楷体" w:cs="楷体"/>
          <w:color w:val="auto"/>
          <w:sz w:val="32"/>
          <w:szCs w:val="32"/>
          <w:highlight w:val="none"/>
        </w:rPr>
        <w:t>（</w:t>
      </w:r>
      <w:r>
        <w:rPr>
          <w:rFonts w:hint="eastAsia" w:ascii="楷体" w:hAnsi="楷体" w:eastAsia="楷体" w:cs="楷体"/>
          <w:color w:val="auto"/>
          <w:sz w:val="32"/>
          <w:szCs w:val="32"/>
          <w:highlight w:val="none"/>
          <w:lang w:val="en-US" w:eastAsia="zh-CN"/>
        </w:rPr>
        <w:t>一</w:t>
      </w:r>
      <w:r>
        <w:rPr>
          <w:rFonts w:hint="eastAsia" w:ascii="楷体" w:hAnsi="楷体" w:eastAsia="楷体" w:cs="楷体"/>
          <w:color w:val="auto"/>
          <w:sz w:val="32"/>
          <w:szCs w:val="32"/>
          <w:highlight w:val="none"/>
        </w:rPr>
        <w:t>）教学设施</w:t>
      </w:r>
    </w:p>
    <w:p>
      <w:pPr>
        <w:keepNext w:val="0"/>
        <w:keepLines w:val="0"/>
        <w:pageBreakBefore w:val="0"/>
        <w:widowControl w:val="0"/>
        <w:kinsoku/>
        <w:wordWrap/>
        <w:overflowPunct w:val="0"/>
        <w:topLinePunct w:val="0"/>
        <w:autoSpaceDE/>
        <w:autoSpaceDN/>
        <w:bidi w:val="0"/>
        <w:adjustRightInd w:val="0"/>
        <w:snapToGrid w:val="0"/>
        <w:spacing w:after="0" w:line="52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教学设施主要包括能够满足正常的课程教学、实习实训所需的专业教室、校内实训室和校外实训基地等。</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1.专业教室要求</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学校为该专业配备公共教室（配备有多媒体设施）、多媒体教室等，满足理论教学要求。</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sz w:val="32"/>
          <w:szCs w:val="32"/>
          <w:highlight w:val="none"/>
        </w:rPr>
        <w:t>配有黑板、多媒体计算机、投影设备、音响设备，安装应急照明装置并保持良好状态，符合紧急疏散要求，标志明显，逃生通道畅通无阻。</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2.校内实训资源</w:t>
      </w:r>
    </w:p>
    <w:p>
      <w:pPr>
        <w:keepNext w:val="0"/>
        <w:keepLines w:val="0"/>
        <w:pageBreakBefore w:val="0"/>
        <w:widowControl w:val="0"/>
        <w:kinsoku/>
        <w:wordWrap/>
        <w:overflowPunct w:val="0"/>
        <w:topLinePunct w:val="0"/>
        <w:autoSpaceDE/>
        <w:autoSpaceDN/>
        <w:bidi w:val="0"/>
        <w:adjustRightInd w:val="0"/>
        <w:snapToGrid/>
        <w:spacing w:after="0" w:line="520" w:lineRule="exact"/>
        <w:jc w:val="center"/>
        <w:textAlignment w:val="auto"/>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sz w:val="32"/>
          <w:szCs w:val="32"/>
          <w:highlight w:val="none"/>
        </w:rPr>
        <w:t>表1</w:t>
      </w:r>
      <w:r>
        <w:rPr>
          <w:rFonts w:hint="eastAsia" w:ascii="仿宋_GB2312" w:hAnsi="仿宋_GB2312" w:eastAsia="仿宋_GB2312" w:cs="仿宋_GB2312"/>
          <w:color w:val="auto"/>
          <w:sz w:val="32"/>
          <w:szCs w:val="32"/>
          <w:highlight w:val="none"/>
          <w:lang w:val="en-US" w:eastAsia="zh-CN"/>
        </w:rPr>
        <w:t>1</w:t>
      </w:r>
      <w:r>
        <w:rPr>
          <w:rFonts w:hint="eastAsia" w:ascii="仿宋_GB2312" w:hAnsi="仿宋_GB2312" w:eastAsia="仿宋_GB2312" w:cs="仿宋_GB2312"/>
          <w:color w:val="auto"/>
          <w:sz w:val="32"/>
          <w:szCs w:val="32"/>
          <w:highlight w:val="none"/>
        </w:rPr>
        <w:t xml:space="preserve"> </w:t>
      </w:r>
      <w:r>
        <w:rPr>
          <w:rFonts w:hint="eastAsia" w:ascii="仿宋_GB2312" w:hAnsi="仿宋_GB2312" w:eastAsia="仿宋_GB2312" w:cs="仿宋_GB2312"/>
          <w:color w:val="auto"/>
          <w:kern w:val="0"/>
          <w:sz w:val="32"/>
          <w:szCs w:val="32"/>
          <w:highlight w:val="none"/>
        </w:rPr>
        <w:t>校内实训资源列表</w:t>
      </w:r>
    </w:p>
    <w:tbl>
      <w:tblPr>
        <w:tblStyle w:val="8"/>
        <w:tblW w:w="103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18"/>
        <w:gridCol w:w="1230"/>
        <w:gridCol w:w="1915"/>
        <w:gridCol w:w="4330"/>
        <w:gridCol w:w="1570"/>
        <w:gridCol w:w="7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4" w:hRule="atLeast"/>
          <w:jc w:val="center"/>
        </w:trPr>
        <w:tc>
          <w:tcPr>
            <w:tcW w:w="518"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仿宋_GB2312" w:hAnsi="仿宋_GB2312" w:eastAsia="仿宋_GB2312" w:cs="仿宋_GB2312"/>
                <w:b w:val="0"/>
                <w:bCs w:val="0"/>
                <w:color w:val="auto"/>
                <w:sz w:val="24"/>
                <w:szCs w:val="24"/>
                <w:highlight w:val="none"/>
                <w:vertAlign w:val="baseline"/>
                <w:lang w:eastAsia="zh-CN"/>
              </w:rPr>
            </w:pPr>
            <w:r>
              <w:rPr>
                <w:rFonts w:hint="eastAsia" w:ascii="仿宋_GB2312" w:hAnsi="仿宋_GB2312" w:eastAsia="仿宋_GB2312" w:cs="仿宋_GB2312"/>
                <w:b w:val="0"/>
                <w:bCs w:val="0"/>
                <w:color w:val="auto"/>
                <w:sz w:val="24"/>
                <w:szCs w:val="24"/>
                <w:highlight w:val="none"/>
                <w:vertAlign w:val="baseline"/>
                <w:lang w:eastAsia="zh-CN"/>
              </w:rPr>
              <w:t>序号</w:t>
            </w:r>
          </w:p>
        </w:tc>
        <w:tc>
          <w:tcPr>
            <w:tcW w:w="1230"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仿宋_GB2312" w:hAnsi="仿宋_GB2312" w:eastAsia="仿宋_GB2312" w:cs="仿宋_GB2312"/>
                <w:b w:val="0"/>
                <w:bCs w:val="0"/>
                <w:color w:val="auto"/>
                <w:sz w:val="24"/>
                <w:szCs w:val="24"/>
                <w:highlight w:val="none"/>
                <w:vertAlign w:val="baseline"/>
                <w:lang w:eastAsia="zh-CN"/>
              </w:rPr>
            </w:pPr>
            <w:r>
              <w:rPr>
                <w:rFonts w:hint="eastAsia" w:ascii="仿宋_GB2312" w:hAnsi="仿宋_GB2312" w:eastAsia="仿宋_GB2312" w:cs="仿宋_GB2312"/>
                <w:b w:val="0"/>
                <w:bCs w:val="0"/>
                <w:color w:val="auto"/>
                <w:sz w:val="24"/>
                <w:szCs w:val="24"/>
                <w:highlight w:val="none"/>
                <w:vertAlign w:val="baseline"/>
                <w:lang w:eastAsia="zh-CN"/>
              </w:rPr>
              <w:t>实验实训室名称</w:t>
            </w:r>
          </w:p>
        </w:tc>
        <w:tc>
          <w:tcPr>
            <w:tcW w:w="1915"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仿宋_GB2312" w:hAnsi="仿宋_GB2312" w:eastAsia="仿宋_GB2312" w:cs="仿宋_GB2312"/>
                <w:b w:val="0"/>
                <w:bCs w:val="0"/>
                <w:color w:val="auto"/>
                <w:sz w:val="24"/>
                <w:szCs w:val="24"/>
                <w:highlight w:val="none"/>
                <w:vertAlign w:val="baseline"/>
                <w:lang w:eastAsia="zh-CN"/>
              </w:rPr>
            </w:pPr>
            <w:r>
              <w:rPr>
                <w:rFonts w:hint="eastAsia" w:ascii="仿宋_GB2312" w:hAnsi="仿宋_GB2312" w:eastAsia="仿宋_GB2312" w:cs="仿宋_GB2312"/>
                <w:b w:val="0"/>
                <w:bCs w:val="0"/>
                <w:color w:val="auto"/>
                <w:sz w:val="24"/>
                <w:szCs w:val="24"/>
                <w:highlight w:val="none"/>
                <w:vertAlign w:val="baseline"/>
                <w:lang w:eastAsia="zh-CN"/>
              </w:rPr>
              <w:t>实训适用课程</w:t>
            </w:r>
          </w:p>
        </w:tc>
        <w:tc>
          <w:tcPr>
            <w:tcW w:w="4330"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仿宋_GB2312" w:hAnsi="仿宋_GB2312" w:eastAsia="仿宋_GB2312" w:cs="仿宋_GB2312"/>
                <w:b w:val="0"/>
                <w:bCs w:val="0"/>
                <w:color w:val="auto"/>
                <w:sz w:val="24"/>
                <w:szCs w:val="24"/>
                <w:highlight w:val="none"/>
                <w:vertAlign w:val="baseline"/>
                <w:lang w:eastAsia="zh-CN"/>
              </w:rPr>
            </w:pPr>
            <w:r>
              <w:rPr>
                <w:rFonts w:hint="eastAsia" w:ascii="仿宋_GB2312" w:hAnsi="仿宋_GB2312" w:eastAsia="仿宋_GB2312" w:cs="仿宋_GB2312"/>
                <w:b w:val="0"/>
                <w:bCs w:val="0"/>
                <w:color w:val="auto"/>
                <w:sz w:val="24"/>
                <w:szCs w:val="24"/>
                <w:highlight w:val="none"/>
                <w:vertAlign w:val="baseline"/>
                <w:lang w:eastAsia="zh-CN"/>
              </w:rPr>
              <w:t>实训项目</w:t>
            </w:r>
          </w:p>
        </w:tc>
        <w:tc>
          <w:tcPr>
            <w:tcW w:w="1570"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仿宋_GB2312" w:hAnsi="仿宋_GB2312" w:eastAsia="仿宋_GB2312" w:cs="仿宋_GB2312"/>
                <w:b w:val="0"/>
                <w:bCs w:val="0"/>
                <w:color w:val="auto"/>
                <w:sz w:val="24"/>
                <w:szCs w:val="24"/>
                <w:highlight w:val="none"/>
                <w:vertAlign w:val="baseline"/>
              </w:rPr>
            </w:pPr>
            <w:r>
              <w:rPr>
                <w:rFonts w:hint="eastAsia" w:ascii="仿宋_GB2312" w:hAnsi="仿宋_GB2312" w:eastAsia="仿宋_GB2312" w:cs="仿宋_GB2312"/>
                <w:b w:val="0"/>
                <w:bCs w:val="0"/>
                <w:color w:val="auto"/>
                <w:sz w:val="24"/>
                <w:szCs w:val="24"/>
                <w:highlight w:val="none"/>
                <w:vertAlign w:val="baseline"/>
              </w:rPr>
              <w:t>主</w:t>
            </w:r>
            <w:r>
              <w:rPr>
                <w:rFonts w:hint="eastAsia" w:ascii="仿宋_GB2312" w:hAnsi="仿宋_GB2312" w:eastAsia="仿宋_GB2312" w:cs="仿宋_GB2312"/>
                <w:b w:val="0"/>
                <w:bCs w:val="0"/>
                <w:color w:val="auto"/>
                <w:sz w:val="24"/>
                <w:szCs w:val="24"/>
                <w:highlight w:val="none"/>
                <w:vertAlign w:val="baseline"/>
                <w:lang w:eastAsia="zh-CN"/>
              </w:rPr>
              <w:t>要设备名称及配置数量</w:t>
            </w:r>
          </w:p>
        </w:tc>
        <w:tc>
          <w:tcPr>
            <w:tcW w:w="737"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仿宋_GB2312" w:hAnsi="仿宋_GB2312" w:eastAsia="仿宋_GB2312" w:cs="仿宋_GB2312"/>
                <w:b w:val="0"/>
                <w:bCs w:val="0"/>
                <w:color w:val="auto"/>
                <w:sz w:val="24"/>
                <w:szCs w:val="24"/>
                <w:highlight w:val="none"/>
                <w:vertAlign w:val="baseline"/>
                <w:lang w:eastAsia="zh-CN"/>
              </w:rPr>
            </w:pPr>
            <w:r>
              <w:rPr>
                <w:rFonts w:hint="eastAsia" w:ascii="仿宋_GB2312" w:hAnsi="仿宋_GB2312" w:eastAsia="仿宋_GB2312" w:cs="仿宋_GB2312"/>
                <w:b w:val="0"/>
                <w:bCs w:val="0"/>
                <w:color w:val="auto"/>
                <w:sz w:val="24"/>
                <w:szCs w:val="24"/>
                <w:highlight w:val="none"/>
                <w:vertAlign w:val="baseline"/>
                <w:lang w:eastAsia="zh-CN"/>
              </w:rPr>
              <w:t>工位数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18" w:type="dxa"/>
            <w:noWrap w:val="0"/>
            <w:vAlign w:val="top"/>
          </w:tcPr>
          <w:p>
            <w:pPr>
              <w:keepNext w:val="0"/>
              <w:keepLines w:val="0"/>
              <w:pageBreakBefore w:val="0"/>
              <w:widowControl w:val="0"/>
              <w:kinsoku/>
              <w:wordWrap/>
              <w:topLinePunct w:val="0"/>
              <w:autoSpaceDE/>
              <w:autoSpaceDN/>
              <w:bidi w:val="0"/>
              <w:snapToGrid/>
              <w:spacing w:line="320" w:lineRule="exact"/>
              <w:jc w:val="center"/>
              <w:textAlignment w:val="auto"/>
              <w:rPr>
                <w:rFonts w:hint="eastAsia" w:ascii="仿宋_GB2312" w:hAnsi="仿宋_GB2312" w:eastAsia="仿宋_GB2312" w:cs="仿宋_GB2312"/>
                <w:color w:val="auto"/>
                <w:sz w:val="24"/>
                <w:szCs w:val="24"/>
                <w:highlight w:val="none"/>
              </w:rPr>
            </w:pPr>
          </w:p>
          <w:p>
            <w:pPr>
              <w:keepNext w:val="0"/>
              <w:keepLines w:val="0"/>
              <w:pageBreakBefore w:val="0"/>
              <w:widowControl w:val="0"/>
              <w:kinsoku/>
              <w:wordWrap/>
              <w:topLinePunct w:val="0"/>
              <w:autoSpaceDE/>
              <w:autoSpaceDN/>
              <w:bidi w:val="0"/>
              <w:snapToGrid/>
              <w:spacing w:line="320" w:lineRule="exact"/>
              <w:jc w:val="center"/>
              <w:textAlignment w:val="auto"/>
              <w:rPr>
                <w:rFonts w:hint="eastAsia" w:ascii="仿宋_GB2312" w:hAnsi="仿宋_GB2312" w:eastAsia="仿宋_GB2312" w:cs="仿宋_GB2312"/>
                <w:color w:val="auto"/>
                <w:sz w:val="24"/>
                <w:szCs w:val="24"/>
                <w:highlight w:val="none"/>
              </w:rPr>
            </w:pPr>
          </w:p>
          <w:p>
            <w:pPr>
              <w:keepNext w:val="0"/>
              <w:keepLines w:val="0"/>
              <w:pageBreakBefore w:val="0"/>
              <w:widowControl w:val="0"/>
              <w:kinsoku/>
              <w:wordWrap/>
              <w:topLinePunct w:val="0"/>
              <w:autoSpaceDE/>
              <w:autoSpaceDN/>
              <w:bidi w:val="0"/>
              <w:snapToGrid/>
              <w:spacing w:line="320" w:lineRule="exact"/>
              <w:jc w:val="center"/>
              <w:textAlignment w:val="auto"/>
              <w:rPr>
                <w:rFonts w:hint="eastAsia" w:ascii="仿宋_GB2312" w:hAnsi="仿宋_GB2312" w:eastAsia="仿宋_GB2312" w:cs="仿宋_GB2312"/>
                <w:color w:val="auto"/>
                <w:sz w:val="24"/>
                <w:szCs w:val="24"/>
                <w:highlight w:val="none"/>
              </w:rPr>
            </w:pPr>
          </w:p>
          <w:p>
            <w:pPr>
              <w:keepNext w:val="0"/>
              <w:keepLines w:val="0"/>
              <w:pageBreakBefore w:val="0"/>
              <w:widowControl w:val="0"/>
              <w:kinsoku/>
              <w:wordWrap/>
              <w:topLinePunct w:val="0"/>
              <w:autoSpaceDE/>
              <w:autoSpaceDN/>
              <w:bidi w:val="0"/>
              <w:snapToGrid/>
              <w:spacing w:line="320" w:lineRule="exact"/>
              <w:jc w:val="center"/>
              <w:textAlignment w:val="auto"/>
              <w:rPr>
                <w:rFonts w:hint="eastAsia" w:ascii="仿宋_GB2312" w:hAnsi="仿宋_GB2312" w:eastAsia="仿宋_GB2312" w:cs="仿宋_GB2312"/>
                <w:b w:val="0"/>
                <w:bCs w:val="0"/>
                <w:color w:val="auto"/>
                <w:sz w:val="24"/>
                <w:szCs w:val="24"/>
                <w:highlight w:val="none"/>
                <w:vertAlign w:val="baseline"/>
              </w:rPr>
            </w:pPr>
            <w:r>
              <w:rPr>
                <w:rFonts w:hint="eastAsia" w:ascii="仿宋_GB2312" w:hAnsi="仿宋_GB2312" w:eastAsia="仿宋_GB2312" w:cs="仿宋_GB2312"/>
                <w:color w:val="auto"/>
                <w:sz w:val="24"/>
                <w:szCs w:val="24"/>
                <w:highlight w:val="none"/>
              </w:rPr>
              <w:t>1</w:t>
            </w:r>
          </w:p>
        </w:tc>
        <w:tc>
          <w:tcPr>
            <w:tcW w:w="1230" w:type="dxa"/>
            <w:noWrap w:val="0"/>
            <w:vAlign w:val="center"/>
          </w:tcPr>
          <w:p>
            <w:pPr>
              <w:keepNext w:val="0"/>
              <w:keepLines w:val="0"/>
              <w:pageBreakBefore w:val="0"/>
              <w:widowControl w:val="0"/>
              <w:kinsoku/>
              <w:wordWrap/>
              <w:topLinePunct w:val="0"/>
              <w:autoSpaceDE/>
              <w:autoSpaceDN/>
              <w:bidi w:val="0"/>
              <w:snapToGrid/>
              <w:spacing w:line="320" w:lineRule="exact"/>
              <w:jc w:val="center"/>
              <w:textAlignment w:val="auto"/>
              <w:rPr>
                <w:rFonts w:hint="eastAsia" w:ascii="仿宋_GB2312" w:hAnsi="仿宋_GB2312" w:eastAsia="仿宋_GB2312" w:cs="仿宋_GB2312"/>
                <w:b w:val="0"/>
                <w:bCs w:val="0"/>
                <w:color w:val="auto"/>
                <w:sz w:val="24"/>
                <w:szCs w:val="24"/>
                <w:highlight w:val="none"/>
                <w:vertAlign w:val="baseline"/>
              </w:rPr>
            </w:pPr>
            <w:r>
              <w:rPr>
                <w:rFonts w:hint="eastAsia" w:ascii="仿宋_GB2312" w:hAnsi="仿宋_GB2312" w:eastAsia="仿宋_GB2312" w:cs="仿宋_GB2312"/>
                <w:color w:val="auto"/>
                <w:sz w:val="24"/>
                <w:szCs w:val="24"/>
                <w:highlight w:val="none"/>
              </w:rPr>
              <w:t>市场营销，国际经济与贸易模拟实训室</w:t>
            </w:r>
          </w:p>
        </w:tc>
        <w:tc>
          <w:tcPr>
            <w:tcW w:w="1915"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仿宋_GB2312" w:hAnsi="仿宋_GB2312" w:eastAsia="仿宋_GB2312" w:cs="仿宋_GB2312"/>
                <w:b w:val="0"/>
                <w:bCs w:val="0"/>
                <w:color w:val="auto"/>
                <w:sz w:val="24"/>
                <w:szCs w:val="24"/>
                <w:highlight w:val="none"/>
                <w:vertAlign w:val="baseline"/>
                <w:lang w:val="en-US"/>
              </w:rPr>
            </w:pPr>
            <w:r>
              <w:rPr>
                <w:rFonts w:hint="eastAsia" w:ascii="仿宋_GB2312" w:hAnsi="仿宋_GB2312" w:eastAsia="仿宋_GB2312" w:cs="仿宋_GB2312"/>
                <w:b w:val="0"/>
                <w:bCs w:val="0"/>
                <w:i w:val="0"/>
                <w:iCs w:val="0"/>
                <w:color w:val="auto"/>
                <w:kern w:val="0"/>
                <w:sz w:val="24"/>
                <w:szCs w:val="24"/>
                <w:highlight w:val="none"/>
                <w:u w:val="none"/>
                <w:lang w:val="en-US" w:eastAsia="zh-CN" w:bidi="ar"/>
              </w:rPr>
              <w:t>进出口业务操作、外贸单证操作、跨境电商B2B运营</w:t>
            </w:r>
          </w:p>
        </w:tc>
        <w:tc>
          <w:tcPr>
            <w:tcW w:w="4330" w:type="dxa"/>
            <w:noWrap w:val="0"/>
            <w:vAlign w:val="top"/>
          </w:tcPr>
          <w:p>
            <w:pPr>
              <w:keepNext w:val="0"/>
              <w:keepLines w:val="0"/>
              <w:pageBreakBefore w:val="0"/>
              <w:widowControl w:val="0"/>
              <w:kinsoku/>
              <w:wordWrap/>
              <w:topLinePunct w:val="0"/>
              <w:autoSpaceDE/>
              <w:autoSpaceDN/>
              <w:bidi w:val="0"/>
              <w:snapToGrid/>
              <w:spacing w:line="320" w:lineRule="exact"/>
              <w:jc w:val="left"/>
              <w:textAlignment w:val="auto"/>
              <w:rPr>
                <w:rFonts w:hint="eastAsia" w:ascii="仿宋_GB2312" w:hAnsi="仿宋_GB2312" w:eastAsia="仿宋_GB2312" w:cs="仿宋_GB2312"/>
                <w:b w:val="0"/>
                <w:bCs w:val="0"/>
                <w:color w:val="auto"/>
                <w:sz w:val="24"/>
                <w:szCs w:val="24"/>
                <w:highlight w:val="none"/>
                <w:vertAlign w:val="baseline"/>
              </w:rPr>
            </w:pPr>
            <w:r>
              <w:rPr>
                <w:rFonts w:hint="eastAsia" w:ascii="仿宋_GB2312" w:hAnsi="仿宋_GB2312" w:eastAsia="仿宋_GB2312" w:cs="仿宋_GB2312"/>
                <w:color w:val="auto"/>
                <w:sz w:val="24"/>
                <w:szCs w:val="24"/>
                <w:highlight w:val="none"/>
              </w:rPr>
              <w:t>淘宝店铺操作</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网页设计</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电子交易</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网络营销</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电子商务信函写作</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H.S.编码归类</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7.海关关税税则</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报关相关单证缮制</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征税</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外贸合同发票</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信用证票据</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运输保险</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报关、报检、产地证</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单证认知缮制</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结算工具</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结算方式</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报盘、询盘、还盘</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商业合同。</w:t>
            </w:r>
          </w:p>
        </w:tc>
        <w:tc>
          <w:tcPr>
            <w:tcW w:w="1570" w:type="dxa"/>
            <w:shd w:val="clear" w:color="auto" w:fill="auto"/>
            <w:noWrap w:val="0"/>
            <w:vAlign w:val="center"/>
          </w:tcPr>
          <w:p>
            <w:pPr>
              <w:keepNext w:val="0"/>
              <w:keepLines w:val="0"/>
              <w:pageBreakBefore w:val="0"/>
              <w:widowControl w:val="0"/>
              <w:kinsoku/>
              <w:wordWrap/>
              <w:topLinePunct w:val="0"/>
              <w:autoSpaceDE/>
              <w:autoSpaceDN/>
              <w:bidi w:val="0"/>
              <w:snapToGrid/>
              <w:spacing w:line="320" w:lineRule="exact"/>
              <w:jc w:val="center"/>
              <w:textAlignment w:val="auto"/>
              <w:rPr>
                <w:rFonts w:hint="eastAsia" w:ascii="仿宋_GB2312" w:hAnsi="仿宋_GB2312" w:eastAsia="仿宋_GB2312" w:cs="仿宋_GB2312"/>
                <w:color w:val="auto"/>
                <w:sz w:val="24"/>
                <w:szCs w:val="24"/>
                <w:highlight w:val="none"/>
              </w:rPr>
            </w:pPr>
          </w:p>
          <w:p>
            <w:pPr>
              <w:keepNext w:val="0"/>
              <w:keepLines w:val="0"/>
              <w:pageBreakBefore w:val="0"/>
              <w:widowControl w:val="0"/>
              <w:kinsoku/>
              <w:wordWrap/>
              <w:topLinePunct w:val="0"/>
              <w:autoSpaceDE/>
              <w:autoSpaceDN/>
              <w:bidi w:val="0"/>
              <w:snapToGrid/>
              <w:spacing w:line="320" w:lineRule="exact"/>
              <w:jc w:val="center"/>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电脑</w:t>
            </w:r>
            <w:r>
              <w:rPr>
                <w:rFonts w:hint="eastAsia" w:ascii="仿宋_GB2312" w:hAnsi="仿宋_GB2312" w:eastAsia="仿宋_GB2312" w:cs="仿宋_GB2312"/>
                <w:b w:val="0"/>
                <w:bCs w:val="0"/>
                <w:color w:val="auto"/>
                <w:sz w:val="24"/>
                <w:szCs w:val="24"/>
                <w:highlight w:val="none"/>
                <w:vertAlign w:val="baseline"/>
                <w:lang w:val="en-US" w:eastAsia="zh-CN"/>
              </w:rPr>
              <w:t>60台</w:t>
            </w:r>
          </w:p>
        </w:tc>
        <w:tc>
          <w:tcPr>
            <w:tcW w:w="737" w:type="dxa"/>
            <w:shd w:val="clear" w:color="auto" w:fill="auto"/>
            <w:noWrap w:val="0"/>
            <w:vAlign w:val="center"/>
          </w:tcPr>
          <w:p>
            <w:pPr>
              <w:keepNext w:val="0"/>
              <w:keepLines w:val="0"/>
              <w:pageBreakBefore w:val="0"/>
              <w:widowControl w:val="0"/>
              <w:kinsoku/>
              <w:wordWrap/>
              <w:topLinePunct w:val="0"/>
              <w:autoSpaceDE/>
              <w:autoSpaceDN/>
              <w:bidi w:val="0"/>
              <w:snapToGrid/>
              <w:spacing w:line="320" w:lineRule="exact"/>
              <w:jc w:val="center"/>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18" w:type="dxa"/>
            <w:noWrap w:val="0"/>
            <w:vAlign w:val="top"/>
          </w:tcPr>
          <w:p>
            <w:pPr>
              <w:keepNext w:val="0"/>
              <w:keepLines w:val="0"/>
              <w:pageBreakBefore w:val="0"/>
              <w:widowControl w:val="0"/>
              <w:kinsoku/>
              <w:wordWrap/>
              <w:topLinePunct w:val="0"/>
              <w:autoSpaceDE/>
              <w:autoSpaceDN/>
              <w:bidi w:val="0"/>
              <w:snapToGrid/>
              <w:spacing w:line="320" w:lineRule="exact"/>
              <w:jc w:val="center"/>
              <w:textAlignment w:val="auto"/>
              <w:rPr>
                <w:rFonts w:hint="eastAsia" w:ascii="仿宋_GB2312" w:hAnsi="仿宋_GB2312" w:eastAsia="仿宋_GB2312" w:cs="仿宋_GB2312"/>
                <w:color w:val="auto"/>
                <w:sz w:val="24"/>
                <w:szCs w:val="24"/>
                <w:highlight w:val="none"/>
              </w:rPr>
            </w:pPr>
          </w:p>
          <w:p>
            <w:pPr>
              <w:keepNext w:val="0"/>
              <w:keepLines w:val="0"/>
              <w:pageBreakBefore w:val="0"/>
              <w:widowControl w:val="0"/>
              <w:kinsoku/>
              <w:wordWrap/>
              <w:topLinePunct w:val="0"/>
              <w:autoSpaceDE/>
              <w:autoSpaceDN/>
              <w:bidi w:val="0"/>
              <w:snapToGrid/>
              <w:spacing w:line="320" w:lineRule="exact"/>
              <w:jc w:val="center"/>
              <w:textAlignment w:val="auto"/>
              <w:rPr>
                <w:rFonts w:hint="eastAsia" w:ascii="仿宋_GB2312" w:hAnsi="仿宋_GB2312" w:eastAsia="仿宋_GB2312" w:cs="仿宋_GB2312"/>
                <w:b w:val="0"/>
                <w:bCs w:val="0"/>
                <w:color w:val="auto"/>
                <w:sz w:val="24"/>
                <w:szCs w:val="24"/>
                <w:highlight w:val="none"/>
                <w:vertAlign w:val="baseline"/>
              </w:rPr>
            </w:pPr>
            <w:r>
              <w:rPr>
                <w:rFonts w:hint="eastAsia" w:ascii="仿宋_GB2312" w:hAnsi="仿宋_GB2312" w:eastAsia="仿宋_GB2312" w:cs="仿宋_GB2312"/>
                <w:color w:val="auto"/>
                <w:sz w:val="24"/>
                <w:szCs w:val="24"/>
                <w:highlight w:val="none"/>
              </w:rPr>
              <w:t>2</w:t>
            </w:r>
          </w:p>
        </w:tc>
        <w:tc>
          <w:tcPr>
            <w:tcW w:w="1230" w:type="dxa"/>
            <w:noWrap w:val="0"/>
            <w:vAlign w:val="center"/>
          </w:tcPr>
          <w:p>
            <w:pPr>
              <w:keepNext w:val="0"/>
              <w:keepLines w:val="0"/>
              <w:pageBreakBefore w:val="0"/>
              <w:widowControl w:val="0"/>
              <w:kinsoku/>
              <w:wordWrap/>
              <w:topLinePunct w:val="0"/>
              <w:autoSpaceDE/>
              <w:autoSpaceDN/>
              <w:bidi w:val="0"/>
              <w:snapToGrid/>
              <w:spacing w:line="320" w:lineRule="exact"/>
              <w:jc w:val="center"/>
              <w:textAlignment w:val="auto"/>
              <w:rPr>
                <w:rFonts w:hint="eastAsia" w:ascii="仿宋_GB2312" w:hAnsi="仿宋_GB2312" w:eastAsia="仿宋_GB2312" w:cs="仿宋_GB2312"/>
                <w:b w:val="0"/>
                <w:bCs w:val="0"/>
                <w:color w:val="auto"/>
                <w:sz w:val="24"/>
                <w:szCs w:val="24"/>
                <w:highlight w:val="none"/>
                <w:vertAlign w:val="baseline"/>
              </w:rPr>
            </w:pPr>
            <w:r>
              <w:rPr>
                <w:rFonts w:hint="eastAsia" w:ascii="仿宋_GB2312" w:hAnsi="仿宋_GB2312" w:eastAsia="仿宋_GB2312" w:cs="仿宋_GB2312"/>
                <w:color w:val="auto"/>
                <w:sz w:val="24"/>
                <w:szCs w:val="24"/>
                <w:highlight w:val="none"/>
              </w:rPr>
              <w:t>商务谈判模拟室</w:t>
            </w:r>
          </w:p>
        </w:tc>
        <w:tc>
          <w:tcPr>
            <w:tcW w:w="1915"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仿宋_GB2312" w:hAnsi="仿宋_GB2312" w:eastAsia="仿宋_GB2312" w:cs="仿宋_GB2312"/>
                <w:b w:val="0"/>
                <w:bCs w:val="0"/>
                <w:color w:val="auto"/>
                <w:sz w:val="24"/>
                <w:szCs w:val="24"/>
                <w:highlight w:val="none"/>
                <w:vertAlign w:val="baseline"/>
              </w:rPr>
            </w:pPr>
            <w:r>
              <w:rPr>
                <w:rFonts w:hint="eastAsia" w:ascii="仿宋_GB2312" w:hAnsi="仿宋_GB2312" w:eastAsia="仿宋_GB2312" w:cs="仿宋_GB2312"/>
                <w:b w:val="0"/>
                <w:bCs w:val="0"/>
                <w:i w:val="0"/>
                <w:iCs w:val="0"/>
                <w:color w:val="auto"/>
                <w:kern w:val="0"/>
                <w:sz w:val="24"/>
                <w:szCs w:val="24"/>
                <w:highlight w:val="none"/>
                <w:u w:val="none"/>
                <w:lang w:val="en-US" w:eastAsia="zh-CN" w:bidi="ar"/>
              </w:rPr>
              <w:t>国际商务礼仪</w:t>
            </w:r>
          </w:p>
        </w:tc>
        <w:tc>
          <w:tcPr>
            <w:tcW w:w="4330" w:type="dxa"/>
            <w:noWrap w:val="0"/>
            <w:vAlign w:val="center"/>
          </w:tcPr>
          <w:p>
            <w:pPr>
              <w:keepNext w:val="0"/>
              <w:keepLines w:val="0"/>
              <w:pageBreakBefore w:val="0"/>
              <w:widowControl w:val="0"/>
              <w:kinsoku/>
              <w:wordWrap/>
              <w:topLinePunct w:val="0"/>
              <w:autoSpaceDE/>
              <w:autoSpaceDN/>
              <w:bidi w:val="0"/>
              <w:snapToGrid/>
              <w:spacing w:line="320" w:lineRule="exact"/>
              <w:jc w:val="left"/>
              <w:textAlignment w:val="auto"/>
              <w:rPr>
                <w:rFonts w:hint="eastAsia" w:ascii="仿宋_GB2312" w:hAnsi="仿宋_GB2312" w:eastAsia="仿宋_GB2312" w:cs="仿宋_GB2312"/>
                <w:b w:val="0"/>
                <w:bCs w:val="0"/>
                <w:color w:val="auto"/>
                <w:sz w:val="24"/>
                <w:szCs w:val="24"/>
                <w:highlight w:val="none"/>
                <w:vertAlign w:val="baseline"/>
                <w:lang w:eastAsia="zh-CN"/>
              </w:rPr>
            </w:pPr>
            <w:r>
              <w:rPr>
                <w:rFonts w:hint="eastAsia" w:ascii="仿宋_GB2312" w:hAnsi="仿宋_GB2312" w:eastAsia="仿宋_GB2312" w:cs="仿宋_GB2312"/>
                <w:color w:val="auto"/>
                <w:sz w:val="24"/>
                <w:szCs w:val="24"/>
                <w:highlight w:val="none"/>
              </w:rPr>
              <w:t>国际商务谈判</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商务谈判</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商务谈判人员的心理素质能力分析</w:t>
            </w:r>
            <w:r>
              <w:rPr>
                <w:rFonts w:hint="eastAsia" w:ascii="仿宋_GB2312" w:hAnsi="仿宋_GB2312" w:eastAsia="仿宋_GB2312" w:cs="仿宋_GB2312"/>
                <w:color w:val="auto"/>
                <w:sz w:val="24"/>
                <w:szCs w:val="24"/>
                <w:highlight w:val="none"/>
                <w:lang w:eastAsia="zh-CN"/>
              </w:rPr>
              <w:t>。</w:t>
            </w:r>
          </w:p>
        </w:tc>
        <w:tc>
          <w:tcPr>
            <w:tcW w:w="1570" w:type="dxa"/>
            <w:shd w:val="clear" w:color="auto" w:fill="auto"/>
            <w:noWrap w:val="0"/>
            <w:vAlign w:val="center"/>
          </w:tcPr>
          <w:p>
            <w:pPr>
              <w:keepNext w:val="0"/>
              <w:keepLines w:val="0"/>
              <w:pageBreakBefore w:val="0"/>
              <w:widowControl w:val="0"/>
              <w:kinsoku/>
              <w:wordWrap/>
              <w:topLinePunct w:val="0"/>
              <w:autoSpaceDE/>
              <w:autoSpaceDN/>
              <w:bidi w:val="0"/>
              <w:snapToGrid/>
              <w:spacing w:line="320" w:lineRule="exact"/>
              <w:jc w:val="center"/>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电脑</w:t>
            </w:r>
            <w:r>
              <w:rPr>
                <w:rFonts w:hint="eastAsia" w:ascii="仿宋_GB2312" w:hAnsi="仿宋_GB2312" w:eastAsia="仿宋_GB2312" w:cs="仿宋_GB2312"/>
                <w:color w:val="auto"/>
                <w:sz w:val="24"/>
                <w:szCs w:val="24"/>
                <w:highlight w:val="none"/>
                <w:lang w:val="en-US" w:eastAsia="zh-CN"/>
              </w:rPr>
              <w:t>1台</w:t>
            </w:r>
            <w:r>
              <w:rPr>
                <w:rFonts w:hint="eastAsia" w:ascii="仿宋_GB2312" w:hAnsi="仿宋_GB2312" w:eastAsia="仿宋_GB2312" w:cs="仿宋_GB2312"/>
                <w:color w:val="auto"/>
                <w:sz w:val="24"/>
                <w:szCs w:val="24"/>
                <w:highlight w:val="none"/>
              </w:rPr>
              <w:t>，会议桌</w:t>
            </w:r>
            <w:r>
              <w:rPr>
                <w:rFonts w:hint="eastAsia" w:ascii="仿宋_GB2312" w:hAnsi="仿宋_GB2312" w:eastAsia="仿宋_GB2312" w:cs="仿宋_GB2312"/>
                <w:color w:val="auto"/>
                <w:sz w:val="24"/>
                <w:szCs w:val="24"/>
                <w:highlight w:val="none"/>
                <w:lang w:eastAsia="zh-CN"/>
              </w:rPr>
              <w:t>、多媒体设备</w:t>
            </w:r>
            <w:r>
              <w:rPr>
                <w:rFonts w:hint="eastAsia" w:ascii="仿宋_GB2312" w:hAnsi="仿宋_GB2312" w:eastAsia="仿宋_GB2312" w:cs="仿宋_GB2312"/>
                <w:color w:val="auto"/>
                <w:sz w:val="24"/>
                <w:szCs w:val="24"/>
                <w:highlight w:val="none"/>
                <w:lang w:val="en-US" w:eastAsia="zh-CN"/>
              </w:rPr>
              <w:t>1套</w:t>
            </w:r>
          </w:p>
        </w:tc>
        <w:tc>
          <w:tcPr>
            <w:tcW w:w="737" w:type="dxa"/>
            <w:shd w:val="clear" w:color="auto" w:fill="auto"/>
            <w:noWrap w:val="0"/>
            <w:vAlign w:val="center"/>
          </w:tcPr>
          <w:p>
            <w:pPr>
              <w:keepNext w:val="0"/>
              <w:keepLines w:val="0"/>
              <w:pageBreakBefore w:val="0"/>
              <w:widowControl w:val="0"/>
              <w:kinsoku/>
              <w:wordWrap/>
              <w:topLinePunct w:val="0"/>
              <w:autoSpaceDE/>
              <w:autoSpaceDN/>
              <w:bidi w:val="0"/>
              <w:snapToGrid/>
              <w:spacing w:line="320" w:lineRule="exact"/>
              <w:jc w:val="center"/>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18" w:type="dxa"/>
            <w:noWrap w:val="0"/>
            <w:vAlign w:val="top"/>
          </w:tcPr>
          <w:p>
            <w:pPr>
              <w:keepNext w:val="0"/>
              <w:keepLines w:val="0"/>
              <w:pageBreakBefore w:val="0"/>
              <w:widowControl w:val="0"/>
              <w:kinsoku/>
              <w:wordWrap/>
              <w:topLinePunct w:val="0"/>
              <w:autoSpaceDE/>
              <w:autoSpaceDN/>
              <w:bidi w:val="0"/>
              <w:snapToGrid/>
              <w:spacing w:line="320" w:lineRule="exact"/>
              <w:jc w:val="center"/>
              <w:textAlignment w:val="auto"/>
              <w:rPr>
                <w:rFonts w:hint="eastAsia" w:ascii="仿宋_GB2312" w:hAnsi="仿宋_GB2312" w:eastAsia="仿宋_GB2312" w:cs="仿宋_GB2312"/>
                <w:color w:val="auto"/>
                <w:sz w:val="24"/>
                <w:szCs w:val="24"/>
                <w:highlight w:val="none"/>
              </w:rPr>
            </w:pPr>
          </w:p>
          <w:p>
            <w:pPr>
              <w:keepNext w:val="0"/>
              <w:keepLines w:val="0"/>
              <w:pageBreakBefore w:val="0"/>
              <w:widowControl w:val="0"/>
              <w:kinsoku/>
              <w:wordWrap/>
              <w:topLinePunct w:val="0"/>
              <w:autoSpaceDE/>
              <w:autoSpaceDN/>
              <w:bidi w:val="0"/>
              <w:snapToGrid/>
              <w:spacing w:line="320" w:lineRule="exact"/>
              <w:jc w:val="center"/>
              <w:textAlignment w:val="auto"/>
              <w:rPr>
                <w:rFonts w:hint="eastAsia" w:ascii="仿宋_GB2312" w:hAnsi="仿宋_GB2312" w:eastAsia="仿宋_GB2312" w:cs="仿宋_GB2312"/>
                <w:b w:val="0"/>
                <w:bCs w:val="0"/>
                <w:color w:val="auto"/>
                <w:sz w:val="24"/>
                <w:szCs w:val="24"/>
                <w:highlight w:val="none"/>
                <w:vertAlign w:val="baseline"/>
              </w:rPr>
            </w:pPr>
            <w:r>
              <w:rPr>
                <w:rFonts w:hint="eastAsia" w:ascii="仿宋_GB2312" w:hAnsi="仿宋_GB2312" w:eastAsia="仿宋_GB2312" w:cs="仿宋_GB2312"/>
                <w:color w:val="auto"/>
                <w:sz w:val="24"/>
                <w:szCs w:val="24"/>
                <w:highlight w:val="none"/>
              </w:rPr>
              <w:t>3</w:t>
            </w:r>
          </w:p>
        </w:tc>
        <w:tc>
          <w:tcPr>
            <w:tcW w:w="1230" w:type="dxa"/>
            <w:noWrap w:val="0"/>
            <w:vAlign w:val="center"/>
          </w:tcPr>
          <w:p>
            <w:pPr>
              <w:keepNext w:val="0"/>
              <w:keepLines w:val="0"/>
              <w:pageBreakBefore w:val="0"/>
              <w:widowControl w:val="0"/>
              <w:kinsoku/>
              <w:wordWrap/>
              <w:topLinePunct w:val="0"/>
              <w:autoSpaceDE/>
              <w:autoSpaceDN/>
              <w:bidi w:val="0"/>
              <w:snapToGrid/>
              <w:spacing w:line="320" w:lineRule="exact"/>
              <w:jc w:val="center"/>
              <w:textAlignment w:val="auto"/>
              <w:rPr>
                <w:rFonts w:hint="eastAsia" w:ascii="仿宋_GB2312" w:hAnsi="仿宋_GB2312" w:eastAsia="仿宋_GB2312" w:cs="仿宋_GB2312"/>
                <w:b w:val="0"/>
                <w:bCs w:val="0"/>
                <w:color w:val="auto"/>
                <w:sz w:val="24"/>
                <w:szCs w:val="24"/>
                <w:highlight w:val="none"/>
                <w:vertAlign w:val="baseline"/>
              </w:rPr>
            </w:pPr>
            <w:r>
              <w:rPr>
                <w:rFonts w:hint="eastAsia" w:ascii="仿宋_GB2312" w:hAnsi="仿宋_GB2312" w:eastAsia="仿宋_GB2312" w:cs="仿宋_GB2312"/>
                <w:color w:val="auto"/>
                <w:sz w:val="24"/>
                <w:szCs w:val="24"/>
                <w:highlight w:val="none"/>
              </w:rPr>
              <w:t>洽谈签约室</w:t>
            </w:r>
          </w:p>
        </w:tc>
        <w:tc>
          <w:tcPr>
            <w:tcW w:w="1915"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20" w:lineRule="exact"/>
              <w:jc w:val="center"/>
              <w:textAlignment w:val="auto"/>
              <w:rPr>
                <w:rFonts w:hint="eastAsia" w:ascii="仿宋_GB2312" w:hAnsi="仿宋_GB2312" w:eastAsia="仿宋_GB2312" w:cs="仿宋_GB2312"/>
                <w:b w:val="0"/>
                <w:bCs w:val="0"/>
                <w:color w:val="auto"/>
                <w:sz w:val="24"/>
                <w:szCs w:val="24"/>
                <w:highlight w:val="none"/>
                <w:vertAlign w:val="baseline"/>
                <w:lang w:val="en-US"/>
              </w:rPr>
            </w:pPr>
            <w:r>
              <w:rPr>
                <w:rFonts w:hint="eastAsia" w:ascii="仿宋_GB2312" w:hAnsi="仿宋_GB2312" w:eastAsia="仿宋_GB2312" w:cs="仿宋_GB2312"/>
                <w:b w:val="0"/>
                <w:bCs w:val="0"/>
                <w:i w:val="0"/>
                <w:iCs w:val="0"/>
                <w:color w:val="auto"/>
                <w:kern w:val="0"/>
                <w:sz w:val="24"/>
                <w:szCs w:val="24"/>
                <w:highlight w:val="none"/>
                <w:u w:val="none"/>
                <w:lang w:val="en-US" w:eastAsia="zh-CN" w:bidi="ar"/>
              </w:rPr>
              <w:t>国际商务礼仪、跨境电商B2B销售</w:t>
            </w:r>
          </w:p>
        </w:tc>
        <w:tc>
          <w:tcPr>
            <w:tcW w:w="4330" w:type="dxa"/>
            <w:noWrap w:val="0"/>
            <w:vAlign w:val="center"/>
          </w:tcPr>
          <w:p>
            <w:pPr>
              <w:keepNext w:val="0"/>
              <w:keepLines w:val="0"/>
              <w:pageBreakBefore w:val="0"/>
              <w:widowControl w:val="0"/>
              <w:kinsoku/>
              <w:wordWrap/>
              <w:topLinePunct w:val="0"/>
              <w:autoSpaceDE/>
              <w:autoSpaceDN/>
              <w:bidi w:val="0"/>
              <w:snapToGrid/>
              <w:spacing w:line="320" w:lineRule="exact"/>
              <w:jc w:val="left"/>
              <w:textAlignment w:val="auto"/>
              <w:rPr>
                <w:rFonts w:hint="eastAsia" w:ascii="仿宋_GB2312" w:hAnsi="仿宋_GB2312" w:eastAsia="仿宋_GB2312" w:cs="仿宋_GB2312"/>
                <w:b w:val="0"/>
                <w:bCs w:val="0"/>
                <w:color w:val="auto"/>
                <w:sz w:val="24"/>
                <w:szCs w:val="24"/>
                <w:highlight w:val="none"/>
                <w:vertAlign w:val="baseline"/>
                <w:lang w:eastAsia="zh-CN"/>
              </w:rPr>
            </w:pPr>
            <w:r>
              <w:rPr>
                <w:rFonts w:hint="eastAsia" w:ascii="仿宋_GB2312" w:hAnsi="仿宋_GB2312" w:eastAsia="仿宋_GB2312" w:cs="仿宋_GB2312"/>
                <w:color w:val="auto"/>
                <w:sz w:val="24"/>
                <w:szCs w:val="24"/>
                <w:highlight w:val="none"/>
              </w:rPr>
              <w:t>商务礼仪</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商务洽谈</w:t>
            </w:r>
            <w:r>
              <w:rPr>
                <w:rFonts w:hint="eastAsia" w:ascii="仿宋_GB2312" w:hAnsi="仿宋_GB2312" w:eastAsia="仿宋_GB2312" w:cs="仿宋_GB2312"/>
                <w:color w:val="auto"/>
                <w:sz w:val="24"/>
                <w:szCs w:val="24"/>
                <w:highlight w:val="none"/>
                <w:lang w:eastAsia="zh-CN"/>
              </w:rPr>
              <w:t>。</w:t>
            </w:r>
          </w:p>
        </w:tc>
        <w:tc>
          <w:tcPr>
            <w:tcW w:w="1570" w:type="dxa"/>
            <w:shd w:val="clear" w:color="auto" w:fill="auto"/>
            <w:noWrap w:val="0"/>
            <w:vAlign w:val="center"/>
          </w:tcPr>
          <w:p>
            <w:pPr>
              <w:keepNext w:val="0"/>
              <w:keepLines w:val="0"/>
              <w:pageBreakBefore w:val="0"/>
              <w:widowControl w:val="0"/>
              <w:kinsoku/>
              <w:wordWrap/>
              <w:topLinePunct w:val="0"/>
              <w:autoSpaceDE/>
              <w:autoSpaceDN/>
              <w:bidi w:val="0"/>
              <w:snapToGrid/>
              <w:spacing w:line="320" w:lineRule="exact"/>
              <w:jc w:val="center"/>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eastAsia="zh-CN"/>
              </w:rPr>
              <w:t>多媒体设备</w:t>
            </w:r>
            <w:r>
              <w:rPr>
                <w:rFonts w:hint="eastAsia" w:ascii="仿宋_GB2312" w:hAnsi="仿宋_GB2312" w:eastAsia="仿宋_GB2312" w:cs="仿宋_GB2312"/>
                <w:color w:val="auto"/>
                <w:sz w:val="24"/>
                <w:szCs w:val="24"/>
                <w:highlight w:val="none"/>
                <w:lang w:val="en-US" w:eastAsia="zh-CN"/>
              </w:rPr>
              <w:t>1套、</w:t>
            </w:r>
            <w:r>
              <w:rPr>
                <w:rFonts w:hint="eastAsia" w:ascii="仿宋_GB2312" w:hAnsi="仿宋_GB2312" w:eastAsia="仿宋_GB2312" w:cs="仿宋_GB2312"/>
                <w:color w:val="auto"/>
                <w:sz w:val="24"/>
                <w:szCs w:val="24"/>
                <w:highlight w:val="none"/>
              </w:rPr>
              <w:t>会议桌</w:t>
            </w:r>
          </w:p>
        </w:tc>
        <w:tc>
          <w:tcPr>
            <w:tcW w:w="737" w:type="dxa"/>
            <w:shd w:val="clear" w:color="auto" w:fill="auto"/>
            <w:noWrap w:val="0"/>
            <w:vAlign w:val="center"/>
          </w:tcPr>
          <w:p>
            <w:pPr>
              <w:keepNext w:val="0"/>
              <w:keepLines w:val="0"/>
              <w:pageBreakBefore w:val="0"/>
              <w:widowControl w:val="0"/>
              <w:kinsoku/>
              <w:wordWrap/>
              <w:topLinePunct w:val="0"/>
              <w:autoSpaceDE/>
              <w:autoSpaceDN/>
              <w:bidi w:val="0"/>
              <w:snapToGrid/>
              <w:spacing w:line="320" w:lineRule="exact"/>
              <w:jc w:val="center"/>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18" w:type="dxa"/>
            <w:noWrap w:val="0"/>
            <w:vAlign w:val="center"/>
          </w:tcPr>
          <w:p>
            <w:pPr>
              <w:keepNext w:val="0"/>
              <w:keepLines w:val="0"/>
              <w:pageBreakBefore w:val="0"/>
              <w:widowControl w:val="0"/>
              <w:kinsoku/>
              <w:wordWrap/>
              <w:topLinePunct w:val="0"/>
              <w:autoSpaceDE/>
              <w:autoSpaceDN/>
              <w:bidi w:val="0"/>
              <w:snapToGrid/>
              <w:spacing w:line="320" w:lineRule="exact"/>
              <w:jc w:val="left"/>
              <w:textAlignment w:val="auto"/>
              <w:rPr>
                <w:rFonts w:hint="eastAsia" w:ascii="仿宋_GB2312" w:hAnsi="仿宋_GB2312" w:eastAsia="仿宋_GB2312" w:cs="仿宋_GB2312"/>
                <w:b w:val="0"/>
                <w:bCs w:val="0"/>
                <w:color w:val="auto"/>
                <w:sz w:val="24"/>
                <w:szCs w:val="24"/>
                <w:highlight w:val="none"/>
                <w:vertAlign w:val="baseline"/>
              </w:rPr>
            </w:pPr>
            <w:r>
              <w:rPr>
                <w:rFonts w:hint="eastAsia" w:ascii="仿宋_GB2312" w:hAnsi="仿宋_GB2312" w:eastAsia="仿宋_GB2312" w:cs="仿宋_GB2312"/>
                <w:color w:val="auto"/>
                <w:sz w:val="24"/>
                <w:szCs w:val="24"/>
                <w:highlight w:val="none"/>
                <w:lang w:val="en-US" w:eastAsia="zh-CN"/>
              </w:rPr>
              <w:t>4</w:t>
            </w:r>
          </w:p>
        </w:tc>
        <w:tc>
          <w:tcPr>
            <w:tcW w:w="1230" w:type="dxa"/>
            <w:noWrap w:val="0"/>
            <w:vAlign w:val="center"/>
          </w:tcPr>
          <w:p>
            <w:pPr>
              <w:keepNext w:val="0"/>
              <w:keepLines w:val="0"/>
              <w:pageBreakBefore w:val="0"/>
              <w:widowControl w:val="0"/>
              <w:kinsoku/>
              <w:wordWrap/>
              <w:topLinePunct w:val="0"/>
              <w:autoSpaceDE/>
              <w:autoSpaceDN/>
              <w:bidi w:val="0"/>
              <w:snapToGrid/>
              <w:spacing w:line="320" w:lineRule="exact"/>
              <w:jc w:val="left"/>
              <w:textAlignment w:val="auto"/>
              <w:rPr>
                <w:rFonts w:hint="eastAsia" w:ascii="仿宋_GB2312" w:hAnsi="仿宋_GB2312" w:eastAsia="仿宋_GB2312" w:cs="仿宋_GB2312"/>
                <w:b w:val="0"/>
                <w:bCs w:val="0"/>
                <w:color w:val="auto"/>
                <w:sz w:val="24"/>
                <w:szCs w:val="24"/>
                <w:highlight w:val="none"/>
                <w:vertAlign w:val="baseline"/>
              </w:rPr>
            </w:pPr>
            <w:r>
              <w:rPr>
                <w:rFonts w:hint="eastAsia" w:ascii="仿宋_GB2312" w:hAnsi="仿宋_GB2312" w:eastAsia="仿宋_GB2312" w:cs="仿宋_GB2312"/>
                <w:color w:val="auto"/>
                <w:sz w:val="24"/>
                <w:szCs w:val="24"/>
                <w:highlight w:val="none"/>
              </w:rPr>
              <w:t>商务会议室</w:t>
            </w:r>
          </w:p>
        </w:tc>
        <w:tc>
          <w:tcPr>
            <w:tcW w:w="1915" w:type="dxa"/>
            <w:noWrap w:val="0"/>
            <w:vAlign w:val="center"/>
          </w:tcPr>
          <w:p>
            <w:pPr>
              <w:keepNext w:val="0"/>
              <w:keepLines w:val="0"/>
              <w:pageBreakBefore w:val="0"/>
              <w:widowControl w:val="0"/>
              <w:kinsoku/>
              <w:wordWrap/>
              <w:overflowPunct w:val="0"/>
              <w:topLinePunct w:val="0"/>
              <w:autoSpaceDE/>
              <w:autoSpaceDN/>
              <w:bidi w:val="0"/>
              <w:adjustRightInd w:val="0"/>
              <w:snapToGrid/>
              <w:spacing w:line="320" w:lineRule="exact"/>
              <w:jc w:val="left"/>
              <w:textAlignment w:val="auto"/>
              <w:rPr>
                <w:rFonts w:hint="eastAsia" w:ascii="仿宋_GB2312" w:hAnsi="仿宋_GB2312" w:eastAsia="仿宋_GB2312" w:cs="仿宋_GB2312"/>
                <w:b w:val="0"/>
                <w:bCs w:val="0"/>
                <w:color w:val="auto"/>
                <w:sz w:val="24"/>
                <w:szCs w:val="24"/>
                <w:highlight w:val="none"/>
                <w:vertAlign w:val="baseline"/>
                <w:lang w:val="en-US"/>
              </w:rPr>
            </w:pPr>
            <w:r>
              <w:rPr>
                <w:rFonts w:hint="eastAsia" w:ascii="仿宋_GB2312" w:hAnsi="仿宋_GB2312" w:eastAsia="仿宋_GB2312" w:cs="仿宋_GB2312"/>
                <w:b w:val="0"/>
                <w:bCs w:val="0"/>
                <w:i w:val="0"/>
                <w:iCs w:val="0"/>
                <w:color w:val="auto"/>
                <w:kern w:val="0"/>
                <w:sz w:val="24"/>
                <w:szCs w:val="24"/>
                <w:highlight w:val="none"/>
                <w:u w:val="none"/>
                <w:lang w:val="en-US" w:eastAsia="zh-CN" w:bidi="ar"/>
              </w:rPr>
              <w:t>国际商务礼仪、境电商B2B营销</w:t>
            </w:r>
          </w:p>
        </w:tc>
        <w:tc>
          <w:tcPr>
            <w:tcW w:w="4330" w:type="dxa"/>
            <w:noWrap w:val="0"/>
            <w:vAlign w:val="center"/>
          </w:tcPr>
          <w:p>
            <w:pPr>
              <w:keepNext w:val="0"/>
              <w:keepLines w:val="0"/>
              <w:pageBreakBefore w:val="0"/>
              <w:widowControl w:val="0"/>
              <w:kinsoku/>
              <w:wordWrap/>
              <w:topLinePunct w:val="0"/>
              <w:autoSpaceDE/>
              <w:autoSpaceDN/>
              <w:bidi w:val="0"/>
              <w:snapToGrid/>
              <w:spacing w:line="320" w:lineRule="exact"/>
              <w:jc w:val="left"/>
              <w:textAlignment w:val="auto"/>
              <w:rPr>
                <w:rFonts w:hint="eastAsia" w:ascii="仿宋_GB2312" w:hAnsi="仿宋_GB2312" w:eastAsia="仿宋_GB2312" w:cs="仿宋_GB2312"/>
                <w:b w:val="0"/>
                <w:bCs w:val="0"/>
                <w:color w:val="auto"/>
                <w:sz w:val="24"/>
                <w:szCs w:val="24"/>
                <w:highlight w:val="none"/>
                <w:vertAlign w:val="baseline"/>
                <w:lang w:eastAsia="zh-CN"/>
              </w:rPr>
            </w:pPr>
            <w:r>
              <w:rPr>
                <w:rFonts w:hint="eastAsia" w:ascii="仿宋_GB2312" w:hAnsi="仿宋_GB2312" w:eastAsia="仿宋_GB2312" w:cs="仿宋_GB2312"/>
                <w:b w:val="0"/>
                <w:bCs w:val="0"/>
                <w:i w:val="0"/>
                <w:iCs w:val="0"/>
                <w:color w:val="auto"/>
                <w:kern w:val="0"/>
                <w:sz w:val="24"/>
                <w:szCs w:val="24"/>
                <w:highlight w:val="none"/>
                <w:u w:val="none"/>
                <w:lang w:val="en-US" w:eastAsia="zh-CN" w:bidi="ar"/>
              </w:rPr>
              <w:t>商务</w:t>
            </w:r>
            <w:r>
              <w:rPr>
                <w:rFonts w:hint="eastAsia" w:ascii="仿宋_GB2312" w:hAnsi="仿宋_GB2312" w:eastAsia="仿宋_GB2312" w:cs="仿宋_GB2312"/>
                <w:color w:val="auto"/>
                <w:sz w:val="24"/>
                <w:szCs w:val="24"/>
                <w:highlight w:val="none"/>
              </w:rPr>
              <w:t>活动策划</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学生实训内容讨论研究基地</w:t>
            </w:r>
            <w:r>
              <w:rPr>
                <w:rFonts w:hint="eastAsia" w:ascii="仿宋_GB2312" w:hAnsi="仿宋_GB2312" w:eastAsia="仿宋_GB2312" w:cs="仿宋_GB2312"/>
                <w:color w:val="auto"/>
                <w:sz w:val="24"/>
                <w:szCs w:val="24"/>
                <w:highlight w:val="none"/>
                <w:lang w:eastAsia="zh-CN"/>
              </w:rPr>
              <w:t>。</w:t>
            </w:r>
          </w:p>
        </w:tc>
        <w:tc>
          <w:tcPr>
            <w:tcW w:w="1570" w:type="dxa"/>
            <w:shd w:val="clear" w:color="auto" w:fill="auto"/>
            <w:noWrap w:val="0"/>
            <w:vAlign w:val="center"/>
          </w:tcPr>
          <w:p>
            <w:pPr>
              <w:keepNext w:val="0"/>
              <w:keepLines w:val="0"/>
              <w:pageBreakBefore w:val="0"/>
              <w:widowControl w:val="0"/>
              <w:kinsoku/>
              <w:wordWrap/>
              <w:topLinePunct w:val="0"/>
              <w:autoSpaceDE/>
              <w:autoSpaceDN/>
              <w:bidi w:val="0"/>
              <w:snapToGrid/>
              <w:spacing w:line="320" w:lineRule="exact"/>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eastAsia="zh-CN"/>
              </w:rPr>
              <w:t>多媒体设备</w:t>
            </w:r>
            <w:r>
              <w:rPr>
                <w:rFonts w:hint="eastAsia" w:ascii="仿宋_GB2312" w:hAnsi="仿宋_GB2312" w:eastAsia="仿宋_GB2312" w:cs="仿宋_GB2312"/>
                <w:color w:val="auto"/>
                <w:sz w:val="24"/>
                <w:szCs w:val="24"/>
                <w:highlight w:val="none"/>
                <w:lang w:val="en-US" w:eastAsia="zh-CN"/>
              </w:rPr>
              <w:t>1套、</w:t>
            </w:r>
            <w:r>
              <w:rPr>
                <w:rFonts w:hint="eastAsia" w:ascii="仿宋_GB2312" w:hAnsi="仿宋_GB2312" w:eastAsia="仿宋_GB2312" w:cs="仿宋_GB2312"/>
                <w:color w:val="auto"/>
                <w:sz w:val="24"/>
                <w:szCs w:val="24"/>
                <w:highlight w:val="none"/>
              </w:rPr>
              <w:t>会议桌</w:t>
            </w:r>
          </w:p>
        </w:tc>
        <w:tc>
          <w:tcPr>
            <w:tcW w:w="737" w:type="dxa"/>
            <w:shd w:val="clear" w:color="auto" w:fill="auto"/>
            <w:noWrap w:val="0"/>
            <w:vAlign w:val="center"/>
          </w:tcPr>
          <w:p>
            <w:pPr>
              <w:keepNext w:val="0"/>
              <w:keepLines w:val="0"/>
              <w:pageBreakBefore w:val="0"/>
              <w:widowControl w:val="0"/>
              <w:kinsoku/>
              <w:wordWrap/>
              <w:topLinePunct w:val="0"/>
              <w:autoSpaceDE/>
              <w:autoSpaceDN/>
              <w:bidi w:val="0"/>
              <w:snapToGrid/>
              <w:spacing w:line="320" w:lineRule="exact"/>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16</w:t>
            </w:r>
          </w:p>
        </w:tc>
      </w:tr>
    </w:tbl>
    <w:p>
      <w:pPr>
        <w:pStyle w:val="2"/>
        <w:pageBreakBefore w:val="0"/>
        <w:widowControl/>
        <w:kinsoku/>
        <w:wordWrap/>
        <w:topLinePunct w:val="0"/>
        <w:autoSpaceDE/>
        <w:autoSpaceDN/>
        <w:bidi w:val="0"/>
        <w:adjustRightInd/>
        <w:snapToGrid w:val="0"/>
        <w:spacing w:before="0" w:after="0" w:line="52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3.校外实训资源</w:t>
      </w:r>
    </w:p>
    <w:p>
      <w:pPr>
        <w:keepNext w:val="0"/>
        <w:keepLines w:val="0"/>
        <w:pageBreakBefore w:val="0"/>
        <w:widowControl w:val="0"/>
        <w:kinsoku/>
        <w:wordWrap/>
        <w:overflowPunct w:val="0"/>
        <w:topLinePunct w:val="0"/>
        <w:autoSpaceDE/>
        <w:autoSpaceDN/>
        <w:bidi w:val="0"/>
        <w:adjustRightInd/>
        <w:snapToGrid w:val="0"/>
        <w:spacing w:after="0" w:line="52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（1）校外实训基地基本要求</w:t>
      </w:r>
    </w:p>
    <w:p>
      <w:pPr>
        <w:keepNext w:val="0"/>
        <w:keepLines w:val="0"/>
        <w:pageBreakBefore w:val="0"/>
        <w:widowControl w:val="0"/>
        <w:numPr>
          <w:ilvl w:val="0"/>
          <w:numId w:val="0"/>
        </w:numPr>
        <w:kinsoku/>
        <w:wordWrap/>
        <w:overflowPunct w:val="0"/>
        <w:topLinePunct w:val="0"/>
        <w:autoSpaceDE/>
        <w:autoSpaceDN/>
        <w:bidi w:val="0"/>
        <w:adjustRightInd/>
        <w:snapToGrid w:val="0"/>
        <w:spacing w:after="0" w:line="52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b w:val="0"/>
          <w:bCs w:val="0"/>
          <w:color w:val="auto"/>
          <w:sz w:val="32"/>
          <w:szCs w:val="32"/>
          <w:highlight w:val="none"/>
          <w:lang w:val="en-US" w:eastAsia="zh-CN"/>
        </w:rPr>
        <w:t>具有稳定的校外实训基地2个以上；能够开展外贸单证填报等实训活动；实训设施齐备，实训岗位、实训指导教师确定，实训管理及实施规章制度齐全。</w:t>
      </w:r>
    </w:p>
    <w:p>
      <w:pPr>
        <w:keepNext w:val="0"/>
        <w:keepLines w:val="0"/>
        <w:pageBreakBefore w:val="0"/>
        <w:widowControl w:val="0"/>
        <w:numPr>
          <w:ilvl w:val="0"/>
          <w:numId w:val="3"/>
        </w:numPr>
        <w:kinsoku/>
        <w:wordWrap/>
        <w:overflowPunct w:val="0"/>
        <w:topLinePunct w:val="0"/>
        <w:autoSpaceDE/>
        <w:autoSpaceDN/>
        <w:bidi w:val="0"/>
        <w:adjustRightInd/>
        <w:snapToGrid w:val="0"/>
        <w:spacing w:after="0" w:line="52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学生实习基地基本要求</w:t>
      </w:r>
    </w:p>
    <w:p>
      <w:pPr>
        <w:keepNext w:val="0"/>
        <w:keepLines w:val="0"/>
        <w:pageBreakBefore w:val="0"/>
        <w:widowControl w:val="0"/>
        <w:numPr>
          <w:ilvl w:val="0"/>
          <w:numId w:val="0"/>
        </w:numPr>
        <w:kinsoku/>
        <w:wordWrap/>
        <w:overflowPunct w:val="0"/>
        <w:topLinePunct w:val="0"/>
        <w:autoSpaceDE/>
        <w:autoSpaceDN/>
        <w:bidi w:val="0"/>
        <w:adjustRightInd/>
        <w:snapToGrid w:val="0"/>
        <w:spacing w:after="0" w:line="52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b w:val="0"/>
          <w:bCs w:val="0"/>
          <w:color w:val="auto"/>
          <w:sz w:val="32"/>
          <w:szCs w:val="32"/>
          <w:highlight w:val="none"/>
          <w:lang w:val="en-US" w:eastAsia="zh-CN"/>
        </w:rPr>
        <w:t>具有稳定的校外实习基地2个以上；能提供外贸业务员、 跨境电商运营专员等相关实习岗位，能涵盖当前相关产业的主流技术，可接纳一定规模的学生实习；能够配备相应数量的指导教师对学生实习进行指导和管理；有保证实习生日常工作、学习、生活的规章制度，有安全、保险保障。</w:t>
      </w:r>
    </w:p>
    <w:p>
      <w:pPr>
        <w:keepNext w:val="0"/>
        <w:keepLines w:val="0"/>
        <w:pageBreakBefore w:val="0"/>
        <w:widowControl w:val="0"/>
        <w:kinsoku/>
        <w:wordWrap/>
        <w:overflowPunct w:val="0"/>
        <w:topLinePunct w:val="0"/>
        <w:autoSpaceDE/>
        <w:autoSpaceDN/>
        <w:bidi w:val="0"/>
        <w:adjustRightInd w:val="0"/>
        <w:snapToGrid w:val="0"/>
        <w:spacing w:after="0" w:line="520" w:lineRule="exact"/>
        <w:jc w:val="center"/>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表1</w:t>
      </w:r>
      <w:r>
        <w:rPr>
          <w:rFonts w:hint="eastAsia" w:ascii="仿宋_GB2312" w:hAnsi="仿宋_GB2312" w:eastAsia="仿宋_GB2312" w:cs="仿宋_GB2312"/>
          <w:color w:val="auto"/>
          <w:sz w:val="32"/>
          <w:szCs w:val="32"/>
          <w:highlight w:val="none"/>
          <w:lang w:val="en-US" w:eastAsia="zh-CN"/>
        </w:rPr>
        <w:t>2</w:t>
      </w:r>
      <w:r>
        <w:rPr>
          <w:rFonts w:hint="eastAsia" w:ascii="仿宋_GB2312" w:hAnsi="仿宋_GB2312" w:eastAsia="仿宋_GB2312" w:cs="仿宋_GB2312"/>
          <w:color w:val="auto"/>
          <w:sz w:val="32"/>
          <w:szCs w:val="32"/>
          <w:highlight w:val="none"/>
        </w:rPr>
        <w:t xml:space="preserve"> 校外实习基地一览表</w:t>
      </w:r>
    </w:p>
    <w:tbl>
      <w:tblPr>
        <w:tblStyle w:val="8"/>
        <w:tblW w:w="10106" w:type="dxa"/>
        <w:tblInd w:w="-42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73"/>
        <w:gridCol w:w="3225"/>
        <w:gridCol w:w="2490"/>
        <w:gridCol w:w="1260"/>
        <w:gridCol w:w="1275"/>
        <w:gridCol w:w="13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3"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序号</w:t>
            </w:r>
          </w:p>
        </w:tc>
        <w:tc>
          <w:tcPr>
            <w:tcW w:w="3225"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校外实习基地名称</w:t>
            </w:r>
          </w:p>
        </w:tc>
        <w:tc>
          <w:tcPr>
            <w:tcW w:w="2490"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合作企业名称</w:t>
            </w:r>
          </w:p>
        </w:tc>
        <w:tc>
          <w:tcPr>
            <w:tcW w:w="1260"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用途</w:t>
            </w:r>
          </w:p>
        </w:tc>
        <w:tc>
          <w:tcPr>
            <w:tcW w:w="1275"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合作深</w:t>
            </w:r>
          </w:p>
          <w:p>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度要求</w:t>
            </w:r>
          </w:p>
        </w:tc>
        <w:tc>
          <w:tcPr>
            <w:tcW w:w="1383" w:type="dxa"/>
            <w:vAlign w:val="center"/>
          </w:tcPr>
          <w:p>
            <w:pPr>
              <w:keepNext w:val="0"/>
              <w:keepLines w:val="0"/>
              <w:pageBreakBefore w:val="0"/>
              <w:widowControl w:val="0"/>
              <w:kinsoku/>
              <w:wordWrap/>
              <w:overflowPunct w:val="0"/>
              <w:topLinePunct w:val="0"/>
              <w:autoSpaceDE/>
              <w:autoSpaceDN/>
              <w:bidi w:val="0"/>
              <w:adjustRightInd w:val="0"/>
              <w:snapToGrid/>
              <w:spacing w:after="0" w:line="240" w:lineRule="auto"/>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接纳学生实习人次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3" w:type="dxa"/>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b w:val="0"/>
                <w:bCs w:val="0"/>
                <w:color w:val="auto"/>
                <w:sz w:val="24"/>
                <w:szCs w:val="24"/>
                <w:highlight w:val="none"/>
                <w:vertAlign w:val="baseline"/>
                <w:lang w:val="en-US" w:eastAsia="zh-CN"/>
              </w:rPr>
              <w:t>1</w:t>
            </w:r>
          </w:p>
        </w:tc>
        <w:tc>
          <w:tcPr>
            <w:tcW w:w="3225" w:type="dxa"/>
            <w:vAlign w:val="top"/>
          </w:tcPr>
          <w:p>
            <w:pPr>
              <w:keepNext w:val="0"/>
              <w:keepLines w:val="0"/>
              <w:pageBreakBefore w:val="0"/>
              <w:widowControl w:val="0"/>
              <w:kinsoku/>
              <w:wordWrap/>
              <w:overflowPunct w:val="0"/>
              <w:topLinePunct w:val="0"/>
              <w:autoSpaceDE/>
              <w:autoSpaceDN/>
              <w:bidi w:val="0"/>
              <w:adjustRightInd w:val="0"/>
              <w:snapToGrid/>
              <w:spacing w:line="360" w:lineRule="exact"/>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b w:val="0"/>
                <w:bCs w:val="0"/>
                <w:color w:val="auto"/>
                <w:sz w:val="24"/>
                <w:szCs w:val="24"/>
                <w:highlight w:val="none"/>
                <w:vertAlign w:val="baseline"/>
                <w:lang w:eastAsia="zh-CN"/>
              </w:rPr>
              <w:t>广西工程职业学院</w:t>
            </w:r>
            <w:r>
              <w:rPr>
                <w:rFonts w:hint="eastAsia" w:ascii="仿宋_GB2312" w:hAnsi="仿宋_GB2312" w:eastAsia="仿宋_GB2312" w:cs="仿宋_GB2312"/>
                <w:color w:val="auto"/>
                <w:sz w:val="24"/>
                <w:szCs w:val="24"/>
                <w:highlight w:val="none"/>
              </w:rPr>
              <w:t>国际经济与贸易</w:t>
            </w:r>
            <w:r>
              <w:rPr>
                <w:rFonts w:hint="eastAsia" w:ascii="仿宋_GB2312" w:hAnsi="仿宋_GB2312" w:eastAsia="仿宋_GB2312" w:cs="仿宋_GB2312"/>
                <w:b w:val="0"/>
                <w:bCs w:val="0"/>
                <w:color w:val="auto"/>
                <w:sz w:val="24"/>
                <w:szCs w:val="24"/>
                <w:highlight w:val="none"/>
                <w:lang w:val="en-US" w:eastAsia="zh-CN"/>
              </w:rPr>
              <w:t>专业校外实习基地</w:t>
            </w:r>
          </w:p>
        </w:tc>
        <w:tc>
          <w:tcPr>
            <w:tcW w:w="2490" w:type="dxa"/>
            <w:vAlign w:val="top"/>
          </w:tcPr>
          <w:p>
            <w:pPr>
              <w:keepNext w:val="0"/>
              <w:keepLines w:val="0"/>
              <w:pageBreakBefore w:val="0"/>
              <w:widowControl w:val="0"/>
              <w:kinsoku/>
              <w:wordWrap/>
              <w:overflowPunct w:val="0"/>
              <w:topLinePunct w:val="0"/>
              <w:autoSpaceDE/>
              <w:autoSpaceDN/>
              <w:bidi w:val="0"/>
              <w:adjustRightInd w:val="0"/>
              <w:snapToGrid/>
              <w:spacing w:line="360" w:lineRule="exact"/>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b w:val="0"/>
                <w:bCs w:val="0"/>
                <w:color w:val="auto"/>
                <w:sz w:val="24"/>
                <w:szCs w:val="24"/>
                <w:highlight w:val="none"/>
                <w:vertAlign w:val="baseline"/>
              </w:rPr>
              <w:t>平果富晟新材料科技有限公司</w:t>
            </w:r>
          </w:p>
        </w:tc>
        <w:tc>
          <w:tcPr>
            <w:tcW w:w="1260" w:type="dxa"/>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both"/>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b w:val="0"/>
                <w:bCs w:val="0"/>
                <w:color w:val="auto"/>
                <w:sz w:val="24"/>
                <w:szCs w:val="24"/>
                <w:highlight w:val="none"/>
                <w:vertAlign w:val="baseline"/>
                <w:lang w:eastAsia="zh-CN"/>
              </w:rPr>
              <w:t>岗位实习</w:t>
            </w:r>
          </w:p>
        </w:tc>
        <w:tc>
          <w:tcPr>
            <w:tcW w:w="1275" w:type="dxa"/>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both"/>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b w:val="0"/>
                <w:bCs w:val="0"/>
                <w:color w:val="auto"/>
                <w:sz w:val="24"/>
                <w:szCs w:val="24"/>
                <w:highlight w:val="none"/>
                <w:vertAlign w:val="baseline"/>
                <w:lang w:eastAsia="zh-CN"/>
              </w:rPr>
              <w:t>深度合作</w:t>
            </w:r>
          </w:p>
        </w:tc>
        <w:tc>
          <w:tcPr>
            <w:tcW w:w="1383" w:type="dxa"/>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b w:val="0"/>
                <w:bCs w:val="0"/>
                <w:color w:val="auto"/>
                <w:sz w:val="24"/>
                <w:szCs w:val="24"/>
                <w:highlight w:val="none"/>
                <w:vertAlign w:val="baseline"/>
                <w:lang w:val="en-US" w:eastAsia="zh-CN"/>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3" w:type="dxa"/>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b w:val="0"/>
                <w:bCs w:val="0"/>
                <w:color w:val="auto"/>
                <w:sz w:val="24"/>
                <w:szCs w:val="24"/>
                <w:highlight w:val="none"/>
                <w:vertAlign w:val="baseline"/>
                <w:lang w:val="en-US" w:eastAsia="zh-CN"/>
              </w:rPr>
              <w:t>2</w:t>
            </w:r>
          </w:p>
        </w:tc>
        <w:tc>
          <w:tcPr>
            <w:tcW w:w="3225" w:type="dxa"/>
            <w:vAlign w:val="top"/>
          </w:tcPr>
          <w:p>
            <w:pPr>
              <w:keepNext w:val="0"/>
              <w:keepLines w:val="0"/>
              <w:pageBreakBefore w:val="0"/>
              <w:widowControl w:val="0"/>
              <w:kinsoku/>
              <w:wordWrap/>
              <w:overflowPunct w:val="0"/>
              <w:topLinePunct w:val="0"/>
              <w:autoSpaceDE/>
              <w:autoSpaceDN/>
              <w:bidi w:val="0"/>
              <w:adjustRightInd w:val="0"/>
              <w:snapToGrid/>
              <w:spacing w:line="360" w:lineRule="exact"/>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b w:val="0"/>
                <w:bCs w:val="0"/>
                <w:color w:val="auto"/>
                <w:sz w:val="24"/>
                <w:szCs w:val="24"/>
                <w:highlight w:val="none"/>
                <w:vertAlign w:val="baseline"/>
                <w:lang w:eastAsia="zh-CN"/>
              </w:rPr>
              <w:t>广西工程职业学院</w:t>
            </w:r>
            <w:r>
              <w:rPr>
                <w:rFonts w:hint="eastAsia" w:ascii="仿宋_GB2312" w:hAnsi="仿宋_GB2312" w:eastAsia="仿宋_GB2312" w:cs="仿宋_GB2312"/>
                <w:color w:val="auto"/>
                <w:sz w:val="24"/>
                <w:szCs w:val="24"/>
                <w:highlight w:val="none"/>
              </w:rPr>
              <w:t>国际经济与贸易</w:t>
            </w:r>
            <w:r>
              <w:rPr>
                <w:rFonts w:hint="eastAsia" w:ascii="仿宋_GB2312" w:hAnsi="仿宋_GB2312" w:eastAsia="仿宋_GB2312" w:cs="仿宋_GB2312"/>
                <w:b w:val="0"/>
                <w:bCs w:val="0"/>
                <w:color w:val="auto"/>
                <w:sz w:val="24"/>
                <w:szCs w:val="24"/>
                <w:highlight w:val="none"/>
                <w:lang w:val="en-US" w:eastAsia="zh-CN"/>
              </w:rPr>
              <w:t>专业校外实习基地</w:t>
            </w:r>
          </w:p>
        </w:tc>
        <w:tc>
          <w:tcPr>
            <w:tcW w:w="2490" w:type="dxa"/>
            <w:vAlign w:val="top"/>
          </w:tcPr>
          <w:p>
            <w:pPr>
              <w:keepNext w:val="0"/>
              <w:keepLines w:val="0"/>
              <w:pageBreakBefore w:val="0"/>
              <w:widowControl w:val="0"/>
              <w:kinsoku/>
              <w:wordWrap/>
              <w:overflowPunct w:val="0"/>
              <w:topLinePunct w:val="0"/>
              <w:autoSpaceDE/>
              <w:autoSpaceDN/>
              <w:bidi w:val="0"/>
              <w:adjustRightInd w:val="0"/>
              <w:snapToGrid/>
              <w:spacing w:line="360" w:lineRule="exact"/>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b w:val="0"/>
                <w:bCs w:val="0"/>
                <w:color w:val="auto"/>
                <w:sz w:val="24"/>
                <w:szCs w:val="24"/>
                <w:highlight w:val="none"/>
                <w:vertAlign w:val="baseline"/>
              </w:rPr>
              <w:t>平果县皓远商贸有限公司</w:t>
            </w:r>
          </w:p>
        </w:tc>
        <w:tc>
          <w:tcPr>
            <w:tcW w:w="1260" w:type="dxa"/>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both"/>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b w:val="0"/>
                <w:bCs w:val="0"/>
                <w:color w:val="auto"/>
                <w:sz w:val="24"/>
                <w:szCs w:val="24"/>
                <w:highlight w:val="none"/>
                <w:vertAlign w:val="baseline"/>
                <w:lang w:eastAsia="zh-CN"/>
              </w:rPr>
              <w:t>岗位实习</w:t>
            </w:r>
          </w:p>
        </w:tc>
        <w:tc>
          <w:tcPr>
            <w:tcW w:w="1275" w:type="dxa"/>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both"/>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b w:val="0"/>
                <w:bCs w:val="0"/>
                <w:color w:val="auto"/>
                <w:sz w:val="24"/>
                <w:szCs w:val="24"/>
                <w:highlight w:val="none"/>
                <w:vertAlign w:val="baseline"/>
                <w:lang w:eastAsia="zh-CN"/>
              </w:rPr>
              <w:t>深度合作</w:t>
            </w:r>
          </w:p>
        </w:tc>
        <w:tc>
          <w:tcPr>
            <w:tcW w:w="1383" w:type="dxa"/>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b w:val="0"/>
                <w:bCs w:val="0"/>
                <w:color w:val="auto"/>
                <w:sz w:val="24"/>
                <w:szCs w:val="24"/>
                <w:highlight w:val="none"/>
                <w:vertAlign w:val="baseline"/>
                <w:lang w:val="en-US" w:eastAsia="zh-CN"/>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3" w:type="dxa"/>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b w:val="0"/>
                <w:bCs w:val="0"/>
                <w:color w:val="auto"/>
                <w:sz w:val="24"/>
                <w:szCs w:val="24"/>
                <w:highlight w:val="none"/>
                <w:vertAlign w:val="baseline"/>
                <w:lang w:val="en-US" w:eastAsia="zh-CN"/>
              </w:rPr>
              <w:t>3</w:t>
            </w:r>
          </w:p>
        </w:tc>
        <w:tc>
          <w:tcPr>
            <w:tcW w:w="3225" w:type="dxa"/>
            <w:vAlign w:val="top"/>
          </w:tcPr>
          <w:p>
            <w:pPr>
              <w:keepNext w:val="0"/>
              <w:keepLines w:val="0"/>
              <w:pageBreakBefore w:val="0"/>
              <w:widowControl w:val="0"/>
              <w:kinsoku/>
              <w:wordWrap/>
              <w:overflowPunct w:val="0"/>
              <w:topLinePunct w:val="0"/>
              <w:autoSpaceDE/>
              <w:autoSpaceDN/>
              <w:bidi w:val="0"/>
              <w:adjustRightInd w:val="0"/>
              <w:snapToGrid/>
              <w:spacing w:line="360" w:lineRule="exact"/>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b w:val="0"/>
                <w:bCs w:val="0"/>
                <w:color w:val="auto"/>
                <w:sz w:val="24"/>
                <w:szCs w:val="24"/>
                <w:highlight w:val="none"/>
                <w:vertAlign w:val="baseline"/>
                <w:lang w:eastAsia="zh-CN"/>
              </w:rPr>
              <w:t>广西工程职业学院</w:t>
            </w:r>
            <w:r>
              <w:rPr>
                <w:rFonts w:hint="eastAsia" w:ascii="仿宋_GB2312" w:hAnsi="仿宋_GB2312" w:eastAsia="仿宋_GB2312" w:cs="仿宋_GB2312"/>
                <w:color w:val="auto"/>
                <w:sz w:val="24"/>
                <w:szCs w:val="24"/>
                <w:highlight w:val="none"/>
              </w:rPr>
              <w:t>国际经济与贸易</w:t>
            </w:r>
            <w:r>
              <w:rPr>
                <w:rFonts w:hint="eastAsia" w:ascii="仿宋_GB2312" w:hAnsi="仿宋_GB2312" w:eastAsia="仿宋_GB2312" w:cs="仿宋_GB2312"/>
                <w:b w:val="0"/>
                <w:bCs w:val="0"/>
                <w:color w:val="auto"/>
                <w:sz w:val="24"/>
                <w:szCs w:val="24"/>
                <w:highlight w:val="none"/>
                <w:lang w:val="en-US" w:eastAsia="zh-CN"/>
              </w:rPr>
              <w:t>专业校外实习基地</w:t>
            </w:r>
          </w:p>
        </w:tc>
        <w:tc>
          <w:tcPr>
            <w:tcW w:w="2490" w:type="dxa"/>
            <w:vAlign w:val="top"/>
          </w:tcPr>
          <w:p>
            <w:pPr>
              <w:keepNext w:val="0"/>
              <w:keepLines w:val="0"/>
              <w:pageBreakBefore w:val="0"/>
              <w:widowControl w:val="0"/>
              <w:kinsoku/>
              <w:wordWrap/>
              <w:overflowPunct w:val="0"/>
              <w:topLinePunct w:val="0"/>
              <w:autoSpaceDE/>
              <w:autoSpaceDN/>
              <w:bidi w:val="0"/>
              <w:adjustRightInd w:val="0"/>
              <w:snapToGrid/>
              <w:spacing w:line="360" w:lineRule="exact"/>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b w:val="0"/>
                <w:bCs w:val="0"/>
                <w:color w:val="auto"/>
                <w:sz w:val="24"/>
                <w:szCs w:val="24"/>
                <w:highlight w:val="none"/>
                <w:vertAlign w:val="baseline"/>
              </w:rPr>
              <w:t>国海证券股份有限公司百色平果市教育路证券营业部</w:t>
            </w:r>
          </w:p>
        </w:tc>
        <w:tc>
          <w:tcPr>
            <w:tcW w:w="1260" w:type="dxa"/>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both"/>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b w:val="0"/>
                <w:bCs w:val="0"/>
                <w:color w:val="auto"/>
                <w:sz w:val="24"/>
                <w:szCs w:val="24"/>
                <w:highlight w:val="none"/>
                <w:vertAlign w:val="baseline"/>
                <w:lang w:eastAsia="zh-CN"/>
              </w:rPr>
              <w:t>岗位实习</w:t>
            </w:r>
          </w:p>
        </w:tc>
        <w:tc>
          <w:tcPr>
            <w:tcW w:w="1275" w:type="dxa"/>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both"/>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b w:val="0"/>
                <w:bCs w:val="0"/>
                <w:color w:val="auto"/>
                <w:sz w:val="24"/>
                <w:szCs w:val="24"/>
                <w:highlight w:val="none"/>
                <w:vertAlign w:val="baseline"/>
                <w:lang w:eastAsia="zh-CN"/>
              </w:rPr>
              <w:t>深度合作</w:t>
            </w:r>
          </w:p>
        </w:tc>
        <w:tc>
          <w:tcPr>
            <w:tcW w:w="1383" w:type="dxa"/>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b w:val="0"/>
                <w:bCs w:val="0"/>
                <w:color w:val="auto"/>
                <w:sz w:val="24"/>
                <w:szCs w:val="24"/>
                <w:highlight w:val="none"/>
                <w:vertAlign w:val="baseline"/>
                <w:lang w:val="en-US" w:eastAsia="zh-CN"/>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3" w:type="dxa"/>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b w:val="0"/>
                <w:bCs w:val="0"/>
                <w:color w:val="auto"/>
                <w:sz w:val="24"/>
                <w:szCs w:val="24"/>
                <w:highlight w:val="none"/>
                <w:vertAlign w:val="baseline"/>
                <w:lang w:val="en-US" w:eastAsia="zh-CN"/>
              </w:rPr>
              <w:t>4</w:t>
            </w:r>
          </w:p>
        </w:tc>
        <w:tc>
          <w:tcPr>
            <w:tcW w:w="3225" w:type="dxa"/>
            <w:vAlign w:val="top"/>
          </w:tcPr>
          <w:p>
            <w:pPr>
              <w:keepNext w:val="0"/>
              <w:keepLines w:val="0"/>
              <w:pageBreakBefore w:val="0"/>
              <w:widowControl w:val="0"/>
              <w:kinsoku/>
              <w:wordWrap/>
              <w:overflowPunct w:val="0"/>
              <w:topLinePunct w:val="0"/>
              <w:autoSpaceDE/>
              <w:autoSpaceDN/>
              <w:bidi w:val="0"/>
              <w:adjustRightInd w:val="0"/>
              <w:snapToGrid/>
              <w:spacing w:line="360" w:lineRule="exact"/>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b w:val="0"/>
                <w:bCs w:val="0"/>
                <w:color w:val="auto"/>
                <w:sz w:val="24"/>
                <w:szCs w:val="24"/>
                <w:highlight w:val="none"/>
                <w:vertAlign w:val="baseline"/>
                <w:lang w:eastAsia="zh-CN"/>
              </w:rPr>
              <w:t>广西工程职业学院</w:t>
            </w:r>
            <w:r>
              <w:rPr>
                <w:rFonts w:hint="eastAsia" w:ascii="仿宋_GB2312" w:hAnsi="仿宋_GB2312" w:eastAsia="仿宋_GB2312" w:cs="仿宋_GB2312"/>
                <w:color w:val="auto"/>
                <w:sz w:val="24"/>
                <w:szCs w:val="24"/>
                <w:highlight w:val="none"/>
              </w:rPr>
              <w:t>国际经济与贸易</w:t>
            </w:r>
            <w:r>
              <w:rPr>
                <w:rFonts w:hint="eastAsia" w:ascii="仿宋_GB2312" w:hAnsi="仿宋_GB2312" w:eastAsia="仿宋_GB2312" w:cs="仿宋_GB2312"/>
                <w:b w:val="0"/>
                <w:bCs w:val="0"/>
                <w:color w:val="auto"/>
                <w:sz w:val="24"/>
                <w:szCs w:val="24"/>
                <w:highlight w:val="none"/>
                <w:lang w:val="en-US" w:eastAsia="zh-CN"/>
              </w:rPr>
              <w:t>专业校外实习基地</w:t>
            </w:r>
          </w:p>
        </w:tc>
        <w:tc>
          <w:tcPr>
            <w:tcW w:w="2490" w:type="dxa"/>
            <w:vAlign w:val="top"/>
          </w:tcPr>
          <w:p>
            <w:pPr>
              <w:keepNext w:val="0"/>
              <w:keepLines w:val="0"/>
              <w:pageBreakBefore w:val="0"/>
              <w:widowControl w:val="0"/>
              <w:kinsoku/>
              <w:wordWrap/>
              <w:overflowPunct w:val="0"/>
              <w:topLinePunct w:val="0"/>
              <w:autoSpaceDE/>
              <w:autoSpaceDN/>
              <w:bidi w:val="0"/>
              <w:adjustRightInd w:val="0"/>
              <w:snapToGrid/>
              <w:spacing w:line="360" w:lineRule="exact"/>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b w:val="0"/>
                <w:bCs w:val="0"/>
                <w:color w:val="auto"/>
                <w:sz w:val="24"/>
                <w:szCs w:val="24"/>
                <w:highlight w:val="none"/>
                <w:vertAlign w:val="baseline"/>
              </w:rPr>
              <w:t>南宁统一企业有限公司</w:t>
            </w:r>
          </w:p>
        </w:tc>
        <w:tc>
          <w:tcPr>
            <w:tcW w:w="1260" w:type="dxa"/>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both"/>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b w:val="0"/>
                <w:bCs w:val="0"/>
                <w:color w:val="auto"/>
                <w:sz w:val="24"/>
                <w:szCs w:val="24"/>
                <w:highlight w:val="none"/>
                <w:vertAlign w:val="baseline"/>
                <w:lang w:eastAsia="zh-CN"/>
              </w:rPr>
              <w:t>岗位实习</w:t>
            </w:r>
          </w:p>
        </w:tc>
        <w:tc>
          <w:tcPr>
            <w:tcW w:w="1275" w:type="dxa"/>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both"/>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b w:val="0"/>
                <w:bCs w:val="0"/>
                <w:color w:val="auto"/>
                <w:sz w:val="24"/>
                <w:szCs w:val="24"/>
                <w:highlight w:val="none"/>
                <w:vertAlign w:val="baseline"/>
                <w:lang w:eastAsia="zh-CN"/>
              </w:rPr>
              <w:t>深度合作</w:t>
            </w:r>
          </w:p>
        </w:tc>
        <w:tc>
          <w:tcPr>
            <w:tcW w:w="1383" w:type="dxa"/>
            <w:vAlign w:val="center"/>
          </w:tcPr>
          <w:p>
            <w:pPr>
              <w:keepNext w:val="0"/>
              <w:keepLines w:val="0"/>
              <w:pageBreakBefore w:val="0"/>
              <w:widowControl w:val="0"/>
              <w:kinsoku/>
              <w:wordWrap/>
              <w:overflowPunct w:val="0"/>
              <w:topLinePunct w:val="0"/>
              <w:autoSpaceDE/>
              <w:autoSpaceDN/>
              <w:bidi w:val="0"/>
              <w:adjustRightInd w:val="0"/>
              <w:snapToGrid/>
              <w:spacing w:line="360" w:lineRule="exact"/>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b w:val="0"/>
                <w:bCs w:val="0"/>
                <w:color w:val="auto"/>
                <w:sz w:val="24"/>
                <w:szCs w:val="24"/>
                <w:highlight w:val="none"/>
                <w:vertAlign w:val="baseline"/>
                <w:lang w:val="en-US" w:eastAsia="zh-CN"/>
              </w:rPr>
              <w:t>40</w:t>
            </w:r>
          </w:p>
        </w:tc>
      </w:tr>
    </w:tbl>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楷体" w:hAnsi="楷体" w:eastAsia="楷体" w:cs="楷体"/>
          <w:color w:val="auto"/>
          <w:sz w:val="32"/>
          <w:szCs w:val="32"/>
          <w:highlight w:val="none"/>
        </w:rPr>
      </w:pPr>
      <w:r>
        <w:rPr>
          <w:rFonts w:hint="eastAsia" w:ascii="楷体" w:hAnsi="楷体" w:eastAsia="楷体" w:cs="楷体"/>
          <w:color w:val="auto"/>
          <w:sz w:val="32"/>
          <w:szCs w:val="32"/>
          <w:highlight w:val="none"/>
        </w:rPr>
        <w:t>（</w:t>
      </w:r>
      <w:r>
        <w:rPr>
          <w:rFonts w:hint="eastAsia" w:ascii="楷体" w:hAnsi="楷体" w:eastAsia="楷体" w:cs="楷体"/>
          <w:color w:val="auto"/>
          <w:sz w:val="32"/>
          <w:szCs w:val="32"/>
          <w:highlight w:val="none"/>
          <w:lang w:val="en-US" w:eastAsia="zh-CN"/>
        </w:rPr>
        <w:t>二</w:t>
      </w:r>
      <w:r>
        <w:rPr>
          <w:rFonts w:hint="eastAsia" w:ascii="楷体" w:hAnsi="楷体" w:eastAsia="楷体" w:cs="楷体"/>
          <w:color w:val="auto"/>
          <w:sz w:val="32"/>
          <w:szCs w:val="32"/>
          <w:highlight w:val="none"/>
        </w:rPr>
        <w:t>）教学资源</w:t>
      </w:r>
    </w:p>
    <w:p>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教学资源主要包括能满足学生专业学习、教师专业教学研究和教学实施所需的教材、图书文献及数字教学资源等。</w:t>
      </w:r>
    </w:p>
    <w:p>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1.教材选用基本要求</w:t>
      </w:r>
    </w:p>
    <w:p>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选用近五年内出版的高职高专国家级规划教材、自治区级规划教材、高职高专类出版教材。</w:t>
      </w:r>
    </w:p>
    <w:p>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2.图书文献配备基本要求</w:t>
      </w:r>
    </w:p>
    <w:p>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图书文献配备能满足人才培养、专业建设、教科研等工作的需要，方便师生查询、借阅。专业类文献主要包括：国际经济与贸易相关行业政策法规、行业标准、技术规范以及国际经济与贸易等与服务相关专业类图书和实务案例类图书。专业图书资料（含电子图书）不低于500册，5 种以上国际经济与贸易类专业学术期刊，并能保持每年更新。</w:t>
      </w:r>
    </w:p>
    <w:p>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3.数字教学资源配置基本要求</w:t>
      </w:r>
    </w:p>
    <w:p>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b w:val="0"/>
          <w:bCs w:val="0"/>
          <w:color w:val="auto"/>
          <w:sz w:val="32"/>
          <w:szCs w:val="32"/>
          <w:highlight w:val="none"/>
          <w:lang w:val="en-US" w:eastAsia="zh-CN"/>
        </w:rPr>
        <w:t>建设、配备与专业相关的音视频素材、教学课件、数字化教学案例库、虚拟仿真软件、数字教材等专业教学资源库，应种类丰富、形式多样、使用便捷、动态更新，能满足教学要求。</w:t>
      </w:r>
    </w:p>
    <w:p>
      <w:pPr>
        <w:keepNext w:val="0"/>
        <w:keepLines w:val="0"/>
        <w:pageBreakBefore w:val="0"/>
        <w:widowControl w:val="0"/>
        <w:numPr>
          <w:ilvl w:val="0"/>
          <w:numId w:val="2"/>
        </w:numPr>
        <w:kinsoku/>
        <w:wordWrap/>
        <w:overflowPunct w:val="0"/>
        <w:topLinePunct w:val="0"/>
        <w:autoSpaceDE/>
        <w:autoSpaceDN/>
        <w:bidi w:val="0"/>
        <w:adjustRightInd w:val="0"/>
        <w:snapToGrid/>
        <w:spacing w:after="0" w:line="520" w:lineRule="exact"/>
        <w:ind w:left="0" w:leftChars="0" w:firstLine="640" w:firstLineChars="200"/>
        <w:textAlignment w:val="auto"/>
        <w:rPr>
          <w:rFonts w:hint="eastAsia" w:ascii="楷体" w:hAnsi="楷体" w:eastAsia="楷体" w:cs="楷体"/>
          <w:color w:val="auto"/>
          <w:sz w:val="32"/>
          <w:szCs w:val="32"/>
          <w:highlight w:val="none"/>
        </w:rPr>
      </w:pPr>
      <w:r>
        <w:rPr>
          <w:rFonts w:hint="eastAsia" w:ascii="楷体" w:hAnsi="楷体" w:eastAsia="楷体" w:cs="楷体"/>
          <w:color w:val="auto"/>
          <w:sz w:val="32"/>
          <w:szCs w:val="32"/>
          <w:highlight w:val="none"/>
        </w:rPr>
        <w:t>教学方法</w:t>
      </w:r>
    </w:p>
    <w:p>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firstLine="640" w:firstLineChars="200"/>
        <w:textAlignment w:val="auto"/>
        <w:rPr>
          <w:rFonts w:hint="eastAsia" w:ascii="楷体" w:hAnsi="楷体" w:eastAsia="楷体" w:cs="楷体"/>
          <w:color w:val="auto"/>
          <w:sz w:val="32"/>
          <w:szCs w:val="32"/>
          <w:highlight w:val="none"/>
        </w:rPr>
      </w:pPr>
      <w:r>
        <w:rPr>
          <w:rFonts w:hint="default" w:ascii="仿宋_GB2312" w:hAnsi="仿宋_GB2312" w:eastAsia="仿宋_GB2312" w:cs="仿宋_GB2312"/>
          <w:b w:val="0"/>
          <w:bCs w:val="0"/>
          <w:color w:val="auto"/>
          <w:sz w:val="32"/>
          <w:szCs w:val="32"/>
          <w:highlight w:val="none"/>
          <w:lang w:val="en-US" w:eastAsia="zh-CN"/>
        </w:rPr>
        <w:t>根据不同课程的性质</w:t>
      </w:r>
      <w:r>
        <w:rPr>
          <w:rFonts w:hint="eastAsia" w:ascii="仿宋_GB2312" w:hAnsi="仿宋_GB2312" w:eastAsia="仿宋_GB2312" w:cs="仿宋_GB2312"/>
          <w:b w:val="0"/>
          <w:bCs w:val="0"/>
          <w:color w:val="auto"/>
          <w:sz w:val="32"/>
          <w:szCs w:val="32"/>
          <w:highlight w:val="none"/>
          <w:lang w:val="en-US" w:eastAsia="zh-CN"/>
        </w:rPr>
        <w:t>特点</w:t>
      </w:r>
      <w:r>
        <w:rPr>
          <w:rFonts w:hint="default" w:ascii="仿宋_GB2312" w:hAnsi="仿宋_GB2312" w:eastAsia="仿宋_GB2312" w:cs="仿宋_GB2312"/>
          <w:b w:val="0"/>
          <w:bCs w:val="0"/>
          <w:color w:val="auto"/>
          <w:sz w:val="32"/>
          <w:szCs w:val="32"/>
          <w:highlight w:val="none"/>
          <w:lang w:val="en-US" w:eastAsia="zh-CN"/>
        </w:rPr>
        <w:t>，在保留传统讲授法、演示法、讨论法、问答法、案例分析法等的基础上</w:t>
      </w:r>
      <w:r>
        <w:rPr>
          <w:rFonts w:hint="eastAsia" w:ascii="仿宋_GB2312" w:hAnsi="仿宋_GB2312" w:eastAsia="仿宋_GB2312" w:cs="仿宋_GB2312"/>
          <w:b w:val="0"/>
          <w:bCs w:val="0"/>
          <w:color w:val="auto"/>
          <w:sz w:val="32"/>
          <w:szCs w:val="32"/>
          <w:highlight w:val="none"/>
          <w:lang w:val="en-US" w:eastAsia="zh-CN"/>
        </w:rPr>
        <w:t>，</w:t>
      </w:r>
      <w:r>
        <w:rPr>
          <w:rFonts w:hint="default" w:ascii="仿宋_GB2312" w:hAnsi="仿宋_GB2312" w:eastAsia="仿宋_GB2312" w:cs="仿宋_GB2312"/>
          <w:b w:val="0"/>
          <w:bCs w:val="0"/>
          <w:color w:val="auto"/>
          <w:sz w:val="32"/>
          <w:szCs w:val="32"/>
          <w:highlight w:val="none"/>
          <w:lang w:val="en-US" w:eastAsia="zh-CN"/>
        </w:rPr>
        <w:t>应充分利用信息化教学资源，尽量将项目驱动法、探究式教学、翻转课堂等新型教学模式及方法引入课堂，遵循“学生为主体，教师为主导”的原则，积极探索多种教学方法。</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楷体" w:hAnsi="楷体" w:eastAsia="楷体" w:cs="楷体"/>
          <w:color w:val="auto"/>
          <w:sz w:val="32"/>
          <w:szCs w:val="32"/>
          <w:highlight w:val="none"/>
        </w:rPr>
      </w:pPr>
      <w:r>
        <w:rPr>
          <w:rFonts w:hint="eastAsia" w:ascii="楷体" w:hAnsi="楷体" w:eastAsia="楷体" w:cs="楷体"/>
          <w:color w:val="auto"/>
          <w:sz w:val="32"/>
          <w:szCs w:val="32"/>
          <w:highlight w:val="none"/>
        </w:rPr>
        <w:t>（</w:t>
      </w:r>
      <w:r>
        <w:rPr>
          <w:rFonts w:hint="eastAsia" w:ascii="楷体" w:hAnsi="楷体" w:eastAsia="楷体" w:cs="楷体"/>
          <w:color w:val="auto"/>
          <w:sz w:val="32"/>
          <w:szCs w:val="32"/>
          <w:highlight w:val="none"/>
          <w:lang w:val="en-US" w:eastAsia="zh-CN"/>
        </w:rPr>
        <w:t>四</w:t>
      </w:r>
      <w:r>
        <w:rPr>
          <w:rFonts w:hint="eastAsia" w:ascii="楷体" w:hAnsi="楷体" w:eastAsia="楷体" w:cs="楷体"/>
          <w:color w:val="auto"/>
          <w:sz w:val="32"/>
          <w:szCs w:val="32"/>
          <w:highlight w:val="none"/>
        </w:rPr>
        <w:t>）学习评价</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1.课程考核方法</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课程的考核一般分为考试评价、考查评价、鉴定评价、评语评价和答辩评价五种形式。考核评价须根据国家有关规定、课程标准及教学特点确定相应形式，可采取笔试、技能测试、机考、口试、面试等中的一种或多种方式进行。</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课程成绩评定根据学生参与度、作业质量、实训效果与期末考核等项目确定不同比例进行综合评定，评定标准如下：</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highlight w:val="none"/>
        </w:rPr>
      </w:pP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1</w:t>
      </w:r>
      <w:r>
        <w:rPr>
          <w:rFonts w:hint="eastAsia" w:ascii="仿宋_GB2312" w:hAnsi="仿宋_GB2312" w:eastAsia="仿宋_GB2312" w:cs="仿宋_GB2312"/>
          <w:color w:val="auto"/>
          <w:sz w:val="32"/>
          <w:szCs w:val="32"/>
          <w:highlight w:val="none"/>
        </w:rPr>
        <w:t>）A类课程成绩构成（纯理论）</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课程总成绩=期末卷面考试成绩</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50%</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+平时成绩</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50%</w:t>
      </w:r>
      <w:r>
        <w:rPr>
          <w:rFonts w:hint="eastAsia" w:ascii="仿宋_GB2312" w:hAnsi="仿宋_GB2312" w:eastAsia="仿宋_GB2312" w:cs="仿宋_GB2312"/>
          <w:color w:val="auto"/>
          <w:sz w:val="32"/>
          <w:szCs w:val="32"/>
          <w:highlight w:val="none"/>
          <w:lang w:eastAsia="zh-CN"/>
        </w:rPr>
        <w:t>）</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2</w:t>
      </w:r>
      <w:r>
        <w:rPr>
          <w:rFonts w:hint="eastAsia" w:ascii="仿宋_GB2312" w:hAnsi="仿宋_GB2312" w:eastAsia="仿宋_GB2312" w:cs="仿宋_GB2312"/>
          <w:color w:val="auto"/>
          <w:sz w:val="32"/>
          <w:szCs w:val="32"/>
          <w:highlight w:val="none"/>
        </w:rPr>
        <w:t>）B类课程成绩构成（理论+实践）</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课程总成绩=理论部分期末卷面考试成</w:t>
      </w:r>
      <w:r>
        <w:rPr>
          <w:rFonts w:hint="eastAsia" w:ascii="仿宋_GB2312" w:hAnsi="仿宋_GB2312" w:eastAsia="仿宋_GB2312" w:cs="仿宋_GB2312"/>
          <w:color w:val="auto"/>
          <w:sz w:val="32"/>
          <w:szCs w:val="32"/>
          <w:highlight w:val="none"/>
          <w:lang w:val="en-US" w:eastAsia="zh-CN"/>
        </w:rPr>
        <w:t>绩</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40%</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+技能成绩（30%）+平时成绩（30%）</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3</w:t>
      </w:r>
      <w:r>
        <w:rPr>
          <w:rFonts w:hint="eastAsia" w:ascii="仿宋_GB2312" w:hAnsi="仿宋_GB2312" w:eastAsia="仿宋_GB2312" w:cs="仿宋_GB2312"/>
          <w:color w:val="auto"/>
          <w:sz w:val="32"/>
          <w:szCs w:val="32"/>
          <w:highlight w:val="none"/>
        </w:rPr>
        <w:t>）C类课程成绩构成</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纯实践）</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rPr>
        <w:t>课程总成绩=技能成绩</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50%</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+平时成绩</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50%</w:t>
      </w:r>
      <w:r>
        <w:rPr>
          <w:rFonts w:hint="eastAsia" w:ascii="仿宋_GB2312" w:hAnsi="仿宋_GB2312" w:eastAsia="仿宋_GB2312" w:cs="仿宋_GB2312"/>
          <w:color w:val="auto"/>
          <w:sz w:val="32"/>
          <w:szCs w:val="32"/>
          <w:highlight w:val="none"/>
          <w:lang w:eastAsia="zh-CN"/>
        </w:rPr>
        <w:t>）</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2.</w:t>
      </w:r>
      <w:r>
        <w:rPr>
          <w:rFonts w:hint="eastAsia" w:ascii="仿宋_GB2312" w:hAnsi="仿宋_GB2312" w:eastAsia="仿宋_GB2312" w:cs="仿宋_GB2312"/>
          <w:color w:val="auto"/>
          <w:sz w:val="32"/>
          <w:szCs w:val="32"/>
          <w:highlight w:val="none"/>
        </w:rPr>
        <w:t>教学评价方式</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b w:val="0"/>
          <w:bCs w:val="0"/>
          <w:color w:val="auto"/>
          <w:sz w:val="32"/>
          <w:szCs w:val="32"/>
          <w:highlight w:val="none"/>
        </w:rPr>
        <w:t>教学评价采用校内评价与校外评价相结合的方式，校内评价注重过程考核，校外评价以企业评价为主，由企业人员根据企业的岗位工作考核标准，制定对应的核心课程的评价标准，并组织企业人员对学生考核，把评价标准的着眼点和落脚点从目前</w:t>
      </w:r>
      <w:r>
        <w:rPr>
          <w:rFonts w:hint="eastAsia" w:ascii="仿宋_GB2312" w:hAnsi="仿宋_GB2312" w:eastAsia="仿宋_GB2312" w:cs="仿宋_GB2312"/>
          <w:b w:val="0"/>
          <w:bCs w:val="0"/>
          <w:color w:val="auto"/>
          <w:sz w:val="32"/>
          <w:szCs w:val="32"/>
          <w:highlight w:val="none"/>
          <w:lang w:eastAsia="zh-CN"/>
        </w:rPr>
        <w:t>以</w:t>
      </w:r>
      <w:r>
        <w:rPr>
          <w:rFonts w:hint="eastAsia" w:ascii="仿宋_GB2312" w:hAnsi="仿宋_GB2312" w:eastAsia="仿宋_GB2312" w:cs="仿宋_GB2312"/>
          <w:b w:val="0"/>
          <w:bCs w:val="0"/>
          <w:color w:val="auto"/>
          <w:sz w:val="32"/>
          <w:szCs w:val="32"/>
          <w:highlight w:val="none"/>
        </w:rPr>
        <w:t>学科成绩为核心，改变到以岗位能力为核心的轨道上来。本着为行业企业服务的原则，努力缩小或消除学校评价与企业评价之间的差异。</w:t>
      </w:r>
    </w:p>
    <w:p>
      <w:pPr>
        <w:keepNext w:val="0"/>
        <w:keepLines w:val="0"/>
        <w:pageBreakBefore w:val="0"/>
        <w:widowControl w:val="0"/>
        <w:numPr>
          <w:ilvl w:val="0"/>
          <w:numId w:val="4"/>
        </w:numPr>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黑体" w:hAnsi="黑体" w:eastAsia="黑体" w:cs="黑体"/>
          <w:b w:val="0"/>
          <w:bCs w:val="0"/>
          <w:color w:val="auto"/>
          <w:sz w:val="32"/>
          <w:szCs w:val="32"/>
          <w:highlight w:val="none"/>
          <w:lang w:val="en-US" w:eastAsia="zh-CN"/>
        </w:rPr>
      </w:pPr>
      <w:r>
        <w:rPr>
          <w:rFonts w:hint="eastAsia" w:ascii="黑体" w:hAnsi="黑体" w:eastAsia="黑体" w:cs="黑体"/>
          <w:b w:val="0"/>
          <w:bCs w:val="0"/>
          <w:color w:val="auto"/>
          <w:sz w:val="32"/>
          <w:szCs w:val="32"/>
          <w:highlight w:val="none"/>
        </w:rPr>
        <w:t>质量</w:t>
      </w:r>
      <w:r>
        <w:rPr>
          <w:rFonts w:hint="eastAsia" w:ascii="黑体" w:hAnsi="黑体" w:eastAsia="黑体" w:cs="黑体"/>
          <w:b w:val="0"/>
          <w:bCs w:val="0"/>
          <w:color w:val="auto"/>
          <w:sz w:val="32"/>
          <w:szCs w:val="32"/>
          <w:highlight w:val="none"/>
          <w:lang w:val="en-US" w:eastAsia="zh-CN"/>
        </w:rPr>
        <w:t>保障</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1.建立专业建设和教学质量诊断与改进机制，健全专业 教学质量监控管理制度，完善课堂教学、教学评价、实习实训、毕业设计以及专业调研、人才培养方案更新、资源建设 等方面质量标准建设，通过教学实施、过程监控、质量评价 和持续改进，达成人才培养规格。</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2.完善教学管理机制，加强日常教学组织运行与管理</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定期开展课程建设水平和教学质量诊断与改进，建立健全巡课、听课、评教、评学等制度，建立与企业联动的实践教学环节督导制度，严明教学纪律，强化教学组织功能，定期开展公开课、示范课等教研活动。</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3.建立毕业生跟踪反馈机制及社会评价机制，并对生源情况、在校生学业水平、毕业生就业情况等进行分析，定期评价人才培养质量和培养目标达成情况。</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黑体" w:hAnsi="黑体" w:eastAsia="黑体" w:cs="黑体"/>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4.</w:t>
      </w:r>
      <w:r>
        <w:rPr>
          <w:rFonts w:hint="eastAsia" w:ascii="仿宋_GB2312" w:hAnsi="仿宋_GB2312" w:eastAsia="仿宋_GB2312" w:cs="仿宋_GB2312"/>
          <w:b w:val="0"/>
          <w:bCs w:val="0"/>
          <w:color w:val="auto"/>
          <w:sz w:val="32"/>
          <w:szCs w:val="32"/>
          <w:highlight w:val="none"/>
        </w:rPr>
        <w:t>充分利用评价分析结果有效改进专业教学，持续提高 人才培养质量。</w:t>
      </w:r>
    </w:p>
    <w:p>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黑体" w:hAnsi="黑体" w:eastAsia="黑体" w:cs="黑体"/>
          <w:b w:val="0"/>
          <w:bCs w:val="0"/>
          <w:color w:val="auto"/>
          <w:sz w:val="32"/>
          <w:szCs w:val="32"/>
          <w:highlight w:val="none"/>
          <w:lang w:eastAsia="zh-CN"/>
        </w:rPr>
      </w:pPr>
      <w:r>
        <w:rPr>
          <w:rFonts w:hint="eastAsia" w:ascii="黑体" w:hAnsi="黑体" w:eastAsia="黑体" w:cs="黑体"/>
          <w:b w:val="0"/>
          <w:bCs w:val="0"/>
          <w:color w:val="auto"/>
          <w:sz w:val="32"/>
          <w:szCs w:val="32"/>
          <w:highlight w:val="none"/>
          <w:lang w:val="en-US" w:eastAsia="zh-CN"/>
        </w:rPr>
        <w:t>十二、</w:t>
      </w:r>
      <w:r>
        <w:rPr>
          <w:rFonts w:hint="eastAsia" w:ascii="黑体" w:hAnsi="黑体" w:eastAsia="黑体" w:cs="黑体"/>
          <w:b w:val="0"/>
          <w:bCs w:val="0"/>
          <w:color w:val="auto"/>
          <w:sz w:val="32"/>
          <w:szCs w:val="32"/>
          <w:highlight w:val="none"/>
        </w:rPr>
        <w:t>毕业要求</w:t>
      </w:r>
    </w:p>
    <w:p>
      <w:pPr>
        <w:keepNext w:val="0"/>
        <w:keepLines w:val="0"/>
        <w:pageBreakBefore w:val="0"/>
        <w:widowControl w:val="0"/>
        <w:numPr>
          <w:ilvl w:val="0"/>
          <w:numId w:val="5"/>
        </w:numPr>
        <w:kinsoku/>
        <w:wordWrap/>
        <w:overflowPunct w:val="0"/>
        <w:topLinePunct w:val="0"/>
        <w:autoSpaceDE/>
        <w:autoSpaceDN/>
        <w:bidi w:val="0"/>
        <w:adjustRightInd w:val="0"/>
        <w:snapToGrid/>
        <w:spacing w:after="0" w:line="520" w:lineRule="exact"/>
        <w:ind w:left="640" w:leftChars="0" w:firstLine="0" w:firstLineChars="0"/>
        <w:textAlignment w:val="auto"/>
        <w:outlineLvl w:val="0"/>
        <w:rPr>
          <w:rFonts w:hint="eastAsia" w:ascii="楷体" w:hAnsi="楷体" w:eastAsia="楷体" w:cs="楷体"/>
          <w:color w:val="auto"/>
          <w:kern w:val="2"/>
          <w:sz w:val="32"/>
          <w:szCs w:val="32"/>
          <w:highlight w:val="none"/>
          <w:lang w:val="en-US" w:eastAsia="zh-CN" w:bidi="ar-SA"/>
        </w:rPr>
      </w:pPr>
      <w:r>
        <w:rPr>
          <w:rFonts w:hint="eastAsia" w:ascii="楷体" w:hAnsi="楷体" w:eastAsia="楷体" w:cs="楷体"/>
          <w:color w:val="auto"/>
          <w:kern w:val="2"/>
          <w:sz w:val="32"/>
          <w:szCs w:val="32"/>
          <w:highlight w:val="none"/>
          <w:lang w:val="en-US" w:eastAsia="zh-CN" w:bidi="ar-SA"/>
        </w:rPr>
        <w:t>学分要求</w:t>
      </w:r>
    </w:p>
    <w:p>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楷体" w:hAnsi="楷体" w:eastAsia="楷体" w:cs="楷体"/>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本专业要求学生根据人才培养方案确定的目标和培养规格，完成规定的实习实训，全部课程考核合格且修满至少143学分。其中，必修课 127学分，选修课 16学分。公共必修课42学分，公共选修课8学分。专业必修课85学分，专业选修课8学分。</w:t>
      </w:r>
    </w:p>
    <w:p>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leftChars="0" w:firstLine="640" w:firstLineChars="200"/>
        <w:textAlignment w:val="auto"/>
        <w:outlineLvl w:val="0"/>
        <w:rPr>
          <w:rFonts w:hint="eastAsia" w:ascii="仿宋_GB2312" w:hAnsi="仿宋_GB2312" w:eastAsia="仿宋_GB2312" w:cs="仿宋_GB2312"/>
          <w:color w:val="auto"/>
          <w:kern w:val="2"/>
          <w:sz w:val="32"/>
          <w:szCs w:val="32"/>
          <w:highlight w:val="none"/>
          <w:lang w:val="en-US" w:eastAsia="zh-CN" w:bidi="ar-SA"/>
        </w:rPr>
      </w:pPr>
      <w:r>
        <w:rPr>
          <w:rFonts w:hint="eastAsia" w:ascii="楷体" w:hAnsi="楷体" w:eastAsia="楷体" w:cs="楷体"/>
          <w:color w:val="auto"/>
          <w:kern w:val="2"/>
          <w:sz w:val="32"/>
          <w:szCs w:val="32"/>
          <w:highlight w:val="none"/>
          <w:lang w:val="en-US" w:eastAsia="zh-CN" w:bidi="ar-SA"/>
        </w:rPr>
        <w:t>（二）综合素质要求</w:t>
      </w:r>
    </w:p>
    <w:p>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left="0" w:firstLine="640" w:firstLineChars="200"/>
        <w:textAlignment w:val="auto"/>
        <w:outlineLvl w:val="0"/>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经鉴定思想品德符合要求，掌握本专业知识和技术技能，积极参加社会实践活动，具备职业综合素质和行动能力。</w:t>
      </w:r>
    </w:p>
    <w:p>
      <w:pPr>
        <w:rPr>
          <w:color w:val="auto"/>
          <w:highlight w:val="none"/>
        </w:rPr>
      </w:pPr>
    </w:p>
    <w:sectPr>
      <w:footerReference r:id="rId4" w:type="default"/>
      <w:pgSz w:w="11906" w:h="16838"/>
      <w:pgMar w:top="1417" w:right="1417" w:bottom="1417" w:left="1417"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CA201019-DF72-4E11-86B2-8D22A5F29B1E}"/>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embedRegular r:id="rId2" w:fontKey="{2BAE871E-D562-4898-B01A-C954AF22DEB9}"/>
  </w:font>
  <w:font w:name="华文新魏">
    <w:panose1 w:val="02010800040101010101"/>
    <w:charset w:val="86"/>
    <w:family w:val="auto"/>
    <w:pitch w:val="default"/>
    <w:sig w:usb0="00000000" w:usb1="00000000" w:usb2="00000000" w:usb3="00000000" w:csb0="00000000" w:csb1="00000000"/>
    <w:embedRegular r:id="rId3" w:fontKey="{43DE2C03-A7DB-410B-9C29-9F4B6744AB39}"/>
  </w:font>
  <w:font w:name="方正小标宋简体">
    <w:panose1 w:val="03000509000000000000"/>
    <w:charset w:val="86"/>
    <w:family w:val="script"/>
    <w:pitch w:val="default"/>
    <w:sig w:usb0="00000001" w:usb1="080E0000" w:usb2="00000000" w:usb3="00000000" w:csb0="00040000" w:csb1="00000000"/>
    <w:embedRegular r:id="rId4" w:fontKey="{BC8850A3-6494-465E-A370-3F6B3DE68244}"/>
  </w:font>
  <w:font w:name="仿宋_GB2312">
    <w:panose1 w:val="02010609030101010101"/>
    <w:charset w:val="86"/>
    <w:family w:val="modern"/>
    <w:pitch w:val="default"/>
    <w:sig w:usb0="00000001" w:usb1="080E0000" w:usb2="00000000" w:usb3="00000000" w:csb0="00040000" w:csb1="00000000"/>
    <w:embedRegular r:id="rId5" w:fontKey="{7D4101A1-CED2-4443-A535-05F7C2B42A2E}"/>
  </w:font>
  <w:font w:name="楷体">
    <w:panose1 w:val="02010609060101010101"/>
    <w:charset w:val="86"/>
    <w:family w:val="modern"/>
    <w:pitch w:val="default"/>
    <w:sig w:usb0="800002BF" w:usb1="38CF7CFA" w:usb2="00000016" w:usb3="00000000" w:csb0="00040001" w:csb1="00000000"/>
    <w:embedRegular r:id="rId6" w:fontKey="{AFF7F8C9-AB99-4541-9770-61C3C71C438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s0lY7tAAAAAFAQAADwAAAAAAAAABACAAAAAiAAAA&#10;ZHJzL2Rvd25yZXYueG1sUEsBAhQAFAAAAAgAh07iQMuXNVEPAgAABwQAAA4AAAAAAAAAAQAgAAAA&#10;HwEAAGRycy9lMm9Eb2MueG1sUEsFBgAAAAAGAAYAWQEAAKAFAAAAAA==&#10;">
              <v:fill on="f" focussize="0,0"/>
              <v:stroke on="f" weight="0.5pt"/>
              <v:imagedata o:title=""/>
              <o:lock v:ext="edit" aspectratio="f"/>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6D99008"/>
    <w:multiLevelType w:val="singleLevel"/>
    <w:tmpl w:val="A6D99008"/>
    <w:lvl w:ilvl="0" w:tentative="0">
      <w:start w:val="11"/>
      <w:numFmt w:val="chineseCounting"/>
      <w:suff w:val="nothing"/>
      <w:lvlText w:val="%1、"/>
      <w:lvlJc w:val="left"/>
      <w:rPr>
        <w:rFonts w:hint="eastAsia"/>
      </w:rPr>
    </w:lvl>
  </w:abstractNum>
  <w:abstractNum w:abstractNumId="1">
    <w:nsid w:val="B691541D"/>
    <w:multiLevelType w:val="singleLevel"/>
    <w:tmpl w:val="B691541D"/>
    <w:lvl w:ilvl="0" w:tentative="0">
      <w:start w:val="2"/>
      <w:numFmt w:val="decimal"/>
      <w:suff w:val="nothing"/>
      <w:lvlText w:val="（%1）"/>
      <w:lvlJc w:val="left"/>
    </w:lvl>
  </w:abstractNum>
  <w:abstractNum w:abstractNumId="2">
    <w:nsid w:val="CAC8AF89"/>
    <w:multiLevelType w:val="singleLevel"/>
    <w:tmpl w:val="CAC8AF89"/>
    <w:lvl w:ilvl="0" w:tentative="0">
      <w:start w:val="1"/>
      <w:numFmt w:val="chineseCounting"/>
      <w:suff w:val="nothing"/>
      <w:lvlText w:val="（%1）"/>
      <w:lvlJc w:val="left"/>
      <w:rPr>
        <w:rFonts w:hint="eastAsia"/>
      </w:rPr>
    </w:lvl>
  </w:abstractNum>
  <w:abstractNum w:abstractNumId="3">
    <w:nsid w:val="EB2D466B"/>
    <w:multiLevelType w:val="singleLevel"/>
    <w:tmpl w:val="EB2D466B"/>
    <w:lvl w:ilvl="0" w:tentative="0">
      <w:start w:val="1"/>
      <w:numFmt w:val="chineseCounting"/>
      <w:suff w:val="nothing"/>
      <w:lvlText w:val="（%1）"/>
      <w:lvlJc w:val="left"/>
      <w:rPr>
        <w:rFonts w:hint="eastAsia"/>
      </w:rPr>
    </w:lvl>
  </w:abstractNum>
  <w:abstractNum w:abstractNumId="4">
    <w:nsid w:val="4005274C"/>
    <w:multiLevelType w:val="singleLevel"/>
    <w:tmpl w:val="4005274C"/>
    <w:lvl w:ilvl="0" w:tentative="0">
      <w:start w:val="1"/>
      <w:numFmt w:val="chineseCounting"/>
      <w:suff w:val="nothing"/>
      <w:lvlText w:val="（%1）"/>
      <w:lvlJc w:val="left"/>
      <w:pPr>
        <w:ind w:left="640" w:firstLine="0"/>
      </w:pPr>
      <w:rPr>
        <w:rFonts w:hint="eastAsia"/>
      </w:rPr>
    </w:lvl>
  </w:abstractNum>
  <w:num w:numId="1">
    <w:abstractNumId w:val="2"/>
  </w:num>
  <w:num w:numId="2">
    <w:abstractNumId w:val="3"/>
  </w:num>
  <w:num w:numId="3">
    <w:abstractNumId w:val="1"/>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NlODNhNmM0OTAwZDVjMTAyN2Q2MmIyMTg0YmNmNzQifQ=="/>
  </w:docVars>
  <w:rsids>
    <w:rsidRoot w:val="00FA77F6"/>
    <w:rsid w:val="00090E00"/>
    <w:rsid w:val="000A7541"/>
    <w:rsid w:val="0015300C"/>
    <w:rsid w:val="001673E5"/>
    <w:rsid w:val="001A7FBE"/>
    <w:rsid w:val="00283E45"/>
    <w:rsid w:val="002D15C0"/>
    <w:rsid w:val="003531B3"/>
    <w:rsid w:val="003D3CE4"/>
    <w:rsid w:val="005645D8"/>
    <w:rsid w:val="005A2BBB"/>
    <w:rsid w:val="006A1AE0"/>
    <w:rsid w:val="0071110E"/>
    <w:rsid w:val="009F097D"/>
    <w:rsid w:val="00A12741"/>
    <w:rsid w:val="00A165B0"/>
    <w:rsid w:val="00A23811"/>
    <w:rsid w:val="00AB71CC"/>
    <w:rsid w:val="00B14C0C"/>
    <w:rsid w:val="00B46AB6"/>
    <w:rsid w:val="00B91791"/>
    <w:rsid w:val="00C3446C"/>
    <w:rsid w:val="00C4271B"/>
    <w:rsid w:val="00D03D56"/>
    <w:rsid w:val="00E2700A"/>
    <w:rsid w:val="00ED3BD8"/>
    <w:rsid w:val="00F52A8D"/>
    <w:rsid w:val="00F63617"/>
    <w:rsid w:val="00F82685"/>
    <w:rsid w:val="00FA77F6"/>
    <w:rsid w:val="00FB052B"/>
    <w:rsid w:val="01514167"/>
    <w:rsid w:val="01782FC9"/>
    <w:rsid w:val="01786F4B"/>
    <w:rsid w:val="01AA3877"/>
    <w:rsid w:val="02661E94"/>
    <w:rsid w:val="02CD5374"/>
    <w:rsid w:val="03304250"/>
    <w:rsid w:val="03745814"/>
    <w:rsid w:val="03A07894"/>
    <w:rsid w:val="048C3708"/>
    <w:rsid w:val="04BC3FEE"/>
    <w:rsid w:val="051223C4"/>
    <w:rsid w:val="062E0F1B"/>
    <w:rsid w:val="06471FDD"/>
    <w:rsid w:val="06C90C44"/>
    <w:rsid w:val="070954E4"/>
    <w:rsid w:val="07322345"/>
    <w:rsid w:val="082F2519"/>
    <w:rsid w:val="084C7436"/>
    <w:rsid w:val="08DA7138"/>
    <w:rsid w:val="08F70DAF"/>
    <w:rsid w:val="09075A53"/>
    <w:rsid w:val="094D790A"/>
    <w:rsid w:val="095347F5"/>
    <w:rsid w:val="09CB082F"/>
    <w:rsid w:val="09D45935"/>
    <w:rsid w:val="0A1E4E03"/>
    <w:rsid w:val="0A634F0B"/>
    <w:rsid w:val="0AC91212"/>
    <w:rsid w:val="0AFF69E2"/>
    <w:rsid w:val="0B64718D"/>
    <w:rsid w:val="0B9E269F"/>
    <w:rsid w:val="0BB93035"/>
    <w:rsid w:val="0C0A3BA0"/>
    <w:rsid w:val="0CE642FD"/>
    <w:rsid w:val="0D3000CB"/>
    <w:rsid w:val="0D5521C5"/>
    <w:rsid w:val="0DE924A0"/>
    <w:rsid w:val="0DF63BA9"/>
    <w:rsid w:val="0E2350DD"/>
    <w:rsid w:val="0E5E6115"/>
    <w:rsid w:val="0ED4462A"/>
    <w:rsid w:val="0F386966"/>
    <w:rsid w:val="0F812D6A"/>
    <w:rsid w:val="0FA47B58"/>
    <w:rsid w:val="0FA67D74"/>
    <w:rsid w:val="0FD20B69"/>
    <w:rsid w:val="0FE4089C"/>
    <w:rsid w:val="10093E5F"/>
    <w:rsid w:val="10152804"/>
    <w:rsid w:val="10234F21"/>
    <w:rsid w:val="10914580"/>
    <w:rsid w:val="10EE36A0"/>
    <w:rsid w:val="116752E1"/>
    <w:rsid w:val="11EB6E22"/>
    <w:rsid w:val="12485112"/>
    <w:rsid w:val="127F665A"/>
    <w:rsid w:val="12DC3AAD"/>
    <w:rsid w:val="12F708E7"/>
    <w:rsid w:val="13203999"/>
    <w:rsid w:val="135C5E82"/>
    <w:rsid w:val="137422CC"/>
    <w:rsid w:val="139B5716"/>
    <w:rsid w:val="13C77F07"/>
    <w:rsid w:val="13F454F6"/>
    <w:rsid w:val="14A800EA"/>
    <w:rsid w:val="15001CD4"/>
    <w:rsid w:val="150317C5"/>
    <w:rsid w:val="15202377"/>
    <w:rsid w:val="15542020"/>
    <w:rsid w:val="160207E7"/>
    <w:rsid w:val="165F0C7D"/>
    <w:rsid w:val="1699418F"/>
    <w:rsid w:val="16995FBA"/>
    <w:rsid w:val="16A42B33"/>
    <w:rsid w:val="16DC051F"/>
    <w:rsid w:val="170B4961"/>
    <w:rsid w:val="1740285C"/>
    <w:rsid w:val="1749510D"/>
    <w:rsid w:val="1796247C"/>
    <w:rsid w:val="18CB084B"/>
    <w:rsid w:val="19481E9C"/>
    <w:rsid w:val="19AF3CC9"/>
    <w:rsid w:val="1A262FB5"/>
    <w:rsid w:val="1AE45BF4"/>
    <w:rsid w:val="1BAE7956"/>
    <w:rsid w:val="1BCC19A4"/>
    <w:rsid w:val="1BF93A5C"/>
    <w:rsid w:val="1C27223D"/>
    <w:rsid w:val="1C6F14EE"/>
    <w:rsid w:val="1CB25FAA"/>
    <w:rsid w:val="1D0377EB"/>
    <w:rsid w:val="1D24677C"/>
    <w:rsid w:val="1DBF59D4"/>
    <w:rsid w:val="1DD51824"/>
    <w:rsid w:val="1E2C0849"/>
    <w:rsid w:val="1E4B3DFE"/>
    <w:rsid w:val="1E91399D"/>
    <w:rsid w:val="1EA77665"/>
    <w:rsid w:val="1ECC6B87"/>
    <w:rsid w:val="1F3A7811"/>
    <w:rsid w:val="1F5350F7"/>
    <w:rsid w:val="1FB17C46"/>
    <w:rsid w:val="1FB21E1D"/>
    <w:rsid w:val="1FBC2C9C"/>
    <w:rsid w:val="207417C9"/>
    <w:rsid w:val="20AA343C"/>
    <w:rsid w:val="20AD7038"/>
    <w:rsid w:val="20BE4D41"/>
    <w:rsid w:val="20E56222"/>
    <w:rsid w:val="210E0F0E"/>
    <w:rsid w:val="216D1C2B"/>
    <w:rsid w:val="2170143C"/>
    <w:rsid w:val="21EB3D26"/>
    <w:rsid w:val="22123047"/>
    <w:rsid w:val="223461B5"/>
    <w:rsid w:val="22967FAA"/>
    <w:rsid w:val="22A00653"/>
    <w:rsid w:val="2338088B"/>
    <w:rsid w:val="236773C3"/>
    <w:rsid w:val="237D0994"/>
    <w:rsid w:val="23954DD6"/>
    <w:rsid w:val="23D42CAA"/>
    <w:rsid w:val="249D12EE"/>
    <w:rsid w:val="24E76143"/>
    <w:rsid w:val="24F353B2"/>
    <w:rsid w:val="25386DBD"/>
    <w:rsid w:val="267A11BB"/>
    <w:rsid w:val="267D7507"/>
    <w:rsid w:val="27075144"/>
    <w:rsid w:val="27441EF5"/>
    <w:rsid w:val="27AE3812"/>
    <w:rsid w:val="27F5401D"/>
    <w:rsid w:val="28557849"/>
    <w:rsid w:val="285A12A4"/>
    <w:rsid w:val="289A5B44"/>
    <w:rsid w:val="28BD30CD"/>
    <w:rsid w:val="296E1A2F"/>
    <w:rsid w:val="29943CA6"/>
    <w:rsid w:val="29B449E4"/>
    <w:rsid w:val="29C72B81"/>
    <w:rsid w:val="29F55728"/>
    <w:rsid w:val="2ADA0ABE"/>
    <w:rsid w:val="2AED3B5C"/>
    <w:rsid w:val="2B0F281A"/>
    <w:rsid w:val="2B8D373E"/>
    <w:rsid w:val="2BF11F1F"/>
    <w:rsid w:val="2C802418"/>
    <w:rsid w:val="2CB341C7"/>
    <w:rsid w:val="2CC66F08"/>
    <w:rsid w:val="2CEB2E12"/>
    <w:rsid w:val="2D5704A8"/>
    <w:rsid w:val="2D8165B1"/>
    <w:rsid w:val="2D8454C6"/>
    <w:rsid w:val="2D964B2C"/>
    <w:rsid w:val="2DAC4350"/>
    <w:rsid w:val="2DE47F8D"/>
    <w:rsid w:val="2E0A6A77"/>
    <w:rsid w:val="2E810528"/>
    <w:rsid w:val="2F083808"/>
    <w:rsid w:val="2F34284F"/>
    <w:rsid w:val="2F436F36"/>
    <w:rsid w:val="2F7A2E0A"/>
    <w:rsid w:val="2F896FB8"/>
    <w:rsid w:val="2F8D1F5F"/>
    <w:rsid w:val="2FA96B3D"/>
    <w:rsid w:val="2FD933F6"/>
    <w:rsid w:val="30042360"/>
    <w:rsid w:val="30330A2F"/>
    <w:rsid w:val="30835A3B"/>
    <w:rsid w:val="30A6152A"/>
    <w:rsid w:val="30A77050"/>
    <w:rsid w:val="30DC27D6"/>
    <w:rsid w:val="3115220C"/>
    <w:rsid w:val="31342FDA"/>
    <w:rsid w:val="318A49A8"/>
    <w:rsid w:val="31A83FF1"/>
    <w:rsid w:val="31AA329C"/>
    <w:rsid w:val="31D2634F"/>
    <w:rsid w:val="32102C1C"/>
    <w:rsid w:val="321D581C"/>
    <w:rsid w:val="32F32A21"/>
    <w:rsid w:val="32F92E4C"/>
    <w:rsid w:val="32FA3DAF"/>
    <w:rsid w:val="33260700"/>
    <w:rsid w:val="33266952"/>
    <w:rsid w:val="33AE06F6"/>
    <w:rsid w:val="33B93C14"/>
    <w:rsid w:val="33BB425F"/>
    <w:rsid w:val="34713AC5"/>
    <w:rsid w:val="348B3F97"/>
    <w:rsid w:val="34B65AB4"/>
    <w:rsid w:val="34B97B86"/>
    <w:rsid w:val="34C46423"/>
    <w:rsid w:val="34EA50C0"/>
    <w:rsid w:val="357449D1"/>
    <w:rsid w:val="35E93C67"/>
    <w:rsid w:val="364315C9"/>
    <w:rsid w:val="36657792"/>
    <w:rsid w:val="370E7E29"/>
    <w:rsid w:val="376B0DD8"/>
    <w:rsid w:val="3770165B"/>
    <w:rsid w:val="37960DB8"/>
    <w:rsid w:val="37AD2573"/>
    <w:rsid w:val="37F01228"/>
    <w:rsid w:val="381153F4"/>
    <w:rsid w:val="38481119"/>
    <w:rsid w:val="38877EE4"/>
    <w:rsid w:val="38C22C79"/>
    <w:rsid w:val="39372651"/>
    <w:rsid w:val="39A700C1"/>
    <w:rsid w:val="3A451367"/>
    <w:rsid w:val="3A60099C"/>
    <w:rsid w:val="3A6D5E34"/>
    <w:rsid w:val="3A7A7584"/>
    <w:rsid w:val="3A995C5C"/>
    <w:rsid w:val="3AAF774C"/>
    <w:rsid w:val="3AEA4709"/>
    <w:rsid w:val="3B4007CD"/>
    <w:rsid w:val="3C17152E"/>
    <w:rsid w:val="3D0047E4"/>
    <w:rsid w:val="3D766728"/>
    <w:rsid w:val="3D9F7A2D"/>
    <w:rsid w:val="3DAD2030"/>
    <w:rsid w:val="3E4D7489"/>
    <w:rsid w:val="3E6531DE"/>
    <w:rsid w:val="3E725142"/>
    <w:rsid w:val="3EB92D70"/>
    <w:rsid w:val="3F6A4DBB"/>
    <w:rsid w:val="3F785DC7"/>
    <w:rsid w:val="3FF86C17"/>
    <w:rsid w:val="3FFC1167"/>
    <w:rsid w:val="40077B0C"/>
    <w:rsid w:val="404B5C4A"/>
    <w:rsid w:val="40664832"/>
    <w:rsid w:val="4084115C"/>
    <w:rsid w:val="4099592E"/>
    <w:rsid w:val="40B53BBC"/>
    <w:rsid w:val="40B557B9"/>
    <w:rsid w:val="40C8470D"/>
    <w:rsid w:val="413D6362"/>
    <w:rsid w:val="41540B2E"/>
    <w:rsid w:val="415648A7"/>
    <w:rsid w:val="41727207"/>
    <w:rsid w:val="41982DB1"/>
    <w:rsid w:val="41A42FA1"/>
    <w:rsid w:val="41BB6E00"/>
    <w:rsid w:val="41CF62FB"/>
    <w:rsid w:val="41DE5079"/>
    <w:rsid w:val="422A57D8"/>
    <w:rsid w:val="42817701"/>
    <w:rsid w:val="428611BC"/>
    <w:rsid w:val="42B86E9B"/>
    <w:rsid w:val="43105F3B"/>
    <w:rsid w:val="436463B1"/>
    <w:rsid w:val="43713C1A"/>
    <w:rsid w:val="43792ACE"/>
    <w:rsid w:val="43A538C3"/>
    <w:rsid w:val="43C755E8"/>
    <w:rsid w:val="44380293"/>
    <w:rsid w:val="447D65EE"/>
    <w:rsid w:val="44A43B7B"/>
    <w:rsid w:val="44B71B00"/>
    <w:rsid w:val="44B862E9"/>
    <w:rsid w:val="455530C7"/>
    <w:rsid w:val="45C34B6E"/>
    <w:rsid w:val="4602706C"/>
    <w:rsid w:val="46733805"/>
    <w:rsid w:val="46B856BC"/>
    <w:rsid w:val="46EE10DD"/>
    <w:rsid w:val="46F661E4"/>
    <w:rsid w:val="47103740"/>
    <w:rsid w:val="471C3E9C"/>
    <w:rsid w:val="4803505C"/>
    <w:rsid w:val="480A0199"/>
    <w:rsid w:val="48A57EC2"/>
    <w:rsid w:val="48AE4FC8"/>
    <w:rsid w:val="48BA396D"/>
    <w:rsid w:val="48BD16AF"/>
    <w:rsid w:val="48DF1625"/>
    <w:rsid w:val="48E56510"/>
    <w:rsid w:val="49395702"/>
    <w:rsid w:val="49843F7B"/>
    <w:rsid w:val="49A63EF1"/>
    <w:rsid w:val="4A3C6604"/>
    <w:rsid w:val="4AA20B5D"/>
    <w:rsid w:val="4AD8632C"/>
    <w:rsid w:val="4AF15640"/>
    <w:rsid w:val="4AFA62A3"/>
    <w:rsid w:val="4B726781"/>
    <w:rsid w:val="4C0272E2"/>
    <w:rsid w:val="4C0C0983"/>
    <w:rsid w:val="4C1149B8"/>
    <w:rsid w:val="4C675BBA"/>
    <w:rsid w:val="4D135D42"/>
    <w:rsid w:val="4D1473C4"/>
    <w:rsid w:val="4DDE6EBC"/>
    <w:rsid w:val="4E514358"/>
    <w:rsid w:val="4E5C7274"/>
    <w:rsid w:val="4F585C8E"/>
    <w:rsid w:val="4F6B3C13"/>
    <w:rsid w:val="4F7D56F4"/>
    <w:rsid w:val="509C4C8B"/>
    <w:rsid w:val="5135219E"/>
    <w:rsid w:val="51C30881"/>
    <w:rsid w:val="51D535C6"/>
    <w:rsid w:val="51FE1E87"/>
    <w:rsid w:val="522105B9"/>
    <w:rsid w:val="5259656B"/>
    <w:rsid w:val="535B634F"/>
    <w:rsid w:val="53807561"/>
    <w:rsid w:val="53C71634"/>
    <w:rsid w:val="542919A7"/>
    <w:rsid w:val="55D607AC"/>
    <w:rsid w:val="55D87B28"/>
    <w:rsid w:val="55E62245"/>
    <w:rsid w:val="56397652"/>
    <w:rsid w:val="565C2507"/>
    <w:rsid w:val="566118CC"/>
    <w:rsid w:val="56A23A63"/>
    <w:rsid w:val="56F95FA8"/>
    <w:rsid w:val="572D5C52"/>
    <w:rsid w:val="580E0882"/>
    <w:rsid w:val="58337298"/>
    <w:rsid w:val="58680DC2"/>
    <w:rsid w:val="588673C8"/>
    <w:rsid w:val="58E02A3F"/>
    <w:rsid w:val="5900361E"/>
    <w:rsid w:val="59221995"/>
    <w:rsid w:val="592F7A5F"/>
    <w:rsid w:val="59345076"/>
    <w:rsid w:val="59575208"/>
    <w:rsid w:val="595C12A3"/>
    <w:rsid w:val="5996188C"/>
    <w:rsid w:val="59C77C98"/>
    <w:rsid w:val="59DE1485"/>
    <w:rsid w:val="5A9F0C15"/>
    <w:rsid w:val="5AD36B10"/>
    <w:rsid w:val="5AE64A95"/>
    <w:rsid w:val="5B137EF8"/>
    <w:rsid w:val="5B1F1DFE"/>
    <w:rsid w:val="5B322D65"/>
    <w:rsid w:val="5B9C1FF6"/>
    <w:rsid w:val="5BBC75A4"/>
    <w:rsid w:val="5BCC4E68"/>
    <w:rsid w:val="5C0E6052"/>
    <w:rsid w:val="5C2F421A"/>
    <w:rsid w:val="5C38700F"/>
    <w:rsid w:val="5C4E644E"/>
    <w:rsid w:val="5C606182"/>
    <w:rsid w:val="5C8C341B"/>
    <w:rsid w:val="5C9B365E"/>
    <w:rsid w:val="5CD1707F"/>
    <w:rsid w:val="5D01298C"/>
    <w:rsid w:val="5D206DB4"/>
    <w:rsid w:val="5D292A17"/>
    <w:rsid w:val="5DBE5DE3"/>
    <w:rsid w:val="5E043D85"/>
    <w:rsid w:val="5E510503"/>
    <w:rsid w:val="5E7540E3"/>
    <w:rsid w:val="5E8B1BDC"/>
    <w:rsid w:val="5E93321A"/>
    <w:rsid w:val="5E9B7945"/>
    <w:rsid w:val="5EBD5B0D"/>
    <w:rsid w:val="5F07293D"/>
    <w:rsid w:val="5F1B4F3C"/>
    <w:rsid w:val="5F2B6F1B"/>
    <w:rsid w:val="5F335DCF"/>
    <w:rsid w:val="5F475456"/>
    <w:rsid w:val="5F4C0C3F"/>
    <w:rsid w:val="5FC058B5"/>
    <w:rsid w:val="5FE1582B"/>
    <w:rsid w:val="5FF23595"/>
    <w:rsid w:val="5FF437B1"/>
    <w:rsid w:val="601C4AB5"/>
    <w:rsid w:val="603462B2"/>
    <w:rsid w:val="608D150F"/>
    <w:rsid w:val="611D2893"/>
    <w:rsid w:val="613D1187"/>
    <w:rsid w:val="614442C4"/>
    <w:rsid w:val="61750921"/>
    <w:rsid w:val="617A5F38"/>
    <w:rsid w:val="61926DDD"/>
    <w:rsid w:val="622C26F6"/>
    <w:rsid w:val="62386256"/>
    <w:rsid w:val="62D11B87"/>
    <w:rsid w:val="62E80EC0"/>
    <w:rsid w:val="631D301E"/>
    <w:rsid w:val="631F49AF"/>
    <w:rsid w:val="632717A7"/>
    <w:rsid w:val="6384309D"/>
    <w:rsid w:val="638D0589"/>
    <w:rsid w:val="63CE39A4"/>
    <w:rsid w:val="63D27965"/>
    <w:rsid w:val="64025D70"/>
    <w:rsid w:val="643017E4"/>
    <w:rsid w:val="644840CB"/>
    <w:rsid w:val="64871DF6"/>
    <w:rsid w:val="64966BE4"/>
    <w:rsid w:val="65165F77"/>
    <w:rsid w:val="65FE0EE5"/>
    <w:rsid w:val="663F14FE"/>
    <w:rsid w:val="66707909"/>
    <w:rsid w:val="66B141AA"/>
    <w:rsid w:val="67470A9D"/>
    <w:rsid w:val="6773145F"/>
    <w:rsid w:val="67B90B06"/>
    <w:rsid w:val="67FA56DC"/>
    <w:rsid w:val="681A3FD0"/>
    <w:rsid w:val="6888718C"/>
    <w:rsid w:val="68B25FB7"/>
    <w:rsid w:val="69164798"/>
    <w:rsid w:val="69D837FB"/>
    <w:rsid w:val="6A246A40"/>
    <w:rsid w:val="6A9C6F1F"/>
    <w:rsid w:val="6ABA1153"/>
    <w:rsid w:val="6AF44665"/>
    <w:rsid w:val="6BDB75D3"/>
    <w:rsid w:val="6BF80185"/>
    <w:rsid w:val="6C2B055A"/>
    <w:rsid w:val="6C423AF6"/>
    <w:rsid w:val="6C8A72E3"/>
    <w:rsid w:val="6C923EBF"/>
    <w:rsid w:val="6D1D49F8"/>
    <w:rsid w:val="6D8F2D6B"/>
    <w:rsid w:val="6E0C43BB"/>
    <w:rsid w:val="6E9C29A2"/>
    <w:rsid w:val="6EF07839"/>
    <w:rsid w:val="6F2F65B3"/>
    <w:rsid w:val="6FB37566"/>
    <w:rsid w:val="6FC4358D"/>
    <w:rsid w:val="6FEF5EFE"/>
    <w:rsid w:val="6FF128C8"/>
    <w:rsid w:val="6FF60E7F"/>
    <w:rsid w:val="713C6D66"/>
    <w:rsid w:val="71DD2CB4"/>
    <w:rsid w:val="72011973"/>
    <w:rsid w:val="72563E57"/>
    <w:rsid w:val="72DA6836"/>
    <w:rsid w:val="72F21DD2"/>
    <w:rsid w:val="72FF629D"/>
    <w:rsid w:val="730022F6"/>
    <w:rsid w:val="732301DD"/>
    <w:rsid w:val="732950C8"/>
    <w:rsid w:val="735E76C4"/>
    <w:rsid w:val="73C60B68"/>
    <w:rsid w:val="73FD2CDB"/>
    <w:rsid w:val="74024296"/>
    <w:rsid w:val="74185868"/>
    <w:rsid w:val="742510D0"/>
    <w:rsid w:val="74257F85"/>
    <w:rsid w:val="744F0B5E"/>
    <w:rsid w:val="749A44CF"/>
    <w:rsid w:val="74F55BA9"/>
    <w:rsid w:val="74F6722B"/>
    <w:rsid w:val="751A53DD"/>
    <w:rsid w:val="75504B8E"/>
    <w:rsid w:val="76191423"/>
    <w:rsid w:val="76326989"/>
    <w:rsid w:val="76562678"/>
    <w:rsid w:val="7718792D"/>
    <w:rsid w:val="77D965A0"/>
    <w:rsid w:val="77FC484A"/>
    <w:rsid w:val="782C5979"/>
    <w:rsid w:val="7847671C"/>
    <w:rsid w:val="789254BD"/>
    <w:rsid w:val="79002D6F"/>
    <w:rsid w:val="791660EE"/>
    <w:rsid w:val="79751DE3"/>
    <w:rsid w:val="7A1E674C"/>
    <w:rsid w:val="7A965FF5"/>
    <w:rsid w:val="7B821819"/>
    <w:rsid w:val="7BAC4AE8"/>
    <w:rsid w:val="7C9C690A"/>
    <w:rsid w:val="7D1172F8"/>
    <w:rsid w:val="7D7B6E68"/>
    <w:rsid w:val="7DAC0DCF"/>
    <w:rsid w:val="7E372159"/>
    <w:rsid w:val="7E6F518E"/>
    <w:rsid w:val="7EAF501B"/>
    <w:rsid w:val="7F080287"/>
    <w:rsid w:val="7F0D5154"/>
    <w:rsid w:val="7F1255AA"/>
    <w:rsid w:val="7F491DA9"/>
    <w:rsid w:val="7FB623D9"/>
    <w:rsid w:val="7FE707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160" w:line="278" w:lineRule="auto"/>
      <w:jc w:val="both"/>
    </w:pPr>
    <w:rPr>
      <w:rFonts w:ascii="Times New Roman" w:hAnsi="Times New Roman" w:eastAsia="宋体" w:cs="Times New Roman"/>
      <w:kern w:val="2"/>
      <w:sz w:val="21"/>
      <w:szCs w:val="24"/>
      <w:lang w:val="en-US" w:eastAsia="zh-CN" w:bidi="ar-SA"/>
    </w:rPr>
  </w:style>
  <w:style w:type="paragraph" w:styleId="2">
    <w:name w:val="heading 3"/>
    <w:basedOn w:val="1"/>
    <w:next w:val="1"/>
    <w:qFormat/>
    <w:uiPriority w:val="9"/>
    <w:pPr>
      <w:keepNext/>
      <w:keepLines/>
      <w:spacing w:before="40"/>
      <w:outlineLvl w:val="2"/>
    </w:pPr>
    <w:rPr>
      <w:rFonts w:ascii="Calibri Light" w:hAnsi="Calibri Light"/>
      <w:color w:val="0D0D0D"/>
      <w:sz w:val="24"/>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ody Text"/>
    <w:basedOn w:val="1"/>
    <w:semiHidden/>
    <w:qFormat/>
    <w:uiPriority w:val="0"/>
    <w:rPr>
      <w:rFonts w:ascii="宋体" w:hAnsi="宋体" w:cs="宋体"/>
      <w:szCs w:val="21"/>
      <w:lang w:eastAsia="en-US"/>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widowControl/>
      <w:spacing w:before="100" w:beforeAutospacing="1" w:after="100" w:afterAutospacing="1"/>
      <w:jc w:val="left"/>
    </w:pPr>
    <w:rPr>
      <w:rFonts w:ascii="宋体" w:hAnsi="宋体" w:cs="宋体"/>
      <w:kern w:val="0"/>
      <w:sz w:val="24"/>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Strong"/>
    <w:basedOn w:val="9"/>
    <w:qFormat/>
    <w:uiPriority w:val="0"/>
    <w:rPr>
      <w:b/>
    </w:rPr>
  </w:style>
  <w:style w:type="paragraph" w:customStyle="1" w:styleId="11">
    <w:name w:val="Table Text"/>
    <w:basedOn w:val="1"/>
    <w:semiHidden/>
    <w:qFormat/>
    <w:uiPriority w:val="0"/>
    <w:rPr>
      <w:rFonts w:ascii="宋体" w:hAnsi="宋体" w:cs="宋体"/>
      <w:sz w:val="18"/>
      <w:szCs w:val="18"/>
      <w:lang w:eastAsia="en-US"/>
    </w:rPr>
  </w:style>
  <w:style w:type="table" w:customStyle="1" w:styleId="12">
    <w:name w:val="Table Normal"/>
    <w:semiHidden/>
    <w:unhideWhenUsed/>
    <w:qFormat/>
    <w:uiPriority w:val="0"/>
    <w:tblPr>
      <w:tblCellMar>
        <w:top w:w="0" w:type="dxa"/>
        <w:left w:w="0" w:type="dxa"/>
        <w:bottom w:w="0" w:type="dxa"/>
        <w:right w:w="0" w:type="dxa"/>
      </w:tblCellMar>
    </w:tblPr>
  </w:style>
  <w:style w:type="paragraph" w:customStyle="1" w:styleId="13">
    <w:name w:val="_Style 13"/>
    <w:qFormat/>
    <w:uiPriority w:val="0"/>
    <w:pPr>
      <w:spacing w:before="120" w:after="120" w:line="288" w:lineRule="auto"/>
      <w:ind w:left="0"/>
      <w:jc w:val="left"/>
    </w:pPr>
    <w:rPr>
      <w:rFonts w:ascii="Arial" w:hAnsi="Arial" w:eastAsia="等线" w:cs="Arial"/>
      <w:sz w:val="22"/>
      <w:szCs w:val="22"/>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51</Pages>
  <Words>2688</Words>
  <Characters>2742</Characters>
  <Lines>1850</Lines>
  <Paragraphs>1270</Paragraphs>
  <TotalTime>22</TotalTime>
  <ScaleCrop>false</ScaleCrop>
  <LinksUpToDate>false</LinksUpToDate>
  <CharactersWithSpaces>2779</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2024-09-18T00:36:00Z</dcterms:created>
  <dc:creator>Administrator.WIN-GUF7F9D61L7</dc:creator>
  <cp:lastModifiedBy>ll</cp:lastModifiedBy>
  <cp:lastPrinted>2024-09-18T02:55:00Z</cp:lastPrinted>
  <dcterms:modified xsi:type="dcterms:W3CDTF">2025-09-26T08:57:11Z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y fmtid="{D5CDD505-2E9C-101B-9397-08002B2CF9AE}" pid="3" name="ICV">
    <vt:lpwstr>0DAC74E1EFE5487690866511387BAA3D_13</vt:lpwstr>
  </property>
  <property fmtid="{D5CDD505-2E9C-101B-9397-08002B2CF9AE}" pid="4" name="KSOTemplateDocerSaveRecord">
    <vt:lpwstr>eyJoZGlkIjoiZTlkMGRkODA2ODczM2MyMjE5MDExMmZhMGNiOWRiOTgiLCJ1c2VySWQiOiIyNTQyMjExNzQifQ==</vt:lpwstr>
  </property>
</Properties>
</file>