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4463F9">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528C9BFE">
      <w:pPr>
        <w:overflowPunct w:val="0"/>
        <w:adjustRightInd w:val="0"/>
        <w:snapToGrid w:val="0"/>
        <w:jc w:val="center"/>
        <w:rPr>
          <w:rFonts w:hint="eastAsia" w:ascii="仿宋" w:hAnsi="仿宋" w:eastAsia="仿宋"/>
          <w:color w:val="auto"/>
          <w:szCs w:val="32"/>
        </w:rPr>
      </w:pPr>
    </w:p>
    <w:p w14:paraId="50A1CAF4">
      <w:pPr>
        <w:overflowPunct w:val="0"/>
        <w:adjustRightInd w:val="0"/>
        <w:snapToGrid w:val="0"/>
        <w:jc w:val="center"/>
        <w:rPr>
          <w:rFonts w:hint="eastAsia" w:ascii="仿宋" w:hAnsi="仿宋" w:eastAsia="仿宋"/>
          <w:color w:val="auto"/>
          <w:szCs w:val="32"/>
        </w:rPr>
      </w:pPr>
    </w:p>
    <w:p w14:paraId="74D6F1F7">
      <w:pPr>
        <w:overflowPunct w:val="0"/>
        <w:adjustRightInd w:val="0"/>
        <w:snapToGrid w:val="0"/>
        <w:jc w:val="center"/>
        <w:rPr>
          <w:rFonts w:hint="eastAsia" w:ascii="仿宋" w:hAnsi="仿宋" w:eastAsia="仿宋"/>
          <w:color w:val="auto"/>
          <w:szCs w:val="32"/>
        </w:rPr>
      </w:pPr>
    </w:p>
    <w:p w14:paraId="3BE0F3B5">
      <w:pPr>
        <w:overflowPunct w:val="0"/>
        <w:adjustRightInd w:val="0"/>
        <w:snapToGrid w:val="0"/>
        <w:jc w:val="center"/>
        <w:rPr>
          <w:rFonts w:hint="eastAsia" w:ascii="仿宋" w:hAnsi="仿宋" w:eastAsia="仿宋"/>
          <w:color w:val="auto"/>
          <w:szCs w:val="32"/>
        </w:rPr>
      </w:pPr>
    </w:p>
    <w:p w14:paraId="7DD66A4C">
      <w:pPr>
        <w:overflowPunct w:val="0"/>
        <w:adjustRightInd w:val="0"/>
        <w:snapToGrid w:val="0"/>
        <w:jc w:val="center"/>
        <w:rPr>
          <w:rFonts w:hint="eastAsia" w:ascii="仿宋" w:hAnsi="仿宋" w:eastAsia="仿宋"/>
          <w:color w:val="auto"/>
          <w:szCs w:val="32"/>
        </w:rPr>
      </w:pPr>
    </w:p>
    <w:p w14:paraId="72205014">
      <w:pPr>
        <w:overflowPunct w:val="0"/>
        <w:adjustRightInd w:val="0"/>
        <w:snapToGrid w:val="0"/>
        <w:jc w:val="center"/>
        <w:rPr>
          <w:rFonts w:hint="eastAsia" w:ascii="仿宋" w:hAnsi="仿宋" w:eastAsia="仿宋"/>
          <w:color w:val="auto"/>
          <w:szCs w:val="32"/>
        </w:rPr>
      </w:pPr>
    </w:p>
    <w:p w14:paraId="28C05734">
      <w:pPr>
        <w:overflowPunct w:val="0"/>
        <w:adjustRightInd w:val="0"/>
        <w:snapToGrid w:val="0"/>
        <w:rPr>
          <w:rFonts w:hint="eastAsia" w:ascii="华文新魏" w:hAnsi="仿宋" w:eastAsia="华文新魏"/>
          <w:b/>
          <w:color w:val="auto"/>
          <w:sz w:val="100"/>
          <w:szCs w:val="100"/>
        </w:rPr>
      </w:pPr>
    </w:p>
    <w:p w14:paraId="59D94975">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outlineLvl w:val="0"/>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大数据与会计</w:t>
      </w:r>
      <w:r>
        <w:rPr>
          <w:rFonts w:hint="eastAsia" w:ascii="黑体" w:hAnsi="黑体" w:eastAsia="黑体" w:cs="黑体"/>
          <w:b w:val="0"/>
          <w:bCs/>
          <w:color w:val="auto"/>
          <w:sz w:val="72"/>
          <w:szCs w:val="72"/>
        </w:rPr>
        <w:t>专业</w:t>
      </w:r>
    </w:p>
    <w:p w14:paraId="327643DB">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outlineLvl w:val="0"/>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人才培养方案</w:t>
      </w:r>
    </w:p>
    <w:p w14:paraId="2FD1581A">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33B908F5">
      <w:pPr>
        <w:widowControl/>
        <w:overflowPunct w:val="0"/>
        <w:adjustRightInd w:val="0"/>
        <w:snapToGrid w:val="0"/>
        <w:jc w:val="center"/>
        <w:outlineLvl w:val="0"/>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经济管理学院</w:t>
      </w:r>
    </w:p>
    <w:p w14:paraId="0FCF9EDC">
      <w:pPr>
        <w:widowControl/>
        <w:overflowPunct w:val="0"/>
        <w:adjustRightInd w:val="0"/>
        <w:snapToGrid w:val="0"/>
        <w:jc w:val="center"/>
        <w:rPr>
          <w:rFonts w:hint="eastAsia" w:ascii="黑体" w:hAnsi="黑体" w:eastAsia="黑体" w:cs="黑体"/>
          <w:b/>
          <w:bCs/>
          <w:color w:val="auto"/>
          <w:kern w:val="0"/>
          <w:sz w:val="52"/>
          <w:szCs w:val="52"/>
        </w:rPr>
      </w:pPr>
    </w:p>
    <w:p w14:paraId="28E578E0">
      <w:pPr>
        <w:widowControl/>
        <w:overflowPunct w:val="0"/>
        <w:adjustRightInd w:val="0"/>
        <w:snapToGrid w:val="0"/>
        <w:jc w:val="both"/>
        <w:rPr>
          <w:rFonts w:hint="eastAsia" w:ascii="黑体" w:hAnsi="黑体" w:eastAsia="黑体" w:cs="黑体"/>
          <w:b/>
          <w:bCs/>
          <w:color w:val="auto"/>
          <w:kern w:val="0"/>
          <w:sz w:val="52"/>
          <w:szCs w:val="52"/>
        </w:rPr>
      </w:pPr>
    </w:p>
    <w:p w14:paraId="3515C71C">
      <w:pPr>
        <w:widowControl/>
        <w:overflowPunct w:val="0"/>
        <w:adjustRightInd w:val="0"/>
        <w:snapToGrid w:val="0"/>
        <w:jc w:val="center"/>
        <w:outlineLvl w:val="0"/>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14:paraId="58DB464E">
      <w:pPr>
        <w:widowControl/>
        <w:overflowPunct w:val="0"/>
        <w:adjustRightInd w:val="0"/>
        <w:snapToGrid w:val="0"/>
        <w:jc w:val="center"/>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p>
    <w:p w14:paraId="4AA41F1B">
      <w:pPr>
        <w:widowControl/>
        <w:overflowPunct w:val="0"/>
        <w:adjustRightInd w:val="0"/>
        <w:snapToGrid w:val="0"/>
        <w:jc w:val="center"/>
        <w:rPr>
          <w:rFonts w:hint="eastAsia" w:ascii="黑体" w:hAnsi="黑体" w:eastAsia="黑体" w:cs="黑体"/>
          <w:b/>
          <w:bCs/>
          <w:color w:val="auto"/>
          <w:kern w:val="0"/>
          <w:sz w:val="52"/>
          <w:szCs w:val="52"/>
        </w:rPr>
      </w:pPr>
    </w:p>
    <w:p w14:paraId="22DF5987">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14:paraId="2A1671C0">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outlineLvl w:val="0"/>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大数据与会计</w:t>
      </w:r>
      <w:r>
        <w:rPr>
          <w:rFonts w:hint="eastAsia" w:ascii="方正小标宋简体" w:hAnsi="方正小标宋简体" w:eastAsia="方正小标宋简体" w:cs="方正小标宋简体"/>
          <w:bCs/>
          <w:color w:val="auto"/>
          <w:sz w:val="44"/>
          <w:szCs w:val="44"/>
        </w:rPr>
        <w:t>专业人才培养方案</w:t>
      </w:r>
    </w:p>
    <w:p w14:paraId="26C6DD3B">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14:paraId="088EF601">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outlineLvl w:val="0"/>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364ADB0D">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color w:val="auto"/>
          <w:sz w:val="32"/>
          <w:szCs w:val="32"/>
          <w:lang w:val="en-US" w:eastAsia="zh-CN"/>
        </w:rPr>
        <w:t>大数据与会计</w:t>
      </w:r>
    </w:p>
    <w:p w14:paraId="4AF5504D">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专业代码：530302</w:t>
      </w:r>
    </w:p>
    <w:p w14:paraId="5B078154">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outlineLvl w:val="0"/>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239A45AC">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14:paraId="6D7D82C7">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4C1916FB">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78E037A8">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outlineLvl w:val="0"/>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12F9FFC2">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职业岗位分析表</w:t>
      </w:r>
    </w:p>
    <w:tbl>
      <w:tblPr>
        <w:tblStyle w:val="8"/>
        <w:tblW w:w="10237"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4"/>
        <w:gridCol w:w="1575"/>
        <w:gridCol w:w="1327"/>
        <w:gridCol w:w="1786"/>
        <w:gridCol w:w="2257"/>
        <w:gridCol w:w="1928"/>
      </w:tblGrid>
      <w:tr w14:paraId="71C3D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1364" w:type="dxa"/>
            <w:vAlign w:val="center"/>
          </w:tcPr>
          <w:p w14:paraId="222010A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14:paraId="699224F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575" w:type="dxa"/>
            <w:vAlign w:val="center"/>
          </w:tcPr>
          <w:p w14:paraId="7FD3576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14:paraId="7E3244C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327" w:type="dxa"/>
            <w:vAlign w:val="center"/>
          </w:tcPr>
          <w:p w14:paraId="0AA8710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1786" w:type="dxa"/>
            <w:vAlign w:val="center"/>
          </w:tcPr>
          <w:p w14:paraId="5F2A91A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2257" w:type="dxa"/>
            <w:vAlign w:val="center"/>
          </w:tcPr>
          <w:p w14:paraId="225A2A2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1928" w:type="dxa"/>
            <w:vAlign w:val="center"/>
          </w:tcPr>
          <w:p w14:paraId="6624A1F6">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14:paraId="78B63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atLeast"/>
        </w:trPr>
        <w:tc>
          <w:tcPr>
            <w:tcW w:w="1364" w:type="dxa"/>
            <w:vAlign w:val="center"/>
          </w:tcPr>
          <w:p w14:paraId="14D0D0B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bookmarkStart w:id="0" w:name="OLE_LINK1" w:colFirst="0" w:colLast="5"/>
            <w:r>
              <w:rPr>
                <w:rFonts w:hint="eastAsia" w:ascii="仿宋_GB2312" w:hAnsi="仿宋_GB2312" w:eastAsia="仿宋_GB2312" w:cs="仿宋_GB2312"/>
                <w:color w:val="auto"/>
                <w:sz w:val="24"/>
                <w:szCs w:val="24"/>
              </w:rPr>
              <w:t>财经商贸大类（53）</w:t>
            </w:r>
          </w:p>
        </w:tc>
        <w:tc>
          <w:tcPr>
            <w:tcW w:w="1575" w:type="dxa"/>
            <w:vAlign w:val="center"/>
          </w:tcPr>
          <w:p w14:paraId="770A71A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财务会计类（</w:t>
            </w:r>
            <w:r>
              <w:rPr>
                <w:rFonts w:hint="eastAsia" w:ascii="仿宋_GB2312" w:hAnsi="仿宋_GB2312" w:eastAsia="仿宋_GB2312" w:cs="仿宋_GB2312"/>
                <w:color w:val="auto"/>
                <w:sz w:val="24"/>
                <w:szCs w:val="24"/>
                <w:lang w:val="en-US" w:eastAsia="zh-CN"/>
              </w:rPr>
              <w:t>53</w:t>
            </w:r>
            <w:r>
              <w:rPr>
                <w:rFonts w:hint="eastAsia" w:ascii="仿宋_GB2312" w:hAnsi="仿宋_GB2312" w:eastAsia="仿宋_GB2312" w:cs="仿宋_GB2312"/>
                <w:color w:val="auto"/>
                <w:sz w:val="24"/>
                <w:szCs w:val="24"/>
              </w:rPr>
              <w:t>03）</w:t>
            </w:r>
          </w:p>
        </w:tc>
        <w:tc>
          <w:tcPr>
            <w:tcW w:w="1327" w:type="dxa"/>
            <w:vAlign w:val="center"/>
          </w:tcPr>
          <w:p w14:paraId="50AB1B6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会计、审计及税务服务（7241）</w:t>
            </w:r>
          </w:p>
        </w:tc>
        <w:tc>
          <w:tcPr>
            <w:tcW w:w="1786" w:type="dxa"/>
            <w:vAlign w:val="center"/>
          </w:tcPr>
          <w:p w14:paraId="61330EC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会计专业人员（2-06-03）、审计专业人员（2-06-04）、</w:t>
            </w:r>
          </w:p>
          <w:p w14:paraId="1ED6F22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税务专业人员（2-06-05）</w:t>
            </w:r>
          </w:p>
        </w:tc>
        <w:tc>
          <w:tcPr>
            <w:tcW w:w="2257" w:type="dxa"/>
            <w:vAlign w:val="center"/>
          </w:tcPr>
          <w:p w14:paraId="49E5C16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企业会计核算、注册会计师事务所助理、企业财务大数据分析、企业会计信息管理、企业税务管理</w:t>
            </w:r>
          </w:p>
        </w:tc>
        <w:tc>
          <w:tcPr>
            <w:tcW w:w="1928" w:type="dxa"/>
            <w:vAlign w:val="center"/>
          </w:tcPr>
          <w:p w14:paraId="770AC20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会计专业技术资格、审计专业技术资格、业财一体信息化应用、智能财税、财务共享服务</w:t>
            </w:r>
          </w:p>
        </w:tc>
      </w:tr>
      <w:bookmarkEnd w:id="0"/>
    </w:tbl>
    <w:p w14:paraId="33C051C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14:paraId="333B62D1">
      <w:pPr>
        <w:keepNext w:val="0"/>
        <w:keepLines w:val="0"/>
        <w:pageBreakBefore w:val="0"/>
        <w:widowControl w:val="0"/>
        <w:kinsoku/>
        <w:wordWrap/>
        <w:overflowPunct w:val="0"/>
        <w:topLinePunct w:val="0"/>
        <w:autoSpaceDE/>
        <w:autoSpaceDN/>
        <w:bidi w:val="0"/>
        <w:adjustRightInd w:val="0"/>
        <w:snapToGrid/>
        <w:spacing w:after="0" w:line="520" w:lineRule="exact"/>
        <w:ind w:right="0" w:firstLine="616" w:firstLineChars="200"/>
        <w:textAlignment w:val="auto"/>
        <w:outlineLvl w:val="0"/>
        <w:rPr>
          <w:rFonts w:hint="eastAsia" w:ascii="仿宋_GB2312" w:hAnsi="仿宋_GB2312" w:eastAsia="仿宋_GB2312" w:cs="仿宋_GB2312"/>
          <w:color w:val="auto"/>
          <w:spacing w:val="-6"/>
          <w:sz w:val="32"/>
          <w:szCs w:val="32"/>
          <w:lang w:val="en-US" w:eastAsia="zh-CN"/>
        </w:rPr>
      </w:pPr>
      <w:r>
        <w:rPr>
          <w:rFonts w:hint="eastAsia" w:ascii="仿宋_GB2312" w:hAnsi="仿宋_GB2312" w:eastAsia="仿宋_GB2312" w:cs="仿宋_GB2312"/>
          <w:color w:val="auto"/>
          <w:spacing w:val="-6"/>
          <w:sz w:val="32"/>
          <w:szCs w:val="32"/>
        </w:rPr>
        <w:t>本专业培养本专业面向各类中小微企业、金融机构、行政事业单位、会计师事务所及税务服务机构，立足广西区域经济发展需求，培养能够践行社会主义核心价值观，德智体美劳全面发展，具备良好的人文素养、科学素养、职业道德、创新意识和精益求精的工匠精神，掌握大数据技术在会计核算、税务管理、审计实务中的核心应用技能，具备传统会计业务处理与智能化财务操作的复合能力</w:t>
      </w:r>
      <w:r>
        <w:rPr>
          <w:rFonts w:hint="eastAsia" w:ascii="仿宋_GB2312" w:hAnsi="仿宋_GB2312" w:eastAsia="仿宋_GB2312" w:cs="仿宋_GB2312"/>
          <w:color w:val="auto"/>
          <w:spacing w:val="-6"/>
          <w:sz w:val="32"/>
          <w:szCs w:val="32"/>
          <w:lang w:eastAsia="zh-CN"/>
        </w:rPr>
        <w:t>，</w:t>
      </w:r>
      <w:r>
        <w:rPr>
          <w:rFonts w:hint="eastAsia" w:ascii="仿宋_GB2312" w:hAnsi="仿宋_GB2312" w:eastAsia="仿宋_GB2312" w:cs="仿宋_GB2312"/>
          <w:color w:val="auto"/>
          <w:spacing w:val="-6"/>
          <w:sz w:val="32"/>
          <w:szCs w:val="32"/>
        </w:rPr>
        <w:t>掌握本专业知识和技术技能，具备职业综合素质和行动能力，面向会计、审计及税务服务行业的会计类岗位（群），能够从事财税审计服务工作的高技能人才。</w:t>
      </w:r>
    </w:p>
    <w:p w14:paraId="18177F2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14:paraId="5E6B8E46">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本专业</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lang w:eastAsia="zh-CN"/>
        </w:rPr>
        <w:t>生应在系统学习专业知识并完成有关实习实训基础上，全面提升知识、能力、素质，掌握并实际运用岗位（群）需要的专业核心技术技能，实现德智体美劳全面发展，总体上须达到以下要求：</w:t>
      </w:r>
    </w:p>
    <w:p w14:paraId="37794B4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1"/>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14:paraId="18DED0E8">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掌握与本专业对应职业活动相关的国家法律、行业规定，掌握绿色生产、环境保护、安全防护、质量管理等相关知识与技能，了解相关行业文化，具有爱岗敬业的职业精神，增强法律意识，确保会计工作在法律框架内合规开展，遵守职业道德准则和行为规范，具备社会责任感和担当精神；</w:t>
      </w:r>
    </w:p>
    <w:p w14:paraId="73BE3628">
      <w:pPr>
        <w:pStyle w:val="3"/>
        <w:keepNext w:val="0"/>
        <w:keepLines w:val="0"/>
        <w:pageBreakBefore w:val="0"/>
        <w:widowControl w:val="0"/>
        <w:kinsoku/>
        <w:wordWrap/>
        <w:overflowPunct/>
        <w:topLinePunct w:val="0"/>
        <w:autoSpaceDE/>
        <w:autoSpaceDN/>
        <w:bidi w:val="0"/>
        <w:adjustRightInd/>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掌握支撑本专业学习和可持续发展必备的语文、数学、外语（英语等）、信息技术等文化基础知识，熟练掌握公文写作的规范和技巧，能够准确、清晰地撰写各类会计相关公文，如财务报告、审计报告、工作汇报等，</w:t>
      </w:r>
      <w:r>
        <w:rPr>
          <w:rFonts w:hint="eastAsia" w:ascii="仿宋_GB2312" w:hAnsi="仿宋_GB2312" w:eastAsia="仿宋_GB2312" w:cs="仿宋_GB2312"/>
          <w:color w:val="auto"/>
          <w:sz w:val="32"/>
          <w:szCs w:val="32"/>
          <w:lang w:val="en-US" w:eastAsia="zh-CN"/>
        </w:rPr>
        <w:t>同时，</w:t>
      </w:r>
      <w:r>
        <w:rPr>
          <w:rFonts w:hint="eastAsia" w:ascii="仿宋_GB2312" w:hAnsi="仿宋_GB2312" w:eastAsia="仿宋_GB2312" w:cs="仿宋_GB2312"/>
          <w:color w:val="auto"/>
          <w:sz w:val="32"/>
          <w:szCs w:val="32"/>
          <w:lang w:eastAsia="zh-CN"/>
        </w:rPr>
        <w:t>具有良好的人文素养与科学素养，具备职业生涯规划能力；</w:t>
      </w:r>
    </w:p>
    <w:p w14:paraId="30767A12">
      <w:pPr>
        <w:pStyle w:val="3"/>
        <w:keepNext w:val="0"/>
        <w:keepLines w:val="0"/>
        <w:pageBreakBefore w:val="0"/>
        <w:widowControl w:val="0"/>
        <w:kinsoku/>
        <w:wordWrap/>
        <w:overflowPunct/>
        <w:topLinePunct w:val="0"/>
        <w:autoSpaceDE/>
        <w:autoSpaceDN/>
        <w:bidi w:val="0"/>
        <w:adjustRightInd/>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具有良好的语言表达能力、文字表达能力、沟通合作能力，具有较强的集体意识和团队合作意识，学习1门外语并结合本专业加以运用，能够阅读和理解会计专业相关的英文文献、资料，能够用英语进行简单的商务交流，了解国际会计领域的最新动态和发展趋势；</w:t>
      </w:r>
    </w:p>
    <w:p w14:paraId="2DA22032">
      <w:pPr>
        <w:pStyle w:val="3"/>
        <w:keepNext w:val="0"/>
        <w:keepLines w:val="0"/>
        <w:pageBreakBefore w:val="0"/>
        <w:widowControl w:val="0"/>
        <w:kinsoku/>
        <w:wordWrap/>
        <w:overflowPunct/>
        <w:topLinePunct w:val="0"/>
        <w:autoSpaceDE/>
        <w:autoSpaceDN/>
        <w:bidi w:val="0"/>
        <w:adjustRightInd/>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掌握现代信息技术、会计核算、经济管理、财务分析等方面的专业基础理论知识，具体包括：</w:t>
      </w:r>
    </w:p>
    <w:p w14:paraId="5DF613A9">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掌握经济、统计、财政金融、市场营销、企业管理等基础知识，</w:t>
      </w:r>
      <w:r>
        <w:rPr>
          <w:rFonts w:hint="eastAsia" w:ascii="仿宋_GB2312" w:hAnsi="仿宋_GB2312" w:eastAsia="仿宋_GB2312" w:cs="仿宋_GB2312"/>
          <w:color w:val="auto"/>
          <w:sz w:val="32"/>
          <w:szCs w:val="32"/>
          <w:lang w:val="en-US" w:eastAsia="zh-CN"/>
        </w:rPr>
        <w:t>具备</w:t>
      </w:r>
      <w:r>
        <w:rPr>
          <w:rFonts w:hint="eastAsia" w:ascii="仿宋_GB2312" w:hAnsi="仿宋_GB2312" w:eastAsia="仿宋_GB2312" w:cs="仿宋_GB2312"/>
          <w:color w:val="auto"/>
          <w:sz w:val="32"/>
          <w:szCs w:val="32"/>
          <w:lang w:eastAsia="zh-CN"/>
        </w:rPr>
        <w:t>跨学科知识整合的</w:t>
      </w:r>
      <w:r>
        <w:rPr>
          <w:rFonts w:hint="eastAsia" w:ascii="仿宋_GB2312" w:hAnsi="仿宋_GB2312" w:eastAsia="仿宋_GB2312" w:cs="仿宋_GB2312"/>
          <w:color w:val="auto"/>
          <w:sz w:val="32"/>
          <w:szCs w:val="32"/>
          <w:lang w:val="en-US" w:eastAsia="zh-CN"/>
        </w:rPr>
        <w:t>能力</w:t>
      </w:r>
      <w:r>
        <w:rPr>
          <w:rFonts w:hint="eastAsia" w:ascii="仿宋_GB2312" w:hAnsi="仿宋_GB2312" w:eastAsia="仿宋_GB2312" w:cs="仿宋_GB2312"/>
          <w:color w:val="auto"/>
          <w:sz w:val="32"/>
          <w:szCs w:val="32"/>
          <w:lang w:eastAsia="zh-CN"/>
        </w:rPr>
        <w:t>，突破单一财务视角，形成“宏观洞察—数据驱动—运营协同”的综合能力；</w:t>
      </w:r>
    </w:p>
    <w:p w14:paraId="6FE401C3">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掌握会计核算、成本计算、成本管理、税费申报与管理、管理会计、财务分析、企业内部控制等理论知识，熟悉会计凭证的填制与审核、账簿的登记、财务报表的编制等会计核算流程；</w:t>
      </w:r>
    </w:p>
    <w:p w14:paraId="469C125A">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掌握大数据技术、数据库技术等基础知识，了解大数据统计方法在会计数据处理中的应用，能够运用大数据技术对海量会计数据进行收集、整理、分析和挖掘，为会计决策提供数据支持；</w:t>
      </w:r>
    </w:p>
    <w:p w14:paraId="5963544B">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楷体" w:hAnsi="楷体" w:eastAsia="楷体" w:cs="楷体"/>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掌握社会审计与内部审计等基础知识，能运用审计基础理论识别企业财务报表潜在风险，通过对比社会审计的独立性与内部审计的灵活性，分析不同审计类型在企业治理中的协同价值，为后续学习</w:t>
      </w:r>
      <w:r>
        <w:rPr>
          <w:rFonts w:hint="eastAsia" w:ascii="仿宋_GB2312" w:hAnsi="仿宋_GB2312" w:eastAsia="仿宋_GB2312" w:cs="仿宋_GB2312"/>
          <w:color w:val="auto"/>
          <w:sz w:val="32"/>
          <w:szCs w:val="32"/>
          <w:lang w:val="en-US" w:eastAsia="zh-CN"/>
        </w:rPr>
        <w:t>和工作</w:t>
      </w:r>
      <w:r>
        <w:rPr>
          <w:rFonts w:hint="eastAsia" w:ascii="仿宋_GB2312" w:hAnsi="仿宋_GB2312" w:eastAsia="仿宋_GB2312" w:cs="仿宋_GB2312"/>
          <w:color w:val="auto"/>
          <w:sz w:val="32"/>
          <w:szCs w:val="32"/>
          <w:lang w:eastAsia="zh-CN"/>
        </w:rPr>
        <w:t>奠定</w:t>
      </w:r>
      <w:r>
        <w:rPr>
          <w:rFonts w:hint="eastAsia" w:ascii="仿宋_GB2312" w:hAnsi="仿宋_GB2312" w:eastAsia="仿宋_GB2312" w:cs="仿宋_GB2312"/>
          <w:color w:val="auto"/>
          <w:sz w:val="32"/>
          <w:szCs w:val="32"/>
          <w:lang w:val="en-US" w:eastAsia="zh-CN"/>
        </w:rPr>
        <w:t>扎实的</w:t>
      </w:r>
      <w:r>
        <w:rPr>
          <w:rFonts w:hint="eastAsia" w:ascii="仿宋_GB2312" w:hAnsi="仿宋_GB2312" w:eastAsia="仿宋_GB2312" w:cs="仿宋_GB2312"/>
          <w:color w:val="auto"/>
          <w:sz w:val="32"/>
          <w:szCs w:val="32"/>
          <w:lang w:eastAsia="zh-CN"/>
        </w:rPr>
        <w:t>基础。</w:t>
      </w:r>
    </w:p>
    <w:p w14:paraId="16626EC3">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1"/>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14:paraId="5B08BEB1">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掌握现代信息技术、会计核算、经济管理、财务分析等方面的专业基础理论知识，具体包括：</w:t>
      </w:r>
    </w:p>
    <w:p w14:paraId="6990FD26">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掌握经济、统计、财政金融、市场营销、企业管理等基础知识；</w:t>
      </w:r>
    </w:p>
    <w:p w14:paraId="2E0CD623">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掌握会计核算、成本计算、成本管理、税费申报与管理、管理会计、财务分析、企业内部控制等理论知识；</w:t>
      </w:r>
    </w:p>
    <w:p w14:paraId="155B2168">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掌握大数据技术、数据库技术等基础知识；</w:t>
      </w:r>
    </w:p>
    <w:p w14:paraId="28E51DD5">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掌握社会审计与内部审计等基础知识</w:t>
      </w:r>
      <w:r>
        <w:rPr>
          <w:rFonts w:hint="eastAsia" w:ascii="仿宋_GB2312" w:hAnsi="仿宋_GB2312" w:eastAsia="仿宋_GB2312" w:cs="仿宋_GB2312"/>
          <w:color w:val="auto"/>
          <w:sz w:val="32"/>
          <w:szCs w:val="32"/>
          <w:lang w:eastAsia="zh-CN"/>
        </w:rPr>
        <w:t>。</w:t>
      </w:r>
    </w:p>
    <w:p w14:paraId="22B611A1">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掌握本专业技术技能，具有相关的业务处理能力或实践能力，包括：</w:t>
      </w:r>
    </w:p>
    <w:p w14:paraId="6742DB7D">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掌握出纳岗位工作技能，具有选择合理结算方式，完成资金收付结算的能力；</w:t>
      </w:r>
    </w:p>
    <w:p w14:paraId="0FB92E3B">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掌握企业会计核算技能，具有对会计要素进行确认、计量，熟练审核与编制会计凭证、登记账簿以及编制财务报告的能力；</w:t>
      </w:r>
    </w:p>
    <w:p w14:paraId="17527523">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掌握产品成本核算、成本控制和成本管理的技能；</w:t>
      </w:r>
    </w:p>
    <w:p w14:paraId="494867EE">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具有熟练应用智慧税控系统进行各种税费计算与申报的能力，以及基本的纳税筹划和纳税风险控制的能力</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能够准确进行纳税申报，及时缴纳税款，避免税务风险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同时，掌握税务分析和筹划技巧，通过合理的税务安排，降低企业税务成本，提高企业经济效益</w:t>
      </w:r>
      <w:r>
        <w:rPr>
          <w:rFonts w:hint="eastAsia" w:ascii="仿宋_GB2312" w:hAnsi="仿宋_GB2312" w:eastAsia="仿宋_GB2312" w:cs="仿宋_GB2312"/>
          <w:color w:val="auto"/>
          <w:sz w:val="32"/>
          <w:szCs w:val="32"/>
          <w:lang w:eastAsia="zh-CN"/>
        </w:rPr>
        <w:t>；</w:t>
      </w:r>
    </w:p>
    <w:p w14:paraId="6EB198D0">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掌握运用云财务智能会计平台、财务共享服务平台、业务财务一体化信息系统以及财务机器人进行业务财务处理的技能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能够运用财务软件高效完成账务处理、凭证录入、报表生成等工作，及时准确地反映企业财务状况</w:t>
      </w:r>
      <w:r>
        <w:rPr>
          <w:rFonts w:hint="eastAsia" w:ascii="仿宋_GB2312" w:hAnsi="仿宋_GB2312" w:eastAsia="仿宋_GB2312" w:cs="仿宋_GB2312"/>
          <w:color w:val="auto"/>
          <w:sz w:val="32"/>
          <w:szCs w:val="32"/>
          <w:lang w:eastAsia="zh-CN"/>
        </w:rPr>
        <w:t>；</w:t>
      </w:r>
    </w:p>
    <w:p w14:paraId="7108951D">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具有运用ERP系统进行业务财务流程、内容和制度一体化设计的基本能力；</w:t>
      </w:r>
    </w:p>
    <w:p w14:paraId="75980F8F">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具有运用管理会计的基本方法和工具进行资金管理、成本管理、营运管理、绩效管理的基本能力；</w:t>
      </w:r>
    </w:p>
    <w:p w14:paraId="7A587DAE">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具有撰写财务与成本分析报告的能力，能应用大数据技术进行业务财务数据收集、清洗、整理、挖掘和可视化输出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能够运用财务软件编制各类财务报告，为企业内部管理和外部信息披露提供规范、准确的财务信息；</w:t>
      </w:r>
    </w:p>
    <w:p w14:paraId="1F7850CD">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具有运用内部控制方法和技术，识别企业风险、实施内部会计控制及内部控制审计的能</w:t>
      </w:r>
      <w:r>
        <w:rPr>
          <w:rFonts w:hint="eastAsia" w:ascii="仿宋_GB2312" w:hAnsi="仿宋_GB2312" w:eastAsia="仿宋_GB2312" w:cs="仿宋_GB2312"/>
          <w:color w:val="auto"/>
          <w:sz w:val="32"/>
          <w:szCs w:val="32"/>
          <w:highlight w:val="none"/>
        </w:rPr>
        <w:t>力</w:t>
      </w:r>
      <w:r>
        <w:rPr>
          <w:rFonts w:hint="eastAsia" w:ascii="仿宋_GB2312" w:hAnsi="仿宋_GB2312" w:eastAsia="仿宋_GB2312" w:cs="仿宋_GB2312"/>
          <w:color w:val="auto"/>
          <w:sz w:val="32"/>
          <w:szCs w:val="32"/>
          <w:highlight w:val="none"/>
          <w:lang w:eastAsia="zh-CN"/>
        </w:rPr>
        <w:t>，能</w:t>
      </w:r>
      <w:r>
        <w:rPr>
          <w:rFonts w:hint="eastAsia" w:ascii="仿宋_GB2312" w:hAnsi="仿宋_GB2312" w:eastAsia="仿宋_GB2312" w:cs="仿宋_GB2312"/>
          <w:color w:val="auto"/>
          <w:sz w:val="32"/>
          <w:szCs w:val="32"/>
          <w:highlight w:val="none"/>
        </w:rPr>
        <w:t>够</w:t>
      </w:r>
      <w:r>
        <w:rPr>
          <w:rFonts w:hint="eastAsia" w:ascii="仿宋_GB2312" w:hAnsi="仿宋_GB2312" w:eastAsia="仿宋_GB2312" w:cs="仿宋_GB2312"/>
          <w:color w:val="auto"/>
          <w:sz w:val="32"/>
          <w:szCs w:val="32"/>
        </w:rPr>
        <w:t>根据审计发现的问题，提出切实可行的审计意见，并撰写规范、专业的审计报告，为企业改进财务管理、加强内部控制提供有力支持</w:t>
      </w:r>
      <w:r>
        <w:rPr>
          <w:rFonts w:hint="eastAsia" w:ascii="仿宋_GB2312" w:hAnsi="仿宋_GB2312" w:eastAsia="仿宋_GB2312" w:cs="仿宋_GB2312"/>
          <w:color w:val="auto"/>
          <w:sz w:val="32"/>
          <w:szCs w:val="32"/>
          <w:lang w:eastAsia="zh-CN"/>
        </w:rPr>
        <w:t>；</w:t>
      </w:r>
    </w:p>
    <w:p w14:paraId="2930CC67">
      <w:pPr>
        <w:keepNext w:val="0"/>
        <w:keepLines w:val="0"/>
        <w:pageBreakBefore w:val="0"/>
        <w:widowControl w:val="0"/>
        <w:kinsoku/>
        <w:wordWrap/>
        <w:overflowPunct w:val="0"/>
        <w:topLinePunct w:val="0"/>
        <w:autoSpaceDE/>
        <w:autoSpaceDN/>
        <w:bidi w:val="0"/>
        <w:adjustRightInd w:val="0"/>
        <w:snapToGrid/>
        <w:spacing w:after="0" w:line="520" w:lineRule="exact"/>
        <w:ind w:right="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具有收集整理审计证据和有关审计信息，编制审计工作底稿，协助审计人员编制审计报告的审计工作能力</w:t>
      </w:r>
      <w:r>
        <w:rPr>
          <w:rFonts w:hint="eastAsia" w:ascii="仿宋_GB2312" w:hAnsi="仿宋_GB2312" w:eastAsia="仿宋_GB2312" w:cs="仿宋_GB2312"/>
          <w:color w:val="auto"/>
          <w:sz w:val="32"/>
          <w:szCs w:val="32"/>
          <w:lang w:eastAsia="zh-CN"/>
        </w:rPr>
        <w:t>。</w:t>
      </w:r>
    </w:p>
    <w:p w14:paraId="39FFB73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掌握信息技术基础知识，具有适应本领域数字化和智能化发展需求的数字技能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提升信息处理、数字应用能力，能够根据会计专业领域的实际需要，运用多种媒介和多种方式采集、提炼、加工、整理信息</w:t>
      </w:r>
      <w:r>
        <w:rPr>
          <w:rFonts w:hint="eastAsia" w:ascii="仿宋_GB2312" w:hAnsi="仿宋_GB2312" w:eastAsia="仿宋_GB2312" w:cs="仿宋_GB2312"/>
          <w:color w:val="auto"/>
          <w:sz w:val="32"/>
          <w:szCs w:val="32"/>
          <w:lang w:eastAsia="zh-CN"/>
        </w:rPr>
        <w:t>。</w:t>
      </w:r>
    </w:p>
    <w:p w14:paraId="0294D5B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lang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具有探究学习、终身学习和可持续发展的能力，具有整合知识和综合运用知识分析问题和解决问题的能力</w:t>
      </w:r>
      <w:r>
        <w:rPr>
          <w:rFonts w:hint="eastAsia" w:ascii="仿宋_GB2312" w:hAnsi="仿宋_GB2312" w:eastAsia="仿宋_GB2312" w:cs="仿宋_GB2312"/>
          <w:color w:val="auto"/>
          <w:sz w:val="32"/>
          <w:szCs w:val="32"/>
          <w:lang w:eastAsia="zh-CN"/>
        </w:rPr>
        <w:t>。</w:t>
      </w:r>
    </w:p>
    <w:p w14:paraId="1F58250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14:paraId="7309AF2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坚定拥护中国共产党领导和我国社会主义制度，在习近平新时代中国特色社会主义思想指引下，践行社会主义核心价值观，具有深厚的爱国情感和中华民族自豪感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具备</w:t>
      </w:r>
      <w:r>
        <w:rPr>
          <w:rFonts w:hint="eastAsia" w:ascii="仿宋_GB2312" w:hAnsi="仿宋_GB2312" w:eastAsia="仿宋_GB2312" w:cs="仿宋_GB2312"/>
          <w:color w:val="auto"/>
          <w:sz w:val="32"/>
          <w:szCs w:val="32"/>
        </w:rPr>
        <w:t>较高的政治素养，积极传播正能量，维护国家和集体利益</w:t>
      </w:r>
      <w:r>
        <w:rPr>
          <w:rFonts w:hint="eastAsia" w:ascii="仿宋_GB2312" w:hAnsi="仿宋_GB2312" w:eastAsia="仿宋_GB2312" w:cs="仿宋_GB2312"/>
          <w:color w:val="auto"/>
          <w:sz w:val="32"/>
          <w:szCs w:val="32"/>
          <w:lang w:eastAsia="zh-CN"/>
        </w:rPr>
        <w:t>。</w:t>
      </w:r>
    </w:p>
    <w:p w14:paraId="252687B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掌握身体运动的基本知识和至少1项体育运动技能，达到国家大学生体质健康测试合格标准，养成良好的运动习惯、卫生习惯和行为习惯；具备一定的心理调适能力；养成良好的运动习惯，如定期参加跑步、篮球、羽毛球等体</w:t>
      </w:r>
      <w:r>
        <w:rPr>
          <w:rFonts w:hint="eastAsia" w:ascii="仿宋_GB2312" w:hAnsi="仿宋_GB2312" w:eastAsia="仿宋_GB2312" w:cs="仿宋_GB2312"/>
          <w:color w:val="auto"/>
          <w:spacing w:val="-6"/>
          <w:sz w:val="32"/>
          <w:szCs w:val="32"/>
        </w:rPr>
        <w:t>育活动，增强体质，为学习和</w:t>
      </w:r>
      <w:r>
        <w:rPr>
          <w:rFonts w:hint="eastAsia" w:ascii="仿宋_GB2312" w:hAnsi="仿宋_GB2312" w:eastAsia="仿宋_GB2312" w:cs="仿宋_GB2312"/>
          <w:color w:val="auto"/>
          <w:spacing w:val="-6"/>
          <w:sz w:val="32"/>
          <w:szCs w:val="32"/>
          <w:lang w:val="en-US" w:eastAsia="zh-CN"/>
        </w:rPr>
        <w:t>未来的</w:t>
      </w:r>
      <w:r>
        <w:rPr>
          <w:rFonts w:hint="eastAsia" w:ascii="仿宋_GB2312" w:hAnsi="仿宋_GB2312" w:eastAsia="仿宋_GB2312" w:cs="仿宋_GB2312"/>
          <w:color w:val="auto"/>
          <w:spacing w:val="-6"/>
          <w:sz w:val="32"/>
          <w:szCs w:val="32"/>
        </w:rPr>
        <w:t>工作奠定坚实的身体基础</w:t>
      </w:r>
      <w:r>
        <w:rPr>
          <w:rFonts w:hint="eastAsia" w:ascii="仿宋_GB2312" w:hAnsi="仿宋_GB2312" w:eastAsia="仿宋_GB2312" w:cs="仿宋_GB2312"/>
          <w:color w:val="auto"/>
          <w:spacing w:val="-6"/>
          <w:sz w:val="32"/>
          <w:szCs w:val="32"/>
          <w:lang w:eastAsia="zh-CN"/>
        </w:rPr>
        <w:t>。</w:t>
      </w:r>
    </w:p>
    <w:p w14:paraId="0EDC245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掌握必备的美育知识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具有一定的文化修养、审美能力，形成至少1项艺术特长或爱好</w:t>
      </w:r>
      <w:r>
        <w:rPr>
          <w:rFonts w:hint="eastAsia" w:ascii="仿宋_GB2312" w:hAnsi="仿宋_GB2312" w:eastAsia="仿宋_GB2312" w:cs="仿宋_GB2312"/>
          <w:color w:val="auto"/>
          <w:sz w:val="32"/>
          <w:szCs w:val="32"/>
          <w:lang w:eastAsia="zh-CN"/>
        </w:rPr>
        <w:t>，提升文化修养与审美，</w:t>
      </w:r>
      <w:r>
        <w:rPr>
          <w:rFonts w:hint="eastAsia" w:ascii="仿宋_GB2312" w:hAnsi="仿宋_GB2312" w:eastAsia="仿宋_GB2312" w:cs="仿宋_GB2312"/>
          <w:color w:val="auto"/>
          <w:sz w:val="32"/>
          <w:szCs w:val="32"/>
          <w:lang w:val="en-US" w:eastAsia="zh-CN"/>
        </w:rPr>
        <w:t>能够</w:t>
      </w:r>
      <w:r>
        <w:rPr>
          <w:rFonts w:hint="eastAsia" w:ascii="仿宋_GB2312" w:hAnsi="仿宋_GB2312" w:eastAsia="仿宋_GB2312" w:cs="仿宋_GB2312"/>
          <w:color w:val="auto"/>
          <w:sz w:val="32"/>
          <w:szCs w:val="32"/>
          <w:lang w:eastAsia="zh-CN"/>
        </w:rPr>
        <w:t>以“美的视角”洞察财务工作中的规律与创新点，成为兼具专业能力与人文情怀的新时代财经人才。</w:t>
      </w:r>
    </w:p>
    <w:p w14:paraId="26892FA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树立正确的劳动观，尊重劳动，热爱劳动，具备与本专业职业发展相适应的劳动素养，弘扬劳模精神、劳动精神、工匠精神，</w:t>
      </w:r>
      <w:r>
        <w:rPr>
          <w:rFonts w:hint="eastAsia" w:ascii="仿宋_GB2312" w:hAnsi="仿宋_GB2312" w:eastAsia="仿宋_GB2312" w:cs="仿宋_GB2312"/>
          <w:color w:val="auto"/>
          <w:sz w:val="32"/>
          <w:szCs w:val="32"/>
          <w:lang w:val="en-US" w:eastAsia="zh-CN"/>
        </w:rPr>
        <w:t>对待</w:t>
      </w:r>
      <w:r>
        <w:rPr>
          <w:rFonts w:hint="eastAsia" w:ascii="仿宋_GB2312" w:hAnsi="仿宋_GB2312" w:eastAsia="仿宋_GB2312" w:cs="仿宋_GB2312"/>
          <w:color w:val="auto"/>
          <w:sz w:val="32"/>
          <w:szCs w:val="32"/>
        </w:rPr>
        <w:t>工作踏实稳重，勤奋努力，不投机取巧。在数据处理、账目核算等工作环节，思维严谨，注重细节，确保每一个数据的准确性和每一笔账目的清晰无误，以一丝不苟的态度对待会计工作，维护会计信息的真实性和可靠性</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弘扬劳动光荣、技能宝贵、创造伟大的时代风尚。</w:t>
      </w:r>
    </w:p>
    <w:p w14:paraId="4D213F36">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outlineLvl w:val="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14:paraId="5BEF775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14:paraId="5C1B879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14:paraId="6EDE5BA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1"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14:paraId="01F50E0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14:paraId="78D9188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p>
    <w:p w14:paraId="0BD21F43">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3935"/>
        <w:gridCol w:w="3107"/>
        <w:gridCol w:w="2472"/>
      </w:tblGrid>
      <w:tr w14:paraId="54DC2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486F369">
            <w:pPr>
              <w:spacing w:line="360" w:lineRule="exact"/>
              <w:jc w:val="center"/>
              <w:rPr>
                <w:rFonts w:hint="eastAsia" w:ascii="仿宋_GB2312" w:hAnsi="仿宋_GB2312" w:eastAsia="仿宋_GB2312" w:cs="仿宋_GB2312"/>
                <w:color w:val="auto"/>
                <w:sz w:val="24"/>
                <w:szCs w:val="24"/>
              </w:rPr>
            </w:pPr>
            <w:bookmarkStart w:id="2" w:name="_Toc90734979"/>
            <w:bookmarkStart w:id="3" w:name="_Toc2022"/>
            <w:r>
              <w:rPr>
                <w:rFonts w:hint="eastAsia" w:ascii="仿宋_GB2312" w:hAnsi="仿宋_GB2312" w:eastAsia="仿宋_GB2312" w:cs="仿宋_GB2312"/>
                <w:color w:val="auto"/>
                <w:sz w:val="24"/>
                <w:szCs w:val="24"/>
              </w:rPr>
              <w:t>序号</w:t>
            </w:r>
            <w:bookmarkEnd w:id="2"/>
            <w:bookmarkEnd w:id="3"/>
          </w:p>
        </w:tc>
        <w:tc>
          <w:tcPr>
            <w:tcW w:w="752" w:type="dxa"/>
            <w:vAlign w:val="center"/>
          </w:tcPr>
          <w:p w14:paraId="3327ADFD">
            <w:pPr>
              <w:spacing w:line="360" w:lineRule="exact"/>
              <w:jc w:val="center"/>
              <w:rPr>
                <w:rFonts w:hint="eastAsia" w:ascii="仿宋_GB2312" w:hAnsi="仿宋_GB2312" w:eastAsia="仿宋_GB2312" w:cs="仿宋_GB2312"/>
                <w:color w:val="auto"/>
                <w:sz w:val="24"/>
                <w:szCs w:val="24"/>
              </w:rPr>
            </w:pPr>
            <w:bookmarkStart w:id="4" w:name="_Toc2635"/>
            <w:bookmarkStart w:id="5" w:name="_Toc90734980"/>
            <w:r>
              <w:rPr>
                <w:rFonts w:hint="eastAsia" w:ascii="仿宋_GB2312" w:hAnsi="仿宋_GB2312" w:eastAsia="仿宋_GB2312" w:cs="仿宋_GB2312"/>
                <w:color w:val="auto"/>
                <w:sz w:val="24"/>
                <w:szCs w:val="24"/>
              </w:rPr>
              <w:t>课程名称</w:t>
            </w:r>
            <w:bookmarkEnd w:id="4"/>
            <w:bookmarkEnd w:id="5"/>
          </w:p>
        </w:tc>
        <w:tc>
          <w:tcPr>
            <w:tcW w:w="3935" w:type="dxa"/>
            <w:vAlign w:val="center"/>
          </w:tcPr>
          <w:p w14:paraId="1141DF8A">
            <w:pPr>
              <w:spacing w:line="360" w:lineRule="exact"/>
              <w:jc w:val="center"/>
              <w:rPr>
                <w:rFonts w:hint="eastAsia" w:ascii="仿宋_GB2312" w:hAnsi="仿宋_GB2312" w:eastAsia="仿宋_GB2312" w:cs="仿宋_GB2312"/>
                <w:color w:val="auto"/>
                <w:sz w:val="24"/>
                <w:szCs w:val="24"/>
              </w:rPr>
            </w:pPr>
            <w:bookmarkStart w:id="6" w:name="_Toc90734981"/>
            <w:bookmarkStart w:id="7" w:name="_Toc24608"/>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rPr>
              <w:t>目标</w:t>
            </w:r>
            <w:bookmarkEnd w:id="6"/>
            <w:bookmarkEnd w:id="7"/>
          </w:p>
        </w:tc>
        <w:tc>
          <w:tcPr>
            <w:tcW w:w="3107" w:type="dxa"/>
            <w:vAlign w:val="center"/>
          </w:tcPr>
          <w:p w14:paraId="19573549">
            <w:pPr>
              <w:spacing w:line="360" w:lineRule="exact"/>
              <w:jc w:val="center"/>
              <w:rPr>
                <w:rFonts w:hint="eastAsia" w:ascii="仿宋_GB2312" w:hAnsi="仿宋_GB2312" w:eastAsia="仿宋_GB2312" w:cs="仿宋_GB2312"/>
                <w:color w:val="auto"/>
                <w:sz w:val="24"/>
                <w:szCs w:val="24"/>
              </w:rPr>
            </w:pPr>
            <w:bookmarkStart w:id="8" w:name="_Toc23051"/>
            <w:bookmarkStart w:id="9" w:name="_Toc90734982"/>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bookmarkEnd w:id="8"/>
            <w:bookmarkEnd w:id="9"/>
          </w:p>
        </w:tc>
        <w:tc>
          <w:tcPr>
            <w:tcW w:w="2472" w:type="dxa"/>
            <w:vAlign w:val="center"/>
          </w:tcPr>
          <w:p w14:paraId="2C8C363B">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16D3E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9EC545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752" w:type="dxa"/>
            <w:vAlign w:val="center"/>
          </w:tcPr>
          <w:p w14:paraId="79E4253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思想道德与法治</w:t>
            </w:r>
          </w:p>
        </w:tc>
        <w:tc>
          <w:tcPr>
            <w:tcW w:w="3935" w:type="dxa"/>
            <w:vAlign w:val="center"/>
          </w:tcPr>
          <w:p w14:paraId="76D4224C">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b w:val="0"/>
                <w:bCs w:val="0"/>
                <w:color w:val="auto"/>
                <w:sz w:val="24"/>
                <w:szCs w:val="24"/>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lang w:eastAsia="zh-CN"/>
              </w:rPr>
              <w:t>主义</w:t>
            </w:r>
            <w:r>
              <w:rPr>
                <w:rFonts w:hint="eastAsia" w:ascii="仿宋_GB2312" w:hAnsi="仿宋_GB2312" w:eastAsia="仿宋_GB2312" w:cs="仿宋_GB2312"/>
                <w:b w:val="0"/>
                <w:bCs w:val="0"/>
                <w:color w:val="auto"/>
                <w:sz w:val="24"/>
                <w:szCs w:val="24"/>
              </w:rPr>
              <w:t>核心价值观、道德规范、法治等相关内容，构建起个人与国家、社会，个人与职业、婚姻家庭之间命运共同体内在关联的科学认知体系。</w:t>
            </w:r>
          </w:p>
          <w:p w14:paraId="1A567F38">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b w:val="0"/>
                <w:bCs w:val="0"/>
                <w:color w:val="auto"/>
                <w:sz w:val="24"/>
                <w:szCs w:val="24"/>
              </w:rPr>
              <w:t>能够运用基本原理和理论分析判断是非、明辨善恶；认真审视和正视自身言行举止，弃“恶”扬善，从“我”做起、从日常小事做起、从现在做起，逐渐养成自觉践行社会主义核心价值观的习惯。</w:t>
            </w:r>
          </w:p>
          <w:p w14:paraId="68F8860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b w:val="0"/>
                <w:bCs w:val="0"/>
                <w:color w:val="auto"/>
                <w:sz w:val="24"/>
                <w:szCs w:val="24"/>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107" w:type="dxa"/>
            <w:vAlign w:val="center"/>
          </w:tcPr>
          <w:p w14:paraId="6C430334">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rPr>
              <w:t>本课程包括三大知识模块：一是思想政治教育，包括绪论、第一至四章，旨在引导帮助大学生树立正确的人生观，确立科学的理想信念，弘扬以爱国主义为核心的民族精神和以改革创新为核心的时</w:t>
            </w:r>
            <w:r>
              <w:rPr>
                <w:rFonts w:hint="eastAsia" w:ascii="仿宋_GB2312" w:hAnsi="仿宋_GB2312" w:eastAsia="仿宋_GB2312" w:cs="仿宋_GB2312"/>
                <w:b w:val="0"/>
                <w:bCs w:val="0"/>
                <w:color w:val="auto"/>
                <w:sz w:val="24"/>
                <w:szCs w:val="24"/>
                <w:highlight w:val="none"/>
              </w:rPr>
              <w:t>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w:t>
            </w:r>
            <w:r>
              <w:rPr>
                <w:rFonts w:hint="eastAsia" w:ascii="仿宋_GB2312" w:hAnsi="仿宋_GB2312" w:eastAsia="仿宋_GB2312" w:cs="仿宋_GB2312"/>
                <w:b w:val="0"/>
                <w:bCs w:val="0"/>
                <w:color w:val="auto"/>
                <w:sz w:val="24"/>
                <w:szCs w:val="24"/>
              </w:rPr>
              <w:t>，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472" w:type="dxa"/>
            <w:vAlign w:val="top"/>
          </w:tcPr>
          <w:p w14:paraId="1EA6561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shd w:val="clear" w:color="auto" w:fill="FFFFFF"/>
              </w:rPr>
            </w:pPr>
            <w:r>
              <w:rPr>
                <w:rFonts w:hint="eastAsia" w:ascii="仿宋_GB2312" w:hAnsi="仿宋_GB2312" w:eastAsia="仿宋_GB2312" w:cs="仿宋_GB2312"/>
                <w:color w:val="auto"/>
                <w:sz w:val="24"/>
                <w:szCs w:val="24"/>
                <w:shd w:val="clear" w:color="auto" w:fill="FFFFFF"/>
              </w:rPr>
              <w:t>通</w:t>
            </w:r>
            <w:r>
              <w:rPr>
                <w:rFonts w:hint="eastAsia" w:ascii="仿宋_GB2312" w:hAnsi="仿宋_GB2312" w:eastAsia="仿宋_GB2312" w:cs="仿宋_GB2312"/>
                <w:color w:val="auto"/>
                <w:sz w:val="24"/>
                <w:szCs w:val="24"/>
                <w:shd w:val="clear" w:color="auto" w:fill="FFFFFF"/>
                <w:lang w:val="en-US" w:eastAsia="zh-CN"/>
              </w:rPr>
              <w:t>过</w:t>
            </w:r>
            <w:r>
              <w:rPr>
                <w:rFonts w:hint="eastAsia" w:ascii="仿宋_GB2312" w:hAnsi="仿宋_GB2312" w:eastAsia="仿宋_GB2312" w:cs="仿宋_GB2312"/>
                <w:color w:val="auto"/>
                <w:sz w:val="24"/>
                <w:szCs w:val="24"/>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195D3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F013BA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752" w:type="dxa"/>
            <w:shd w:val="clear" w:color="auto" w:fill="auto"/>
            <w:vAlign w:val="center"/>
          </w:tcPr>
          <w:p w14:paraId="3BDB940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形势与政策</w:t>
            </w:r>
          </w:p>
        </w:tc>
        <w:tc>
          <w:tcPr>
            <w:tcW w:w="3935" w:type="dxa"/>
            <w:shd w:val="clear" w:color="auto" w:fill="auto"/>
            <w:vAlign w:val="top"/>
          </w:tcPr>
          <w:p w14:paraId="3212FA6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1447C78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b w:val="0"/>
                <w:bCs w:val="0"/>
                <w:color w:val="auto"/>
                <w:sz w:val="24"/>
                <w:szCs w:val="24"/>
              </w:rPr>
              <w:t>培养学生掌握正确分析形势和理解政策的能力，特别是对国内外重大事件、敏感问题、社会热点、难点、疑点问题的思考、分析和判断能力。</w:t>
            </w:r>
          </w:p>
          <w:p w14:paraId="4D4207A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3107" w:type="dxa"/>
            <w:shd w:val="clear" w:color="auto" w:fill="auto"/>
            <w:vAlign w:val="top"/>
          </w:tcPr>
          <w:p w14:paraId="7030C6B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根据</w:t>
            </w:r>
            <w:r>
              <w:rPr>
                <w:rFonts w:hint="eastAsia" w:ascii="仿宋_GB2312" w:hAnsi="仿宋_GB2312" w:eastAsia="仿宋_GB2312" w:cs="仿宋_GB2312"/>
                <w:color w:val="auto"/>
                <w:sz w:val="24"/>
                <w:szCs w:val="24"/>
                <w:lang w:eastAsia="zh-CN"/>
              </w:rPr>
              <w:t>新时代面临的新情况新问题，针对学生关注的热点问题和思想特点，</w:t>
            </w:r>
            <w:r>
              <w:rPr>
                <w:rFonts w:hint="eastAsia" w:ascii="仿宋_GB2312" w:hAnsi="仿宋_GB2312" w:eastAsia="仿宋_GB2312" w:cs="仿宋_GB2312"/>
                <w:color w:val="auto"/>
                <w:sz w:val="24"/>
                <w:szCs w:val="24"/>
              </w:rPr>
              <w:t>涵盖国际形势、国内形势、社会热点、国家政策等</w:t>
            </w:r>
            <w:r>
              <w:rPr>
                <w:rFonts w:hint="eastAsia" w:ascii="仿宋_GB2312" w:hAnsi="仿宋_GB2312" w:eastAsia="仿宋_GB2312" w:cs="仿宋_GB2312"/>
                <w:color w:val="auto"/>
                <w:sz w:val="24"/>
                <w:szCs w:val="24"/>
                <w:lang w:val="en-US" w:eastAsia="zh-CN"/>
              </w:rPr>
              <w:t>内容</w:t>
            </w:r>
            <w:r>
              <w:rPr>
                <w:rFonts w:hint="eastAsia" w:ascii="仿宋_GB2312" w:hAnsi="仿宋_GB2312" w:eastAsia="仿宋_GB2312" w:cs="仿宋_GB2312"/>
                <w:color w:val="auto"/>
                <w:sz w:val="24"/>
                <w:szCs w:val="24"/>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472" w:type="dxa"/>
            <w:shd w:val="clear" w:color="auto" w:fill="auto"/>
            <w:vAlign w:val="top"/>
          </w:tcPr>
          <w:p w14:paraId="0B7F4F9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观点</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方法解决实际问题的能力，提高政治辨别力，紧密围绕在以习近平同志为核心的党中央周围，奋进新征程。</w:t>
            </w:r>
          </w:p>
        </w:tc>
      </w:tr>
      <w:tr w14:paraId="5FDF7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D838D7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14:paraId="13261A4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3935" w:type="dxa"/>
            <w:shd w:val="clear" w:color="auto" w:fill="auto"/>
            <w:vAlign w:val="center"/>
          </w:tcPr>
          <w:p w14:paraId="6361B7B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让学生系统掌握总体国家安全观的内涵和精神实质，理解中国特色国家安全体系，新时代我国国家安全面临的复杂形势，掌握筑牢其他各领域国家安全屏障的具体方法和途径。</w:t>
            </w:r>
          </w:p>
          <w:p w14:paraId="7C4879C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lang w:val="en-US" w:eastAsia="zh-CN"/>
              </w:rPr>
              <w:t>能</w:t>
            </w:r>
            <w:r>
              <w:rPr>
                <w:rFonts w:hint="eastAsia" w:ascii="仿宋_GB2312" w:hAnsi="仿宋_GB2312" w:eastAsia="仿宋_GB2312" w:cs="仿宋_GB2312"/>
                <w:b/>
                <w:bCs/>
                <w:color w:val="auto"/>
                <w:sz w:val="24"/>
                <w:szCs w:val="24"/>
              </w:rPr>
              <w:t>力目标</w:t>
            </w: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color w:val="auto"/>
                <w:sz w:val="24"/>
                <w:szCs w:val="24"/>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lang w:val="en-US" w:eastAsia="zh-CN"/>
              </w:rPr>
              <w:t>能够</w:t>
            </w:r>
            <w:r>
              <w:rPr>
                <w:rFonts w:hint="eastAsia" w:ascii="仿宋_GB2312" w:hAnsi="仿宋_GB2312" w:eastAsia="仿宋_GB2312" w:cs="仿宋_GB2312"/>
                <w:color w:val="auto"/>
                <w:sz w:val="24"/>
                <w:szCs w:val="24"/>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lang w:val="en-US" w:eastAsia="zh-CN"/>
              </w:rPr>
              <w:t>国家</w:t>
            </w:r>
            <w:r>
              <w:rPr>
                <w:rFonts w:hint="eastAsia" w:ascii="仿宋_GB2312" w:hAnsi="仿宋_GB2312" w:eastAsia="仿宋_GB2312" w:cs="仿宋_GB2312"/>
                <w:color w:val="auto"/>
                <w:sz w:val="24"/>
                <w:szCs w:val="24"/>
                <w:lang w:eastAsia="zh-CN"/>
              </w:rPr>
              <w:t>安全；</w:t>
            </w:r>
          </w:p>
          <w:p w14:paraId="4574A21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1C2B9D6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3107" w:type="dxa"/>
            <w:shd w:val="clear" w:color="auto" w:fill="auto"/>
            <w:vAlign w:val="top"/>
          </w:tcPr>
          <w:p w14:paraId="1E5E095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472" w:type="dxa"/>
            <w:shd w:val="clear" w:color="auto" w:fill="auto"/>
            <w:vAlign w:val="top"/>
          </w:tcPr>
          <w:p w14:paraId="19A0C90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w:t>
            </w:r>
            <w:r>
              <w:rPr>
                <w:rFonts w:hint="eastAsia" w:ascii="仿宋_GB2312" w:hAnsi="仿宋_GB2312" w:eastAsia="仿宋_GB2312" w:cs="仿宋_GB2312"/>
                <w:color w:val="auto"/>
                <w:sz w:val="24"/>
                <w:szCs w:val="24"/>
              </w:rPr>
              <w:t>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269B0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E42DB8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62CD88D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3935" w:type="dxa"/>
            <w:shd w:val="clear" w:color="auto" w:fill="auto"/>
            <w:vAlign w:val="center"/>
          </w:tcPr>
          <w:p w14:paraId="0FA7952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40ED587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2A2D267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0B31058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107" w:type="dxa"/>
            <w:shd w:val="clear" w:color="auto" w:fill="auto"/>
            <w:vAlign w:val="top"/>
          </w:tcPr>
          <w:p w14:paraId="36229AB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4BC280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2472" w:type="dxa"/>
            <w:shd w:val="clear" w:color="auto" w:fill="auto"/>
            <w:vAlign w:val="top"/>
          </w:tcPr>
          <w:p w14:paraId="39DE451E">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36C4A82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r>
      <w:tr w14:paraId="459C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96C985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default"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5</w:t>
            </w:r>
          </w:p>
        </w:tc>
        <w:tc>
          <w:tcPr>
            <w:tcW w:w="752" w:type="dxa"/>
            <w:shd w:val="clear" w:color="auto" w:fill="auto"/>
            <w:vAlign w:val="center"/>
          </w:tcPr>
          <w:p w14:paraId="706DD10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Fonts w:hint="eastAsia" w:ascii="仿宋_GB2312" w:hAnsi="仿宋_GB2312" w:eastAsia="仿宋_GB2312" w:cs="仿宋_GB2312"/>
                <w:color w:val="auto"/>
                <w:sz w:val="24"/>
                <w:szCs w:val="24"/>
                <w:highlight w:val="none"/>
                <w:lang w:val="en-US" w:eastAsia="zh-CN"/>
              </w:rPr>
              <w:t>军训</w:t>
            </w:r>
          </w:p>
        </w:tc>
        <w:tc>
          <w:tcPr>
            <w:tcW w:w="3935" w:type="dxa"/>
            <w:shd w:val="clear" w:color="auto" w:fill="auto"/>
            <w:vAlign w:val="center"/>
          </w:tcPr>
          <w:p w14:paraId="620E66EC">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5D709222">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0E937C2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2B30C99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3107" w:type="dxa"/>
            <w:shd w:val="clear" w:color="auto" w:fill="auto"/>
            <w:vAlign w:val="top"/>
          </w:tcPr>
          <w:p w14:paraId="0C40BEE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4FFAACF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rPr>
            </w:pPr>
          </w:p>
        </w:tc>
        <w:tc>
          <w:tcPr>
            <w:tcW w:w="2472" w:type="dxa"/>
            <w:shd w:val="clear" w:color="auto" w:fill="auto"/>
            <w:vAlign w:val="top"/>
          </w:tcPr>
          <w:p w14:paraId="1EA5501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38CC1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6DA37C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6</w:t>
            </w:r>
          </w:p>
        </w:tc>
        <w:tc>
          <w:tcPr>
            <w:tcW w:w="752" w:type="dxa"/>
            <w:shd w:val="clear" w:color="auto" w:fill="auto"/>
            <w:vAlign w:val="center"/>
          </w:tcPr>
          <w:p w14:paraId="06B7A31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计算机基础</w:t>
            </w:r>
          </w:p>
        </w:tc>
        <w:tc>
          <w:tcPr>
            <w:tcW w:w="3935" w:type="dxa"/>
            <w:shd w:val="clear" w:color="auto" w:fill="auto"/>
            <w:vAlign w:val="center"/>
          </w:tcPr>
          <w:p w14:paraId="23731EA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4C2E683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培养计算机基本操作能力，熟练使用办公软件处理文档。提升网络应用和信息检索水平，具备解决常见计算机问题的技能。</w:t>
            </w:r>
          </w:p>
          <w:p w14:paraId="7225B65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培养信息素养和数字思维，提高自主学习新技术能力。树立信息安全意识，养成规范使用计算机的良好习惯。</w:t>
            </w:r>
          </w:p>
          <w:p w14:paraId="6A9DBA6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仿宋_GB2312" w:hAnsi="仿宋_GB2312" w:eastAsia="仿宋_GB2312" w:cs="仿宋_GB2312"/>
                <w:color w:val="auto"/>
                <w:kern w:val="2"/>
                <w:sz w:val="24"/>
                <w:szCs w:val="24"/>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融入科技创新案例，培养科技报国情怀。通过信息伦理教育，强化网络行为规范和责任意识。引导学生树立家国情怀、职业道德和社会责任感，最终实现“德才兼备”的技术人才培养。</w:t>
            </w:r>
          </w:p>
        </w:tc>
        <w:tc>
          <w:tcPr>
            <w:tcW w:w="3107" w:type="dxa"/>
            <w:shd w:val="clear" w:color="auto" w:fill="auto"/>
            <w:vAlign w:val="center"/>
          </w:tcPr>
          <w:p w14:paraId="68EEB1B8">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472" w:type="dxa"/>
            <w:shd w:val="clear" w:color="auto" w:fill="auto"/>
            <w:vAlign w:val="center"/>
          </w:tcPr>
          <w:p w14:paraId="052BF9ED">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07C09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D406AE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752" w:type="dxa"/>
            <w:shd w:val="clear" w:color="auto" w:fill="auto"/>
            <w:vAlign w:val="center"/>
          </w:tcPr>
          <w:p w14:paraId="36C6AC9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高等数学</w:t>
            </w:r>
          </w:p>
        </w:tc>
        <w:tc>
          <w:tcPr>
            <w:tcW w:w="3935" w:type="dxa"/>
            <w:shd w:val="clear" w:color="auto" w:fill="auto"/>
            <w:vAlign w:val="center"/>
          </w:tcPr>
          <w:p w14:paraId="350EF4C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掌握函数、极限、导数等基础概念，理解微积分基本理论、数学建模方法，为专业课程奠定必要数学基础。</w:t>
            </w:r>
          </w:p>
          <w:p w14:paraId="3693EA8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培养数学运算和逻辑推理能力，提升运用数学工具解决实际问题的水平。增强数据分析和建模能力，适应未来职业发展需求。</w:t>
            </w:r>
          </w:p>
          <w:p w14:paraId="6625A50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培养严谨求实的科学态度，提高抽象思维和创新能力。树立理论联系实际的观念，增强持续学习和自主探究意识。</w:t>
            </w:r>
          </w:p>
          <w:p w14:paraId="535B017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p w14:paraId="4C6190D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p>
        </w:tc>
        <w:tc>
          <w:tcPr>
            <w:tcW w:w="3107" w:type="dxa"/>
            <w:shd w:val="clear" w:color="auto" w:fill="auto"/>
            <w:vAlign w:val="top"/>
          </w:tcPr>
          <w:p w14:paraId="619FDC4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472" w:type="dxa"/>
            <w:shd w:val="clear" w:color="auto" w:fill="auto"/>
            <w:vAlign w:val="top"/>
          </w:tcPr>
          <w:p w14:paraId="4AFAC6F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63F2E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519ED0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752" w:type="dxa"/>
            <w:shd w:val="clear" w:color="auto" w:fill="auto"/>
            <w:vAlign w:val="center"/>
          </w:tcPr>
          <w:p w14:paraId="7594EEA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大学英语</w:t>
            </w:r>
          </w:p>
        </w:tc>
        <w:tc>
          <w:tcPr>
            <w:tcW w:w="3935" w:type="dxa"/>
            <w:shd w:val="clear" w:color="auto" w:fill="auto"/>
            <w:vAlign w:val="center"/>
          </w:tcPr>
          <w:p w14:paraId="560B3F2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掌握基础词汇和核心语法，学习职场英语表达。了解英语国家文化常识，熟悉专业相关术语。</w:t>
            </w:r>
          </w:p>
          <w:p w14:paraId="014635E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培养学生掌握语言基础知识和语言技能、具备基本的英语听、说、读、写、译能力，增强其跨文化交际意识和沟通能力，为适应未来职业需求。</w:t>
            </w:r>
          </w:p>
          <w:p w14:paraId="01EA37F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培养自主学习意识，增强跨文化理解能力。树立终身学习理念，提高团队协作和沟通能力。</w:t>
            </w:r>
          </w:p>
          <w:p w14:paraId="201C1AD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107" w:type="dxa"/>
            <w:shd w:val="clear" w:color="auto" w:fill="auto"/>
            <w:vAlign w:val="top"/>
          </w:tcPr>
          <w:p w14:paraId="7801712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472" w:type="dxa"/>
            <w:shd w:val="clear" w:color="auto" w:fill="auto"/>
            <w:vAlign w:val="top"/>
          </w:tcPr>
          <w:p w14:paraId="6E7DA9A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Fonts w:hint="eastAsia" w:ascii="仿宋_GB2312" w:hAnsi="仿宋_GB2312" w:eastAsia="仿宋_GB2312" w:cs="仿宋_GB2312"/>
                <w:color w:val="auto"/>
                <w:sz w:val="24"/>
                <w:szCs w:val="24"/>
              </w:rPr>
              <w:t>采用情景教学法，设计职场情境任务。结合信息化手段，注重实践能力培养。参与课堂活动，完成实践任务。利用网络资源自主学习，提升应用能力。</w:t>
            </w:r>
          </w:p>
        </w:tc>
      </w:tr>
      <w:tr w14:paraId="5A3D6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994E9B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752" w:type="dxa"/>
            <w:shd w:val="clear" w:color="auto" w:fill="auto"/>
            <w:vAlign w:val="center"/>
          </w:tcPr>
          <w:p w14:paraId="4F2135E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大学体育</w:t>
            </w:r>
          </w:p>
        </w:tc>
        <w:tc>
          <w:tcPr>
            <w:tcW w:w="3935" w:type="dxa"/>
            <w:shd w:val="clear" w:color="auto" w:fill="auto"/>
            <w:vAlign w:val="top"/>
          </w:tcPr>
          <w:p w14:paraId="60D579C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color w:val="auto"/>
                <w:sz w:val="24"/>
                <w:szCs w:val="24"/>
              </w:rPr>
              <w:t>掌握体育运动基本理论知识，了解常见运动项目的规则与要领。学习科学锻炼方法和运动损伤预防知识，为终身体育锻炼奠定理论基础。</w:t>
            </w:r>
          </w:p>
          <w:p w14:paraId="74ACC0D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color w:val="auto"/>
                <w:sz w:val="24"/>
                <w:szCs w:val="24"/>
              </w:rPr>
              <w:t>发展学生基础运动技能，提升速度、力量、耐力等身体素质。培养1-2项运动特长，</w:t>
            </w:r>
            <w:r>
              <w:rPr>
                <w:rFonts w:hint="eastAsia" w:ascii="仿宋_GB2312" w:hAnsi="仿宋_GB2312" w:eastAsia="仿宋_GB2312" w:cs="仿宋_GB2312"/>
                <w:b w:val="0"/>
                <w:bCs w:val="0"/>
                <w:color w:val="auto"/>
                <w:sz w:val="24"/>
                <w:szCs w:val="24"/>
              </w:rPr>
              <w:t>提升体育运动能力，提高职业体能水平。</w:t>
            </w:r>
            <w:r>
              <w:rPr>
                <w:rFonts w:hint="eastAsia" w:ascii="仿宋_GB2312" w:hAnsi="仿宋_GB2312" w:eastAsia="仿宋_GB2312" w:cs="仿宋_GB2312"/>
                <w:color w:val="auto"/>
                <w:sz w:val="24"/>
                <w:szCs w:val="24"/>
              </w:rPr>
              <w:t>增强团队协作能力和体育竞赛组织能力。</w:t>
            </w:r>
          </w:p>
          <w:p w14:paraId="274E7F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b w:val="0"/>
                <w:bCs w:val="0"/>
                <w:color w:val="auto"/>
                <w:sz w:val="24"/>
                <w:szCs w:val="24"/>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lang w:eastAsia="zh-CN"/>
              </w:rPr>
              <w:t>。</w:t>
            </w:r>
          </w:p>
          <w:p w14:paraId="21E0349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以习近平新时代中国特色社会主义思想为指导，坚持知识传授与价值引领相结合，树立健康第一的教育理念，帮助学生在体育锻炼中享受乐趣、增强体质、健全人格、锤炼意志。培养学生顽强拼搏、奋斗有我的信念，激发学生提升身体素质的责任感。</w:t>
            </w:r>
          </w:p>
        </w:tc>
        <w:tc>
          <w:tcPr>
            <w:tcW w:w="3107" w:type="dxa"/>
            <w:shd w:val="clear" w:color="auto" w:fill="auto"/>
            <w:vAlign w:val="top"/>
          </w:tcPr>
          <w:p w14:paraId="0913EBA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基础体能训练提升身体素质；球类、田径等专项技能教学；特色项目如</w:t>
            </w:r>
            <w:r>
              <w:rPr>
                <w:rFonts w:hint="eastAsia" w:ascii="仿宋_GB2312" w:hAnsi="仿宋_GB2312" w:eastAsia="仿宋_GB2312" w:cs="仿宋_GB2312"/>
                <w:color w:val="auto"/>
                <w:sz w:val="24"/>
                <w:szCs w:val="24"/>
                <w:lang w:val="en-US" w:eastAsia="zh-CN"/>
              </w:rPr>
              <w:t>武术</w:t>
            </w:r>
            <w:r>
              <w:rPr>
                <w:rFonts w:hint="eastAsia" w:ascii="仿宋_GB2312" w:hAnsi="仿宋_GB2312" w:eastAsia="仿宋_GB2312" w:cs="仿宋_GB2312"/>
                <w:color w:val="auto"/>
                <w:sz w:val="24"/>
                <w:szCs w:val="24"/>
              </w:rPr>
              <w:t>、健身操等。融入职业体能训练，结合专业特点设计教学内容。</w:t>
            </w:r>
          </w:p>
        </w:tc>
        <w:tc>
          <w:tcPr>
            <w:tcW w:w="2472" w:type="dxa"/>
            <w:shd w:val="clear" w:color="auto" w:fill="auto"/>
            <w:vAlign w:val="top"/>
          </w:tcPr>
          <w:p w14:paraId="35BD6AF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lang w:val="en-US" w:eastAsia="zh-CN"/>
              </w:rPr>
              <w:t>教师需</w:t>
            </w:r>
            <w:r>
              <w:rPr>
                <w:rFonts w:hint="eastAsia" w:ascii="仿宋_GB2312" w:hAnsi="仿宋_GB2312" w:eastAsia="仿宋_GB2312" w:cs="仿宋_GB2312"/>
                <w:color w:val="auto"/>
                <w:sz w:val="24"/>
                <w:szCs w:val="24"/>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45521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9C7B87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752" w:type="dxa"/>
            <w:shd w:val="clear" w:color="auto" w:fill="auto"/>
            <w:vAlign w:val="center"/>
          </w:tcPr>
          <w:p w14:paraId="3EB18EB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大学生职业发展与就业指导</w:t>
            </w:r>
          </w:p>
        </w:tc>
        <w:tc>
          <w:tcPr>
            <w:tcW w:w="3935" w:type="dxa"/>
            <w:shd w:val="clear" w:color="auto" w:fill="auto"/>
            <w:vAlign w:val="top"/>
          </w:tcPr>
          <w:p w14:paraId="3C175C0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60ABDAB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1D54B7C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14:paraId="3356E5F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3107" w:type="dxa"/>
            <w:shd w:val="clear" w:color="auto" w:fill="auto"/>
            <w:vAlign w:val="center"/>
          </w:tcPr>
          <w:p w14:paraId="5E01C31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472" w:type="dxa"/>
            <w:shd w:val="clear" w:color="auto" w:fill="auto"/>
            <w:vAlign w:val="center"/>
          </w:tcPr>
          <w:p w14:paraId="4B47BA2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69E7E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F29F4C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752" w:type="dxa"/>
            <w:shd w:val="clear" w:color="auto" w:fill="auto"/>
            <w:vAlign w:val="center"/>
          </w:tcPr>
          <w:p w14:paraId="47398EF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大学生心理健康教育</w:t>
            </w:r>
          </w:p>
        </w:tc>
        <w:tc>
          <w:tcPr>
            <w:tcW w:w="3935" w:type="dxa"/>
            <w:shd w:val="clear" w:color="auto" w:fill="auto"/>
            <w:vAlign w:val="center"/>
          </w:tcPr>
          <w:p w14:paraId="0790527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color w:val="auto"/>
                <w:sz w:val="24"/>
                <w:szCs w:val="24"/>
              </w:rPr>
              <w:t>掌握心理健康基本概念和标准，了解常见心理问题表现及成因。</w:t>
            </w:r>
            <w:r>
              <w:rPr>
                <w:rFonts w:hint="eastAsia" w:ascii="仿宋_GB2312" w:hAnsi="仿宋_GB2312" w:eastAsia="仿宋_GB2312" w:cs="仿宋_GB2312"/>
                <w:color w:val="auto"/>
                <w:sz w:val="24"/>
                <w:szCs w:val="24"/>
                <w:lang w:val="en-US" w:eastAsia="zh-CN"/>
              </w:rPr>
              <w:t>掌握</w:t>
            </w:r>
            <w:r>
              <w:rPr>
                <w:rFonts w:hint="eastAsia" w:ascii="仿宋_GB2312" w:hAnsi="仿宋_GB2312" w:eastAsia="仿宋_GB2312" w:cs="仿宋_GB2312"/>
                <w:color w:val="auto"/>
                <w:sz w:val="24"/>
                <w:szCs w:val="24"/>
              </w:rPr>
              <w:t>情绪管理、压力应对等心理调适方法，增强自我认知能力。</w:t>
            </w:r>
          </w:p>
          <w:p w14:paraId="1FDA456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color w:val="auto"/>
                <w:sz w:val="24"/>
                <w:szCs w:val="24"/>
              </w:rPr>
              <w:t>培养</w:t>
            </w:r>
            <w:r>
              <w:rPr>
                <w:rFonts w:hint="eastAsia" w:ascii="仿宋_GB2312" w:hAnsi="仿宋_GB2312" w:eastAsia="仿宋_GB2312" w:cs="仿宋_GB2312"/>
                <w:color w:val="auto"/>
                <w:sz w:val="24"/>
                <w:szCs w:val="24"/>
                <w:lang w:val="en-US" w:eastAsia="zh-CN"/>
              </w:rPr>
              <w:t>学生</w:t>
            </w:r>
            <w:r>
              <w:rPr>
                <w:rFonts w:hint="eastAsia" w:ascii="仿宋_GB2312" w:hAnsi="仿宋_GB2312" w:eastAsia="仿宋_GB2312" w:cs="仿宋_GB2312"/>
                <w:color w:val="auto"/>
                <w:sz w:val="24"/>
                <w:szCs w:val="24"/>
              </w:rPr>
              <w:t>情绪调节与压力管理能力，提升人际沟通与冲突解决水平。使学生掌握心理自助技巧，具备初步心理问题识别与求助能力。</w:t>
            </w:r>
          </w:p>
          <w:p w14:paraId="3350DA7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color w:val="auto"/>
                <w:sz w:val="24"/>
                <w:szCs w:val="24"/>
              </w:rPr>
              <w:t>培养</w:t>
            </w:r>
            <w:r>
              <w:rPr>
                <w:rFonts w:hint="eastAsia" w:ascii="仿宋_GB2312" w:hAnsi="仿宋_GB2312" w:eastAsia="仿宋_GB2312" w:cs="仿宋_GB2312"/>
                <w:color w:val="auto"/>
                <w:sz w:val="24"/>
                <w:szCs w:val="24"/>
                <w:lang w:val="en-US" w:eastAsia="zh-CN"/>
              </w:rPr>
              <w:t>学生</w:t>
            </w:r>
            <w:r>
              <w:rPr>
                <w:rFonts w:hint="eastAsia" w:ascii="仿宋_GB2312" w:hAnsi="仿宋_GB2312" w:eastAsia="仿宋_GB2312" w:cs="仿宋_GB2312"/>
                <w:color w:val="auto"/>
                <w:sz w:val="24"/>
                <w:szCs w:val="24"/>
              </w:rPr>
              <w:t>积极乐观的人生态度，增强心理韧性和适应能力。树立正确的自我认知，形成健康的生活方式与行为习惯。</w:t>
            </w:r>
          </w:p>
          <w:p w14:paraId="0A9607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b w:val="0"/>
                <w:bCs w:val="0"/>
                <w:color w:val="auto"/>
                <w:sz w:val="24"/>
                <w:szCs w:val="24"/>
              </w:rPr>
              <w:t>坚持育心与育德相结合，引导学生以自尊自信、理性平和、积极向上的健康心态正确对待和处理成长中的心理困惑和问题，始终围绕社会主义核心价值观来发展和完善自身人格，将个人自我实现的追求与社会发展结合起来。</w:t>
            </w:r>
          </w:p>
        </w:tc>
        <w:tc>
          <w:tcPr>
            <w:tcW w:w="3107" w:type="dxa"/>
            <w:shd w:val="clear" w:color="auto" w:fill="auto"/>
            <w:vAlign w:val="top"/>
          </w:tcPr>
          <w:p w14:paraId="48BA935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472" w:type="dxa"/>
            <w:shd w:val="clear" w:color="auto" w:fill="auto"/>
            <w:vAlign w:val="top"/>
          </w:tcPr>
          <w:p w14:paraId="536FABD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shd w:val="clear" w:color="auto" w:fill="FFFFFF"/>
                <w:lang w:val="en-US" w:eastAsia="zh-CN" w:bidi="ar-SA"/>
              </w:rPr>
            </w:pPr>
            <w:r>
              <w:rPr>
                <w:rFonts w:hint="eastAsia" w:ascii="仿宋_GB2312" w:hAnsi="仿宋_GB2312" w:eastAsia="仿宋_GB2312" w:cs="仿宋_GB2312"/>
                <w:color w:val="auto"/>
                <w:sz w:val="24"/>
                <w:szCs w:val="24"/>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1E8E2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5527FF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752" w:type="dxa"/>
            <w:shd w:val="clear" w:color="auto" w:fill="auto"/>
            <w:vAlign w:val="center"/>
          </w:tcPr>
          <w:p w14:paraId="234C61C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3935" w:type="dxa"/>
            <w:shd w:val="clear" w:color="auto" w:fill="auto"/>
            <w:vAlign w:val="center"/>
          </w:tcPr>
          <w:p w14:paraId="3E11105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b w:val="0"/>
                <w:bCs w:val="0"/>
                <w:color w:val="auto"/>
                <w:sz w:val="24"/>
                <w:szCs w:val="24"/>
              </w:rPr>
              <w:t>：</w:t>
            </w:r>
            <w:r>
              <w:rPr>
                <w:rFonts w:hint="eastAsia" w:ascii="仿宋_GB2312" w:hAnsi="仿宋_GB2312" w:eastAsia="仿宋_GB2312" w:cs="仿宋_GB2312"/>
                <w:color w:val="auto"/>
                <w:sz w:val="24"/>
                <w:szCs w:val="24"/>
                <w:lang w:val="en-US" w:eastAsia="zh-CN"/>
              </w:rPr>
              <w:t>培养基本劳动技能，提升实践操作能力。掌握团队协作方法，增强问题解决与创新应用能力，适应未来职业劳动需求。</w:t>
            </w:r>
          </w:p>
          <w:p w14:paraId="3981C43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：培育吃苦耐劳精神，树立劳动光荣意识。增强责任担当，培养勤俭节约品质，形成尊重劳动、热爱劳动的良好品格。</w:t>
            </w:r>
          </w:p>
          <w:p w14:paraId="2F4294EF">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b w:val="0"/>
                <w:bCs w:val="0"/>
                <w:color w:val="auto"/>
                <w:sz w:val="24"/>
                <w:szCs w:val="24"/>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0C68F504">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color w:val="auto"/>
                <w:sz w:val="24"/>
                <w:szCs w:val="24"/>
                <w:lang w:val="en-US" w:eastAsia="zh-CN"/>
              </w:rPr>
              <w:t>弘扬劳模精神与工匠精神，强化劳动育人功能。</w:t>
            </w:r>
            <w:r>
              <w:rPr>
                <w:rFonts w:hint="eastAsia" w:ascii="仿宋_GB2312" w:hAnsi="仿宋_GB2312" w:eastAsia="仿宋_GB2312" w:cs="仿宋_GB2312"/>
                <w:b w:val="0"/>
                <w:bCs w:val="0"/>
                <w:color w:val="auto"/>
                <w:sz w:val="24"/>
                <w:szCs w:val="24"/>
              </w:rPr>
              <w:t>引导学生做社会主义核心价值观的积极践行者，培养新时代坚定的马克思主义者和具有工匠精神的社会主义建设者。</w:t>
            </w:r>
          </w:p>
        </w:tc>
        <w:tc>
          <w:tcPr>
            <w:tcW w:w="3107" w:type="dxa"/>
            <w:shd w:val="clear" w:color="auto" w:fill="auto"/>
            <w:vAlign w:val="top"/>
          </w:tcPr>
          <w:p w14:paraId="1140654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472" w:type="dxa"/>
            <w:shd w:val="clear" w:color="auto" w:fill="auto"/>
            <w:vAlign w:val="top"/>
          </w:tcPr>
          <w:p w14:paraId="40BBFBD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065AF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0F3FD9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w:t>
            </w:r>
          </w:p>
        </w:tc>
        <w:tc>
          <w:tcPr>
            <w:tcW w:w="752" w:type="dxa"/>
            <w:shd w:val="clear" w:color="auto" w:fill="auto"/>
            <w:vAlign w:val="center"/>
          </w:tcPr>
          <w:p w14:paraId="40F0D7C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毛泽东思想和中国特色社会主义理论体系概论</w:t>
            </w:r>
          </w:p>
        </w:tc>
        <w:tc>
          <w:tcPr>
            <w:tcW w:w="3935" w:type="dxa"/>
            <w:shd w:val="clear" w:color="auto" w:fill="auto"/>
            <w:vAlign w:val="center"/>
          </w:tcPr>
          <w:p w14:paraId="4A9CAE9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系统把握马克思主义中国化理论成果所蕴含的马克思主义立场、观点和方法。</w:t>
            </w:r>
          </w:p>
          <w:p w14:paraId="7B40738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43A1665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p w14:paraId="1E27086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3107" w:type="dxa"/>
            <w:shd w:val="clear" w:color="auto" w:fill="auto"/>
            <w:vAlign w:val="top"/>
          </w:tcPr>
          <w:p w14:paraId="2DD6014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代背景、主要内容和历史地位；三是分别阐述邓小平理论、“三个代表”重要思想、科学发展观形成的社会历史条件、形成发展过程、主要内容和历史地位。</w:t>
            </w:r>
          </w:p>
          <w:p w14:paraId="43029B1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14:paraId="3229E5D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472" w:type="dxa"/>
            <w:shd w:val="clear" w:color="auto" w:fill="auto"/>
            <w:vAlign w:val="top"/>
          </w:tcPr>
          <w:p w14:paraId="6411AD6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跟党走，争做社会主义合格建设者和可靠接班人。</w:t>
            </w:r>
          </w:p>
        </w:tc>
      </w:tr>
      <w:tr w14:paraId="7F427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8B55B4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473F359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7277E57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2073CE4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50831BC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0CD032C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w:t>
            </w:r>
          </w:p>
        </w:tc>
        <w:tc>
          <w:tcPr>
            <w:tcW w:w="752" w:type="dxa"/>
            <w:shd w:val="clear" w:color="auto" w:fill="auto"/>
            <w:vAlign w:val="center"/>
          </w:tcPr>
          <w:p w14:paraId="5C730AA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471540F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05989D5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7D87459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22CD985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066E747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创新创业教育</w:t>
            </w:r>
          </w:p>
        </w:tc>
        <w:tc>
          <w:tcPr>
            <w:tcW w:w="3935" w:type="dxa"/>
            <w:shd w:val="clear" w:color="auto" w:fill="auto"/>
            <w:vAlign w:val="top"/>
          </w:tcPr>
          <w:p w14:paraId="6F118E7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b w:val="0"/>
                <w:bCs w:val="0"/>
                <w:color w:val="auto"/>
                <w:sz w:val="24"/>
                <w:szCs w:val="24"/>
              </w:rPr>
              <w:t>熟悉创新思维的内涵及其基本训练方法；</w:t>
            </w:r>
            <w:r>
              <w:rPr>
                <w:rFonts w:hint="eastAsia" w:ascii="仿宋_GB2312" w:hAnsi="仿宋_GB2312" w:eastAsia="仿宋_GB2312" w:cs="仿宋_GB2312"/>
                <w:color w:val="auto"/>
                <w:sz w:val="24"/>
                <w:szCs w:val="24"/>
                <w:lang w:val="en-US" w:eastAsia="zh-CN"/>
              </w:rPr>
              <w:t>了解商业模式设计要点，</w:t>
            </w:r>
            <w:r>
              <w:rPr>
                <w:rFonts w:hint="eastAsia" w:ascii="仿宋_GB2312" w:hAnsi="仿宋_GB2312" w:eastAsia="仿宋_GB2312" w:cs="仿宋_GB2312"/>
                <w:b w:val="0"/>
                <w:bCs w:val="0"/>
                <w:color w:val="auto"/>
                <w:sz w:val="24"/>
                <w:szCs w:val="24"/>
              </w:rPr>
              <w:t>掌握常用的创新方法；掌握保护创新成果的方法</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color w:val="auto"/>
                <w:sz w:val="24"/>
                <w:szCs w:val="24"/>
                <w:lang w:val="en-US" w:eastAsia="zh-CN"/>
              </w:rPr>
              <w:t>了解创新创业政策法规。</w:t>
            </w:r>
          </w:p>
          <w:p w14:paraId="03F0AB8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lang w:val="en-US" w:eastAsia="zh-CN"/>
              </w:rPr>
              <w:t>培养创新思维与机会识别能力，提升商业计划书撰写水平。增强资源整合与项目管理能力，掌握创业风险防范与应对方法。</w:t>
            </w:r>
          </w:p>
          <w:p w14:paraId="4ACE499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color w:val="auto"/>
                <w:sz w:val="24"/>
                <w:szCs w:val="24"/>
                <w:lang w:val="en-US" w:eastAsia="zh-CN"/>
              </w:rPr>
              <w:t>培育开拓进取精神，树立正确的创业价值观。增强团队协作意识，培养抗压能力与责任担当，形成积极向上的创业心态。</w:t>
            </w:r>
          </w:p>
          <w:p w14:paraId="40EE1C5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b w:val="0"/>
                <w:bCs w:val="0"/>
                <w:color w:val="auto"/>
                <w:sz w:val="24"/>
                <w:szCs w:val="24"/>
              </w:rPr>
              <w:t>融入企业家精神教育，强化社会责任意识。通过创新创业案例培育家国情怀，引导学生将个人发展融入国家创新驱动发展战略。</w:t>
            </w:r>
          </w:p>
        </w:tc>
        <w:tc>
          <w:tcPr>
            <w:tcW w:w="3107" w:type="dxa"/>
            <w:shd w:val="clear" w:color="auto" w:fill="auto"/>
            <w:vAlign w:val="top"/>
          </w:tcPr>
          <w:p w14:paraId="5F83101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472" w:type="dxa"/>
            <w:shd w:val="clear" w:color="auto" w:fill="auto"/>
            <w:vAlign w:val="top"/>
          </w:tcPr>
          <w:p w14:paraId="5D77381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0390A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89CCE4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15</w:t>
            </w:r>
          </w:p>
        </w:tc>
        <w:tc>
          <w:tcPr>
            <w:tcW w:w="752" w:type="dxa"/>
            <w:vAlign w:val="center"/>
          </w:tcPr>
          <w:p w14:paraId="1FBFC33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习近平新时代中国特色社会主义思想概论</w:t>
            </w:r>
          </w:p>
        </w:tc>
        <w:tc>
          <w:tcPr>
            <w:tcW w:w="3935" w:type="dxa"/>
            <w:vAlign w:val="center"/>
          </w:tcPr>
          <w:p w14:paraId="20B7F7E8">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深刻理解习近平新时代中国特色社会主义思想是马克思主义中国化的最新理论成果；系统把握习近平新时代中国特色社会主义思想的核心观点和基本方略。</w:t>
            </w:r>
          </w:p>
          <w:p w14:paraId="16CC644F">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w:t>
            </w:r>
            <w:r>
              <w:rPr>
                <w:rFonts w:hint="eastAsia" w:ascii="仿宋_GB2312" w:hAnsi="仿宋_GB2312" w:eastAsia="仿宋_GB2312" w:cs="仿宋_GB2312"/>
                <w:b w:val="0"/>
                <w:bCs w:val="0"/>
                <w:color w:val="auto"/>
                <w:sz w:val="24"/>
                <w:szCs w:val="24"/>
              </w:rPr>
              <w:t>大学生运用所学新思想、新理论分析和解决现实问题的能力；增强大学生全面贯彻党的基本理论和基本方略的自觉性和主动性。</w:t>
            </w:r>
          </w:p>
          <w:p w14:paraId="7D5354C5">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b w:val="0"/>
                <w:bCs w:val="0"/>
                <w:color w:val="auto"/>
                <w:sz w:val="24"/>
                <w:szCs w:val="24"/>
              </w:rPr>
              <w:t>引导大学生自觉运用习近平新时代中国特色社会主义思想武装头脑，积极投身到建设新时代中国特色社会主义的伟大历史</w:t>
            </w:r>
            <w:r>
              <w:rPr>
                <w:rFonts w:hint="eastAsia" w:ascii="仿宋_GB2312" w:hAnsi="仿宋_GB2312" w:eastAsia="仿宋_GB2312" w:cs="仿宋_GB2312"/>
                <w:b w:val="0"/>
                <w:bCs w:val="0"/>
                <w:color w:val="auto"/>
                <w:sz w:val="24"/>
                <w:szCs w:val="24"/>
                <w:highlight w:val="none"/>
              </w:rPr>
              <w:t>进程中，实现中国梦。帮助大学生增强“四个意识”，坚定“四个自信”，做到“两个维护”。</w:t>
            </w:r>
          </w:p>
        </w:tc>
        <w:tc>
          <w:tcPr>
            <w:tcW w:w="3107" w:type="dxa"/>
            <w:vAlign w:val="top"/>
          </w:tcPr>
          <w:p w14:paraId="139BBAF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课程主要的知识模块</w:t>
            </w:r>
            <w:r>
              <w:rPr>
                <w:rFonts w:hint="eastAsia" w:ascii="仿宋_GB2312" w:hAnsi="仿宋_GB2312" w:eastAsia="仿宋_GB2312" w:cs="仿宋_GB2312"/>
                <w:color w:val="auto"/>
                <w:sz w:val="24"/>
                <w:szCs w:val="24"/>
                <w:lang w:val="en-US" w:eastAsia="zh-CN"/>
              </w:rPr>
              <w:t>包括</w:t>
            </w:r>
            <w:r>
              <w:rPr>
                <w:rFonts w:hint="eastAsia" w:ascii="仿宋_GB2312" w:hAnsi="仿宋_GB2312" w:eastAsia="仿宋_GB2312" w:cs="仿宋_GB2312"/>
                <w:color w:val="auto"/>
                <w:sz w:val="24"/>
                <w:szCs w:val="24"/>
              </w:rPr>
              <w:t>：习近平新时代中国特色社会主义思想及其历史地位、坚持和发展中国特色社会主义的总任务、“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lang w:val="en-US" w:eastAsia="zh-CN"/>
              </w:rPr>
              <w:t>等内容。</w:t>
            </w:r>
          </w:p>
        </w:tc>
        <w:tc>
          <w:tcPr>
            <w:tcW w:w="2472" w:type="dxa"/>
            <w:vAlign w:val="top"/>
          </w:tcPr>
          <w:p w14:paraId="15DEBD7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通过教师的混合式教学</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史论结合、案例丰富的教学，让学生感悟党的创新理论的思想伟力，坚持用马克思主义理论指导实践，做“学思想、强党性、重实践、建新功”的新时代青年。</w:t>
            </w:r>
          </w:p>
        </w:tc>
      </w:tr>
      <w:tr w14:paraId="2460E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6A1A6A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16</w:t>
            </w:r>
          </w:p>
        </w:tc>
        <w:tc>
          <w:tcPr>
            <w:tcW w:w="752" w:type="dxa"/>
            <w:shd w:val="clear" w:color="auto" w:fill="auto"/>
            <w:vAlign w:val="center"/>
          </w:tcPr>
          <w:p w14:paraId="619DED9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中国民俗剪纸技法</w:t>
            </w:r>
          </w:p>
        </w:tc>
        <w:tc>
          <w:tcPr>
            <w:tcW w:w="3935" w:type="dxa"/>
            <w:shd w:val="clear" w:color="auto" w:fill="auto"/>
            <w:vAlign w:val="center"/>
          </w:tcPr>
          <w:p w14:paraId="7F835EA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lang w:val="en-US" w:eastAsia="zh-CN"/>
              </w:rPr>
              <w:t>掌握剪纸艺术的历史渊源与文化内涵，了解不同地域的剪纸风格特点。学习传统剪纸纹样寓意，掌握基础剪纸工具使用方法与安全规范。</w:t>
            </w:r>
          </w:p>
          <w:p w14:paraId="687B10C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pPr>
            <w:r>
              <w:rPr>
                <w:rFonts w:hint="eastAsia" w:ascii="仿宋_GB2312" w:hAnsi="仿宋_GB2312" w:eastAsia="仿宋_GB2312" w:cs="仿宋_GB2312"/>
                <w:b/>
                <w:bCs/>
                <w:color w:val="auto"/>
                <w:sz w:val="24"/>
                <w:szCs w:val="24"/>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学会运用多种剪纸技法进行创作</w:t>
            </w:r>
            <w:r>
              <w:rPr>
                <w:rStyle w:val="10"/>
                <w:rFonts w:hint="eastAsia" w:ascii="仿宋_GB2312" w:hAnsi="仿宋_GB2312" w:eastAsia="仿宋_GB2312" w:cs="仿宋_GB2312"/>
                <w:b w:val="0"/>
                <w:bCs w:val="0"/>
                <w:i w:val="0"/>
                <w:iCs w:val="0"/>
                <w:caps w:val="0"/>
                <w:color w:val="auto"/>
                <w:spacing w:val="-6"/>
                <w:kern w:val="0"/>
                <w:sz w:val="24"/>
                <w:szCs w:val="24"/>
                <w:shd w:val="clear" w:fill="FFFFFF"/>
                <w:lang w:val="en-US" w:eastAsia="zh-CN" w:bidi="ar"/>
              </w:rPr>
              <w:t>，鼓励学生在传统剪纸技法的基础上进行创新，结合现代设计理念和元素，创作出具有时代感和个性的剪纸作品。</w:t>
            </w:r>
          </w:p>
          <w:p w14:paraId="5FE9A1C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培育耐心细致的工作态度，提升审美鉴赏能力。增强文化自信，传承非遗技艺，培养创新思维与艺术表现力。</w:t>
            </w:r>
          </w:p>
          <w:p w14:paraId="6D37B16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通过剪纸艺术，弘扬中华优秀传统文化，增强民族自豪感。在技艺传承中培育工匠精神，树立文化传承的责任意识。</w:t>
            </w:r>
          </w:p>
        </w:tc>
        <w:tc>
          <w:tcPr>
            <w:tcW w:w="3107" w:type="dxa"/>
            <w:shd w:val="clear" w:color="auto" w:fill="auto"/>
            <w:vAlign w:val="top"/>
          </w:tcPr>
          <w:p w14:paraId="7CE52F7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472" w:type="dxa"/>
            <w:shd w:val="clear" w:color="auto" w:fill="auto"/>
            <w:vAlign w:val="top"/>
          </w:tcPr>
          <w:p w14:paraId="28B8382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5FCC8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518289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17</w:t>
            </w:r>
          </w:p>
        </w:tc>
        <w:tc>
          <w:tcPr>
            <w:tcW w:w="752" w:type="dxa"/>
            <w:shd w:val="clear" w:color="auto" w:fill="auto"/>
            <w:vAlign w:val="center"/>
          </w:tcPr>
          <w:p w14:paraId="4D61F8C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影视与鉴赏</w:t>
            </w:r>
          </w:p>
        </w:tc>
        <w:tc>
          <w:tcPr>
            <w:tcW w:w="3935" w:type="dxa"/>
            <w:shd w:val="clear" w:color="auto" w:fill="auto"/>
            <w:vAlign w:val="center"/>
          </w:tcPr>
          <w:p w14:paraId="21B1086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lang w:val="en-US" w:eastAsia="zh-CN"/>
              </w:rPr>
              <w:t>掌握影视创作基本流程。</w:t>
            </w:r>
          </w:p>
          <w:p w14:paraId="3CD625E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培养影视作品分析鉴赏能力，提升视听语言理解水平。掌握影视评论写作方法，具备基础影视审美判断能力。</w:t>
            </w:r>
          </w:p>
          <w:p w14:paraId="259A4AE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培育艺术审美情趣，提高文化修养水平。增强创新思维能力，树立正确的价值观和艺术观。</w:t>
            </w:r>
          </w:p>
          <w:p w14:paraId="3150F07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通过优秀影视作品弘扬社会主义核心价值观。在艺术鉴赏中增强文化自信，培养家国情怀和人文精神。</w:t>
            </w:r>
          </w:p>
        </w:tc>
        <w:tc>
          <w:tcPr>
            <w:tcW w:w="3107" w:type="dxa"/>
            <w:shd w:val="clear" w:color="auto" w:fill="auto"/>
            <w:vAlign w:val="center"/>
          </w:tcPr>
          <w:p w14:paraId="783AFE4D">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472" w:type="dxa"/>
            <w:shd w:val="clear" w:color="auto" w:fill="auto"/>
            <w:vAlign w:val="center"/>
          </w:tcPr>
          <w:p w14:paraId="01DAC0E1">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52DBB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8D57E9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w:t>
            </w:r>
          </w:p>
        </w:tc>
        <w:tc>
          <w:tcPr>
            <w:tcW w:w="752" w:type="dxa"/>
            <w:shd w:val="clear" w:color="auto" w:fill="auto"/>
            <w:vAlign w:val="center"/>
          </w:tcPr>
          <w:p w14:paraId="24B08F2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中国共产党简史</w:t>
            </w:r>
          </w:p>
        </w:tc>
        <w:tc>
          <w:tcPr>
            <w:tcW w:w="3935" w:type="dxa"/>
            <w:shd w:val="clear" w:color="auto" w:fill="auto"/>
            <w:vAlign w:val="center"/>
          </w:tcPr>
          <w:p w14:paraId="79FF620F">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rPr>
              <w:t>把握中国共产党历史发展脉络，了解中国共产党百年奋</w:t>
            </w:r>
            <w:r>
              <w:rPr>
                <w:rFonts w:hint="eastAsia" w:ascii="仿宋_GB2312" w:hAnsi="仿宋_GB2312" w:eastAsia="仿宋_GB2312" w:cs="仿宋_GB2312"/>
                <w:color w:val="auto"/>
                <w:sz w:val="24"/>
                <w:szCs w:val="24"/>
                <w:lang w:eastAsia="zh-CN"/>
              </w:rPr>
              <w:t>斗的</w:t>
            </w:r>
            <w:r>
              <w:rPr>
                <w:rFonts w:hint="eastAsia" w:ascii="仿宋_GB2312" w:hAnsi="仿宋_GB2312" w:eastAsia="仿宋_GB2312" w:cs="仿宋_GB2312"/>
                <w:color w:val="auto"/>
                <w:sz w:val="24"/>
                <w:szCs w:val="24"/>
              </w:rPr>
              <w:t>重大历史成就与历史经验；了解中国共产党是如何团结带领中国人民克服千难万险，创造了一个又一个彪炳史册的人间奇迹；了解一代又一代优秀中国共产党人的为民情怀与高尚情操。</w:t>
            </w:r>
          </w:p>
          <w:p w14:paraId="73B63D85">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1EA4BE6F">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lang w:val="en-US" w:eastAsia="zh-CN"/>
              </w:rPr>
              <w:t>坚定对马克思主义的信仰、对中国共产党的信任、对社会主义的信心。促进学生政治素质和思想道德素质的提高，充分理解实行改革开放和实现中华民族伟大复兴中国梦的重大历史意义。</w:t>
            </w:r>
          </w:p>
        </w:tc>
        <w:tc>
          <w:tcPr>
            <w:tcW w:w="3107" w:type="dxa"/>
            <w:shd w:val="clear" w:color="auto" w:fill="auto"/>
            <w:vAlign w:val="top"/>
          </w:tcPr>
          <w:p w14:paraId="3D872BD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472" w:type="dxa"/>
            <w:shd w:val="clear" w:color="auto" w:fill="auto"/>
            <w:vAlign w:val="top"/>
          </w:tcPr>
          <w:p w14:paraId="2F0219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lang w:eastAsia="zh-CN"/>
              </w:rPr>
              <w:t>学史明理、学史增信、学史</w:t>
            </w:r>
            <w:r>
              <w:rPr>
                <w:rFonts w:hint="eastAsia" w:ascii="仿宋_GB2312" w:hAnsi="仿宋_GB2312" w:eastAsia="仿宋_GB2312" w:cs="仿宋_GB2312"/>
                <w:color w:val="auto"/>
                <w:sz w:val="24"/>
                <w:szCs w:val="24"/>
                <w:highlight w:val="none"/>
                <w:lang w:eastAsia="zh-CN"/>
              </w:rPr>
              <w:t>崇德、学史力行</w:t>
            </w:r>
            <w:r>
              <w:rPr>
                <w:rFonts w:hint="eastAsia" w:ascii="仿宋_GB2312" w:hAnsi="仿宋_GB2312" w:eastAsia="仿宋_GB2312" w:cs="仿宋_GB2312"/>
                <w:color w:val="auto"/>
                <w:sz w:val="24"/>
                <w:szCs w:val="24"/>
                <w:highlight w:val="none"/>
              </w:rPr>
              <w:t>”，感悟党的伟大，做“青春心向党踔厉奋发建新功”的新时代青年。</w:t>
            </w:r>
          </w:p>
        </w:tc>
      </w:tr>
      <w:tr w14:paraId="1862A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2BFCF6A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19</w:t>
            </w:r>
          </w:p>
        </w:tc>
        <w:tc>
          <w:tcPr>
            <w:tcW w:w="752" w:type="dxa"/>
            <w:shd w:val="clear" w:color="auto" w:fill="auto"/>
            <w:vAlign w:val="center"/>
          </w:tcPr>
          <w:p w14:paraId="683C6EC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中华人民共和国简史</w:t>
            </w:r>
          </w:p>
        </w:tc>
        <w:tc>
          <w:tcPr>
            <w:tcW w:w="3935" w:type="dxa"/>
            <w:shd w:val="clear" w:color="auto" w:fill="auto"/>
            <w:vAlign w:val="top"/>
          </w:tcPr>
          <w:p w14:paraId="5E257DA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i w:val="0"/>
                <w:iCs w:val="0"/>
                <w:caps w:val="0"/>
                <w:color w:val="auto"/>
                <w:spacing w:val="0"/>
                <w:kern w:val="0"/>
                <w:sz w:val="24"/>
                <w:szCs w:val="24"/>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547EF56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i w:val="0"/>
                <w:iCs w:val="0"/>
                <w:caps w:val="0"/>
                <w:color w:val="auto"/>
                <w:spacing w:val="0"/>
                <w:kern w:val="0"/>
                <w:sz w:val="24"/>
                <w:szCs w:val="24"/>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76F0C8A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i w:val="0"/>
                <w:iCs w:val="0"/>
                <w:caps w:val="0"/>
                <w:color w:val="auto"/>
                <w:spacing w:val="0"/>
                <w:sz w:val="24"/>
                <w:szCs w:val="24"/>
                <w:lang w:val="en-US" w:eastAsia="zh-CN"/>
              </w:rPr>
              <w:t>素质目标：</w:t>
            </w:r>
            <w:r>
              <w:rPr>
                <w:rFonts w:hint="eastAsia" w:ascii="仿宋_GB2312" w:hAnsi="仿宋_GB2312" w:eastAsia="仿宋_GB2312" w:cs="仿宋_GB2312"/>
                <w:i w:val="0"/>
                <w:iCs w:val="0"/>
                <w:caps w:val="0"/>
                <w:color w:val="auto"/>
                <w:spacing w:val="0"/>
                <w:sz w:val="24"/>
                <w:szCs w:val="24"/>
                <w:lang w:val="en-US" w:eastAsia="zh-CN"/>
              </w:rPr>
              <w:t>引导学生</w:t>
            </w:r>
            <w:r>
              <w:rPr>
                <w:rFonts w:hint="eastAsia" w:ascii="仿宋_GB2312" w:hAnsi="仿宋_GB2312" w:eastAsia="仿宋_GB2312" w:cs="仿宋_GB2312"/>
                <w:i w:val="0"/>
                <w:iCs w:val="0"/>
                <w:caps w:val="0"/>
                <w:color w:val="auto"/>
                <w:spacing w:val="0"/>
                <w:kern w:val="0"/>
                <w:sz w:val="24"/>
                <w:szCs w:val="24"/>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3107" w:type="dxa"/>
            <w:shd w:val="clear" w:color="auto" w:fill="auto"/>
            <w:vAlign w:val="top"/>
          </w:tcPr>
          <w:p w14:paraId="231F778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课程主要包括：</w:t>
            </w:r>
            <w:r>
              <w:rPr>
                <w:rFonts w:hint="eastAsia" w:ascii="仿宋_GB2312" w:hAnsi="仿宋_GB2312" w:eastAsia="仿宋_GB2312" w:cs="仿宋_GB2312"/>
                <w:color w:val="auto"/>
                <w:sz w:val="24"/>
                <w:szCs w:val="24"/>
              </w:rPr>
              <w:t>新中国成立和社会主义基本制度的确立</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社会主义建设的艰辛探索和曲折发展</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改革开放与中国特色社会主义的开创</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建立社会主义市场经济体制和把中国特色</w:t>
            </w:r>
            <w:r>
              <w:rPr>
                <w:rFonts w:hint="eastAsia" w:ascii="仿宋_GB2312" w:hAnsi="仿宋_GB2312" w:eastAsia="仿宋_GB2312" w:cs="仿宋_GB2312"/>
                <w:color w:val="auto"/>
                <w:sz w:val="24"/>
                <w:szCs w:val="24"/>
                <w:highlight w:val="none"/>
              </w:rPr>
              <w:t>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全面建设小康社会与新的形势下坚持和</w:t>
            </w:r>
            <w:r>
              <w:rPr>
                <w:rFonts w:hint="eastAsia" w:ascii="仿宋_GB2312" w:hAnsi="仿宋_GB2312" w:eastAsia="仿宋_GB2312" w:cs="仿宋_GB2312"/>
                <w:color w:val="auto"/>
                <w:sz w:val="24"/>
                <w:szCs w:val="24"/>
              </w:rPr>
              <w:t>发展中国特色社会主义</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中国特色社会主义进入新时代和实现中华民族伟大复兴的中国梦</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决胜全面建成小康社会和开启全面建成社会主义现代化强国新征程等方面。通过学习，学生将深入了解中华人民共和国在各个历史阶段的发展变化，认识到中国特色社会主义道路的历史必然性和正确性，增强对国家的热爱和对未来的信心。</w:t>
            </w:r>
          </w:p>
        </w:tc>
        <w:tc>
          <w:tcPr>
            <w:tcW w:w="2472" w:type="dxa"/>
            <w:shd w:val="clear" w:color="auto" w:fill="auto"/>
            <w:vAlign w:val="top"/>
          </w:tcPr>
          <w:p w14:paraId="62A0AA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通过课堂讲解、案例分析、小组讨论、模拟实践等方式，促进学生进一步增强民族自</w:t>
            </w:r>
            <w:r>
              <w:rPr>
                <w:rFonts w:hint="eastAsia" w:ascii="仿宋_GB2312" w:hAnsi="仿宋_GB2312" w:eastAsia="仿宋_GB2312" w:cs="仿宋_GB2312"/>
                <w:color w:val="auto"/>
                <w:sz w:val="24"/>
                <w:szCs w:val="24"/>
                <w:highlight w:val="none"/>
              </w:rPr>
              <w:t>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w:t>
            </w:r>
            <w:r>
              <w:rPr>
                <w:rFonts w:hint="eastAsia" w:ascii="仿宋_GB2312" w:hAnsi="仿宋_GB2312" w:eastAsia="仿宋_GB2312" w:cs="仿宋_GB2312"/>
                <w:color w:val="auto"/>
                <w:sz w:val="24"/>
                <w:szCs w:val="24"/>
              </w:rPr>
              <w:t>定对马克思主义的信仰、对中国共产党的信任、对社会主义的信心。</w:t>
            </w:r>
          </w:p>
        </w:tc>
      </w:tr>
      <w:tr w14:paraId="08B7F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03CC453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20</w:t>
            </w:r>
          </w:p>
        </w:tc>
        <w:tc>
          <w:tcPr>
            <w:tcW w:w="752" w:type="dxa"/>
            <w:shd w:val="clear" w:color="auto" w:fill="auto"/>
            <w:vAlign w:val="center"/>
          </w:tcPr>
          <w:p w14:paraId="60E6BD7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改革开放简史</w:t>
            </w:r>
          </w:p>
        </w:tc>
        <w:tc>
          <w:tcPr>
            <w:tcW w:w="3935" w:type="dxa"/>
            <w:shd w:val="clear" w:color="auto" w:fill="auto"/>
            <w:vAlign w:val="top"/>
          </w:tcPr>
          <w:p w14:paraId="478E11F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color w:val="auto"/>
                <w:kern w:val="2"/>
                <w:sz w:val="24"/>
                <w:szCs w:val="24"/>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224BF46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color w:val="auto"/>
                <w:kern w:val="2"/>
                <w:sz w:val="24"/>
                <w:szCs w:val="24"/>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792BA70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color w:val="auto"/>
                <w:kern w:val="2"/>
                <w:sz w:val="24"/>
                <w:szCs w:val="24"/>
                <w:lang w:val="en-US" w:eastAsia="zh-CN" w:bidi="ar-SA"/>
              </w:rPr>
              <w:t>使学生能够充分理解我国改革开放各个时期的路线、政策和目标，增强自觉执行党的路线、</w:t>
            </w:r>
            <w:r>
              <w:rPr>
                <w:rFonts w:hint="eastAsia" w:ascii="仿宋_GB2312" w:hAnsi="仿宋_GB2312" w:eastAsia="仿宋_GB2312" w:cs="仿宋_GB2312"/>
                <w:color w:val="auto"/>
                <w:kern w:val="2"/>
                <w:sz w:val="24"/>
                <w:szCs w:val="24"/>
                <w:highlight w:val="none"/>
                <w:lang w:val="en-US" w:eastAsia="zh-CN" w:bidi="ar-SA"/>
              </w:rPr>
              <w:t>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3107" w:type="dxa"/>
            <w:shd w:val="clear" w:color="auto" w:fill="auto"/>
            <w:vAlign w:val="top"/>
          </w:tcPr>
          <w:p w14:paraId="20CC5D4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课程内容涵盖</w:t>
            </w:r>
            <w:r>
              <w:rPr>
                <w:rFonts w:hint="eastAsia" w:ascii="仿宋_GB2312" w:hAnsi="仿宋_GB2312" w:eastAsia="仿宋_GB2312" w:cs="仿宋_GB2312"/>
                <w:color w:val="auto"/>
                <w:sz w:val="24"/>
                <w:szCs w:val="24"/>
              </w:rPr>
              <w:t>改革开放拉开大幕</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改革开放全面展开</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改革开放开创新局面</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改革开放在科学发展中深化</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改革开放进入新时代</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坚定不移推进全面深化改革</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坚定不移扩大高水平对外开放</w:t>
            </w:r>
            <w:r>
              <w:rPr>
                <w:rFonts w:hint="eastAsia" w:ascii="仿宋_GB2312" w:hAnsi="仿宋_GB2312" w:eastAsia="仿宋_GB2312" w:cs="仿宋_GB2312"/>
                <w:color w:val="auto"/>
                <w:sz w:val="24"/>
                <w:szCs w:val="24"/>
                <w:lang w:val="en-US" w:eastAsia="zh-CN"/>
              </w:rPr>
              <w:t>等。</w:t>
            </w:r>
            <w:r>
              <w:rPr>
                <w:rFonts w:hint="eastAsia" w:ascii="仿宋_GB2312" w:hAnsi="仿宋_GB2312" w:eastAsia="仿宋_GB2312" w:cs="仿宋_GB2312"/>
                <w:color w:val="auto"/>
                <w:sz w:val="24"/>
                <w:szCs w:val="24"/>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472" w:type="dxa"/>
            <w:shd w:val="clear" w:color="auto" w:fill="auto"/>
            <w:vAlign w:val="top"/>
          </w:tcPr>
          <w:p w14:paraId="7B55F86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通过专题讲授法、情境教学法</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案例教学法等</w:t>
            </w:r>
            <w:r>
              <w:rPr>
                <w:rFonts w:hint="eastAsia" w:ascii="仿宋_GB2312" w:hAnsi="仿宋_GB2312" w:eastAsia="仿宋_GB2312" w:cs="仿宋_GB2312"/>
                <w:color w:val="auto"/>
                <w:sz w:val="24"/>
                <w:szCs w:val="24"/>
              </w:rPr>
              <w:t>，让学生能够系统把握中国改革开放事业的辉煌成就、重大贡献、重要经验和深刻启示。</w:t>
            </w:r>
            <w:r>
              <w:rPr>
                <w:rFonts w:hint="eastAsia" w:ascii="仿宋_GB2312" w:hAnsi="仿宋_GB2312" w:eastAsia="仿宋_GB2312" w:cs="仿宋_GB2312"/>
                <w:color w:val="auto"/>
                <w:sz w:val="24"/>
                <w:szCs w:val="24"/>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29C35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E6AB32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21</w:t>
            </w:r>
          </w:p>
        </w:tc>
        <w:tc>
          <w:tcPr>
            <w:tcW w:w="752" w:type="dxa"/>
            <w:shd w:val="clear" w:color="auto" w:fill="auto"/>
            <w:vAlign w:val="center"/>
          </w:tcPr>
          <w:p w14:paraId="3C3A81E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3935" w:type="dxa"/>
            <w:shd w:val="clear" w:color="auto" w:fill="auto"/>
            <w:vAlign w:val="center"/>
          </w:tcPr>
          <w:p w14:paraId="5039A40C">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从而增强对社会主义制度的认识与信心。</w:t>
            </w:r>
          </w:p>
          <w:p w14:paraId="6F9F999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w:t>
            </w:r>
            <w:r>
              <w:rPr>
                <w:rFonts w:hint="eastAsia" w:ascii="仿宋_GB2312" w:hAnsi="仿宋_GB2312" w:eastAsia="仿宋_GB2312" w:cs="仿宋_GB2312"/>
                <w:color w:val="auto"/>
                <w:sz w:val="24"/>
                <w:szCs w:val="24"/>
                <w:highlight w:val="none"/>
                <w:lang w:val="en-US" w:eastAsia="zh-CN"/>
              </w:rPr>
              <w:t>界线，</w:t>
            </w:r>
            <w:r>
              <w:rPr>
                <w:rFonts w:hint="eastAsia" w:ascii="仿宋_GB2312" w:hAnsi="仿宋_GB2312" w:eastAsia="仿宋_GB2312" w:cs="仿宋_GB2312"/>
                <w:color w:val="auto"/>
                <w:sz w:val="24"/>
                <w:szCs w:val="24"/>
                <w:lang w:val="en-US" w:eastAsia="zh-CN"/>
              </w:rPr>
              <w:t>提高大学生的鉴别、分析和批判能力。</w:t>
            </w:r>
          </w:p>
          <w:p w14:paraId="0840F383">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3107" w:type="dxa"/>
            <w:shd w:val="clear" w:color="auto" w:fill="auto"/>
            <w:vAlign w:val="top"/>
          </w:tcPr>
          <w:p w14:paraId="638DDEF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课程内容涵盖空想社会主义的产生与发展</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科学社会主义的</w:t>
            </w:r>
            <w:r>
              <w:rPr>
                <w:rFonts w:hint="eastAsia" w:ascii="仿宋_GB2312" w:hAnsi="仿宋_GB2312" w:eastAsia="仿宋_GB2312" w:cs="仿宋_GB2312"/>
                <w:color w:val="auto"/>
                <w:sz w:val="24"/>
                <w:szCs w:val="24"/>
                <w:lang w:val="en-US" w:eastAsia="zh-CN"/>
              </w:rPr>
              <w:t>创立、</w:t>
            </w:r>
            <w:r>
              <w:rPr>
                <w:rFonts w:hint="eastAsia" w:ascii="仿宋_GB2312" w:hAnsi="仿宋_GB2312" w:eastAsia="仿宋_GB2312" w:cs="仿宋_GB2312"/>
                <w:color w:val="auto"/>
                <w:sz w:val="24"/>
                <w:szCs w:val="24"/>
              </w:rPr>
              <w:t>社会主义</w:t>
            </w:r>
            <w:r>
              <w:rPr>
                <w:rFonts w:hint="eastAsia" w:ascii="仿宋_GB2312" w:hAnsi="仿宋_GB2312" w:eastAsia="仿宋_GB2312" w:cs="仿宋_GB2312"/>
                <w:color w:val="auto"/>
                <w:sz w:val="24"/>
                <w:szCs w:val="24"/>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rPr>
              <w:t>。通过学习，学生将了解社会主义思想的起源、发展和变革，掌握社会主义制度在不同国家的实践经验和教训，为理解和坚持中国特色社会主义提供历史依据和理论支持。</w:t>
            </w:r>
          </w:p>
        </w:tc>
        <w:tc>
          <w:tcPr>
            <w:tcW w:w="2472" w:type="dxa"/>
            <w:shd w:val="clear" w:color="auto" w:fill="auto"/>
            <w:vAlign w:val="top"/>
          </w:tcPr>
          <w:p w14:paraId="26D15CB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lang w:val="en-US" w:eastAsia="zh-CN"/>
              </w:rPr>
              <w:t>能激发学生的学习情趣</w:t>
            </w:r>
            <w:r>
              <w:rPr>
                <w:rFonts w:hint="eastAsia" w:ascii="仿宋_GB2312" w:hAnsi="仿宋_GB2312" w:eastAsia="仿宋_GB2312" w:cs="仿宋_GB2312"/>
                <w:color w:val="auto"/>
                <w:sz w:val="24"/>
                <w:szCs w:val="24"/>
              </w:rPr>
              <w:t>，又有利于提高学生的认知、动手和研究能力，进而</w:t>
            </w:r>
            <w:r>
              <w:rPr>
                <w:rFonts w:hint="eastAsia" w:ascii="仿宋_GB2312" w:hAnsi="仿宋_GB2312" w:eastAsia="仿宋_GB2312" w:cs="仿宋_GB2312"/>
                <w:color w:val="auto"/>
                <w:sz w:val="24"/>
                <w:szCs w:val="24"/>
                <w:lang w:eastAsia="zh-CN"/>
              </w:rPr>
              <w:t>增强</w:t>
            </w:r>
            <w:r>
              <w:rPr>
                <w:rFonts w:hint="eastAsia" w:ascii="仿宋_GB2312" w:hAnsi="仿宋_GB2312" w:eastAsia="仿宋_GB2312" w:cs="仿宋_GB2312"/>
                <w:color w:val="auto"/>
                <w:sz w:val="24"/>
                <w:szCs w:val="24"/>
                <w:lang w:val="en-US" w:eastAsia="zh-CN"/>
              </w:rPr>
              <w:t>学生的爱国情怀</w:t>
            </w:r>
            <w:r>
              <w:rPr>
                <w:rFonts w:hint="eastAsia" w:ascii="仿宋_GB2312" w:hAnsi="仿宋_GB2312" w:eastAsia="仿宋_GB2312" w:cs="仿宋_GB2312"/>
                <w:color w:val="auto"/>
                <w:sz w:val="24"/>
                <w:szCs w:val="24"/>
              </w:rPr>
              <w:t>、自信心和民族自豪感，帮助学生掌握关于当代社会主义的基本知识，以更深刻的视角理解认识当代中国社会，强化共产主义世界观。</w:t>
            </w:r>
          </w:p>
        </w:tc>
      </w:tr>
      <w:tr w14:paraId="7EAD8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F8C98E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4ACF1AA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1A17E93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22</w:t>
            </w:r>
          </w:p>
        </w:tc>
        <w:tc>
          <w:tcPr>
            <w:tcW w:w="752" w:type="dxa"/>
            <w:shd w:val="clear" w:color="auto" w:fill="auto"/>
            <w:vAlign w:val="center"/>
          </w:tcPr>
          <w:p w14:paraId="2B6881C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113B1F9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4C9B69A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中华优秀传统文化</w:t>
            </w:r>
          </w:p>
        </w:tc>
        <w:tc>
          <w:tcPr>
            <w:tcW w:w="3935" w:type="dxa"/>
            <w:shd w:val="clear" w:color="auto" w:fill="auto"/>
            <w:vAlign w:val="top"/>
          </w:tcPr>
          <w:p w14:paraId="2B487A3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b w:val="0"/>
                <w:bCs w:val="0"/>
                <w:color w:val="auto"/>
                <w:sz w:val="24"/>
                <w:szCs w:val="24"/>
              </w:rPr>
              <w:t>掌握并传承中</w:t>
            </w:r>
            <w:r>
              <w:rPr>
                <w:rFonts w:hint="eastAsia" w:ascii="仿宋_GB2312" w:hAnsi="仿宋_GB2312" w:eastAsia="仿宋_GB2312" w:cs="仿宋_GB2312"/>
                <w:b w:val="0"/>
                <w:bCs w:val="0"/>
                <w:color w:val="auto"/>
                <w:sz w:val="24"/>
                <w:szCs w:val="24"/>
                <w:lang w:val="en-US" w:eastAsia="zh-CN"/>
              </w:rPr>
              <w:t>华优秀</w:t>
            </w:r>
            <w:r>
              <w:rPr>
                <w:rFonts w:hint="eastAsia" w:ascii="仿宋_GB2312" w:hAnsi="仿宋_GB2312" w:eastAsia="仿宋_GB2312" w:cs="仿宋_GB2312"/>
                <w:b w:val="0"/>
                <w:bCs w:val="0"/>
                <w:color w:val="auto"/>
                <w:sz w:val="24"/>
                <w:szCs w:val="24"/>
              </w:rPr>
              <w:t>传统文化的基本内涵</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主要内容</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rPr>
              <w:t>基本精神，了解了中国传统哲学、文学、</w:t>
            </w:r>
            <w:r>
              <w:rPr>
                <w:rFonts w:hint="eastAsia" w:ascii="仿宋_GB2312" w:hAnsi="仿宋_GB2312" w:eastAsia="仿宋_GB2312" w:cs="仿宋_GB2312"/>
                <w:b w:val="0"/>
                <w:bCs w:val="0"/>
                <w:color w:val="auto"/>
                <w:sz w:val="24"/>
                <w:szCs w:val="24"/>
                <w:lang w:val="en-US" w:eastAsia="zh-CN"/>
              </w:rPr>
              <w:t>仪式</w:t>
            </w:r>
            <w:r>
              <w:rPr>
                <w:rFonts w:hint="eastAsia" w:ascii="仿宋_GB2312" w:hAnsi="仿宋_GB2312" w:eastAsia="仿宋_GB2312" w:cs="仿宋_GB2312"/>
                <w:b w:val="0"/>
                <w:bCs w:val="0"/>
                <w:color w:val="auto"/>
                <w:sz w:val="24"/>
                <w:szCs w:val="24"/>
              </w:rPr>
              <w:t>文化精髓，扩大学生视野，读懂更多的经典名著名篇，熟悉中国古代的艺术、科技、文化成果，弘扬中国传统礼仪、风俗及美食文化。</w:t>
            </w:r>
          </w:p>
          <w:p w14:paraId="25F5B83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b w:val="0"/>
                <w:bCs w:val="0"/>
                <w:color w:val="auto"/>
                <w:sz w:val="24"/>
                <w:szCs w:val="24"/>
              </w:rPr>
              <w:t>掌握鉴赏中华优秀传统文化及其载体的能力；养成传统美德、树立文化自信、掌握文化精粹；培养发掘中华优秀传统文化的生成规律和闪光点的能力；能坚持创造性转化、创新性发展中华优秀传统文化。</w:t>
            </w:r>
          </w:p>
          <w:p w14:paraId="1BBEB07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b w:val="0"/>
                <w:bCs w:val="0"/>
                <w:color w:val="auto"/>
                <w:sz w:val="24"/>
                <w:szCs w:val="24"/>
                <w:lang w:val="en-US" w:eastAsia="zh-CN"/>
              </w:rPr>
              <w:t>培养学生具有对中华优秀传统文化的热爱敬畏之情；具有强烈的民族精神、人文精神和科学精神；弘扬中华优秀传统文化，树立中华优秀传统文化是我们每一个中国人的血脉和灵魂的情感；提升人格修养，培养文化情怀，具有较好的审美情趣和审美能力，具备一定的优秀传统文化素养。</w:t>
            </w:r>
          </w:p>
          <w:p w14:paraId="46BEC7C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lang w:val="en-US" w:eastAsia="zh-CN"/>
              </w:rPr>
            </w:pPr>
          </w:p>
        </w:tc>
        <w:tc>
          <w:tcPr>
            <w:tcW w:w="3107" w:type="dxa"/>
            <w:shd w:val="clear" w:color="auto" w:fill="auto"/>
            <w:vAlign w:val="top"/>
          </w:tcPr>
          <w:p w14:paraId="62F9CE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53B542D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p>
        </w:tc>
        <w:tc>
          <w:tcPr>
            <w:tcW w:w="2472" w:type="dxa"/>
            <w:shd w:val="clear" w:color="auto" w:fill="auto"/>
            <w:vAlign w:val="top"/>
          </w:tcPr>
          <w:p w14:paraId="3C48A7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362FB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0F1226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6B3A8FB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7E7C258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08931C3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1C425DC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2066A24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3A532AA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2F10CEC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071957E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64BF212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0046F86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25CF9E7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34FD190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0C97AA2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4519259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23</w:t>
            </w:r>
          </w:p>
        </w:tc>
        <w:tc>
          <w:tcPr>
            <w:tcW w:w="752" w:type="dxa"/>
            <w:vAlign w:val="center"/>
          </w:tcPr>
          <w:p w14:paraId="3401A70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15ED5B8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5855D78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5944674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706CCA6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484CF5B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13ECA48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25B0932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0D26B45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35E721B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0C1E256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76F2D16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157C29D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1B66BCE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p>
          <w:p w14:paraId="7201D11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中华民族共同体概论</w:t>
            </w:r>
          </w:p>
        </w:tc>
        <w:tc>
          <w:tcPr>
            <w:tcW w:w="3935" w:type="dxa"/>
            <w:vAlign w:val="top"/>
          </w:tcPr>
          <w:p w14:paraId="1A97E98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b w:val="0"/>
                <w:bCs w:val="0"/>
                <w:color w:val="auto"/>
                <w:sz w:val="24"/>
                <w:szCs w:val="24"/>
                <w:lang w:eastAsia="zh-CN"/>
              </w:rPr>
              <w:t>：</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4F481D9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lang w:val="en-US" w:eastAsia="zh-CN"/>
              </w:rPr>
              <w:t>紧扣铸牢中华民族共同体意识的基本任务，自觉推动中华民族共同体建设。</w:t>
            </w:r>
          </w:p>
          <w:p w14:paraId="1E957E5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p w14:paraId="464222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p>
        </w:tc>
        <w:tc>
          <w:tcPr>
            <w:tcW w:w="3107" w:type="dxa"/>
            <w:vAlign w:val="top"/>
          </w:tcPr>
          <w:p w14:paraId="45BEAE2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472" w:type="dxa"/>
            <w:vAlign w:val="top"/>
          </w:tcPr>
          <w:p w14:paraId="2CAA486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rPr>
              <w:t>达到增强学生学习知识、理论的兴趣和钻研理论的热情、提高学生运用所学知识分析问题和解决问题的能力，</w:t>
            </w:r>
          </w:p>
          <w:p w14:paraId="56F13C8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培养正确开展民族交往交流交融的态度、情感、能力，铸牢中华民族共同体意识。</w:t>
            </w:r>
          </w:p>
        </w:tc>
      </w:tr>
      <w:tr w14:paraId="38FB5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4294DE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24</w:t>
            </w:r>
          </w:p>
        </w:tc>
        <w:tc>
          <w:tcPr>
            <w:tcW w:w="752" w:type="dxa"/>
            <w:shd w:val="clear" w:color="auto" w:fill="auto"/>
            <w:vAlign w:val="center"/>
          </w:tcPr>
          <w:p w14:paraId="6C6DC58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语文</w:t>
            </w:r>
          </w:p>
        </w:tc>
        <w:tc>
          <w:tcPr>
            <w:tcW w:w="3935" w:type="dxa"/>
            <w:shd w:val="clear" w:color="auto" w:fill="auto"/>
            <w:vAlign w:val="center"/>
          </w:tcPr>
          <w:p w14:paraId="402457E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掌握现代汉语基础知识和常用文体特征，了解文学鉴赏基本方法。学习实用写作规范，提升语言表达准确性，培养基础文学素养。</w:t>
            </w:r>
          </w:p>
          <w:p w14:paraId="5579AC8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：培养阅读理解与书面表达能力，提升职场应用写作水平。增强口语交际能力，掌握专业文献阅读方法，适应职业发展需求。</w:t>
            </w:r>
          </w:p>
          <w:p w14:paraId="6F85F3B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培育人文精神与审美情趣，提高文化修养。增强逻辑思维与创新意识，树立终身学习理念。</w:t>
            </w:r>
          </w:p>
          <w:p w14:paraId="61DE6C2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通过经典作品传承中华优秀传统文化，培育文化自信。在语言训练中融入社会主义核心价值观教育。</w:t>
            </w:r>
          </w:p>
          <w:p w14:paraId="77E3C772">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kern w:val="2"/>
                <w:sz w:val="24"/>
                <w:szCs w:val="24"/>
                <w:lang w:val="en-US" w:eastAsia="zh-CN" w:bidi="ar-SA"/>
              </w:rPr>
            </w:pPr>
          </w:p>
        </w:tc>
        <w:tc>
          <w:tcPr>
            <w:tcW w:w="3107" w:type="dxa"/>
            <w:shd w:val="clear" w:color="auto" w:fill="auto"/>
            <w:vAlign w:val="center"/>
          </w:tcPr>
          <w:p w14:paraId="53DDD64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472" w:type="dxa"/>
            <w:shd w:val="clear" w:color="auto" w:fill="auto"/>
            <w:vAlign w:val="center"/>
          </w:tcPr>
          <w:p w14:paraId="3315A31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bl>
    <w:p w14:paraId="52C7A0A8">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14:paraId="10B3E3F1">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专业（技能）课程包括专业基础课程、专业核心课程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专业拓展课程，并涵盖有关实践性教学环节。</w:t>
      </w:r>
    </w:p>
    <w:p w14:paraId="585AF2AC">
      <w:pPr>
        <w:pageBreakBefore w:val="0"/>
        <w:kinsoku/>
        <w:wordWrap/>
        <w:overflowPunct w:val="0"/>
        <w:topLinePunct w:val="0"/>
        <w:autoSpaceDE/>
        <w:autoSpaceDN/>
        <w:bidi w:val="0"/>
        <w:adjustRightInd w:val="0"/>
        <w:snapToGrid/>
        <w:spacing w:after="0" w:line="520" w:lineRule="exact"/>
        <w:ind w:firstLine="960" w:firstLineChars="300"/>
        <w:textAlignment w:val="auto"/>
        <w:rPr>
          <w:rFonts w:hint="eastAsia" w:ascii="仿宋_GB2312" w:hAnsi="仿宋_GB2312" w:eastAsia="仿宋_GB2312" w:cs="仿宋_GB2312"/>
          <w:color w:val="auto"/>
          <w:sz w:val="32"/>
          <w:szCs w:val="32"/>
        </w:rPr>
      </w:pPr>
      <w:bookmarkStart w:id="10" w:name="_Toc90734975"/>
      <w:r>
        <w:rPr>
          <w:rFonts w:hint="eastAsia" w:ascii="仿宋_GB2312" w:hAnsi="仿宋_GB2312" w:eastAsia="仿宋_GB2312" w:cs="仿宋_GB2312"/>
          <w:color w:val="auto"/>
          <w:sz w:val="32"/>
          <w:szCs w:val="32"/>
        </w:rPr>
        <w:t>1.专业基础课程</w:t>
      </w:r>
      <w:bookmarkEnd w:id="10"/>
    </w:p>
    <w:p w14:paraId="10EFDF0E">
      <w:pPr>
        <w:pageBreakBefore w:val="0"/>
        <w:kinsoku/>
        <w:wordWrap/>
        <w:overflowPunct w:val="0"/>
        <w:topLinePunct w:val="0"/>
        <w:autoSpaceDE/>
        <w:autoSpaceDN/>
        <w:bidi w:val="0"/>
        <w:adjustRightInd w:val="0"/>
        <w:snapToGrid/>
        <w:spacing w:after="0" w:line="52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专业基础课是为后续专业课程学习打基础的课程。包括：经济学原理、经济法基础、会计基础、企业管理基础、出纳业务操作、大数据技术应用基础、统计基础、财务机器人应用与开发等课程。</w:t>
      </w:r>
    </w:p>
    <w:p w14:paraId="3FC5C435">
      <w:pPr>
        <w:overflowPunct w:val="0"/>
        <w:adjustRightInd w:val="0"/>
        <w:spacing w:line="520" w:lineRule="exact"/>
        <w:jc w:val="center"/>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896"/>
        <w:gridCol w:w="3888"/>
        <w:gridCol w:w="2533"/>
        <w:gridCol w:w="2491"/>
      </w:tblGrid>
      <w:tr w14:paraId="649F2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3CF9B12C">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序号</w:t>
            </w:r>
          </w:p>
        </w:tc>
        <w:tc>
          <w:tcPr>
            <w:tcW w:w="896" w:type="dxa"/>
            <w:vAlign w:val="center"/>
          </w:tcPr>
          <w:p w14:paraId="5AF7F9B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课程名称</w:t>
            </w:r>
          </w:p>
        </w:tc>
        <w:tc>
          <w:tcPr>
            <w:tcW w:w="3888" w:type="dxa"/>
            <w:vAlign w:val="center"/>
          </w:tcPr>
          <w:p w14:paraId="2A50793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课程</w:t>
            </w:r>
            <w:r>
              <w:rPr>
                <w:rFonts w:hint="eastAsia" w:ascii="仿宋_GB2312" w:hAnsi="仿宋_GB2312" w:eastAsia="仿宋_GB2312" w:cs="仿宋_GB2312"/>
                <w:b w:val="0"/>
                <w:bCs w:val="0"/>
                <w:color w:val="auto"/>
                <w:sz w:val="24"/>
                <w:szCs w:val="24"/>
              </w:rPr>
              <w:t>目标</w:t>
            </w:r>
          </w:p>
        </w:tc>
        <w:tc>
          <w:tcPr>
            <w:tcW w:w="2533" w:type="dxa"/>
            <w:vAlign w:val="center"/>
          </w:tcPr>
          <w:p w14:paraId="3C4FF54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2491" w:type="dxa"/>
            <w:vAlign w:val="center"/>
          </w:tcPr>
          <w:p w14:paraId="32C1403E">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教学要求</w:t>
            </w:r>
          </w:p>
        </w:tc>
      </w:tr>
      <w:tr w14:paraId="2A540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4BF07D3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896" w:type="dxa"/>
            <w:vAlign w:val="center"/>
          </w:tcPr>
          <w:p w14:paraId="7D133C9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eastAsia="zh-CN"/>
              </w:rPr>
              <w:t>经济学基础</w:t>
            </w:r>
          </w:p>
        </w:tc>
        <w:tc>
          <w:tcPr>
            <w:tcW w:w="3888" w:type="dxa"/>
            <w:vAlign w:val="center"/>
          </w:tcPr>
          <w:p w14:paraId="6A7D52F0">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系统掌握供求理论、市场机制等核心知识，理解宏微观经济运行逻辑，明晰经济政策的基本内涵与影响。</w:t>
            </w:r>
          </w:p>
          <w:p w14:paraId="166AF212">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能运用经济学理论分析生活中的经济现象，具备初步数据解读能力，为简单经济决策提供思路。</w:t>
            </w:r>
          </w:p>
          <w:p w14:paraId="485D4900">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培养理性分析、辩证看待经济问题的思维，树立尊重市场规律的意识。</w:t>
            </w:r>
          </w:p>
          <w:p w14:paraId="5FC2A73F">
            <w:pPr>
              <w:keepNext w:val="0"/>
              <w:keepLines w:val="0"/>
              <w:pageBreakBefore w:val="0"/>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结合我国经济发展实践，厚植家国情怀，引导学生树立正确的财富观与社会责任意识。</w:t>
            </w:r>
          </w:p>
        </w:tc>
        <w:tc>
          <w:tcPr>
            <w:tcW w:w="2533" w:type="dxa"/>
            <w:vAlign w:val="top"/>
          </w:tcPr>
          <w:p w14:paraId="330A164D">
            <w:pPr>
              <w:keepNext w:val="0"/>
              <w:keepLines w:val="0"/>
              <w:pageBreakBefore w:val="0"/>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color w:val="auto"/>
                <w:sz w:val="24"/>
                <w:szCs w:val="24"/>
                <w:lang w:val="en-US" w:eastAsia="zh-CN"/>
              </w:rPr>
              <w:t>导论、需求、供给和均衡价格决定理论、消费者行为理论、生产者理论、成本理论、市场理论</w:t>
            </w:r>
            <w:r>
              <w:rPr>
                <w:rFonts w:hint="eastAsia" w:ascii="仿宋_GB2312" w:hAnsi="仿宋_GB2312" w:eastAsia="仿宋_GB2312" w:cs="仿宋_GB2312"/>
                <w:color w:val="auto"/>
                <w:sz w:val="24"/>
                <w:szCs w:val="24"/>
                <w:lang w:val="en-US" w:eastAsia="zh-CN"/>
              </w:rPr>
              <w:softHyphen/>
            </w:r>
            <w:r>
              <w:rPr>
                <w:rFonts w:hint="eastAsia" w:ascii="仿宋_GB2312" w:hAnsi="仿宋_GB2312" w:eastAsia="仿宋_GB2312" w:cs="仿宋_GB2312"/>
                <w:color w:val="auto"/>
                <w:sz w:val="24"/>
                <w:szCs w:val="24"/>
                <w:lang w:val="en-US" w:eastAsia="zh-CN"/>
              </w:rPr>
              <w:t>、分配理论、市场失灵和政府、国民收入核算理论、国民收入决定理论、失业与通货膨胀理论</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lang w:val="en-US" w:eastAsia="zh-CN"/>
              </w:rPr>
              <w:t>经济周期理论、宏观经济政策等。</w:t>
            </w:r>
          </w:p>
        </w:tc>
        <w:tc>
          <w:tcPr>
            <w:tcW w:w="2491" w:type="dxa"/>
            <w:vAlign w:val="top"/>
          </w:tcPr>
          <w:p w14:paraId="5E263F81">
            <w:pPr>
              <w:keepNext w:val="0"/>
              <w:keepLines w:val="0"/>
              <w:pageBreakBefore w:val="0"/>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color w:val="auto"/>
                <w:sz w:val="24"/>
                <w:szCs w:val="24"/>
                <w:lang w:val="en-US" w:eastAsia="zh-CN"/>
              </w:rPr>
              <w:t>采用教材结合多媒体教学手段，结合生动具体的经济案例，帮助学生理解抽象的经济理论。教学中组织小组讨论，鼓励学生积极参与，促进思想碰撞，深化对经济学原理的理解。推荐经济学经典读物和前沿研究论文，鼓励学生拓展知识面。</w:t>
            </w:r>
          </w:p>
        </w:tc>
      </w:tr>
      <w:tr w14:paraId="66200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32493F7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auto"/>
                <w:sz w:val="24"/>
                <w:szCs w:val="24"/>
                <w:lang w:val="en-US" w:eastAsia="zh-CN"/>
              </w:rPr>
            </w:pPr>
            <w:bookmarkStart w:id="11" w:name="_Hlk194587108"/>
            <w:r>
              <w:rPr>
                <w:rFonts w:hint="eastAsia" w:ascii="仿宋_GB2312" w:hAnsi="仿宋_GB2312" w:eastAsia="仿宋_GB2312" w:cs="仿宋_GB2312"/>
                <w:color w:val="auto"/>
                <w:sz w:val="24"/>
                <w:szCs w:val="24"/>
              </w:rPr>
              <w:t>2</w:t>
            </w:r>
          </w:p>
        </w:tc>
        <w:tc>
          <w:tcPr>
            <w:tcW w:w="896" w:type="dxa"/>
            <w:vAlign w:val="center"/>
          </w:tcPr>
          <w:p w14:paraId="4655A768">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highlight w:val="none"/>
              </w:rPr>
              <w:t>经济法基础</w:t>
            </w:r>
          </w:p>
        </w:tc>
        <w:tc>
          <w:tcPr>
            <w:tcW w:w="3888" w:type="dxa"/>
            <w:vAlign w:val="top"/>
          </w:tcPr>
          <w:p w14:paraId="33131063">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掌握经济法核心范畴、法律体系及关键规则，理解市场监管、财税等领域法律逻辑，明晰法律适用基本前提。</w:t>
            </w:r>
          </w:p>
          <w:p w14:paraId="3ABB74D8">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能运用经济法原理分析实务案例，具备初步法律风险识别能力，可撰写简单法律分析意见。</w:t>
            </w:r>
          </w:p>
          <w:p w14:paraId="2887C1CD">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培养严谨的法律思维与规则意识，树立依法办事的职业素养，提升问题解决的逻辑性。</w:t>
            </w:r>
          </w:p>
          <w:p w14:paraId="49A040E2">
            <w:pPr>
              <w:keepNext w:val="0"/>
              <w:keepLines w:val="0"/>
              <w:pageBreakBefore w:val="0"/>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结合法治实践案例，强化法治信仰，引导学生树立公平正义理念与社会责任感。</w:t>
            </w:r>
          </w:p>
        </w:tc>
        <w:tc>
          <w:tcPr>
            <w:tcW w:w="2533" w:type="dxa"/>
            <w:vAlign w:val="top"/>
          </w:tcPr>
          <w:p w14:paraId="7A0CF157">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color w:val="auto"/>
                <w:sz w:val="24"/>
                <w:szCs w:val="24"/>
                <w:lang w:val="en-US" w:eastAsia="zh-CN"/>
              </w:rPr>
              <w:t>经济法基础理论、公司企业法律制度、</w:t>
            </w:r>
            <w:r>
              <w:rPr>
                <w:rFonts w:hint="eastAsia" w:ascii="仿宋_GB2312" w:hAnsi="仿宋_GB2312" w:eastAsia="仿宋_GB2312" w:cs="仿宋_GB2312"/>
                <w:color w:val="auto"/>
                <w:sz w:val="24"/>
                <w:szCs w:val="24"/>
                <w:highlight w:val="none"/>
                <w:lang w:val="en-US" w:eastAsia="zh-CN"/>
              </w:rPr>
              <w:t>合同法</w:t>
            </w:r>
            <w:r>
              <w:rPr>
                <w:rFonts w:hint="eastAsia" w:ascii="仿宋_GB2312" w:hAnsi="仿宋_GB2312" w:eastAsia="仿宋_GB2312" w:cs="仿宋_GB2312"/>
                <w:color w:val="auto"/>
                <w:sz w:val="24"/>
                <w:szCs w:val="24"/>
                <w:lang w:val="en-US" w:eastAsia="zh-CN"/>
              </w:rPr>
              <w:t>、市场规制法律制度、工业产权法律制度、金融法律制度、劳动法律制度、经济仲裁与诉讼法律制度。</w:t>
            </w:r>
          </w:p>
        </w:tc>
        <w:tc>
          <w:tcPr>
            <w:tcW w:w="2491" w:type="dxa"/>
            <w:vAlign w:val="center"/>
          </w:tcPr>
          <w:p w14:paraId="57FF36DF">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color w:val="auto"/>
                <w:sz w:val="24"/>
                <w:szCs w:val="24"/>
                <w:lang w:val="en-US" w:eastAsia="zh-CN"/>
              </w:rPr>
              <w:t>采用教师讲授为主，辅以课堂讨论、案例分析等形式，激发学生学习兴趣，促进师生互动。结合经济生活中的热点问题，引入真实案例进行教学，增强学生的实践应用能力。其次利用多媒体教学资源和网络平台，开展线上预习、复习、测试等环节，提高教学效率和学习效果。最后在学生掌握经济法基础理论知识的基础上模拟法庭与实训，组织模拟法庭、法律诊所等活动，让学生在模拟实践中加深对法律条文的理解和应用。</w:t>
            </w:r>
          </w:p>
        </w:tc>
      </w:tr>
      <w:tr w14:paraId="648F7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B9FE7F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auto"/>
                <w:sz w:val="24"/>
                <w:szCs w:val="24"/>
                <w:lang w:val="en-US" w:eastAsia="zh-CN"/>
              </w:rPr>
            </w:pPr>
            <w:bookmarkStart w:id="12" w:name="_Toc90734977"/>
            <w:r>
              <w:rPr>
                <w:rFonts w:hint="eastAsia" w:ascii="仿宋_GB2312" w:hAnsi="仿宋_GB2312" w:eastAsia="仿宋_GB2312" w:cs="仿宋_GB2312"/>
                <w:color w:val="auto"/>
                <w:sz w:val="24"/>
                <w:szCs w:val="24"/>
              </w:rPr>
              <w:t>3</w:t>
            </w:r>
          </w:p>
        </w:tc>
        <w:tc>
          <w:tcPr>
            <w:tcW w:w="896" w:type="dxa"/>
            <w:vAlign w:val="center"/>
          </w:tcPr>
          <w:p w14:paraId="2B0CA7D0">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会计基础</w:t>
            </w:r>
          </w:p>
        </w:tc>
        <w:tc>
          <w:tcPr>
            <w:tcW w:w="3888" w:type="dxa"/>
            <w:vAlign w:val="top"/>
          </w:tcPr>
          <w:p w14:paraId="1B3997D4">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掌握会计要素、借贷记账法等核心知识，理解凭证、账簿、报表的关联逻辑，明晰会计核算的基本流程与规范要求。</w:t>
            </w:r>
          </w:p>
          <w:p w14:paraId="654CA57A">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能独立完成会计凭证填制、账簿登记，具备初步财务报表编制能力，可运用基础会计方法处理简单经济业务。</w:t>
            </w:r>
          </w:p>
          <w:p w14:paraId="25B2A289">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培养严谨细致的工作态度与数据求真意识，树立会计职业规范认知，提升处理会计事务的责任素养。</w:t>
            </w:r>
          </w:p>
          <w:p w14:paraId="507643B8">
            <w:pPr>
              <w:keepNext w:val="0"/>
              <w:keepLines w:val="0"/>
              <w:pageBreakBefore w:val="0"/>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结合会计诚信案例，强化职业操守教育，引导学生树立“不做假账”理念与服务经济发展的社会责任。</w:t>
            </w:r>
          </w:p>
        </w:tc>
        <w:tc>
          <w:tcPr>
            <w:tcW w:w="2533" w:type="dxa"/>
            <w:vAlign w:val="top"/>
          </w:tcPr>
          <w:p w14:paraId="60913FF3">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color w:val="auto"/>
                <w:sz w:val="24"/>
                <w:szCs w:val="24"/>
                <w:lang w:val="zh-CN" w:eastAsia="zh-CN"/>
              </w:rPr>
              <w:t>总论、会计科目与账户复式记账、主要经济业务的核算、会计账户分类、会计凭证、会计账簿财产清查、会计核算组织程序、财务会计报告、会计工作组织。</w:t>
            </w:r>
          </w:p>
        </w:tc>
        <w:tc>
          <w:tcPr>
            <w:tcW w:w="2491" w:type="dxa"/>
            <w:vAlign w:val="top"/>
          </w:tcPr>
          <w:p w14:paraId="023A66B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color w:val="auto"/>
                <w:sz w:val="24"/>
                <w:szCs w:val="24"/>
                <w:lang w:val="zh-CN" w:eastAsia="zh-CN"/>
              </w:rPr>
              <w:t>通过多媒体结合教材系统讲解会计学原理的基本概念、理论和方法，注重理论与实践相结合。选取具有代表性的经济业务案例，引导学生进行分析讨论，加深对会计理论的理解和应用。其次利用会计软件或手工模拟账套，进行会计凭证填制、账簿登记、报表编制等实操训练，提高学生的动手能力。</w:t>
            </w:r>
          </w:p>
        </w:tc>
      </w:tr>
      <w:tr w14:paraId="514B5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78E84E15">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4</w:t>
            </w:r>
          </w:p>
        </w:tc>
        <w:tc>
          <w:tcPr>
            <w:tcW w:w="896" w:type="dxa"/>
            <w:vAlign w:val="center"/>
          </w:tcPr>
          <w:p w14:paraId="5BBC49D1">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企业管理基础</w:t>
            </w:r>
          </w:p>
        </w:tc>
        <w:tc>
          <w:tcPr>
            <w:tcW w:w="3888" w:type="dxa"/>
            <w:vAlign w:val="top"/>
          </w:tcPr>
          <w:p w14:paraId="0DC35B3D">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掌握企业组织、战略、运营等核心管理模块知识，理解各职能协同逻辑，明晰管理理论在实践中的基本应用场景。</w:t>
            </w:r>
          </w:p>
          <w:p w14:paraId="3205CE94">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能运用基础管理工具分析企业运营问题，具备初步团队协调与决策建议能力，可设计简单管理优化方案。</w:t>
            </w:r>
          </w:p>
          <w:p w14:paraId="57FA72A9">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：培养系统思维与责任意识，树立效率与创新并重的管理认知，提升应对企业复杂问题的应变素养。</w:t>
            </w:r>
          </w:p>
          <w:p w14:paraId="4D3C67FC">
            <w:pPr>
              <w:keepNext w:val="0"/>
              <w:keepLines w:val="0"/>
              <w:pageBreakBefore w:val="0"/>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结合优秀企业案例，厚植企业家精神与家国情怀，引导学生树立诚信经营、社会责任优先的价值观。</w:t>
            </w:r>
          </w:p>
        </w:tc>
        <w:tc>
          <w:tcPr>
            <w:tcW w:w="2533" w:type="dxa"/>
            <w:vAlign w:val="top"/>
          </w:tcPr>
          <w:p w14:paraId="6A0B1377">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企业管理概述（企业类型、管理职能、管理者角色）、管理思想史、战略管理、组织设计与人力资源管理、财务管理、市场营销、运营管理、数字化转型（大数据与AI在管理中的应用）、企业社会责任（ESG理念）</w:t>
            </w:r>
          </w:p>
        </w:tc>
        <w:tc>
          <w:tcPr>
            <w:tcW w:w="2491" w:type="dxa"/>
            <w:vAlign w:val="top"/>
          </w:tcPr>
          <w:p w14:paraId="5AEDA2FA">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采用“理论讲授+案例分析+小组讨论”混合模式，强化互动式学习。利用多媒体工具（如管理类纪录片、企业数据库）辅助教学。鼓励学生参与创新创业项目或商业计划书撰写。平时通过课堂参与度、小组作业（如案例分析报告）、模拟实训等完成企业管理案例分析。</w:t>
            </w:r>
          </w:p>
        </w:tc>
      </w:tr>
      <w:tr w14:paraId="58871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5075B064">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896" w:type="dxa"/>
            <w:vAlign w:val="center"/>
          </w:tcPr>
          <w:p w14:paraId="6AF92829">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出纳业务操作</w:t>
            </w:r>
          </w:p>
        </w:tc>
        <w:tc>
          <w:tcPr>
            <w:tcW w:w="3888" w:type="dxa"/>
          </w:tcPr>
          <w:p w14:paraId="7ADD352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熟悉出纳岗位工作制度、职业素质，掌握数字书写、票据填制、现金与银行存款管理及清查等知识。</w:t>
            </w:r>
          </w:p>
          <w:p w14:paraId="70B3433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能够规范完成出纳各项业务操作，如点钞验钞、凭证填制审核、日记账登记、错账更正及资金清查等工作。</w:t>
            </w:r>
          </w:p>
          <w:p w14:paraId="3BF4522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树立爱岗敬业、诚实守信、廉洁自律、客观公正等职业道德，培养吃苦耐劳、勇于挑战、尊重他人的素养。</w:t>
            </w:r>
          </w:p>
          <w:p w14:paraId="3B848B5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强化学生法律意识，培养严谨认真的工作态度，树立正确价值观，使其明白遵守准则、保守秘密的重要性。</w:t>
            </w:r>
          </w:p>
        </w:tc>
        <w:tc>
          <w:tcPr>
            <w:tcW w:w="2533" w:type="dxa"/>
            <w:vAlign w:val="top"/>
          </w:tcPr>
          <w:p w14:paraId="3559C03B">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认识出纳、出纳岗位基本能力训练、现金业务办理银行业务办理、会计凭证、账簿与出纳报表的填写、出纳的交接工作等。</w:t>
            </w:r>
          </w:p>
        </w:tc>
        <w:tc>
          <w:tcPr>
            <w:tcW w:w="2491" w:type="dxa"/>
            <w:vAlign w:val="top"/>
          </w:tcPr>
          <w:p w14:paraId="7F65BE41">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采用多媒体教学手段，结合板书、PPT等教学工具，系统讲解出纳实务的理论知识。选取典型出纳业务案例，引导学生进行分析讨论，加深对知识点的理解和应用。其次设置仿真出纳工作环境，通过模拟现金收付、银行结算、票据处理等业务流程，增强学生的实践能力。同时在课堂上组织学生分组讨论出纳工作中遇到的问题及解决方案，培养学生的团队协作能力和沟通能力。</w:t>
            </w:r>
          </w:p>
        </w:tc>
      </w:tr>
      <w:tr w14:paraId="55E74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0AE30D72">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896" w:type="dxa"/>
            <w:vAlign w:val="center"/>
          </w:tcPr>
          <w:p w14:paraId="1063DDAF">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大数据技术应用基础</w:t>
            </w:r>
          </w:p>
        </w:tc>
        <w:tc>
          <w:tcPr>
            <w:tcW w:w="3888" w:type="dxa"/>
          </w:tcPr>
          <w:p w14:paraId="6E1AAA0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掌握财务机器人原理、开发工具及财务流程，理解其在会计、审计等场景的应用逻辑。</w:t>
            </w:r>
          </w:p>
          <w:p w14:paraId="13F334C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能运用工具开发简单财务机器人，解决凭证处理、报表生成等实际财务问题。</w:t>
            </w:r>
          </w:p>
          <w:p w14:paraId="0DFA4F1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培养严谨的数据思维与创新意识，提升财务数字化场景下的适应与协作能力。</w:t>
            </w:r>
          </w:p>
          <w:p w14:paraId="694CD6C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树立财务数据安全与职业道德意识，践行科技赋能财务的责任担当。</w:t>
            </w:r>
          </w:p>
        </w:tc>
        <w:tc>
          <w:tcPr>
            <w:tcW w:w="2533" w:type="dxa"/>
            <w:vAlign w:val="top"/>
          </w:tcPr>
          <w:p w14:paraId="1D4B36D5">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讲解大数据概念、特征，介绍行业发展历程与趋势；教授Hadoop、Spark等核心技术，开展数据采集、存储与分析实践；剖析金融、医疗等行业案例，探索大数据应用场景。</w:t>
            </w:r>
          </w:p>
        </w:tc>
        <w:tc>
          <w:tcPr>
            <w:tcW w:w="2491" w:type="dxa"/>
            <w:vAlign w:val="top"/>
          </w:tcPr>
          <w:p w14:paraId="051DCCB0">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认真学习理论知识，夯实大数据技术基础；积极参与实验，提升大数据实操能力；在项目中学会沟通协作，共同完成大数据分析任务；主动关注行业动态，培养自主学习习惯。</w:t>
            </w:r>
          </w:p>
        </w:tc>
      </w:tr>
      <w:tr w14:paraId="4675A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71D4F6D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896" w:type="dxa"/>
            <w:vAlign w:val="center"/>
          </w:tcPr>
          <w:p w14:paraId="2F40FBF6">
            <w:pPr>
              <w:keepNext w:val="0"/>
              <w:keepLines w:val="0"/>
              <w:pageBreakBefore w:val="0"/>
              <w:widowControl/>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统计基础</w:t>
            </w:r>
          </w:p>
        </w:tc>
        <w:tc>
          <w:tcPr>
            <w:tcW w:w="3888" w:type="dxa"/>
            <w:vAlign w:val="top"/>
          </w:tcPr>
          <w:p w14:paraId="79D9B2B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lang w:val="en-US" w:eastAsia="zh-CN"/>
              </w:rPr>
              <w:t>掌握统计调查、数据整理、分析等核心方法，理解均值、方差等指标含义，明晰统计推断的基本逻辑与适用场景。</w:t>
            </w:r>
          </w:p>
          <w:p w14:paraId="62435D9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能运用统计工具收集处理数据，具备初步数据分析与报告撰写能力，可通过数据解读简单现实问题。</w:t>
            </w:r>
          </w:p>
          <w:p w14:paraId="76ACDE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培养严谨的数据思维与客观求实态度，树立尊重数据、科学分析的意识，提升数据解读的准确性。</w:t>
            </w:r>
          </w:p>
          <w:p w14:paraId="0B7583A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结合数据反映的国家发展成就，厚植家国情怀，引导学生树立数据诚信与用数据服务社会的责任感。</w:t>
            </w:r>
          </w:p>
        </w:tc>
        <w:tc>
          <w:tcPr>
            <w:tcW w:w="2533" w:type="dxa"/>
            <w:vAlign w:val="top"/>
          </w:tcPr>
          <w:p w14:paraId="79E2504C">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导论、统计设计、统计调查、统计整理、综合指标时间数列、统计指数、抽样推断、相关与回归分析。</w:t>
            </w:r>
          </w:p>
        </w:tc>
        <w:tc>
          <w:tcPr>
            <w:tcW w:w="2491" w:type="dxa"/>
            <w:vAlign w:val="top"/>
          </w:tcPr>
          <w:p w14:paraId="5E990A3D">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通过多媒体结合教材系统讲解统计学原理的基础知识，注重理论联系实际。教学中通过实际案例，引导学生运用统计学原理分析问题，加深理解。在课堂上组织小组讨论，促进学生之间的交流与合作，共同解决问题。</w:t>
            </w:r>
          </w:p>
        </w:tc>
      </w:tr>
      <w:tr w14:paraId="6D542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14:paraId="3A9076F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1F970C4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275E05D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896" w:type="dxa"/>
            <w:vAlign w:val="center"/>
          </w:tcPr>
          <w:p w14:paraId="65BE1AB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p w14:paraId="09E0F3B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财务机器人应用与开发</w:t>
            </w:r>
          </w:p>
        </w:tc>
        <w:tc>
          <w:tcPr>
            <w:tcW w:w="3888" w:type="dxa"/>
          </w:tcPr>
          <w:p w14:paraId="4928B87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掌握财务机器人原理、开发工具及财务流程，理解其在会计、审计等场景的应用逻辑。</w:t>
            </w:r>
          </w:p>
          <w:p w14:paraId="5C6A6C4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能运用工具开发简单财务机器人，解决凭证处理、报表生成等实际财务问题。</w:t>
            </w:r>
          </w:p>
          <w:p w14:paraId="2229601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培养严谨的数据思维与创新意识，提升财务数字化场景下的适应与协作能力。</w:t>
            </w:r>
          </w:p>
          <w:p w14:paraId="0994CB8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yellow"/>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树立财务数据安全与职业道德意识，践行科技赋能财务的责任担当。</w:t>
            </w:r>
          </w:p>
        </w:tc>
        <w:tc>
          <w:tcPr>
            <w:tcW w:w="2533" w:type="dxa"/>
            <w:vAlign w:val="top"/>
          </w:tcPr>
          <w:p w14:paraId="338838F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RPA技术原理与发展趋势：财务自动化应用场景；RPA与财务数字化转型的关系：流程自动化设计模式；数据抓取与处理技术；RPA与AI融合；财务数据安全规范；RPA实施中的内控要点。</w:t>
            </w:r>
          </w:p>
        </w:tc>
        <w:tc>
          <w:tcPr>
            <w:tcW w:w="2491" w:type="dxa"/>
            <w:vAlign w:val="top"/>
          </w:tcPr>
          <w:p w14:paraId="318B33D1">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zh-CN" w:eastAsia="zh-CN"/>
              </w:rPr>
            </w:pPr>
            <w:r>
              <w:rPr>
                <w:rFonts w:hint="eastAsia" w:ascii="仿宋_GB2312" w:hAnsi="仿宋_GB2312" w:eastAsia="仿宋_GB2312" w:cs="仿宋_GB2312"/>
                <w:color w:val="auto"/>
                <w:sz w:val="24"/>
                <w:szCs w:val="24"/>
                <w:lang w:val="zh-CN" w:eastAsia="zh-CN"/>
              </w:rPr>
              <w:t>项目驱动教学：以真实财务业务流程为任务，分阶段完成需求分析→流程设计→开发→测试→部署。案例教学：引入企业案例（如德勤财务机器人、四大会计师事务所实践）。沙盒环境：提供虚拟财务系统（如模拟ERP环境）供学生实操演练。</w:t>
            </w:r>
          </w:p>
        </w:tc>
      </w:tr>
      <w:bookmarkEnd w:id="11"/>
    </w:tbl>
    <w:p w14:paraId="1A35928B">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12"/>
    </w:p>
    <w:p w14:paraId="0B1B2E7F">
      <w:pPr>
        <w:keepNext w:val="0"/>
        <w:keepLines w:val="0"/>
        <w:pageBreakBefore w:val="0"/>
        <w:widowControl w:val="0"/>
        <w:kinsoku/>
        <w:wordWrap/>
        <w:overflowPunct/>
        <w:topLinePunct w:val="0"/>
        <w:autoSpaceDE/>
        <w:autoSpaceDN/>
        <w:bidi w:val="0"/>
        <w:adjustRightInd w:val="0"/>
        <w:snapToGrid w:val="0"/>
        <w:spacing w:after="0" w:line="520" w:lineRule="exact"/>
        <w:ind w:firstLine="616" w:firstLineChars="200"/>
        <w:textAlignment w:val="auto"/>
        <w:rPr>
          <w:rFonts w:hint="eastAsia" w:ascii="仿宋_GB2312" w:hAnsi="仿宋_GB2312" w:eastAsia="仿宋_GB2312" w:cs="仿宋_GB2312"/>
          <w:color w:val="auto"/>
          <w:sz w:val="32"/>
          <w:szCs w:val="32"/>
          <w:highlight w:val="none"/>
        </w:rPr>
      </w:pPr>
      <w:bookmarkStart w:id="13" w:name="OLE_LINK7"/>
      <w:r>
        <w:rPr>
          <w:rFonts w:hint="eastAsia" w:ascii="仿宋_GB2312" w:hAnsi="仿宋_GB2312" w:eastAsia="仿宋_GB2312" w:cs="仿宋_GB2312"/>
          <w:color w:val="auto"/>
          <w:spacing w:val="-6"/>
          <w:sz w:val="32"/>
          <w:szCs w:val="32"/>
        </w:rPr>
        <w:t>专业核心课是面向各类中小企业、金融机构、行政事业单位的会计专业人员、税务专业人员等岗位（群）</w:t>
      </w:r>
      <w:bookmarkEnd w:id="13"/>
      <w:r>
        <w:rPr>
          <w:rFonts w:hint="eastAsia" w:ascii="仿宋_GB2312" w:hAnsi="仿宋_GB2312" w:eastAsia="仿宋_GB2312" w:cs="仿宋_GB2312"/>
          <w:color w:val="auto"/>
          <w:spacing w:val="-6"/>
          <w:sz w:val="32"/>
          <w:szCs w:val="32"/>
        </w:rPr>
        <w:t>，会计、出纳等就业岗位，建立大数据与会计专业核心课程，培养学生财务账务处理，成本核算等方面的能力。包括大数据技术在财务中的应用、企业财务</w:t>
      </w:r>
      <w:r>
        <w:rPr>
          <w:rFonts w:hint="eastAsia" w:ascii="仿宋_GB2312" w:hAnsi="仿宋_GB2312" w:eastAsia="仿宋_GB2312" w:cs="仿宋_GB2312"/>
          <w:color w:val="auto"/>
          <w:spacing w:val="-6"/>
          <w:sz w:val="32"/>
          <w:szCs w:val="32"/>
          <w:highlight w:val="none"/>
        </w:rPr>
        <w:t>会计、智能化成本核算与管理、智慧化税费申报与管理、企业内部控制、会计信息系统应用、管理会计实务、财务大数据分析等课程。</w:t>
      </w:r>
    </w:p>
    <w:p w14:paraId="3D12E600">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3873"/>
        <w:gridCol w:w="2496"/>
        <w:gridCol w:w="2830"/>
      </w:tblGrid>
      <w:tr w14:paraId="61E75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FD96D5E">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775" w:type="dxa"/>
            <w:vAlign w:val="center"/>
          </w:tcPr>
          <w:p w14:paraId="5C106E68">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课程名称</w:t>
            </w:r>
          </w:p>
        </w:tc>
        <w:tc>
          <w:tcPr>
            <w:tcW w:w="3873" w:type="dxa"/>
            <w:vAlign w:val="center"/>
          </w:tcPr>
          <w:p w14:paraId="70B8ED09">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496" w:type="dxa"/>
            <w:vAlign w:val="center"/>
          </w:tcPr>
          <w:p w14:paraId="5A716CA2">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830" w:type="dxa"/>
            <w:vAlign w:val="center"/>
          </w:tcPr>
          <w:p w14:paraId="00986FF3">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14:paraId="4004E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D9AAF6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775" w:type="dxa"/>
            <w:vAlign w:val="center"/>
          </w:tcPr>
          <w:p w14:paraId="16981D2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大数据技术在财务中的应用</w:t>
            </w:r>
          </w:p>
        </w:tc>
        <w:tc>
          <w:tcPr>
            <w:tcW w:w="3873" w:type="dxa"/>
            <w:vAlign w:val="top"/>
          </w:tcPr>
          <w:p w14:paraId="5D8FD5E1">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掌握大数据技术基础与财务融合逻辑，理解其在预算、风控等场景的应用原理。</w:t>
            </w:r>
          </w:p>
          <w:p w14:paraId="4BCB66C8">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能运用大数据工具处理财务数据，具备分析财务问题、优化决策的实操能力。</w:t>
            </w:r>
          </w:p>
          <w:p w14:paraId="7A6027E2">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培养数据思维与严谨态度，增强财务工作中的创新意识和风险预判素养。</w:t>
            </w:r>
          </w:p>
          <w:p w14:paraId="37CFA3CE">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树立财务数据诚信观，强化合规意识，践行科技赋能财务的责任担当。</w:t>
            </w:r>
          </w:p>
        </w:tc>
        <w:tc>
          <w:tcPr>
            <w:tcW w:w="2496" w:type="dxa"/>
            <w:vAlign w:val="top"/>
          </w:tcPr>
          <w:p w14:paraId="6AC04A31">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大数据财务应用理论与发展趋势，Python编程与实践，财务数据采集与清洗；财务分析、风险管理分析；大数据建模与分析实践，数据可视化方法；大数据在财务领域合规应用的方法。</w:t>
            </w:r>
          </w:p>
        </w:tc>
        <w:tc>
          <w:tcPr>
            <w:tcW w:w="2830" w:type="dxa"/>
            <w:vAlign w:val="top"/>
          </w:tcPr>
          <w:p w14:paraId="43EC1AC7">
            <w:pPr>
              <w:keepNext w:val="0"/>
              <w:keepLines w:val="0"/>
              <w:pageBreakBefore w:val="0"/>
              <w:widowControl w:val="0"/>
              <w:kinsoku/>
              <w:wordWrap/>
              <w:topLinePunct w:val="0"/>
              <w:autoSpaceDE/>
              <w:autoSpaceDN/>
              <w:bidi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理解大数据财务应用的核心原理；实操中，能独立完成工具操作与项目任务；具备沟通协作能力；树立数据安全意识。</w:t>
            </w:r>
          </w:p>
        </w:tc>
      </w:tr>
      <w:tr w14:paraId="2325C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E56788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2</w:t>
            </w:r>
          </w:p>
        </w:tc>
        <w:tc>
          <w:tcPr>
            <w:tcW w:w="775" w:type="dxa"/>
            <w:vAlign w:val="center"/>
          </w:tcPr>
          <w:p w14:paraId="2421851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企业财务会计</w:t>
            </w:r>
          </w:p>
        </w:tc>
        <w:tc>
          <w:tcPr>
            <w:tcW w:w="3873" w:type="dxa"/>
            <w:vAlign w:val="top"/>
          </w:tcPr>
          <w:p w14:paraId="0ACD838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掌握企业资产、负债、权益等核算规范，理解收入费用确认原则，明晰财务报告编制与披露的核心要求。</w:t>
            </w:r>
          </w:p>
          <w:p w14:paraId="626B4AC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能独立处理存货、固定资产等实务核算，具备初步财务报表分析能力，可解决简单企业会计实务问题。</w:t>
            </w:r>
          </w:p>
          <w:p w14:paraId="67307BA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培养精准核算的职业素养与财务风险意识，树立遵循会计准则的严谨态度，提升会计处理规范性。</w:t>
            </w:r>
          </w:p>
          <w:p w14:paraId="5E2D7DA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：结合会计诚信案例，强化职业道德教育，引导学生树立合规执业理念与服务企业发展的责任意识。</w:t>
            </w:r>
          </w:p>
        </w:tc>
        <w:tc>
          <w:tcPr>
            <w:tcW w:w="2496" w:type="dxa"/>
            <w:vAlign w:val="top"/>
          </w:tcPr>
          <w:p w14:paraId="34762C5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财务会计概述、财务会计概述，财务会计工作内容；货币资金的核算；应收及预付款项的核算；存货的核算；金融资产的核算；长期股权投资的核算；固定资产的核算；投资性房地产的核算；无形资产的核算；负债的核算；所有者权益的核算；收入、费用、利润；财务报表编报。</w:t>
            </w:r>
          </w:p>
        </w:tc>
        <w:tc>
          <w:tcPr>
            <w:tcW w:w="2830" w:type="dxa"/>
            <w:vAlign w:val="top"/>
          </w:tcPr>
          <w:p w14:paraId="7E997B8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通过系统讲解财务会计基础理论、会计准则及实务操作，培养学生掌握企业经济业务的会计处理方法，熟练编制与分析财务报表（如资产负债表、利润表、现金流量表），理解会计要素确认、计量与披露的核心规则；结合信息化工具（如财务软件、Excel）强化实践能力，注重职业道德与诚信教育，使学生具备独立处理日常账务、解读财务数据及应对复杂会计问题的综合素养，为其适应企业财务岗位和数字化转型需求奠定扎实基础。</w:t>
            </w:r>
          </w:p>
        </w:tc>
      </w:tr>
      <w:tr w14:paraId="55DDA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EA29F8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bookmarkStart w:id="14" w:name="_Toc90734991"/>
            <w:r>
              <w:rPr>
                <w:rFonts w:hint="eastAsia" w:ascii="仿宋_GB2312" w:hAnsi="仿宋_GB2312" w:eastAsia="仿宋_GB2312" w:cs="仿宋_GB2312"/>
                <w:color w:val="auto"/>
                <w:sz w:val="24"/>
                <w:szCs w:val="24"/>
                <w:highlight w:val="none"/>
              </w:rPr>
              <w:t>3</w:t>
            </w:r>
          </w:p>
        </w:tc>
        <w:tc>
          <w:tcPr>
            <w:tcW w:w="775" w:type="dxa"/>
            <w:vAlign w:val="center"/>
          </w:tcPr>
          <w:p w14:paraId="3B7CD45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智能化成本核算与管理</w:t>
            </w:r>
          </w:p>
        </w:tc>
        <w:tc>
          <w:tcPr>
            <w:tcW w:w="3873" w:type="dxa"/>
            <w:vAlign w:val="top"/>
          </w:tcPr>
          <w:p w14:paraId="0FDE909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掌握智能化工具在成本归集、分配中的应用，理解智能成本核算流程，明晰成本管控与企业决策的关联逻辑。</w:t>
            </w:r>
          </w:p>
          <w:p w14:paraId="7B533C2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能运用智能系统处理成本数据，具备成本差异分析与优化建议能力，可设计简单智能化成本管理方案。</w:t>
            </w:r>
          </w:p>
          <w:p w14:paraId="64DBE35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培养数据驱动的成本思维与创新意识，树立精准高效的成本管控理念，提升应对智能环境的适应素养。</w:t>
            </w:r>
          </w:p>
          <w:p w14:paraId="3D2772F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结合智能成本管理实践案例，强化诚信核算意识，引导学生树立降本增效、服务企业高质量发展的责任感。</w:t>
            </w:r>
          </w:p>
        </w:tc>
        <w:tc>
          <w:tcPr>
            <w:tcW w:w="2496" w:type="dxa"/>
            <w:vAlign w:val="top"/>
          </w:tcPr>
          <w:p w14:paraId="190F66B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智能化成本核算与管理基础；智能化成本核算方法与应用；智能化成本管理工具与实践；智能化成本管理案例分析与项目实践</w:t>
            </w:r>
          </w:p>
        </w:tc>
        <w:tc>
          <w:tcPr>
            <w:tcW w:w="2830" w:type="dxa"/>
            <w:vAlign w:val="center"/>
          </w:tcPr>
          <w:p w14:paraId="1DA6DC4A">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综合运用多种教学方法，激发学生学习兴趣。采用案例教学法，引入不同行业的实际案例，引导学生分析并解决问题；通过项目驱动教学法，让学生分组完成特定项目，提升团队协作和实践能力；开展小组讨论，鼓励学生分享观点，培养批判性思维。教学中针对热点问题或难点内容组织小组讨论，促进学生之间的交流与合作。同时设计贴近实际的成本核算、成本控制等模拟实训项目，增强学生的动手能力和问题解决能力。</w:t>
            </w:r>
          </w:p>
        </w:tc>
      </w:tr>
      <w:tr w14:paraId="4E630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68D8B8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1A3C1D8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0A3B0FE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30A1A50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6A3DEB3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4</w:t>
            </w:r>
          </w:p>
          <w:p w14:paraId="62C1BECF">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p>
          <w:p w14:paraId="531033D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tc>
        <w:tc>
          <w:tcPr>
            <w:tcW w:w="775" w:type="dxa"/>
            <w:vAlign w:val="center"/>
          </w:tcPr>
          <w:p w14:paraId="67622A4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智慧化税费申报与管理</w:t>
            </w:r>
          </w:p>
        </w:tc>
        <w:tc>
          <w:tcPr>
            <w:tcW w:w="3873" w:type="dxa"/>
            <w:vAlign w:val="top"/>
          </w:tcPr>
          <w:p w14:paraId="517B35E9">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全面掌握各类税费申报与管理知识，熟悉智慧化工具应用原理，理解税收法规政策要点。</w:t>
            </w:r>
          </w:p>
          <w:p w14:paraId="12AA4DA3">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熟练运用智慧化系统完成税费申报，精准计算税额，有效管理税务风险，具备实操与应变能力。</w:t>
            </w:r>
          </w:p>
          <w:p w14:paraId="12708734">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养成严谨细致、诚信负责的职业素养，具备团队协作、沟通交流能力，适应税务工作要求。</w:t>
            </w:r>
          </w:p>
          <w:p w14:paraId="15F504AB">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培养依法纳税意识，树立正确价值观，厚植爱国情怀，增强服务社会与担当精神。</w:t>
            </w:r>
          </w:p>
        </w:tc>
        <w:tc>
          <w:tcPr>
            <w:tcW w:w="2496" w:type="dxa"/>
            <w:vAlign w:val="top"/>
          </w:tcPr>
          <w:p w14:paraId="3BDE6A61">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税收基础知识与政策解读：深入讲解增值税、企业所得税、个人所得税、消费税等主要税种的政策法规；智能化税费申报系统操作：按照税费申报的业务流程，逐步指导学生进行税务数据采集，申报表的填写与审核，税款缴纳操作，以及完税凭证的生成与管理；智能化税务数据管理与分析：教授学生运用数据采集工具，从企业的财务系统、业务系统中获取税务相关数据，并进行清洗、整合，确保数据的准确性和完整性；税务筹划与案例分析。</w:t>
            </w:r>
          </w:p>
        </w:tc>
        <w:tc>
          <w:tcPr>
            <w:tcW w:w="2830" w:type="dxa"/>
            <w:vAlign w:val="top"/>
          </w:tcPr>
          <w:p w14:paraId="4728DE76">
            <w:pPr>
              <w:keepNext w:val="0"/>
              <w:keepLines w:val="0"/>
              <w:pageBreakBefore w:val="0"/>
              <w:widowControl w:val="0"/>
              <w:kinsoku/>
              <w:wordWrap/>
              <w:topLinePunct w:val="0"/>
              <w:autoSpaceDE/>
              <w:autoSpaceDN/>
              <w:bidi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采用多样化的教学方法，如案例教学、项目驱动教学、模拟实训等，激发学生的学习兴趣和主动性。运用信息化教学手段，如在线教学平台、虚拟仿真系统等，丰富教学资源，提高教学效果。学生要深入理解课程中的税收知识和智能化操作技能，能够将所学知识应用到实际案例中，解决实际问题。积极参加模拟实训和项目实践，提升自己的实践能力。</w:t>
            </w:r>
          </w:p>
        </w:tc>
      </w:tr>
      <w:tr w14:paraId="49E55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D98C6F7">
            <w:pPr>
              <w:keepNext w:val="0"/>
              <w:keepLines w:val="0"/>
              <w:pageBreakBefore w:val="0"/>
              <w:widowControl w:val="0"/>
              <w:kinsoku/>
              <w:wordWrap/>
              <w:overflowPunct w:val="0"/>
              <w:topLinePunct w:val="0"/>
              <w:autoSpaceDE/>
              <w:autoSpaceDN/>
              <w:bidi w:val="0"/>
              <w:adjustRightInd w:val="0"/>
              <w:snapToGrid/>
              <w:spacing w:after="0" w:line="300" w:lineRule="exact"/>
              <w:ind w:firstLine="480" w:firstLineChars="200"/>
              <w:jc w:val="center"/>
              <w:textAlignment w:val="auto"/>
              <w:rPr>
                <w:rFonts w:hint="eastAsia" w:ascii="仿宋_GB2312" w:hAnsi="仿宋_GB2312" w:eastAsia="仿宋_GB2312" w:cs="仿宋_GB2312"/>
                <w:color w:val="auto"/>
                <w:sz w:val="24"/>
                <w:szCs w:val="24"/>
                <w:highlight w:val="none"/>
              </w:rPr>
            </w:pPr>
          </w:p>
          <w:p w14:paraId="0CC59B89">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p w14:paraId="68F0E16A">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5</w:t>
            </w:r>
          </w:p>
        </w:tc>
        <w:tc>
          <w:tcPr>
            <w:tcW w:w="775" w:type="dxa"/>
            <w:vAlign w:val="center"/>
          </w:tcPr>
          <w:p w14:paraId="799C57E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企业内部控制</w:t>
            </w:r>
          </w:p>
        </w:tc>
        <w:tc>
          <w:tcPr>
            <w:tcW w:w="3873" w:type="dxa"/>
            <w:vAlign w:val="top"/>
          </w:tcPr>
          <w:p w14:paraId="3925971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掌握内部控制五要素框架、风险识别与评估方法，理解企业各业务环节风控逻辑，明晰风控体系构建的核心规范。</w:t>
            </w:r>
          </w:p>
          <w:p w14:paraId="6E5F37F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能运用内控工具分析企业风险点，具备初步风控方案设计能力，可对简单业务的内控有效性进行评估。</w:t>
            </w:r>
          </w:p>
          <w:p w14:paraId="63B2C5A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培养风险预判思维与合规意识，树立“全员风控”的责任认知，提升应对复杂风险问题的审慎素养。</w:t>
            </w:r>
          </w:p>
          <w:p w14:paraId="00EAD58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结合企业风控合规案例，强化诚信经营理念，引导学生树立守规尽责、维护企业与社会利益的价值观。</w:t>
            </w:r>
          </w:p>
        </w:tc>
        <w:tc>
          <w:tcPr>
            <w:tcW w:w="2496" w:type="dxa"/>
            <w:vAlign w:val="top"/>
          </w:tcPr>
          <w:p w14:paraId="36BAEB7E">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企业内部控制理论、企业内部控制目标与风险管理、企业内部控制环境与风险评估、控制活动与信息传递、内部监督、人员与组织行为风险控制、资金活动与财务风险控制、信息传递与信息风险控制等。</w:t>
            </w:r>
          </w:p>
        </w:tc>
        <w:tc>
          <w:tcPr>
            <w:tcW w:w="2830" w:type="dxa"/>
            <w:vAlign w:val="top"/>
          </w:tcPr>
          <w:p w14:paraId="79AE9D83">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通过多媒体教学手段，系统讲授内部控制理论知识。教学中采用小组讨论、角色扮演等形式，对典型案例进行分析，促进学生理解与应用。课堂中学生通过内部控制设计、测试与评价等模拟实训项目，增强学生的实践能力。利用网络平台提供丰富的教学资源，支持学生自主学习和互动交流。</w:t>
            </w:r>
          </w:p>
        </w:tc>
      </w:tr>
      <w:tr w14:paraId="67399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A051296">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6</w:t>
            </w:r>
          </w:p>
        </w:tc>
        <w:tc>
          <w:tcPr>
            <w:tcW w:w="775" w:type="dxa"/>
            <w:vAlign w:val="center"/>
          </w:tcPr>
          <w:p w14:paraId="609B77D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会计信息系统应用</w:t>
            </w:r>
          </w:p>
        </w:tc>
        <w:tc>
          <w:tcPr>
            <w:tcW w:w="3873" w:type="dxa"/>
            <w:vAlign w:val="center"/>
          </w:tcPr>
          <w:p w14:paraId="130FDD6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掌握会计信息系统构成与操作流程，理解数据处理原理，能清晰区分系统各模块功能与关联逻辑。</w:t>
            </w:r>
          </w:p>
          <w:p w14:paraId="5FD8E6C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能独立完成账务处理、报表生成等操作，具备系统故障排查与数据安全维护的基础能力。</w:t>
            </w:r>
          </w:p>
          <w:p w14:paraId="11ECD65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养成严谨细致的工作态度，树立数据保密意识，提升团队协作中会计信息沟通效率。</w:t>
            </w:r>
          </w:p>
          <w:p w14:paraId="0ACA806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强化诚信执业理念，培育法治思维，树立符合会计职业道德与国家财经法规的价值观。</w:t>
            </w:r>
          </w:p>
        </w:tc>
        <w:tc>
          <w:tcPr>
            <w:tcW w:w="2496" w:type="dxa"/>
            <w:vAlign w:val="top"/>
          </w:tcPr>
          <w:p w14:paraId="3067958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金蝶KIS专业版-软件概述；系统管理与基础设置；总账管理；报表管理；固定资产管理；应收应付管理；薪资管理；供应链管理。</w:t>
            </w:r>
          </w:p>
        </w:tc>
        <w:tc>
          <w:tcPr>
            <w:tcW w:w="2830" w:type="dxa"/>
            <w:vAlign w:val="center"/>
          </w:tcPr>
          <w:p w14:paraId="0C8B3F55">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多媒体课件、案例分析等形式，系统讲授会计电算化理论与知识要点。教学中安排充足的上机时间，让学生在模拟或真实的会计软件环境中进行实际操作练习。在学生掌握基本操作的基础上，设计综合性项目任务，如完成一套完整的账务处理与报表编制流程，以任务为导向，增强学习的针对性和实效性。</w:t>
            </w:r>
          </w:p>
        </w:tc>
      </w:tr>
      <w:tr w14:paraId="24B3A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25028467">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7</w:t>
            </w:r>
          </w:p>
        </w:tc>
        <w:tc>
          <w:tcPr>
            <w:tcW w:w="775" w:type="dxa"/>
            <w:vAlign w:val="center"/>
          </w:tcPr>
          <w:p w14:paraId="4BEEF23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管理会计实务</w:t>
            </w:r>
          </w:p>
        </w:tc>
        <w:tc>
          <w:tcPr>
            <w:tcW w:w="3873" w:type="dxa"/>
            <w:vAlign w:val="top"/>
          </w:tcPr>
          <w:p w14:paraId="0BC8C95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掌握成本性态分析、预算编制、责任会计等核心内容，理解管理会计为决策服务的逻辑，明晰其在企业管理中的应用规范。</w:t>
            </w:r>
          </w:p>
          <w:p w14:paraId="417DC2A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能力目标</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能运用管理会计工具开展成本核算与控制，具备初步经营决策分析能力，可编制简单企业内部管理报告。</w:t>
            </w:r>
          </w:p>
          <w:p w14:paraId="096271F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培养面向管理的战略思维与数据洞察素养，树立精准高效的决策支持意识，提升解决企业经营问题的主动性。</w:t>
            </w:r>
          </w:p>
          <w:p w14:paraId="1BB33BF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结合管理会计实践案例，强化责任意识教育，引导学生树立合规决策、服务企业可持续发展的价值观。</w:t>
            </w:r>
          </w:p>
        </w:tc>
        <w:tc>
          <w:tcPr>
            <w:tcW w:w="2496" w:type="dxa"/>
            <w:vAlign w:val="top"/>
          </w:tcPr>
          <w:p w14:paraId="654E2582">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成本性态分析、变动成本法、本量利分析原理、预测分析、短期经营决策、长期投资决策、全面预算、成本控制、责任会计等。</w:t>
            </w:r>
          </w:p>
        </w:tc>
        <w:tc>
          <w:tcPr>
            <w:tcW w:w="2830" w:type="dxa"/>
            <w:vAlign w:val="top"/>
          </w:tcPr>
          <w:p w14:paraId="346925AD">
            <w:pPr>
              <w:keepNext w:val="0"/>
              <w:keepLines w:val="0"/>
              <w:pageBreakBefore w:val="0"/>
              <w:widowControl w:val="0"/>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通过讲授结合PPT系统讲解</w:t>
            </w:r>
            <w:r>
              <w:rPr>
                <w:rFonts w:hint="eastAsia" w:ascii="仿宋_GB2312" w:hAnsi="仿宋_GB2312" w:eastAsia="仿宋_GB2312" w:cs="仿宋_GB2312"/>
                <w:sz w:val="24"/>
                <w:szCs w:val="24"/>
                <w:highlight w:val="none"/>
                <w:lang w:eastAsia="zh-CN"/>
              </w:rPr>
              <w:t>财务大数据分析与可视化</w:t>
            </w:r>
            <w:r>
              <w:rPr>
                <w:rFonts w:hint="eastAsia" w:ascii="仿宋_GB2312" w:hAnsi="仿宋_GB2312" w:eastAsia="仿宋_GB2312" w:cs="仿宋_GB2312"/>
                <w:sz w:val="24"/>
                <w:szCs w:val="24"/>
                <w:highlight w:val="none"/>
              </w:rPr>
              <w:t>的基本理论和方法，注重理论与</w:t>
            </w:r>
            <w:r>
              <w:rPr>
                <w:rFonts w:hint="eastAsia" w:ascii="仿宋_GB2312" w:hAnsi="仿宋_GB2312" w:eastAsia="仿宋_GB2312" w:cs="仿宋_GB2312"/>
                <w:sz w:val="24"/>
                <w:szCs w:val="24"/>
                <w:highlight w:val="none"/>
                <w:lang w:val="en-US" w:eastAsia="zh-CN"/>
              </w:rPr>
              <w:t>实践</w:t>
            </w:r>
            <w:r>
              <w:rPr>
                <w:rFonts w:hint="eastAsia" w:ascii="仿宋_GB2312" w:hAnsi="仿宋_GB2312" w:eastAsia="仿宋_GB2312" w:cs="仿宋_GB2312"/>
                <w:sz w:val="24"/>
                <w:szCs w:val="24"/>
                <w:highlight w:val="none"/>
              </w:rPr>
              <w:t>相结合。通过实际案例的剖析，引导学生运用所学知识进行问题分析和解决，增强实践能力。课堂上组织学生进行小组讨论，促进学生之间的交流与合作，培养其团队协作能力和批判性思维。同时鼓励学生阅读相关书籍、期刊文章，关注财经新闻，拓宽知识面，提升专业素养。</w:t>
            </w:r>
          </w:p>
        </w:tc>
      </w:tr>
      <w:tr w14:paraId="3E457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4E32A8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8</w:t>
            </w:r>
          </w:p>
        </w:tc>
        <w:tc>
          <w:tcPr>
            <w:tcW w:w="775" w:type="dxa"/>
            <w:vAlign w:val="center"/>
          </w:tcPr>
          <w:p w14:paraId="072998C3">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财务大数据分析</w:t>
            </w:r>
          </w:p>
        </w:tc>
        <w:tc>
          <w:tcPr>
            <w:tcW w:w="3873" w:type="dxa"/>
            <w:vAlign w:val="center"/>
          </w:tcPr>
          <w:p w14:paraId="52AFC0D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掌握财务大数据采集、清洗及分析模型，理解其在预算、风控等财务场景的应用原理。</w:t>
            </w:r>
          </w:p>
          <w:p w14:paraId="69462C4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能运用工具处理财务数据，完成分析报告，解决成本核算、风险识别等实际财务问题。</w:t>
            </w:r>
          </w:p>
          <w:p w14:paraId="7AA79CCD">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培养数据思维与严谨态度，提升财务数据解读的客观性、准确性及创新应用意识。</w:t>
            </w:r>
          </w:p>
          <w:p w14:paraId="49D48AC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树立财务数据伦理观，强化诚信执业、合规操作意识，践行财务岗位的责任与担当。</w:t>
            </w:r>
          </w:p>
        </w:tc>
        <w:tc>
          <w:tcPr>
            <w:tcW w:w="2496" w:type="dxa"/>
            <w:vAlign w:val="top"/>
          </w:tcPr>
          <w:p w14:paraId="35F38CA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介绍财务大数据分析概念、发展趋势与理论基础；教授Python、SQL及专业分析工具操作；开展数据收集、清洗、建模与可视化实践；结合预算、风控等场景，讲解分析模型应用。</w:t>
            </w:r>
          </w:p>
        </w:tc>
        <w:tc>
          <w:tcPr>
            <w:tcW w:w="2830" w:type="dxa"/>
            <w:vAlign w:val="top"/>
          </w:tcPr>
          <w:p w14:paraId="26ABE58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扎实掌握分析理论与方法，打牢知识基础；积极练习，熟练使用分析工具；参与小组项目，提升分析与协作能力；遵循数据安全规范与职业道德准则。</w:t>
            </w:r>
          </w:p>
        </w:tc>
      </w:tr>
      <w:bookmarkEnd w:id="14"/>
    </w:tbl>
    <w:p w14:paraId="1D373235">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专业拓展课程</w:t>
      </w:r>
    </w:p>
    <w:p w14:paraId="5826CFF6">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专业拓展课程是按照岗位迁移，根据</w:t>
      </w:r>
      <w:r>
        <w:rPr>
          <w:rFonts w:hint="eastAsia" w:ascii="仿宋_GB2312" w:hAnsi="仿宋_GB2312" w:eastAsia="仿宋_GB2312" w:cs="仿宋_GB2312"/>
          <w:color w:val="auto"/>
          <w:spacing w:val="-2"/>
          <w:sz w:val="32"/>
          <w:szCs w:val="32"/>
          <w:highlight w:val="none"/>
        </w:rPr>
        <w:t>财务会计行业</w:t>
      </w:r>
      <w:r>
        <w:rPr>
          <w:rFonts w:hint="eastAsia" w:ascii="仿宋_GB2312" w:hAnsi="仿宋_GB2312" w:eastAsia="仿宋_GB2312" w:cs="仿宋_GB2312"/>
          <w:color w:val="auto"/>
          <w:sz w:val="32"/>
          <w:szCs w:val="32"/>
          <w:highlight w:val="none"/>
        </w:rPr>
        <w:t>发展的趋势，依据企业用人需求调研，企业对</w:t>
      </w:r>
      <w:r>
        <w:rPr>
          <w:rFonts w:hint="eastAsia" w:ascii="仿宋_GB2312" w:hAnsi="仿宋_GB2312" w:eastAsia="仿宋_GB2312" w:cs="仿宋_GB2312"/>
          <w:color w:val="auto"/>
          <w:spacing w:val="-2"/>
          <w:sz w:val="32"/>
          <w:szCs w:val="32"/>
          <w:highlight w:val="none"/>
        </w:rPr>
        <w:t>大数据处理、会计核算、财务管理</w:t>
      </w:r>
      <w:r>
        <w:rPr>
          <w:rFonts w:hint="eastAsia" w:ascii="仿宋_GB2312" w:hAnsi="仿宋_GB2312" w:eastAsia="仿宋_GB2312" w:cs="仿宋_GB2312"/>
          <w:color w:val="auto"/>
          <w:sz w:val="32"/>
          <w:szCs w:val="32"/>
          <w:highlight w:val="none"/>
        </w:rPr>
        <w:t>等方面日益增加的需求，建立了</w:t>
      </w:r>
      <w:r>
        <w:rPr>
          <w:rFonts w:hint="eastAsia" w:ascii="仿宋_GB2312" w:hAnsi="仿宋_GB2312" w:eastAsia="仿宋_GB2312" w:cs="仿宋_GB2312"/>
          <w:color w:val="auto"/>
          <w:spacing w:val="-2"/>
          <w:sz w:val="32"/>
          <w:szCs w:val="32"/>
          <w:highlight w:val="none"/>
        </w:rPr>
        <w:t>大数据与会计</w:t>
      </w:r>
      <w:r>
        <w:rPr>
          <w:rFonts w:hint="eastAsia" w:ascii="仿宋_GB2312" w:hAnsi="仿宋_GB2312" w:eastAsia="仿宋_GB2312" w:cs="仿宋_GB2312"/>
          <w:color w:val="auto"/>
          <w:sz w:val="32"/>
          <w:szCs w:val="32"/>
          <w:highlight w:val="none"/>
        </w:rPr>
        <w:t>专业拓展课，并将辅修方向课程纳入其中。由财政金融基础</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Excel在会计中的应用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中国会计文化</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审计基础与实务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行业会计比较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会计制度设计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市场营销</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企业财务管理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财经法规与会计职业道德</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管理学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电子商务等课程构成专业拓展课。</w:t>
      </w:r>
    </w:p>
    <w:p w14:paraId="2EC1CE3B">
      <w:pPr>
        <w:keepNext w:val="0"/>
        <w:keepLines w:val="0"/>
        <w:pageBreakBefore w:val="0"/>
        <w:widowControl w:val="0"/>
        <w:kinsoku/>
        <w:wordWrap/>
        <w:overflowPunct/>
        <w:topLinePunct w:val="0"/>
        <w:autoSpaceDE/>
        <w:autoSpaceDN/>
        <w:bidi w:val="0"/>
        <w:adjustRightInd/>
        <w:snapToGrid/>
        <w:spacing w:after="0" w:line="36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5 </w:t>
      </w:r>
      <w:r>
        <w:rPr>
          <w:rFonts w:hint="eastAsia" w:ascii="仿宋_GB2312" w:hAnsi="仿宋_GB2312" w:eastAsia="仿宋_GB2312" w:cs="仿宋_GB2312"/>
          <w:color w:val="auto"/>
          <w:sz w:val="32"/>
          <w:szCs w:val="32"/>
          <w:highlight w:val="none"/>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780"/>
        <w:gridCol w:w="3746"/>
        <w:gridCol w:w="2786"/>
        <w:gridCol w:w="2672"/>
      </w:tblGrid>
      <w:tr w14:paraId="1EFC2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0" w:type="dxa"/>
            <w:vAlign w:val="center"/>
          </w:tcPr>
          <w:p w14:paraId="62127E7B">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780" w:type="dxa"/>
            <w:vAlign w:val="center"/>
          </w:tcPr>
          <w:p w14:paraId="6169F89F">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课程名称</w:t>
            </w:r>
          </w:p>
        </w:tc>
        <w:tc>
          <w:tcPr>
            <w:tcW w:w="3746" w:type="dxa"/>
            <w:vAlign w:val="center"/>
          </w:tcPr>
          <w:p w14:paraId="5A4474A5">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786" w:type="dxa"/>
            <w:vAlign w:val="center"/>
          </w:tcPr>
          <w:p w14:paraId="40636F62">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672" w:type="dxa"/>
            <w:vAlign w:val="center"/>
          </w:tcPr>
          <w:p w14:paraId="58D1F907">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14:paraId="13A85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0" w:type="dxa"/>
            <w:vAlign w:val="center"/>
          </w:tcPr>
          <w:p w14:paraId="2BD823B4">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780" w:type="dxa"/>
            <w:vAlign w:val="center"/>
          </w:tcPr>
          <w:p w14:paraId="3F8474B9">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财政</w:t>
            </w:r>
          </w:p>
          <w:p w14:paraId="762F1E5A">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金融</w:t>
            </w:r>
          </w:p>
          <w:p w14:paraId="4B58AC16">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基础</w:t>
            </w:r>
          </w:p>
        </w:tc>
        <w:tc>
          <w:tcPr>
            <w:tcW w:w="3746" w:type="dxa"/>
            <w:vAlign w:val="top"/>
          </w:tcPr>
          <w:p w14:paraId="45C0C30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掌握财政收支、货币信贷等核心知识，理解财政政策与货币政策协同逻辑，明晰金融市场运行基本规则。</w:t>
            </w:r>
          </w:p>
          <w:p w14:paraId="57E5B84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能运用财政金融理论分析经济现象，具备初步金融风险识别能力，可解读基础财政金融数据与政策。</w:t>
            </w:r>
          </w:p>
          <w:p w14:paraId="04DFB13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培养理性看待财政金融问题的思维，树立合规与风险意识，提升经济决策的科学性与严谨性。</w:t>
            </w:r>
          </w:p>
          <w:p w14:paraId="39E6783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结合我国财政金融改革实践，厚植家国情怀，引导学生树立正确金融伦理与服务社会的责任感。</w:t>
            </w:r>
          </w:p>
        </w:tc>
        <w:tc>
          <w:tcPr>
            <w:tcW w:w="2786" w:type="dxa"/>
            <w:vAlign w:val="top"/>
          </w:tcPr>
          <w:p w14:paraId="2F7063F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rPr>
              <w:t>财政学基础：财政职能与公共产品理论政府收入体系（税收分类、税制设计）政府支出管理（社会保障、转移支付）国债管理与</w:t>
            </w:r>
            <w:r>
              <w:rPr>
                <w:rFonts w:hint="eastAsia" w:ascii="仿宋_GB2312" w:hAnsi="仿宋_GB2312" w:eastAsia="仿宋_GB2312" w:cs="仿宋_GB2312"/>
                <w:sz w:val="24"/>
                <w:szCs w:val="24"/>
                <w:highlight w:val="none"/>
                <w:lang w:val="en-US" w:eastAsia="zh-CN"/>
              </w:rPr>
              <w:t>财政赤字</w:t>
            </w:r>
          </w:p>
          <w:p w14:paraId="508D059D">
            <w:pPr>
              <w:keepNext w:val="0"/>
              <w:keepLines w:val="0"/>
              <w:pageBreakBefore w:val="0"/>
              <w:widowControl w:val="0"/>
              <w:kinsoku/>
              <w:wordWrap/>
              <w:overflowPunct w:val="0"/>
              <w:topLinePunct w:val="0"/>
              <w:autoSpaceDE/>
              <w:autoSpaceDN/>
              <w:bidi w:val="0"/>
              <w:adjustRightInd w:val="0"/>
              <w:snapToGrid/>
              <w:spacing w:beforeAutospacing="0" w:after="0" w:afterAutospacing="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sz w:val="24"/>
                <w:szCs w:val="24"/>
                <w:highlight w:val="none"/>
              </w:rPr>
              <w:t>金融学基础：货币与信用体系</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金融市场</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金融机构</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金融工具</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政策与实务专题：财政政策与货币政策的协调</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金融监管框架</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前沿议题：数字货币（CBDC）、ESG投资、金融科技</w:t>
            </w:r>
            <w:r>
              <w:rPr>
                <w:rFonts w:hint="eastAsia" w:ascii="仿宋_GB2312" w:hAnsi="仿宋_GB2312" w:eastAsia="仿宋_GB2312" w:cs="仿宋_GB2312"/>
                <w:sz w:val="24"/>
                <w:szCs w:val="24"/>
                <w:highlight w:val="none"/>
                <w:lang w:eastAsia="zh-CN"/>
              </w:rPr>
              <w:t>。</w:t>
            </w:r>
          </w:p>
        </w:tc>
        <w:tc>
          <w:tcPr>
            <w:tcW w:w="2672" w:type="dxa"/>
            <w:vAlign w:val="top"/>
          </w:tcPr>
          <w:p w14:paraId="2C029642">
            <w:pPr>
              <w:keepNext w:val="0"/>
              <w:keepLines w:val="0"/>
              <w:pageBreakBefore w:val="0"/>
              <w:widowControl w:val="0"/>
              <w:kinsoku/>
              <w:wordWrap/>
              <w:topLinePunct w:val="0"/>
              <w:autoSpaceDE/>
              <w:autoSpaceDN/>
              <w:bidi w:val="0"/>
              <w:snapToGrid/>
              <w:spacing w:beforeAutospacing="0" w:afterAutospacing="0" w:line="300" w:lineRule="exact"/>
              <w:jc w:val="both"/>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采用</w:t>
            </w:r>
            <w:r>
              <w:rPr>
                <w:rFonts w:hint="eastAsia" w:ascii="仿宋_GB2312" w:hAnsi="仿宋_GB2312" w:eastAsia="仿宋_GB2312" w:cs="仿宋_GB2312"/>
                <w:sz w:val="24"/>
                <w:szCs w:val="24"/>
                <w:highlight w:val="none"/>
              </w:rPr>
              <w:t>混合式教学：理论讲授（50%）+案例研讨（30%）+模拟实践（20%）。案例驱动：结合国内外财政金融事件（如欧债危机、中国“房住不炒”政策）展开讨论。</w:t>
            </w:r>
          </w:p>
          <w:p w14:paraId="636A4F26">
            <w:pPr>
              <w:keepNext w:val="0"/>
              <w:keepLines w:val="0"/>
              <w:pageBreakBefore w:val="0"/>
              <w:widowControl w:val="0"/>
              <w:kinsoku/>
              <w:wordWrap/>
              <w:topLinePunct w:val="0"/>
              <w:autoSpaceDE/>
              <w:autoSpaceDN/>
              <w:bidi w:val="0"/>
              <w:snapToGrid/>
              <w:spacing w:beforeAutospacing="0" w:afterAutospacing="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数据工具：教授基础数据分析工具（如Excel金融函数、Wind/同花顺数据平</w:t>
            </w:r>
            <w:r>
              <w:rPr>
                <w:rFonts w:hint="eastAsia" w:ascii="仿宋_GB2312" w:hAnsi="仿宋_GB2312" w:eastAsia="仿宋_GB2312" w:cs="仿宋_GB2312"/>
                <w:sz w:val="24"/>
                <w:szCs w:val="24"/>
                <w:highlight w:val="none"/>
                <w:lang w:val="en-US" w:eastAsia="zh-CN"/>
              </w:rPr>
              <w:t>台），课堂发言、模拟投资报告、小组案例分析展示。</w:t>
            </w:r>
          </w:p>
        </w:tc>
      </w:tr>
      <w:tr w14:paraId="3E4B2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0" w:type="dxa"/>
            <w:vAlign w:val="center"/>
          </w:tcPr>
          <w:p w14:paraId="5C9AFE97">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80" w:type="dxa"/>
            <w:vAlign w:val="center"/>
          </w:tcPr>
          <w:p w14:paraId="33911EEC">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pacing w:val="-6"/>
                <w:sz w:val="24"/>
                <w:szCs w:val="24"/>
                <w:highlight w:val="none"/>
              </w:rPr>
            </w:pPr>
            <w:r>
              <w:rPr>
                <w:rFonts w:hint="eastAsia" w:ascii="仿宋_GB2312" w:hAnsi="仿宋_GB2312" w:eastAsia="仿宋_GB2312" w:cs="仿宋_GB2312"/>
                <w:color w:val="auto"/>
                <w:spacing w:val="-6"/>
                <w:sz w:val="24"/>
                <w:szCs w:val="24"/>
                <w:highlight w:val="none"/>
              </w:rPr>
              <w:t>Excel在</w:t>
            </w:r>
          </w:p>
          <w:p w14:paraId="30802CF4">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pacing w:val="-6"/>
                <w:sz w:val="24"/>
                <w:szCs w:val="24"/>
                <w:highlight w:val="none"/>
              </w:rPr>
            </w:pPr>
            <w:r>
              <w:rPr>
                <w:rFonts w:hint="eastAsia" w:ascii="仿宋_GB2312" w:hAnsi="仿宋_GB2312" w:eastAsia="仿宋_GB2312" w:cs="仿宋_GB2312"/>
                <w:color w:val="auto"/>
                <w:spacing w:val="-6"/>
                <w:sz w:val="24"/>
                <w:szCs w:val="24"/>
                <w:highlight w:val="none"/>
              </w:rPr>
              <w:t>会计</w:t>
            </w:r>
          </w:p>
          <w:p w14:paraId="0C0190EF">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pacing w:val="-6"/>
                <w:sz w:val="24"/>
                <w:szCs w:val="24"/>
                <w:highlight w:val="none"/>
              </w:rPr>
            </w:pPr>
            <w:r>
              <w:rPr>
                <w:rFonts w:hint="eastAsia" w:ascii="仿宋_GB2312" w:hAnsi="仿宋_GB2312" w:eastAsia="仿宋_GB2312" w:cs="仿宋_GB2312"/>
                <w:color w:val="auto"/>
                <w:spacing w:val="-6"/>
                <w:sz w:val="24"/>
                <w:szCs w:val="24"/>
                <w:highlight w:val="none"/>
              </w:rPr>
              <w:t>中的</w:t>
            </w:r>
          </w:p>
          <w:p w14:paraId="3C052484">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pacing w:val="-6"/>
                <w:sz w:val="24"/>
                <w:szCs w:val="24"/>
                <w:highlight w:val="none"/>
              </w:rPr>
            </w:pPr>
            <w:r>
              <w:rPr>
                <w:rFonts w:hint="eastAsia" w:ascii="仿宋_GB2312" w:hAnsi="仿宋_GB2312" w:eastAsia="仿宋_GB2312" w:cs="仿宋_GB2312"/>
                <w:color w:val="auto"/>
                <w:spacing w:val="-6"/>
                <w:sz w:val="24"/>
                <w:szCs w:val="24"/>
                <w:highlight w:val="none"/>
              </w:rPr>
              <w:t>应用</w:t>
            </w:r>
          </w:p>
          <w:p w14:paraId="226207C7">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pacing w:val="-6"/>
                <w:sz w:val="24"/>
                <w:szCs w:val="24"/>
                <w:highlight w:val="none"/>
              </w:rPr>
            </w:pPr>
          </w:p>
        </w:tc>
        <w:tc>
          <w:tcPr>
            <w:tcW w:w="3746" w:type="dxa"/>
            <w:vAlign w:val="top"/>
          </w:tcPr>
          <w:p w14:paraId="4D371B20">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掌握Excel会计常用功能，理解函数、数据处理与报表制作在会计工作中的原理及应用逻辑。</w:t>
            </w:r>
          </w:p>
          <w:p w14:paraId="1A21311A">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能运用Excel完成账务处理、报表生成与数据分析，解决会计实务中的数据处理问题。</w:t>
            </w:r>
          </w:p>
          <w:p w14:paraId="6BB92F9A">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培养严谨细致的工作态度，提升数据处理效率，形成规范操作与质量把控的职业素养。</w:t>
            </w:r>
          </w:p>
          <w:p w14:paraId="2AEE168A">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强化会计诚信意识，树立合规操作理念，培养坚守职业操守、服务经济发展的责任感。</w:t>
            </w:r>
          </w:p>
        </w:tc>
        <w:tc>
          <w:tcPr>
            <w:tcW w:w="2786" w:type="dxa"/>
            <w:vAlign w:val="top"/>
          </w:tcPr>
          <w:p w14:paraId="2BF56B51">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Excel基础与会计应用概述；会计凭证与账簿处理；财务报表编制；财务分析与预算管理；自动化与高级应用</w:t>
            </w:r>
          </w:p>
        </w:tc>
        <w:tc>
          <w:tcPr>
            <w:tcW w:w="2672" w:type="dxa"/>
            <w:vAlign w:val="center"/>
          </w:tcPr>
          <w:p w14:paraId="4AB420A2">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多媒体课件、会计实务案例教学等形式，系统讲授知识要点。教学中安排充足的上机时间，让学生进行实际操作练习。同时针对学习中的难点与热点问题，组织学生分组讨论，促进思维碰撞与知识共享。在学生掌握基本操作的基础上，设计综合性项目任务，如设计一个完整的财务模型（如预算编制系统），以任务为导向，增强学习的针对性和实效性。</w:t>
            </w:r>
          </w:p>
        </w:tc>
      </w:tr>
      <w:tr w14:paraId="0092F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0" w:type="dxa"/>
            <w:vAlign w:val="center"/>
          </w:tcPr>
          <w:p w14:paraId="44248395">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80" w:type="dxa"/>
            <w:vAlign w:val="center"/>
          </w:tcPr>
          <w:p w14:paraId="72914D6D">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中国</w:t>
            </w:r>
          </w:p>
          <w:p w14:paraId="303EF652">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会计</w:t>
            </w:r>
          </w:p>
          <w:p w14:paraId="01D22863">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文化</w:t>
            </w:r>
          </w:p>
        </w:tc>
        <w:tc>
          <w:tcPr>
            <w:tcW w:w="3746" w:type="dxa"/>
            <w:vAlign w:val="top"/>
          </w:tcPr>
          <w:p w14:paraId="13B3D44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掌握中国会计文化发展脉络、核心思想及不同历史时期特征，明晰其与会计制度、实践的关联，筑牢文化认知基础。</w:t>
            </w:r>
          </w:p>
          <w:p w14:paraId="58E4936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能分析中国会计文化的当代价值，运用其理念解读会计实践，具备挖掘、传播优秀传统会计文化的能力。</w:t>
            </w:r>
          </w:p>
          <w:p w14:paraId="2A9535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培育对中国会计文化的认同感与自豪感，养成以文化理念规范职业行为的习惯，提升文化素养与职业修养。</w:t>
            </w:r>
          </w:p>
          <w:p w14:paraId="4279EF8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传承中华优秀会计文化中的诚信、守正理念，厚植家国情怀，引导学生树立符合中国文化的会计职业价值观。</w:t>
            </w:r>
          </w:p>
        </w:tc>
        <w:tc>
          <w:tcPr>
            <w:tcW w:w="2786" w:type="dxa"/>
            <w:vAlign w:val="top"/>
          </w:tcPr>
          <w:p w14:paraId="529E6C98">
            <w:pPr>
              <w:keepNext w:val="0"/>
              <w:keepLines w:val="0"/>
              <w:pageBreakBefore w:val="0"/>
              <w:widowControl w:val="0"/>
              <w:kinsoku/>
              <w:wordWrap/>
              <w:overflowPunct w:val="0"/>
              <w:topLinePunct w:val="0"/>
              <w:autoSpaceDE/>
              <w:autoSpaceDN/>
              <w:bidi w:val="0"/>
              <w:adjustRightInd w:val="0"/>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从《周礼》“司会”到当代会计准则的文化基因演变；思想内核：儒家“义利观”、道家“节制”思想与会计诚信建设；制度实践：红色会计的战时经验与现代启示；数字技术冲击下会计文化的传承与重构案例分析。</w:t>
            </w:r>
          </w:p>
        </w:tc>
        <w:tc>
          <w:tcPr>
            <w:tcW w:w="2672" w:type="dxa"/>
            <w:vAlign w:val="top"/>
          </w:tcPr>
          <w:p w14:paraId="4B50EA65">
            <w:pPr>
              <w:keepNext w:val="0"/>
              <w:keepLines w:val="0"/>
              <w:pageBreakBefore w:val="0"/>
              <w:widowControl w:val="0"/>
              <w:kinsoku/>
              <w:wordWrap/>
              <w:overflowPunct w:val="0"/>
              <w:topLinePunct w:val="0"/>
              <w:autoSpaceDE/>
              <w:autoSpaceDN/>
              <w:bidi w:val="0"/>
              <w:adjustRightInd w:val="0"/>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采用“文献研读+田野调查+跨学科研讨”模式，组织学生访谈老会计、参观会计博物馆；要求学生完成会计文化基因解码报告，结合企业案例分析文化冲突解决方案；鼓励学生参与“会计文化口述史”项目，关注ESG理念与传统文化的协同创新方向。</w:t>
            </w:r>
          </w:p>
        </w:tc>
      </w:tr>
      <w:tr w14:paraId="23911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0" w:type="dxa"/>
            <w:vAlign w:val="center"/>
          </w:tcPr>
          <w:p w14:paraId="06916A1F">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80" w:type="dxa"/>
            <w:vAlign w:val="center"/>
          </w:tcPr>
          <w:p w14:paraId="59C3FB80">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审计</w:t>
            </w:r>
          </w:p>
          <w:p w14:paraId="5D90DEF6">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基础</w:t>
            </w:r>
          </w:p>
          <w:p w14:paraId="60B2AC82">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与实</w:t>
            </w:r>
          </w:p>
          <w:p w14:paraId="773D7264">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务</w:t>
            </w:r>
          </w:p>
        </w:tc>
        <w:tc>
          <w:tcPr>
            <w:tcW w:w="3746" w:type="dxa"/>
            <w:vAlign w:val="top"/>
          </w:tcPr>
          <w:p w14:paraId="3462035D">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lang w:val="zh-CN" w:eastAsia="zh-CN"/>
              </w:rPr>
            </w:pPr>
            <w:r>
              <w:rPr>
                <w:rFonts w:hint="eastAsia" w:ascii="仿宋_GB2312" w:hAnsi="仿宋_GB2312" w:eastAsia="仿宋_GB2312" w:cs="仿宋_GB2312"/>
                <w:b/>
                <w:bCs/>
                <w:color w:val="auto"/>
                <w:sz w:val="24"/>
                <w:szCs w:val="24"/>
                <w:highlight w:val="none"/>
                <w:lang w:val="zh-CN" w:eastAsia="zh-CN"/>
              </w:rPr>
              <w:t>知识目标：</w:t>
            </w:r>
            <w:r>
              <w:rPr>
                <w:rFonts w:hint="eastAsia" w:ascii="仿宋_GB2312" w:hAnsi="仿宋_GB2312" w:eastAsia="仿宋_GB2312" w:cs="仿宋_GB2312"/>
                <w:color w:val="auto"/>
                <w:sz w:val="24"/>
                <w:szCs w:val="24"/>
                <w:highlight w:val="none"/>
                <w:lang w:val="zh-CN" w:eastAsia="zh-CN"/>
              </w:rPr>
              <w:t>掌握审计基本理论、流程与方法，熟悉审计准则，能</w:t>
            </w:r>
            <w:r>
              <w:rPr>
                <w:rFonts w:hint="eastAsia" w:ascii="仿宋_GB2312" w:hAnsi="仿宋_GB2312" w:eastAsia="仿宋_GB2312" w:cs="仿宋_GB2312"/>
                <w:color w:val="auto"/>
                <w:sz w:val="24"/>
                <w:szCs w:val="24"/>
                <w:highlight w:val="none"/>
                <w:lang w:val="en-US" w:eastAsia="zh-CN"/>
              </w:rPr>
              <w:t>清晰</w:t>
            </w:r>
            <w:r>
              <w:rPr>
                <w:rFonts w:hint="eastAsia" w:ascii="仿宋_GB2312" w:hAnsi="仿宋_GB2312" w:eastAsia="仿宋_GB2312" w:cs="仿宋_GB2312"/>
                <w:color w:val="auto"/>
                <w:sz w:val="24"/>
                <w:szCs w:val="24"/>
                <w:highlight w:val="none"/>
                <w:lang w:val="zh-CN" w:eastAsia="zh-CN"/>
              </w:rPr>
              <w:t>区分审计与会计的核心差异。</w:t>
            </w:r>
          </w:p>
          <w:p w14:paraId="5B409643">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lang w:val="zh-CN" w:eastAsia="zh-CN"/>
              </w:rPr>
            </w:pPr>
            <w:r>
              <w:rPr>
                <w:rFonts w:hint="eastAsia" w:ascii="仿宋_GB2312" w:hAnsi="仿宋_GB2312" w:eastAsia="仿宋_GB2312" w:cs="仿宋_GB2312"/>
                <w:b/>
                <w:bCs/>
                <w:color w:val="auto"/>
                <w:sz w:val="24"/>
                <w:szCs w:val="24"/>
                <w:highlight w:val="none"/>
                <w:lang w:val="zh-CN" w:eastAsia="zh-CN"/>
              </w:rPr>
              <w:t>能力目标</w:t>
            </w:r>
            <w:r>
              <w:rPr>
                <w:rFonts w:hint="eastAsia" w:ascii="仿宋_GB2312" w:hAnsi="仿宋_GB2312" w:eastAsia="仿宋_GB2312" w:cs="仿宋_GB2312"/>
                <w:color w:val="auto"/>
                <w:sz w:val="24"/>
                <w:szCs w:val="24"/>
                <w:highlight w:val="none"/>
                <w:lang w:val="zh-CN" w:eastAsia="zh-CN"/>
              </w:rPr>
              <w:t>：能独立完成简单审计业务，准确编制工作底稿，具备初步分析审计证据、识别风险的能力。</w:t>
            </w:r>
          </w:p>
          <w:p w14:paraId="42A0A78D">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lang w:val="zh-CN" w:eastAsia="zh-CN"/>
              </w:rPr>
            </w:pPr>
            <w:r>
              <w:rPr>
                <w:rFonts w:hint="eastAsia" w:ascii="仿宋_GB2312" w:hAnsi="仿宋_GB2312" w:eastAsia="仿宋_GB2312" w:cs="仿宋_GB2312"/>
                <w:b/>
                <w:bCs/>
                <w:color w:val="auto"/>
                <w:sz w:val="24"/>
                <w:szCs w:val="24"/>
                <w:highlight w:val="none"/>
                <w:lang w:val="zh-CN" w:eastAsia="zh-CN"/>
              </w:rPr>
              <w:t>素质目标：</w:t>
            </w:r>
            <w:r>
              <w:rPr>
                <w:rFonts w:hint="eastAsia" w:ascii="仿宋_GB2312" w:hAnsi="仿宋_GB2312" w:eastAsia="仿宋_GB2312" w:cs="仿宋_GB2312"/>
                <w:color w:val="auto"/>
                <w:sz w:val="24"/>
                <w:szCs w:val="24"/>
                <w:highlight w:val="none"/>
                <w:lang w:val="zh-CN" w:eastAsia="zh-CN"/>
              </w:rPr>
              <w:t>养成严谨细致的工作态度，树立客观公正的职业意识，提升团队协作与沟通效率。</w:t>
            </w:r>
          </w:p>
          <w:p w14:paraId="242E5C98">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zh-CN" w:eastAsia="zh-CN"/>
              </w:rPr>
              <w:t>课程思政育人目标：</w:t>
            </w:r>
            <w:r>
              <w:rPr>
                <w:rFonts w:hint="eastAsia" w:ascii="仿宋_GB2312" w:hAnsi="仿宋_GB2312" w:eastAsia="仿宋_GB2312" w:cs="仿宋_GB2312"/>
                <w:color w:val="auto"/>
                <w:sz w:val="24"/>
                <w:szCs w:val="24"/>
                <w:highlight w:val="none"/>
                <w:lang w:val="zh-CN" w:eastAsia="zh-CN"/>
              </w:rPr>
              <w:t>厚植诚信守法的职业操守，强化社会责任感，培养坚守审计底线、维护市场秩序的价值观。</w:t>
            </w:r>
          </w:p>
        </w:tc>
        <w:tc>
          <w:tcPr>
            <w:tcW w:w="2786" w:type="dxa"/>
            <w:vAlign w:val="top"/>
          </w:tcPr>
          <w:p w14:paraId="5D7DCD48">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总论、审计业务承接和审计报告、审计目标、审计证据与工作底稿、审计计划、重要性和审计风险、审计方法、内部控制测试和风险评估、销售收入及收款循环的审计、生产循环审计。</w:t>
            </w:r>
          </w:p>
        </w:tc>
        <w:tc>
          <w:tcPr>
            <w:tcW w:w="2672" w:type="dxa"/>
            <w:vAlign w:val="top"/>
          </w:tcPr>
          <w:p w14:paraId="0DB4C076">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通过多媒体结合教材进行课堂讲授，系统介绍审计学的理论知识体系。在教学中选取具有代表性的审计案例，引导学生分析讨论，加深对审计理论和方法的理解。课堂上组织学生就特定审计问题进行小组讨论，培养团队合作精神和批判性思维。</w:t>
            </w:r>
          </w:p>
        </w:tc>
      </w:tr>
      <w:tr w14:paraId="5C11A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0" w:type="dxa"/>
            <w:vAlign w:val="center"/>
          </w:tcPr>
          <w:p w14:paraId="479D2D6C">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80" w:type="dxa"/>
            <w:vAlign w:val="center"/>
          </w:tcPr>
          <w:p w14:paraId="1FEBECA9">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行业</w:t>
            </w:r>
          </w:p>
          <w:p w14:paraId="1F7092AE">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会计</w:t>
            </w:r>
          </w:p>
          <w:p w14:paraId="2F31F72C">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比较</w:t>
            </w:r>
          </w:p>
        </w:tc>
        <w:tc>
          <w:tcPr>
            <w:tcW w:w="3746" w:type="dxa"/>
            <w:vAlign w:val="top"/>
          </w:tcPr>
          <w:p w14:paraId="022F0729">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掌握不同行业会计核算差异，理解行业特殊业务处理规则，能区分各行业会计核心要点。</w:t>
            </w:r>
          </w:p>
          <w:p w14:paraId="59876CB3">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能独立完成特定行业会计实务操作，具备分析行业会计问题并提出解决方案的能力。</w:t>
            </w:r>
          </w:p>
          <w:p w14:paraId="52AC4E41">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培养严谨细致的职业态度，树立行业会计合规意识，提升跨行业会计适应能力。</w:t>
            </w:r>
          </w:p>
          <w:p w14:paraId="78F1CE4D">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厚植诚信守正的会计职业精神，强化社会责任担当，引导树立正确的财务伦理观。</w:t>
            </w:r>
          </w:p>
        </w:tc>
        <w:tc>
          <w:tcPr>
            <w:tcW w:w="2786" w:type="dxa"/>
            <w:vAlign w:val="top"/>
          </w:tcPr>
          <w:p w14:paraId="60978125">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6"/>
                <w:sz w:val="24"/>
                <w:szCs w:val="24"/>
                <w:highlight w:val="none"/>
              </w:rPr>
              <w:t>总论、商品流通企业会计、旅游餐饮企业会计、交通运输企业会计、房地产企业会计、农业企业会计、民间非</w:t>
            </w:r>
            <w:r>
              <w:rPr>
                <w:rFonts w:hint="eastAsia" w:ascii="仿宋_GB2312" w:hAnsi="仿宋_GB2312" w:eastAsia="仿宋_GB2312" w:cs="仿宋_GB2312"/>
                <w:color w:val="auto"/>
                <w:spacing w:val="-6"/>
                <w:sz w:val="24"/>
                <w:szCs w:val="24"/>
                <w:highlight w:val="none"/>
                <w:lang w:val="en-US" w:eastAsia="zh-CN"/>
              </w:rPr>
              <w:t>营利</w:t>
            </w:r>
            <w:r>
              <w:rPr>
                <w:rFonts w:hint="eastAsia" w:ascii="仿宋_GB2312" w:hAnsi="仿宋_GB2312" w:eastAsia="仿宋_GB2312" w:cs="仿宋_GB2312"/>
                <w:color w:val="auto"/>
                <w:spacing w:val="-6"/>
                <w:sz w:val="24"/>
                <w:szCs w:val="24"/>
                <w:highlight w:val="none"/>
              </w:rPr>
              <w:t>企业会计等。</w:t>
            </w:r>
          </w:p>
        </w:tc>
        <w:tc>
          <w:tcPr>
            <w:tcW w:w="2672" w:type="dxa"/>
            <w:vAlign w:val="top"/>
          </w:tcPr>
          <w:p w14:paraId="6374B862">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通过教材结合PPT、视频系统讲解行业会计的基本理论与核算方法。通过真实的行业会计案例，引导学生分析讨论，加深理解；同时组织学生对行业间会计差异进行小组讨论，促进思维碰撞与知识共享。</w:t>
            </w:r>
          </w:p>
        </w:tc>
      </w:tr>
      <w:tr w14:paraId="67AAD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0" w:type="dxa"/>
            <w:vAlign w:val="center"/>
          </w:tcPr>
          <w:p w14:paraId="2AAF6DBA">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493F1F56">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14:paraId="7BBB1092">
            <w:pPr>
              <w:keepNext w:val="0"/>
              <w:keepLines w:val="0"/>
              <w:pageBreakBefore w:val="0"/>
              <w:widowControl w:val="0"/>
              <w:kinsoku/>
              <w:wordWrap/>
              <w:topLinePunct w:val="0"/>
              <w:autoSpaceDE/>
              <w:autoSpaceDN/>
              <w:bidi w:val="0"/>
              <w:snapToGrid/>
              <w:spacing w:after="0" w:line="300" w:lineRule="exact"/>
              <w:ind w:firstLine="240" w:firstLineChars="10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80" w:type="dxa"/>
            <w:vAlign w:val="center"/>
          </w:tcPr>
          <w:p w14:paraId="29AD2343">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p>
          <w:p w14:paraId="323D8F74">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p>
          <w:p w14:paraId="7DB182ED">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会计</w:t>
            </w:r>
          </w:p>
          <w:p w14:paraId="7E1CCFEB">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制度</w:t>
            </w:r>
          </w:p>
          <w:p w14:paraId="6EDE7CC1">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设计</w:t>
            </w:r>
          </w:p>
        </w:tc>
        <w:tc>
          <w:tcPr>
            <w:tcW w:w="3746" w:type="dxa"/>
            <w:vAlign w:val="top"/>
          </w:tcPr>
          <w:p w14:paraId="29516AC6">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掌握会计制度核心内容与制定逻辑，明晰不同制度适用场景，理解制度对会计工作的规范作用。</w:t>
            </w:r>
          </w:p>
          <w:p w14:paraId="164BD413">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能运用会计制度分析解决实务问题，具备制度解读、选择及合规处理会计业务的基本能力。</w:t>
            </w:r>
          </w:p>
          <w:p w14:paraId="31226208">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养成严谨细致的职业态度，树立合规意识，提升对会计制度的敬畏心与执行的自觉性。</w:t>
            </w:r>
          </w:p>
          <w:p w14:paraId="7C22DB4E">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培育诚信守法的职业操守，强化社会责任担当，树立正确的会计职业价值观与法治观念。</w:t>
            </w:r>
          </w:p>
        </w:tc>
        <w:tc>
          <w:tcPr>
            <w:tcW w:w="2786" w:type="dxa"/>
            <w:vAlign w:val="top"/>
          </w:tcPr>
          <w:p w14:paraId="2E2408DC">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会计制度设计的目标、原则、法律环境及与企业战略的协同性；会计科目设置、核算流程设计、成本核算方法选择；资金、采购、销售等业务循环的控制要点与审计路径。</w:t>
            </w:r>
          </w:p>
        </w:tc>
        <w:tc>
          <w:tcPr>
            <w:tcW w:w="2672" w:type="dxa"/>
            <w:vAlign w:val="top"/>
          </w:tcPr>
          <w:p w14:paraId="6A1104E3">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采用“理论讲授+案例研讨+小组设计”模式，结合企业真实场景提升参与度；要求学生独立完成企业调研、制度诊断及设计报告，强化逻辑思维与创新能力；关注会计准则更新动态，鼓励学生结合数字化转型趋势探索智能会计制度设计方向。</w:t>
            </w:r>
          </w:p>
        </w:tc>
      </w:tr>
      <w:tr w14:paraId="5C2B8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0" w:type="dxa"/>
            <w:vAlign w:val="center"/>
          </w:tcPr>
          <w:p w14:paraId="56994DE4">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80" w:type="dxa"/>
            <w:vAlign w:val="center"/>
          </w:tcPr>
          <w:p w14:paraId="50EC32C7">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市场</w:t>
            </w:r>
          </w:p>
          <w:p w14:paraId="3D311E40">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kern w:val="2"/>
                <w:sz w:val="24"/>
                <w:szCs w:val="24"/>
                <w:highlight w:val="none"/>
                <w:vertAlign w:val="baseline"/>
                <w:lang w:val="en-US" w:eastAsia="zh-CN" w:bidi="ar-SA"/>
              </w:rPr>
              <w:t>营销</w:t>
            </w:r>
          </w:p>
        </w:tc>
        <w:tc>
          <w:tcPr>
            <w:tcW w:w="3746" w:type="dxa"/>
            <w:vAlign w:val="top"/>
          </w:tcPr>
          <w:p w14:paraId="4D6A7F86">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kern w:val="2"/>
                <w:sz w:val="24"/>
                <w:szCs w:val="24"/>
                <w:highlight w:val="none"/>
                <w:vertAlign w:val="baseline"/>
                <w:lang w:val="en-US" w:eastAsia="zh-CN" w:bidi="ar-SA"/>
              </w:rPr>
              <w:t>知识目标：</w:t>
            </w:r>
            <w:r>
              <w:rPr>
                <w:rFonts w:hint="eastAsia" w:ascii="仿宋_GB2312" w:hAnsi="仿宋_GB2312" w:eastAsia="仿宋_GB2312" w:cs="仿宋_GB2312"/>
                <w:color w:val="auto"/>
                <w:kern w:val="2"/>
                <w:sz w:val="24"/>
                <w:szCs w:val="24"/>
                <w:highlight w:val="none"/>
                <w:vertAlign w:val="baseline"/>
                <w:lang w:val="en-US" w:eastAsia="zh-CN" w:bidi="ar-SA"/>
              </w:rPr>
              <w:t>掌握市场营销核心理论、4P策略等知识，理解市场调研、品牌管理等关键环节的逻辑与方法。</w:t>
            </w:r>
          </w:p>
          <w:p w14:paraId="761B8676">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kern w:val="2"/>
                <w:sz w:val="24"/>
                <w:szCs w:val="24"/>
                <w:highlight w:val="none"/>
                <w:vertAlign w:val="baseline"/>
                <w:lang w:val="en-US" w:eastAsia="zh-CN" w:bidi="ar-SA"/>
              </w:rPr>
              <w:t>能力目标：</w:t>
            </w:r>
            <w:r>
              <w:rPr>
                <w:rFonts w:hint="eastAsia" w:ascii="仿宋_GB2312" w:hAnsi="仿宋_GB2312" w:eastAsia="仿宋_GB2312" w:cs="仿宋_GB2312"/>
                <w:color w:val="auto"/>
                <w:kern w:val="2"/>
                <w:sz w:val="24"/>
                <w:szCs w:val="24"/>
                <w:highlight w:val="none"/>
                <w:vertAlign w:val="baseline"/>
                <w:lang w:val="en-US" w:eastAsia="zh-CN" w:bidi="ar-SA"/>
              </w:rPr>
              <w:t>能运用营销工具分析市场案例，独立制定基础营销方案，具备解决实际营销问题的能力。</w:t>
            </w:r>
          </w:p>
          <w:p w14:paraId="7A5C1518">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kern w:val="2"/>
                <w:sz w:val="24"/>
                <w:szCs w:val="24"/>
                <w:highlight w:val="none"/>
                <w:vertAlign w:val="baseline"/>
                <w:lang w:val="en-US" w:eastAsia="zh-CN" w:bidi="ar-SA"/>
              </w:rPr>
              <w:t>素质目标：</w:t>
            </w:r>
            <w:r>
              <w:rPr>
                <w:rFonts w:hint="eastAsia" w:ascii="仿宋_GB2312" w:hAnsi="仿宋_GB2312" w:eastAsia="仿宋_GB2312" w:cs="仿宋_GB2312"/>
                <w:color w:val="auto"/>
                <w:kern w:val="2"/>
                <w:sz w:val="24"/>
                <w:szCs w:val="24"/>
                <w:highlight w:val="none"/>
                <w:vertAlign w:val="baseline"/>
                <w:lang w:val="en-US" w:eastAsia="zh-CN" w:bidi="ar-SA"/>
              </w:rPr>
              <w:t>培养市场敏感度与创新思维，树立客户导向意识，提升团队协作与沟通表达素养。</w:t>
            </w:r>
          </w:p>
          <w:p w14:paraId="5A892A47">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kern w:val="2"/>
                <w:sz w:val="24"/>
                <w:szCs w:val="24"/>
                <w:highlight w:val="none"/>
                <w:vertAlign w:val="baseline"/>
                <w:lang w:val="en-US" w:eastAsia="zh-CN" w:bidi="ar-SA"/>
              </w:rPr>
              <w:t>课程思政育人目标：</w:t>
            </w:r>
            <w:r>
              <w:rPr>
                <w:rFonts w:hint="eastAsia" w:ascii="仿宋_GB2312" w:hAnsi="仿宋_GB2312" w:eastAsia="仿宋_GB2312" w:cs="仿宋_GB2312"/>
                <w:color w:val="auto"/>
                <w:kern w:val="2"/>
                <w:sz w:val="24"/>
                <w:szCs w:val="24"/>
                <w:highlight w:val="none"/>
                <w:vertAlign w:val="baseline"/>
                <w:lang w:val="en-US" w:eastAsia="zh-CN" w:bidi="ar-SA"/>
              </w:rPr>
              <w:t>强化诚信营销、社会责任理念，树立正确商业伦理观，厚植服务国家经济发展的意识。</w:t>
            </w:r>
          </w:p>
        </w:tc>
        <w:tc>
          <w:tcPr>
            <w:tcW w:w="2786" w:type="dxa"/>
            <w:vAlign w:val="top"/>
          </w:tcPr>
          <w:p w14:paraId="1D09C243">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基础理论；市场分析：包括市场调研的方法与技术，消费者市场和组织市场的特点与购买行为分析，市场细分、目标市场选择与市场定位的原理和方法。营销策略：产品策略、价格策略、渠道策略、促销策略。营销管理：讲述市场营销计划的制定、组织、执行与控制，以及营销伦理和社会责任等内容。</w:t>
            </w:r>
          </w:p>
        </w:tc>
        <w:tc>
          <w:tcPr>
            <w:tcW w:w="2672" w:type="dxa"/>
            <w:vAlign w:val="top"/>
          </w:tcPr>
          <w:p w14:paraId="68829FA3">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通过案例分析、小组讨论、模拟营销等实践教学环节，培养学生运用所学知识分析和解决实际营销问题的能力，提高学生的沟通能力、团队协作能力和创新能力。培养学生的自主学习能力和探索精神，要求学生按时完成作业，积极参与课堂讨论和课外实践活动。</w:t>
            </w:r>
          </w:p>
        </w:tc>
      </w:tr>
      <w:tr w14:paraId="4A5DD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0" w:type="dxa"/>
            <w:vAlign w:val="center"/>
          </w:tcPr>
          <w:p w14:paraId="63FA37A4">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80" w:type="dxa"/>
            <w:vAlign w:val="center"/>
          </w:tcPr>
          <w:p w14:paraId="553F59BE">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企业</w:t>
            </w:r>
          </w:p>
          <w:p w14:paraId="4962D785">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财务</w:t>
            </w:r>
          </w:p>
          <w:p w14:paraId="12443AE2">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kern w:val="2"/>
                <w:sz w:val="24"/>
                <w:szCs w:val="24"/>
                <w:highlight w:val="none"/>
                <w:vertAlign w:val="baseline"/>
                <w:lang w:val="en-US" w:eastAsia="zh-CN" w:bidi="ar-SA"/>
              </w:rPr>
              <w:t>管理</w:t>
            </w:r>
          </w:p>
        </w:tc>
        <w:tc>
          <w:tcPr>
            <w:tcW w:w="3746" w:type="dxa"/>
            <w:vAlign w:val="top"/>
          </w:tcPr>
          <w:p w14:paraId="1F1EC0F0">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掌握企业筹资、投资、营运及分配管理核心理论，理解财务报表分析与风险管理的基础原理。</w:t>
            </w:r>
          </w:p>
          <w:p w14:paraId="41F2F8CC">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rPr>
              <w:t>能独立完成财务预算编制与报表分析，具备运用财务工具解决企业资金规划问题的能力。</w:t>
            </w:r>
          </w:p>
          <w:p w14:paraId="2CB0A96C">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rPr>
              <w:t>养成严谨细致的财务思维，树立成本效益与风险防控意识，提升团队协作中的财务沟通素养。</w:t>
            </w:r>
          </w:p>
          <w:p w14:paraId="5CCF02E7">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rPr>
              <w:t>厚植诚信守法的职业操守，强化服务企业发展的责任担当，树立正确的财经价值观。</w:t>
            </w:r>
          </w:p>
        </w:tc>
        <w:tc>
          <w:tcPr>
            <w:tcW w:w="2786" w:type="dxa"/>
            <w:vAlign w:val="top"/>
          </w:tcPr>
          <w:p w14:paraId="1B0694CD">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财务管理基础；资金时间价值与风险；筹资管理模块；投资管理；利润分配管理。</w:t>
            </w:r>
          </w:p>
        </w:tc>
        <w:tc>
          <w:tcPr>
            <w:tcW w:w="2672" w:type="dxa"/>
            <w:vAlign w:val="top"/>
          </w:tcPr>
          <w:p w14:paraId="7194337B">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采用多媒体教学手段，结合生活实例和企业案例，深入浅出地讲解理论知识。选取具有代表性的企业财务案例，引导学生分析讨论，增强理论学习的针对性和实用性。同时利用财务管理软件或Excel等工具，进行财务决策模拟实训，提高学生的实践操作能力和问题解决能力。</w:t>
            </w:r>
          </w:p>
        </w:tc>
      </w:tr>
      <w:tr w14:paraId="04A74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0" w:type="dxa"/>
            <w:vAlign w:val="center"/>
          </w:tcPr>
          <w:p w14:paraId="0A75293D">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80" w:type="dxa"/>
            <w:vAlign w:val="center"/>
          </w:tcPr>
          <w:p w14:paraId="79FB0E8B">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财经</w:t>
            </w:r>
          </w:p>
          <w:p w14:paraId="27C81D8E">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法规</w:t>
            </w:r>
          </w:p>
          <w:p w14:paraId="4919C1E3">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与会</w:t>
            </w:r>
          </w:p>
          <w:p w14:paraId="700B7B3E">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计职</w:t>
            </w:r>
          </w:p>
          <w:p w14:paraId="2882EC4F">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业道</w:t>
            </w:r>
          </w:p>
          <w:p w14:paraId="248B9B2C">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德</w:t>
            </w:r>
            <w:r>
              <w:rPr>
                <w:rFonts w:hint="eastAsia" w:ascii="仿宋_GB2312" w:hAnsi="仿宋_GB2312" w:eastAsia="仿宋_GB2312" w:cs="仿宋_GB2312"/>
                <w:color w:val="auto"/>
                <w:sz w:val="24"/>
                <w:szCs w:val="24"/>
                <w:highlight w:val="none"/>
              </w:rPr>
              <w:br w:type="textWrapping"/>
            </w:r>
          </w:p>
        </w:tc>
        <w:tc>
          <w:tcPr>
            <w:tcW w:w="3746" w:type="dxa"/>
            <w:vAlign w:val="top"/>
          </w:tcPr>
          <w:p w14:paraId="1E07DE0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全面掌握会计法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税收征管法等法规，明晰会计法律体系、支付结算、税收与财政法规，熟知会计职业道德规范。</w:t>
            </w:r>
          </w:p>
          <w:p w14:paraId="0480DB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精准运用财经法规处理会计核算、监督、结算等工作，熟练计算纳税金额并申报，能分析解决复杂财经法律问题。</w:t>
            </w:r>
          </w:p>
          <w:p w14:paraId="22B92CF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培育严谨细致、廉洁奉公的职业素养，形成自觉守法、诚信自律的职业习惯，增强团队协作与沟通交流能力。</w:t>
            </w:r>
          </w:p>
          <w:p w14:paraId="2FAA95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将社会主义核心价值观融入教学，培养学生爱国守法、敬业奉献精神，引导树立正确职业观与价值观。</w:t>
            </w:r>
          </w:p>
        </w:tc>
        <w:tc>
          <w:tcPr>
            <w:tcW w:w="2786" w:type="dxa"/>
            <w:vAlign w:val="top"/>
          </w:tcPr>
          <w:p w14:paraId="3BDA6894">
            <w:pPr>
              <w:keepNext w:val="0"/>
              <w:keepLines w:val="0"/>
              <w:pageBreakBefore w:val="0"/>
              <w:widowControl w:val="0"/>
              <w:kinsoku/>
              <w:wordWrap/>
              <w:overflowPunct w:val="0"/>
              <w:topLinePunct w:val="0"/>
              <w:autoSpaceDE/>
              <w:autoSpaceDN/>
              <w:bidi w:val="0"/>
              <w:adjustRightInd w:val="0"/>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会计法律制度、支付结算法律制度、税收法律制度、财政法规制度、会计职业道德等。</w:t>
            </w:r>
          </w:p>
        </w:tc>
        <w:tc>
          <w:tcPr>
            <w:tcW w:w="2672" w:type="dxa"/>
            <w:vAlign w:val="top"/>
          </w:tcPr>
          <w:p w14:paraId="041F8DEA">
            <w:pPr>
              <w:keepNext w:val="0"/>
              <w:keepLines w:val="0"/>
              <w:pageBreakBefore w:val="0"/>
              <w:widowControl w:val="0"/>
              <w:kinsoku/>
              <w:wordWrap/>
              <w:overflowPunct w:val="0"/>
              <w:topLinePunct w:val="0"/>
              <w:autoSpaceDE/>
              <w:autoSpaceDN/>
              <w:bidi w:val="0"/>
              <w:adjustRightInd w:val="0"/>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教师系统讲授，使学生掌握基础知识和理论框架。在教学过程中选取典型财经案例，引导学生分析讨论，增强实践应用能力。组织学生分组讨论，促进思想碰撞，培养团队合作精神。模拟会计工作中的实际场景，让学生在角色扮演中体验法律与道德的冲突与抉择。利用网络平台提供丰富的教学资料、视频讲座、在线测试等，拓宽学习渠道。</w:t>
            </w:r>
          </w:p>
        </w:tc>
      </w:tr>
      <w:tr w14:paraId="3886A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0" w:type="dxa"/>
            <w:vAlign w:val="center"/>
          </w:tcPr>
          <w:p w14:paraId="59DC2C1A">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780" w:type="dxa"/>
            <w:vAlign w:val="center"/>
          </w:tcPr>
          <w:p w14:paraId="46A40FFE">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管理</w:t>
            </w:r>
          </w:p>
          <w:p w14:paraId="2B345EC3">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学</w:t>
            </w:r>
          </w:p>
        </w:tc>
        <w:tc>
          <w:tcPr>
            <w:tcW w:w="3746" w:type="dxa"/>
            <w:vAlign w:val="top"/>
          </w:tcPr>
          <w:p w14:paraId="061846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掌握管理职能、经典理论及组织运营核心逻辑，明晰决策、计划、领导等模块要点，筑牢管理学认知基础。</w:t>
            </w:r>
          </w:p>
          <w:p w14:paraId="3AB7307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能运用管理理论分析实际问题，制定可行方案，协调团队资源，提升解决组织管理问题的实操能力。</w:t>
            </w:r>
          </w:p>
          <w:p w14:paraId="59BB6DB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培育系统思维与责任意识，树立科学管理理念，提升团队协作与高效沟通素养，适配管理岗位需求。</w:t>
            </w:r>
          </w:p>
          <w:p w14:paraId="3BCFDCF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融社会主义核心价值观，渗家国情怀与责任担当，引导学生以科学管理助力社会经济高质量发展。</w:t>
            </w:r>
          </w:p>
        </w:tc>
        <w:tc>
          <w:tcPr>
            <w:tcW w:w="2786" w:type="dxa"/>
            <w:vAlign w:val="top"/>
          </w:tcPr>
          <w:p w14:paraId="37633F84">
            <w:pPr>
              <w:keepNext w:val="0"/>
              <w:keepLines w:val="0"/>
              <w:pageBreakBefore w:val="0"/>
              <w:widowControl w:val="0"/>
              <w:kinsoku/>
              <w:wordWrap/>
              <w:overflowPunct w:val="0"/>
              <w:topLinePunct w:val="0"/>
              <w:autoSpaceDE/>
              <w:autoSpaceDN/>
              <w:bidi w:val="0"/>
              <w:adjustRightInd w:val="0"/>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管理与管理学、管理理论的演化、组织的概论、计划工作概述、决策在管理中的战略、领导艺术、激励等。</w:t>
            </w:r>
          </w:p>
        </w:tc>
        <w:tc>
          <w:tcPr>
            <w:tcW w:w="2672" w:type="dxa"/>
            <w:vAlign w:val="top"/>
          </w:tcPr>
          <w:p w14:paraId="77E0494A">
            <w:pPr>
              <w:keepNext w:val="0"/>
              <w:keepLines w:val="0"/>
              <w:pageBreakBefore w:val="0"/>
              <w:widowControl w:val="0"/>
              <w:kinsoku/>
              <w:wordWrap/>
              <w:overflowPunct w:val="0"/>
              <w:topLinePunct w:val="0"/>
              <w:autoSpaceDE/>
              <w:autoSpaceDN/>
              <w:bidi w:val="0"/>
              <w:adjustRightInd w:val="0"/>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教材结合多媒体教学手段，系统讲解管理学理论知识。选取典型案例，组织学生进行分析讨论，增强学生对理论知识的理解和应用能力。其次围绕特定主题或问题，分组进行讨论，促进学生之间的交流与合作，培养团队协作能力。在掌握基本理论知识基础上通过角色扮演、管理游戏等方式，模拟真实管理情境，让学生在实践中学习和掌握管理技能。</w:t>
            </w:r>
          </w:p>
        </w:tc>
      </w:tr>
      <w:tr w14:paraId="4F260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0" w:type="dxa"/>
            <w:vAlign w:val="center"/>
          </w:tcPr>
          <w:p w14:paraId="364B3403">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780" w:type="dxa"/>
            <w:vAlign w:val="center"/>
          </w:tcPr>
          <w:p w14:paraId="358BDC07">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电子</w:t>
            </w:r>
          </w:p>
          <w:p w14:paraId="6A8CD2CF">
            <w:pPr>
              <w:keepNext w:val="0"/>
              <w:keepLines w:val="0"/>
              <w:pageBreakBefore w:val="0"/>
              <w:widowControl w:val="0"/>
              <w:kinsoku/>
              <w:wordWrap/>
              <w:overflowPunct w:val="0"/>
              <w:topLinePunct w:val="0"/>
              <w:autoSpaceDE/>
              <w:autoSpaceDN/>
              <w:bidi w:val="0"/>
              <w:adjustRightInd w:val="0"/>
              <w:snapToGrid/>
              <w:spacing w:after="0" w:line="30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商务</w:t>
            </w:r>
          </w:p>
        </w:tc>
        <w:tc>
          <w:tcPr>
            <w:tcW w:w="3746" w:type="dxa"/>
            <w:vAlign w:val="top"/>
          </w:tcPr>
          <w:p w14:paraId="2C25C2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掌握电商运营、网络营销、电子支付等核心知识，明晰电商平台规则与供应链管理逻辑，筑牢电商业务开展的理论基础。</w:t>
            </w:r>
          </w:p>
          <w:p w14:paraId="21FD375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能搭建电商店铺、策划营销活动、分析运营数据，解决订单处理与客户服务问题，具备独立开展电商业务的能力。</w:t>
            </w:r>
          </w:p>
          <w:p w14:paraId="659936D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培育数字化思维与创新意识，养成严谨细致的工作态度，提升跨团队协作与应对电商市场变化的能力。</w:t>
            </w:r>
          </w:p>
          <w:p w14:paraId="70199AE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融诚信经营与合规理念，渗家国情怀，引导学生践行电商社会责任，树立健康可持续的电商发展观。</w:t>
            </w:r>
          </w:p>
        </w:tc>
        <w:tc>
          <w:tcPr>
            <w:tcW w:w="2786" w:type="dxa"/>
            <w:vAlign w:val="top"/>
          </w:tcPr>
          <w:p w14:paraId="3FA1D4FE">
            <w:pPr>
              <w:keepNext w:val="0"/>
              <w:keepLines w:val="0"/>
              <w:pageBreakBefore w:val="0"/>
              <w:widowControl w:val="0"/>
              <w:kinsoku/>
              <w:wordWrap/>
              <w:overflowPunct w:val="0"/>
              <w:topLinePunct w:val="0"/>
              <w:autoSpaceDE/>
              <w:autoSpaceDN/>
              <w:bidi w:val="0"/>
              <w:adjustRightInd w:val="0"/>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电子商务概述、电子商务技术基础，电子商务商业模式、电子商务支付、电子商务物流、网络营销、电子商务涉及的法律法规等。</w:t>
            </w:r>
          </w:p>
        </w:tc>
        <w:tc>
          <w:tcPr>
            <w:tcW w:w="2672" w:type="dxa"/>
            <w:vAlign w:val="top"/>
          </w:tcPr>
          <w:p w14:paraId="6337A072">
            <w:pPr>
              <w:keepNext w:val="0"/>
              <w:keepLines w:val="0"/>
              <w:pageBreakBefore w:val="0"/>
              <w:widowControl w:val="0"/>
              <w:kinsoku/>
              <w:wordWrap/>
              <w:overflowPunct w:val="0"/>
              <w:topLinePunct w:val="0"/>
              <w:autoSpaceDE/>
              <w:autoSpaceDN/>
              <w:bidi w:val="0"/>
              <w:adjustRightInd w:val="0"/>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课程采用多种教学方法，如案例分析、项目实训、小组讨论、模拟演练等，以提高学生的实际操作能力和理</w:t>
            </w:r>
            <w:r>
              <w:rPr>
                <w:rFonts w:hint="eastAsia" w:ascii="仿宋_GB2312" w:hAnsi="仿宋_GB2312" w:eastAsia="仿宋_GB2312" w:cs="仿宋_GB2312"/>
                <w:color w:val="auto"/>
                <w:sz w:val="24"/>
                <w:szCs w:val="24"/>
                <w:highlight w:val="none"/>
                <w:lang w:val="en-US" w:eastAsia="zh-CN"/>
              </w:rPr>
              <w:t>解能</w:t>
            </w:r>
            <w:r>
              <w:rPr>
                <w:rFonts w:hint="eastAsia" w:ascii="仿宋_GB2312" w:hAnsi="仿宋_GB2312" w:eastAsia="仿宋_GB2312" w:cs="仿宋_GB2312"/>
                <w:color w:val="auto"/>
                <w:sz w:val="24"/>
                <w:szCs w:val="24"/>
                <w:highlight w:val="none"/>
              </w:rPr>
              <w:t>力。使学生掌握电子商务的基本概念、框架结构、运行环境、技术内容、交易手段与管理方法，以及电子商务应用的现实框架等内容。</w:t>
            </w:r>
          </w:p>
        </w:tc>
      </w:tr>
    </w:tbl>
    <w:p w14:paraId="338FB3A6">
      <w:pPr>
        <w:keepNext w:val="0"/>
        <w:keepLines w:val="0"/>
        <w:pageBreakBefore w:val="0"/>
        <w:widowControl w:val="0"/>
        <w:kinsoku/>
        <w:wordWrap/>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教学环节：毕业设计、岗位实习。</w:t>
      </w:r>
    </w:p>
    <w:p w14:paraId="6F5A318C">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6 </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6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
        <w:gridCol w:w="780"/>
        <w:gridCol w:w="4415"/>
        <w:gridCol w:w="1779"/>
        <w:gridCol w:w="3120"/>
      </w:tblGrid>
      <w:tr w14:paraId="39DB9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0" w:type="dxa"/>
            <w:vAlign w:val="center"/>
          </w:tcPr>
          <w:p w14:paraId="2FF94DF4">
            <w:pPr>
              <w:overflowPunct w:val="0"/>
              <w:adjustRightInd w:val="0"/>
              <w:spacing w:line="360" w:lineRule="exact"/>
              <w:jc w:val="center"/>
              <w:rPr>
                <w:rFonts w:hint="eastAsia" w:ascii="仿宋_GB2312" w:hAnsi="仿宋_GB2312" w:eastAsia="仿宋_GB2312" w:cs="仿宋_GB2312"/>
                <w:color w:val="auto"/>
                <w:sz w:val="24"/>
                <w:highlight w:val="none"/>
              </w:rPr>
            </w:pPr>
            <w:bookmarkStart w:id="15" w:name="OLE_LINK21"/>
            <w:r>
              <w:rPr>
                <w:rFonts w:hint="eastAsia" w:ascii="仿宋_GB2312" w:hAnsi="仿宋_GB2312" w:eastAsia="仿宋_GB2312" w:cs="仿宋_GB2312"/>
                <w:color w:val="auto"/>
                <w:sz w:val="24"/>
                <w:highlight w:val="none"/>
              </w:rPr>
              <w:t>序号</w:t>
            </w:r>
          </w:p>
        </w:tc>
        <w:tc>
          <w:tcPr>
            <w:tcW w:w="780" w:type="dxa"/>
            <w:vAlign w:val="center"/>
          </w:tcPr>
          <w:p w14:paraId="704FAF23">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课程名称</w:t>
            </w:r>
          </w:p>
        </w:tc>
        <w:tc>
          <w:tcPr>
            <w:tcW w:w="4415" w:type="dxa"/>
            <w:vAlign w:val="center"/>
          </w:tcPr>
          <w:p w14:paraId="562033FA">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1779" w:type="dxa"/>
            <w:vAlign w:val="center"/>
          </w:tcPr>
          <w:p w14:paraId="2C1F062C">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3120" w:type="dxa"/>
            <w:vAlign w:val="center"/>
          </w:tcPr>
          <w:p w14:paraId="48876BCB">
            <w:pPr>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教学要求</w:t>
            </w:r>
          </w:p>
        </w:tc>
      </w:tr>
      <w:tr w14:paraId="66A75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10" w:type="dxa"/>
            <w:vAlign w:val="center"/>
          </w:tcPr>
          <w:p w14:paraId="561736F2">
            <w:pPr>
              <w:overflowPunct w:val="0"/>
              <w:adjustRightInd w:val="0"/>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1</w:t>
            </w:r>
          </w:p>
        </w:tc>
        <w:tc>
          <w:tcPr>
            <w:tcW w:w="780" w:type="dxa"/>
            <w:vAlign w:val="center"/>
          </w:tcPr>
          <w:p w14:paraId="2B572F04">
            <w:pPr>
              <w:overflowPunct w:val="0"/>
              <w:adjustRightInd w:val="0"/>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毕业设计</w:t>
            </w:r>
          </w:p>
        </w:tc>
        <w:tc>
          <w:tcPr>
            <w:tcW w:w="4415" w:type="dxa"/>
            <w:vAlign w:val="center"/>
          </w:tcPr>
          <w:p w14:paraId="5C767EB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整合专业核心知识，掌握课题研究方法与学术规范，明晰行业前沿动态，构建系统的专业知识应用体系。</w:t>
            </w:r>
          </w:p>
          <w:p w14:paraId="5D8BD90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能独立开展课题调研、数据分析与方案设计，熟练撰写论文，提升解决专业实际问题的综合能力。</w:t>
            </w:r>
          </w:p>
          <w:p w14:paraId="26B9398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培育严谨治学态度与创新思维，增强责任担当，提升自主学习、团队协作及成果展示素养。</w:t>
            </w:r>
          </w:p>
          <w:p w14:paraId="537B146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融入学术诚信与职业精神，引导学生立足行业需求，树立服务社会、助力产业发展的价值导向。</w:t>
            </w:r>
          </w:p>
        </w:tc>
        <w:tc>
          <w:tcPr>
            <w:tcW w:w="1779" w:type="dxa"/>
            <w:vAlign w:val="top"/>
          </w:tcPr>
          <w:p w14:paraId="73B2B345">
            <w:pPr>
              <w:overflowPunct w:val="0"/>
              <w:adjustRightInd w:val="0"/>
              <w:spacing w:line="360" w:lineRule="exact"/>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选题和资料收集；分析和计划；开题报告；撰写初稿；修改定稿；答辩。</w:t>
            </w:r>
          </w:p>
        </w:tc>
        <w:tc>
          <w:tcPr>
            <w:tcW w:w="3120" w:type="dxa"/>
            <w:vAlign w:val="top"/>
          </w:tcPr>
          <w:p w14:paraId="60C79834">
            <w:pPr>
              <w:overflowPunct w:val="0"/>
              <w:adjustRightInd w:val="0"/>
              <w:spacing w:line="360" w:lineRule="exact"/>
              <w:jc w:val="both"/>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指导教师根据学生的能力水平和兴趣特长，进行针对性及个别指导。同时全程跟踪学生的研究进展，及时解决学生遇到的问题；对学生在选题、研究过程、论文撰写及答辩等各个环节均提出明确要求；鼓励学生在研究中勇于探索未知领域，提出新观点、新方法，培养学生的创新意识和能力。</w:t>
            </w:r>
          </w:p>
        </w:tc>
      </w:tr>
      <w:tr w14:paraId="19E6E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0" w:type="dxa"/>
            <w:vAlign w:val="center"/>
          </w:tcPr>
          <w:p w14:paraId="19D96744">
            <w:pPr>
              <w:overflowPunct w:val="0"/>
              <w:adjustRightInd w:val="0"/>
              <w:spacing w:line="360" w:lineRule="exact"/>
              <w:jc w:val="cente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rPr>
              <w:t>2</w:t>
            </w:r>
          </w:p>
        </w:tc>
        <w:tc>
          <w:tcPr>
            <w:tcW w:w="780" w:type="dxa"/>
            <w:vAlign w:val="center"/>
          </w:tcPr>
          <w:p w14:paraId="565E27B4">
            <w:pPr>
              <w:overflowPunct w:val="0"/>
              <w:adjustRightInd w:val="0"/>
              <w:spacing w:line="360" w:lineRule="exact"/>
              <w:jc w:val="center"/>
              <w:rPr>
                <w:rFonts w:hint="eastAsia" w:ascii="仿宋_GB2312" w:hAnsi="仿宋_GB2312" w:eastAsia="仿宋_GB2312" w:cs="仿宋_GB2312"/>
                <w:color w:val="auto"/>
                <w:sz w:val="24"/>
                <w:highlight w:val="none"/>
              </w:rPr>
            </w:pPr>
          </w:p>
          <w:p w14:paraId="1D4F9C5D">
            <w:pPr>
              <w:overflowPunct w:val="0"/>
              <w:adjustRightInd w:val="0"/>
              <w:spacing w:line="360" w:lineRule="exact"/>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岗位实习</w:t>
            </w:r>
          </w:p>
        </w:tc>
        <w:tc>
          <w:tcPr>
            <w:tcW w:w="4415" w:type="dxa"/>
            <w:vAlign w:val="top"/>
          </w:tcPr>
          <w:p w14:paraId="36E63909">
            <w:pPr>
              <w:keepNext w:val="0"/>
              <w:keepLines w:val="0"/>
              <w:pageBreakBefore w:val="0"/>
              <w:widowControl w:val="0"/>
              <w:kinsoku/>
              <w:wordWrap/>
              <w:overflowPunct/>
              <w:topLinePunct w:val="0"/>
              <w:autoSpaceDE/>
              <w:autoSpaceDN/>
              <w:bidi w:val="0"/>
              <w:adjustRightInd/>
              <w:snapToGrid/>
              <w:spacing w:after="0" w:line="36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掌握岗位所需专业理论与实操规范，明晰行业政策及企业规章制度，理解岗位工作与其他环节的衔接逻辑。</w:t>
            </w:r>
          </w:p>
          <w:p w14:paraId="06ABA234">
            <w:pPr>
              <w:keepNext w:val="0"/>
              <w:keepLines w:val="0"/>
              <w:pageBreakBefore w:val="0"/>
              <w:widowControl w:val="0"/>
              <w:kinsoku/>
              <w:wordWrap/>
              <w:overflowPunct/>
              <w:topLinePunct w:val="0"/>
              <w:autoSpaceDE/>
              <w:autoSpaceDN/>
              <w:bidi w:val="0"/>
              <w:adjustRightInd/>
              <w:snapToGrid/>
              <w:spacing w:after="0" w:line="36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能独立完成岗位核心任务，熟练运用专业工具解决实际问题，具备职场沟通协调与任务复盘优化能力。</w:t>
            </w:r>
          </w:p>
          <w:p w14:paraId="14288BA7">
            <w:pPr>
              <w:keepNext w:val="0"/>
              <w:keepLines w:val="0"/>
              <w:pageBreakBefore w:val="0"/>
              <w:widowControl w:val="0"/>
              <w:kinsoku/>
              <w:wordWrap/>
              <w:overflowPunct/>
              <w:topLinePunct w:val="0"/>
              <w:autoSpaceDE/>
              <w:autoSpaceDN/>
              <w:bidi w:val="0"/>
              <w:adjustRightInd/>
              <w:snapToGrid/>
              <w:spacing w:after="0" w:line="36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养成严谨负责的工作态度与高效执行力，培育职业适应性与团队协作素养，树立终身学习意识。</w:t>
            </w:r>
          </w:p>
          <w:p w14:paraId="63420DCE">
            <w:pPr>
              <w:keepNext w:val="0"/>
              <w:keepLines w:val="0"/>
              <w:pageBreakBefore w:val="0"/>
              <w:widowControl w:val="0"/>
              <w:kinsoku/>
              <w:wordWrap/>
              <w:overflowPunct/>
              <w:topLinePunct w:val="0"/>
              <w:autoSpaceDE/>
              <w:autoSpaceDN/>
              <w:bidi w:val="0"/>
              <w:adjustRightInd/>
              <w:snapToGrid/>
              <w:spacing w:after="0" w:line="36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融敬业奉献精神，守职业伦理底线，渗家国情怀，引导学生以岗位实践助力行业与社会发展。</w:t>
            </w:r>
          </w:p>
        </w:tc>
        <w:tc>
          <w:tcPr>
            <w:tcW w:w="1779" w:type="dxa"/>
            <w:vAlign w:val="top"/>
          </w:tcPr>
          <w:p w14:paraId="30FA9675">
            <w:pPr>
              <w:overflowPunct w:val="0"/>
              <w:adjustRightInd w:val="0"/>
              <w:spacing w:line="360" w:lineRule="exact"/>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rPr>
              <w:t>会计岗位、出纳岗位实训</w:t>
            </w:r>
            <w:r>
              <w:rPr>
                <w:rFonts w:hint="eastAsia" w:ascii="仿宋_GB2312" w:hAnsi="仿宋_GB2312" w:eastAsia="仿宋_GB2312" w:cs="仿宋_GB2312"/>
                <w:color w:val="auto"/>
                <w:sz w:val="24"/>
                <w:highlight w:val="none"/>
                <w:lang w:eastAsia="zh-CN"/>
              </w:rPr>
              <w:t>。</w:t>
            </w:r>
          </w:p>
        </w:tc>
        <w:tc>
          <w:tcPr>
            <w:tcW w:w="3120" w:type="dxa"/>
            <w:vAlign w:val="top"/>
          </w:tcPr>
          <w:p w14:paraId="3316F7DA">
            <w:pPr>
              <w:overflowPunct w:val="0"/>
              <w:adjustRightInd w:val="0"/>
              <w:spacing w:line="360" w:lineRule="exact"/>
              <w:jc w:val="left"/>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通过校企合作模式、实习导师制、实习日志与报告撰写等教学方法，让学生在真实的工作环境中锻炼技能，积累实践经验。</w:t>
            </w:r>
          </w:p>
        </w:tc>
      </w:tr>
      <w:bookmarkEnd w:id="15"/>
    </w:tbl>
    <w:p w14:paraId="358099BD">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（三）第二课堂</w:t>
      </w:r>
      <w:r>
        <w:rPr>
          <w:rFonts w:hint="eastAsia" w:ascii="楷体" w:hAnsi="楷体" w:eastAsia="楷体" w:cs="楷体"/>
          <w:color w:val="auto"/>
          <w:sz w:val="32"/>
          <w:szCs w:val="32"/>
          <w:highlight w:val="none"/>
          <w:lang w:val="en-US" w:eastAsia="zh-CN"/>
        </w:rPr>
        <w:t>素质教育课</w:t>
      </w:r>
    </w:p>
    <w:p w14:paraId="3AC8A78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第二课堂包括思想成长、社会实践与志愿服务、文艺体育、工作履历、科技学术和创新创业、专业技能特长等其他各类课程及活动。</w:t>
      </w:r>
    </w:p>
    <w:p w14:paraId="784D4B8C">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7 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14"/>
        <w:gridCol w:w="939"/>
        <w:gridCol w:w="943"/>
        <w:gridCol w:w="990"/>
        <w:gridCol w:w="1500"/>
        <w:gridCol w:w="1092"/>
      </w:tblGrid>
      <w:tr w14:paraId="41BD3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704F1EE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模块</w:t>
            </w:r>
          </w:p>
        </w:tc>
        <w:tc>
          <w:tcPr>
            <w:tcW w:w="3514" w:type="dxa"/>
            <w:vAlign w:val="center"/>
          </w:tcPr>
          <w:p w14:paraId="0CF34775">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内容</w:t>
            </w:r>
          </w:p>
        </w:tc>
        <w:tc>
          <w:tcPr>
            <w:tcW w:w="939" w:type="dxa"/>
            <w:vAlign w:val="center"/>
          </w:tcPr>
          <w:p w14:paraId="60E0EC16">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性质</w:t>
            </w:r>
          </w:p>
        </w:tc>
        <w:tc>
          <w:tcPr>
            <w:tcW w:w="943" w:type="dxa"/>
            <w:vAlign w:val="center"/>
          </w:tcPr>
          <w:p w14:paraId="72768AAD">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组织者</w:t>
            </w:r>
          </w:p>
        </w:tc>
        <w:tc>
          <w:tcPr>
            <w:tcW w:w="990" w:type="dxa"/>
            <w:vAlign w:val="center"/>
          </w:tcPr>
          <w:p w14:paraId="3260C4BF">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认定者</w:t>
            </w:r>
          </w:p>
        </w:tc>
        <w:tc>
          <w:tcPr>
            <w:tcW w:w="1500" w:type="dxa"/>
            <w:vAlign w:val="center"/>
          </w:tcPr>
          <w:p w14:paraId="23018BB4">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计分标准</w:t>
            </w:r>
          </w:p>
        </w:tc>
        <w:tc>
          <w:tcPr>
            <w:tcW w:w="1092" w:type="dxa"/>
            <w:vAlign w:val="center"/>
          </w:tcPr>
          <w:p w14:paraId="65F32672">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备注</w:t>
            </w:r>
          </w:p>
        </w:tc>
      </w:tr>
      <w:tr w14:paraId="2FF1C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5474ABA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思想成长</w:t>
            </w:r>
          </w:p>
        </w:tc>
        <w:tc>
          <w:tcPr>
            <w:tcW w:w="3514" w:type="dxa"/>
            <w:vAlign w:val="center"/>
          </w:tcPr>
          <w:p w14:paraId="54E72176">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1.思想政治教育</w:t>
            </w:r>
            <w:r>
              <w:rPr>
                <w:rFonts w:hint="eastAsia" w:ascii="仿宋_GB2312" w:hAnsi="仿宋_GB2312" w:eastAsia="仿宋_GB2312" w:cs="仿宋_GB2312"/>
                <w:b w:val="0"/>
                <w:bCs w:val="0"/>
                <w:color w:val="000000"/>
                <w:sz w:val="24"/>
                <w:szCs w:val="24"/>
                <w:highlight w:val="none"/>
              </w:rPr>
              <w:t>主题</w:t>
            </w:r>
            <w:r>
              <w:rPr>
                <w:rFonts w:hint="eastAsia" w:ascii="仿宋_GB2312" w:hAnsi="仿宋_GB2312" w:eastAsia="仿宋_GB2312" w:cs="仿宋_GB2312"/>
                <w:b w:val="0"/>
                <w:bCs w:val="0"/>
                <w:color w:val="000000"/>
                <w:sz w:val="24"/>
                <w:szCs w:val="24"/>
                <w:highlight w:val="none"/>
                <w:lang w:val="en-US" w:eastAsia="zh-CN"/>
              </w:rPr>
              <w:t>讲</w:t>
            </w:r>
            <w:r>
              <w:rPr>
                <w:rFonts w:hint="eastAsia" w:ascii="仿宋_GB2312" w:hAnsi="仿宋_GB2312" w:eastAsia="仿宋_GB2312" w:cs="仿宋_GB2312"/>
                <w:b w:val="0"/>
                <w:bCs w:val="0"/>
                <w:color w:val="000000"/>
                <w:sz w:val="24"/>
                <w:szCs w:val="24"/>
                <w:highlight w:val="none"/>
              </w:rPr>
              <w:t>座、形势与政策报告会</w:t>
            </w:r>
          </w:p>
          <w:p w14:paraId="6EBD5C82">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2.</w:t>
            </w:r>
            <w:r>
              <w:rPr>
                <w:rFonts w:hint="eastAsia" w:ascii="仿宋_GB2312" w:hAnsi="仿宋_GB2312" w:eastAsia="仿宋_GB2312" w:cs="仿宋_GB2312"/>
                <w:b w:val="0"/>
                <w:bCs w:val="0"/>
                <w:color w:val="000000"/>
                <w:sz w:val="24"/>
                <w:szCs w:val="24"/>
                <w:highlight w:val="none"/>
              </w:rPr>
              <w:t>爱国主义教育活动</w:t>
            </w:r>
          </w:p>
          <w:p w14:paraId="23A9B328">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3.</w:t>
            </w:r>
            <w:r>
              <w:rPr>
                <w:rFonts w:hint="eastAsia" w:ascii="仿宋_GB2312" w:hAnsi="仿宋_GB2312" w:eastAsia="仿宋_GB2312" w:cs="仿宋_GB2312"/>
                <w:b w:val="0"/>
                <w:bCs w:val="0"/>
                <w:color w:val="000000"/>
                <w:sz w:val="24"/>
                <w:szCs w:val="24"/>
                <w:highlight w:val="none"/>
              </w:rPr>
              <w:t>党团组织生活</w:t>
            </w:r>
          </w:p>
          <w:p w14:paraId="2ED8B4DD">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4.</w:t>
            </w:r>
            <w:r>
              <w:rPr>
                <w:rFonts w:hint="eastAsia" w:ascii="仿宋_GB2312" w:hAnsi="仿宋_GB2312" w:eastAsia="仿宋_GB2312" w:cs="仿宋_GB2312"/>
                <w:b w:val="0"/>
                <w:bCs w:val="0"/>
                <w:color w:val="000000"/>
                <w:sz w:val="24"/>
                <w:szCs w:val="24"/>
                <w:highlight w:val="none"/>
              </w:rPr>
              <w:t>党团培训</w:t>
            </w:r>
          </w:p>
          <w:p w14:paraId="32293C04">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青年大学习</w:t>
            </w:r>
          </w:p>
        </w:tc>
        <w:tc>
          <w:tcPr>
            <w:tcW w:w="939" w:type="dxa"/>
            <w:vAlign w:val="center"/>
          </w:tcPr>
          <w:p w14:paraId="1D064FF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943" w:type="dxa"/>
            <w:vAlign w:val="center"/>
          </w:tcPr>
          <w:p w14:paraId="200E164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活动组织单位</w:t>
            </w:r>
          </w:p>
        </w:tc>
        <w:tc>
          <w:tcPr>
            <w:tcW w:w="990" w:type="dxa"/>
            <w:vAlign w:val="center"/>
          </w:tcPr>
          <w:p w14:paraId="648B950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校团委</w:t>
            </w:r>
          </w:p>
        </w:tc>
        <w:tc>
          <w:tcPr>
            <w:tcW w:w="1500" w:type="dxa"/>
            <w:vAlign w:val="center"/>
          </w:tcPr>
          <w:p w14:paraId="7BF485C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092" w:type="dxa"/>
            <w:vMerge w:val="restart"/>
            <w:vAlign w:val="center"/>
          </w:tcPr>
          <w:p w14:paraId="39F8CAF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p>
          <w:p w14:paraId="3749D13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p>
          <w:p w14:paraId="65B8A3B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p>
          <w:p w14:paraId="29BCD9A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p>
          <w:p w14:paraId="1DC09C1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p>
          <w:p w14:paraId="699A6021">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p>
          <w:p w14:paraId="6847140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p>
          <w:p w14:paraId="3076464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p>
          <w:p w14:paraId="695FEAF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p>
          <w:p w14:paraId="34E411E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p>
          <w:p w14:paraId="36E607C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p>
          <w:p w14:paraId="34A09DC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p>
          <w:p w14:paraId="3B1F7D9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p>
          <w:p w14:paraId="4942B8C1">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p>
          <w:p w14:paraId="5430014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p>
          <w:p w14:paraId="32FE4B0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rPr>
              <w:t>第二课堂成绩</w:t>
            </w:r>
            <w:r>
              <w:rPr>
                <w:rFonts w:hint="eastAsia" w:ascii="仿宋_GB2312" w:hAnsi="仿宋_GB2312" w:eastAsia="仿宋_GB2312" w:cs="仿宋_GB2312"/>
                <w:b w:val="0"/>
                <w:bCs w:val="0"/>
                <w:color w:val="000000"/>
                <w:sz w:val="24"/>
                <w:szCs w:val="24"/>
                <w:highlight w:val="none"/>
                <w:lang w:val="en-US" w:eastAsia="zh-CN"/>
              </w:rPr>
              <w:t>由</w:t>
            </w:r>
            <w:r>
              <w:rPr>
                <w:rFonts w:hint="eastAsia" w:ascii="仿宋_GB2312" w:hAnsi="仿宋_GB2312" w:eastAsia="仿宋_GB2312" w:cs="仿宋_GB2312"/>
                <w:b w:val="0"/>
                <w:bCs w:val="0"/>
                <w:color w:val="000000"/>
                <w:sz w:val="24"/>
                <w:szCs w:val="24"/>
                <w:highlight w:val="none"/>
              </w:rPr>
              <w:t>网络管理系统（到梦空间）实时记录，学生在大一、</w:t>
            </w:r>
            <w:r>
              <w:rPr>
                <w:rFonts w:hint="eastAsia" w:ascii="仿宋_GB2312" w:hAnsi="仿宋_GB2312" w:eastAsia="仿宋_GB2312" w:cs="仿宋_GB2312"/>
                <w:b w:val="0"/>
                <w:bCs w:val="0"/>
                <w:color w:val="000000"/>
                <w:sz w:val="24"/>
                <w:szCs w:val="24"/>
                <w:highlight w:val="none"/>
                <w:lang w:val="en-US" w:eastAsia="zh-CN"/>
              </w:rPr>
              <w:t>大</w:t>
            </w:r>
            <w:r>
              <w:rPr>
                <w:rFonts w:hint="eastAsia" w:ascii="仿宋_GB2312" w:hAnsi="仿宋_GB2312" w:eastAsia="仿宋_GB2312" w:cs="仿宋_GB2312"/>
                <w:b w:val="0"/>
                <w:bCs w:val="0"/>
                <w:color w:val="000000"/>
                <w:sz w:val="24"/>
                <w:szCs w:val="24"/>
                <w:highlight w:val="none"/>
              </w:rPr>
              <w:t>二期间</w:t>
            </w:r>
            <w:r>
              <w:rPr>
                <w:rFonts w:hint="eastAsia" w:ascii="仿宋_GB2312" w:hAnsi="仿宋_GB2312" w:eastAsia="仿宋_GB2312" w:cs="仿宋_GB2312"/>
                <w:b w:val="0"/>
                <w:bCs w:val="0"/>
                <w:color w:val="000000"/>
                <w:sz w:val="24"/>
                <w:szCs w:val="24"/>
                <w:highlight w:val="none"/>
                <w:lang w:val="en-US" w:eastAsia="zh-CN"/>
              </w:rPr>
              <w:t>积分达60分及以上，可获4</w:t>
            </w:r>
            <w:r>
              <w:rPr>
                <w:rFonts w:hint="eastAsia" w:ascii="仿宋_GB2312" w:hAnsi="仿宋_GB2312" w:eastAsia="仿宋_GB2312" w:cs="仿宋_GB2312"/>
                <w:b w:val="0"/>
                <w:bCs w:val="0"/>
                <w:color w:val="000000"/>
                <w:sz w:val="24"/>
                <w:szCs w:val="24"/>
                <w:highlight w:val="none"/>
              </w:rPr>
              <w:t>学分。</w:t>
            </w:r>
          </w:p>
        </w:tc>
      </w:tr>
      <w:tr w14:paraId="4C53F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4452A01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实践</w:t>
            </w:r>
            <w:r>
              <w:rPr>
                <w:rFonts w:hint="eastAsia" w:ascii="仿宋_GB2312" w:hAnsi="仿宋_GB2312" w:eastAsia="仿宋_GB2312" w:cs="仿宋_GB2312"/>
                <w:color w:val="auto"/>
                <w:sz w:val="24"/>
                <w:szCs w:val="24"/>
                <w:highlight w:val="none"/>
                <w:lang w:val="en-US" w:eastAsia="zh-CN"/>
              </w:rPr>
              <w:t>实习</w:t>
            </w:r>
          </w:p>
        </w:tc>
        <w:tc>
          <w:tcPr>
            <w:tcW w:w="3514" w:type="dxa"/>
            <w:vAlign w:val="center"/>
          </w:tcPr>
          <w:p w14:paraId="3586841D">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1.</w:t>
            </w:r>
            <w:r>
              <w:rPr>
                <w:rFonts w:hint="eastAsia" w:ascii="仿宋_GB2312" w:hAnsi="仿宋_GB2312" w:eastAsia="仿宋_GB2312" w:cs="仿宋_GB2312"/>
                <w:b w:val="0"/>
                <w:bCs w:val="0"/>
                <w:color w:val="000000"/>
                <w:sz w:val="24"/>
                <w:szCs w:val="24"/>
                <w:highlight w:val="none"/>
              </w:rPr>
              <w:t>暑期“三下乡”社会实践活动</w:t>
            </w:r>
            <w:r>
              <w:rPr>
                <w:rFonts w:hint="eastAsia" w:ascii="仿宋_GB2312" w:hAnsi="仿宋_GB2312" w:eastAsia="仿宋_GB2312" w:cs="仿宋_GB2312"/>
                <w:b w:val="0"/>
                <w:bCs w:val="0"/>
                <w:color w:val="000000"/>
                <w:sz w:val="24"/>
                <w:szCs w:val="24"/>
                <w:highlight w:val="none"/>
                <w:lang w:val="en-US" w:eastAsia="zh-CN"/>
              </w:rPr>
              <w:t>2.</w:t>
            </w:r>
            <w:r>
              <w:rPr>
                <w:rFonts w:hint="eastAsia" w:ascii="仿宋_GB2312" w:hAnsi="仿宋_GB2312" w:eastAsia="仿宋_GB2312" w:cs="仿宋_GB2312"/>
                <w:b w:val="0"/>
                <w:bCs w:val="0"/>
                <w:color w:val="000000"/>
                <w:sz w:val="24"/>
                <w:szCs w:val="24"/>
                <w:highlight w:val="none"/>
              </w:rPr>
              <w:t>寒暑假“返家乡”实践活动</w:t>
            </w:r>
          </w:p>
          <w:p w14:paraId="08E865FA">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3.</w:t>
            </w:r>
            <w:r>
              <w:rPr>
                <w:rFonts w:hint="eastAsia" w:ascii="仿宋_GB2312" w:hAnsi="仿宋_GB2312" w:eastAsia="仿宋_GB2312" w:cs="仿宋_GB2312"/>
                <w:b w:val="0"/>
                <w:bCs w:val="0"/>
                <w:color w:val="000000"/>
                <w:sz w:val="24"/>
                <w:szCs w:val="24"/>
                <w:highlight w:val="none"/>
              </w:rPr>
              <w:t>企业见习实践</w:t>
            </w:r>
          </w:p>
          <w:p w14:paraId="66ADFCA7">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4.</w:t>
            </w:r>
            <w:r>
              <w:rPr>
                <w:rFonts w:hint="eastAsia" w:ascii="仿宋_GB2312" w:hAnsi="仿宋_GB2312" w:eastAsia="仿宋_GB2312" w:cs="仿宋_GB2312"/>
                <w:b w:val="0"/>
                <w:bCs w:val="0"/>
                <w:color w:val="000000"/>
                <w:sz w:val="24"/>
                <w:szCs w:val="24"/>
                <w:highlight w:val="none"/>
              </w:rPr>
              <w:t>上级、校院交予专项工作项目实践活动含兼挂职锻炼</w:t>
            </w:r>
          </w:p>
          <w:p w14:paraId="65F3FDF9">
            <w:pPr>
              <w:keepNext w:val="0"/>
              <w:keepLines w:val="0"/>
              <w:pageBreakBefore w:val="0"/>
              <w:widowControl w:val="0"/>
              <w:numPr>
                <w:ilvl w:val="0"/>
                <w:numId w:val="0"/>
              </w:numPr>
              <w:kinsoku/>
              <w:wordWrap/>
              <w:topLinePunct w:val="0"/>
              <w:autoSpaceDE/>
              <w:autoSpaceDN/>
              <w:bidi w:val="0"/>
              <w:snapToGrid/>
              <w:spacing w:after="0" w:line="300" w:lineRule="exact"/>
              <w:ind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新闻宣传报道被学校、学院采用或转发</w:t>
            </w:r>
          </w:p>
          <w:p w14:paraId="057ED715">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6.晨读</w:t>
            </w:r>
          </w:p>
          <w:p w14:paraId="0EDF9510">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7</w:t>
            </w:r>
            <w:r>
              <w:rPr>
                <w:rFonts w:hint="eastAsia" w:ascii="仿宋_GB2312" w:hAnsi="仿宋_GB2312" w:eastAsia="仿宋_GB2312" w:cs="仿宋_GB2312"/>
                <w:b w:val="0"/>
                <w:bCs w:val="0"/>
                <w:color w:val="000000"/>
                <w:sz w:val="24"/>
                <w:szCs w:val="24"/>
                <w:highlight w:val="none"/>
              </w:rPr>
              <w:t>.劳动精神、劳模精神、工匠精神专题教育</w:t>
            </w:r>
          </w:p>
          <w:p w14:paraId="2F1C2714">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lang w:val="en-US" w:eastAsia="zh-CN"/>
              </w:rPr>
              <w:t>8.</w:t>
            </w:r>
            <w:r>
              <w:rPr>
                <w:rFonts w:hint="eastAsia" w:ascii="仿宋_GB2312" w:hAnsi="仿宋_GB2312" w:eastAsia="仿宋_GB2312" w:cs="仿宋_GB2312"/>
                <w:b w:val="0"/>
                <w:bCs w:val="0"/>
                <w:color w:val="000000"/>
                <w:sz w:val="24"/>
                <w:szCs w:val="24"/>
                <w:highlight w:val="none"/>
              </w:rPr>
              <w:t>实践活动的相关荣誉</w:t>
            </w:r>
          </w:p>
        </w:tc>
        <w:tc>
          <w:tcPr>
            <w:tcW w:w="939" w:type="dxa"/>
            <w:vAlign w:val="center"/>
          </w:tcPr>
          <w:p w14:paraId="74BCA00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943" w:type="dxa"/>
            <w:vAlign w:val="center"/>
          </w:tcPr>
          <w:p w14:paraId="4B8C578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活动组织单位</w:t>
            </w:r>
          </w:p>
        </w:tc>
        <w:tc>
          <w:tcPr>
            <w:tcW w:w="990" w:type="dxa"/>
            <w:vAlign w:val="center"/>
          </w:tcPr>
          <w:p w14:paraId="03BFC2A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500" w:type="dxa"/>
            <w:vAlign w:val="center"/>
          </w:tcPr>
          <w:p w14:paraId="4A6BBCF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092" w:type="dxa"/>
            <w:vMerge w:val="continue"/>
            <w:vAlign w:val="center"/>
          </w:tcPr>
          <w:p w14:paraId="0961778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r w14:paraId="1E494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4BB059D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创新创业</w:t>
            </w:r>
          </w:p>
        </w:tc>
        <w:tc>
          <w:tcPr>
            <w:tcW w:w="3514" w:type="dxa"/>
            <w:vAlign w:val="center"/>
          </w:tcPr>
          <w:p w14:paraId="01623CCF">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发表文章、出版专著</w:t>
            </w:r>
          </w:p>
          <w:p w14:paraId="0EA340EE">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发明专利</w:t>
            </w:r>
          </w:p>
          <w:p w14:paraId="0DEA3608">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创新创业项目竞赛</w:t>
            </w:r>
          </w:p>
          <w:p w14:paraId="44D75C64">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rPr>
              <w:t>创新创业项目培训</w:t>
            </w:r>
          </w:p>
          <w:p w14:paraId="69E3D617">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rPr>
              <w:t>创新创业课程、讲座</w:t>
            </w:r>
          </w:p>
          <w:p w14:paraId="4EE0CFE0">
            <w:pPr>
              <w:keepNext w:val="0"/>
              <w:keepLines w:val="0"/>
              <w:pageBreakBefore w:val="0"/>
              <w:widowControl w:val="0"/>
              <w:numPr>
                <w:ilvl w:val="0"/>
                <w:numId w:val="0"/>
              </w:numPr>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6.</w:t>
            </w:r>
            <w:r>
              <w:rPr>
                <w:rFonts w:hint="eastAsia" w:ascii="仿宋_GB2312" w:hAnsi="仿宋_GB2312" w:eastAsia="仿宋_GB2312" w:cs="仿宋_GB2312"/>
                <w:color w:val="auto"/>
                <w:sz w:val="24"/>
                <w:szCs w:val="24"/>
                <w:highlight w:val="none"/>
              </w:rPr>
              <w:t>自主创业</w:t>
            </w:r>
          </w:p>
        </w:tc>
        <w:tc>
          <w:tcPr>
            <w:tcW w:w="939" w:type="dxa"/>
            <w:vAlign w:val="center"/>
          </w:tcPr>
          <w:p w14:paraId="34A93DC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943" w:type="dxa"/>
            <w:vAlign w:val="center"/>
          </w:tcPr>
          <w:p w14:paraId="0E61909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活动组织单位</w:t>
            </w:r>
          </w:p>
        </w:tc>
        <w:tc>
          <w:tcPr>
            <w:tcW w:w="990" w:type="dxa"/>
            <w:vAlign w:val="center"/>
          </w:tcPr>
          <w:p w14:paraId="588627F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500" w:type="dxa"/>
            <w:vAlign w:val="center"/>
          </w:tcPr>
          <w:p w14:paraId="01B9950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092" w:type="dxa"/>
            <w:vMerge w:val="continue"/>
            <w:vAlign w:val="center"/>
          </w:tcPr>
          <w:p w14:paraId="0968F49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r w14:paraId="76468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jc w:val="center"/>
        </w:trPr>
        <w:tc>
          <w:tcPr>
            <w:tcW w:w="1265" w:type="dxa"/>
            <w:vAlign w:val="center"/>
          </w:tcPr>
          <w:p w14:paraId="36C46D9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p>
          <w:p w14:paraId="51220748">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志愿公益</w:t>
            </w:r>
          </w:p>
        </w:tc>
        <w:tc>
          <w:tcPr>
            <w:tcW w:w="3514" w:type="dxa"/>
            <w:vAlign w:val="center"/>
          </w:tcPr>
          <w:p w14:paraId="6F1481C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1.校级、学院、社团、班级等学生组织开展的志愿服务活动</w:t>
            </w:r>
          </w:p>
          <w:p w14:paraId="73995FA4">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2.无偿献血活动</w:t>
            </w:r>
          </w:p>
          <w:p w14:paraId="6B9432A2">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3.捐献造血干细胞</w:t>
            </w:r>
          </w:p>
          <w:p w14:paraId="1FF94C4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4.相关公益类宣传讲座、报告会等志愿服务表彰</w:t>
            </w:r>
          </w:p>
          <w:p w14:paraId="67DDAAA4">
            <w:pPr>
              <w:keepNext w:val="0"/>
              <w:keepLines w:val="0"/>
              <w:pageBreakBefore w:val="0"/>
              <w:widowControl w:val="0"/>
              <w:numPr>
                <w:ilvl w:val="0"/>
                <w:numId w:val="0"/>
              </w:numPr>
              <w:kinsoku/>
              <w:wordWrap/>
              <w:topLinePunct w:val="0"/>
              <w:autoSpaceDE/>
              <w:autoSpaceDN/>
              <w:bidi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5.</w:t>
            </w:r>
            <w:r>
              <w:rPr>
                <w:rFonts w:hint="eastAsia" w:ascii="仿宋_GB2312" w:hAnsi="仿宋_GB2312" w:eastAsia="仿宋_GB2312" w:cs="仿宋_GB2312"/>
                <w:b w:val="0"/>
                <w:bCs w:val="0"/>
                <w:color w:val="000000"/>
                <w:sz w:val="24"/>
                <w:szCs w:val="24"/>
                <w:highlight w:val="none"/>
              </w:rPr>
              <w:t>公益劳动</w:t>
            </w:r>
          </w:p>
        </w:tc>
        <w:tc>
          <w:tcPr>
            <w:tcW w:w="939" w:type="dxa"/>
            <w:vAlign w:val="center"/>
          </w:tcPr>
          <w:p w14:paraId="6825615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943" w:type="dxa"/>
            <w:vAlign w:val="center"/>
          </w:tcPr>
          <w:p w14:paraId="2FDB94C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活动组织单位</w:t>
            </w:r>
          </w:p>
        </w:tc>
        <w:tc>
          <w:tcPr>
            <w:tcW w:w="990" w:type="dxa"/>
            <w:vAlign w:val="center"/>
          </w:tcPr>
          <w:p w14:paraId="272DD43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500" w:type="dxa"/>
            <w:vAlign w:val="center"/>
          </w:tcPr>
          <w:p w14:paraId="7BC84C4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092" w:type="dxa"/>
            <w:vMerge w:val="continue"/>
            <w:vAlign w:val="center"/>
          </w:tcPr>
          <w:p w14:paraId="06E56CC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r w14:paraId="211EC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13AC0650">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000000"/>
                <w:sz w:val="24"/>
                <w:szCs w:val="24"/>
                <w:highlight w:val="none"/>
              </w:rPr>
              <w:t>文体活动</w:t>
            </w:r>
          </w:p>
        </w:tc>
        <w:tc>
          <w:tcPr>
            <w:tcW w:w="3514" w:type="dxa"/>
            <w:vAlign w:val="center"/>
          </w:tcPr>
          <w:p w14:paraId="02EBA2C2">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1.文艺竞赛</w:t>
            </w:r>
          </w:p>
          <w:p w14:paraId="29A4770F">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2.体育竞赛</w:t>
            </w:r>
          </w:p>
          <w:p w14:paraId="61C7B92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3.文艺演出</w:t>
            </w:r>
          </w:p>
          <w:p w14:paraId="39AA9D7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4.体育活动</w:t>
            </w:r>
          </w:p>
          <w:p w14:paraId="7DEBF07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5.文体讲座</w:t>
            </w:r>
          </w:p>
        </w:tc>
        <w:tc>
          <w:tcPr>
            <w:tcW w:w="939" w:type="dxa"/>
            <w:vAlign w:val="center"/>
          </w:tcPr>
          <w:p w14:paraId="7C306D7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943" w:type="dxa"/>
            <w:vAlign w:val="center"/>
          </w:tcPr>
          <w:p w14:paraId="791F77D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活动组织单位</w:t>
            </w:r>
          </w:p>
        </w:tc>
        <w:tc>
          <w:tcPr>
            <w:tcW w:w="990" w:type="dxa"/>
            <w:vAlign w:val="center"/>
          </w:tcPr>
          <w:p w14:paraId="7FB3E8D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500" w:type="dxa"/>
            <w:vAlign w:val="center"/>
          </w:tcPr>
          <w:p w14:paraId="3EBA596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092" w:type="dxa"/>
            <w:vMerge w:val="continue"/>
            <w:vAlign w:val="center"/>
          </w:tcPr>
          <w:p w14:paraId="5D7562E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r w14:paraId="4F2DC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1A51CF7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工作履历</w:t>
            </w:r>
          </w:p>
        </w:tc>
        <w:tc>
          <w:tcPr>
            <w:tcW w:w="3514" w:type="dxa"/>
            <w:vAlign w:val="center"/>
          </w:tcPr>
          <w:p w14:paraId="2832C2E7">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1.团学干部任职</w:t>
            </w:r>
          </w:p>
          <w:p w14:paraId="053F4ACF">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2.团学先进个人</w:t>
            </w:r>
          </w:p>
          <w:p w14:paraId="2A673B41">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3.勤工俭学</w:t>
            </w:r>
          </w:p>
          <w:p w14:paraId="16B59A52">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4.社会任职</w:t>
            </w:r>
          </w:p>
          <w:p w14:paraId="76156E43">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5.退伍军人</w:t>
            </w:r>
          </w:p>
        </w:tc>
        <w:tc>
          <w:tcPr>
            <w:tcW w:w="939" w:type="dxa"/>
            <w:vAlign w:val="center"/>
          </w:tcPr>
          <w:p w14:paraId="56FCA11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943" w:type="dxa"/>
            <w:vAlign w:val="center"/>
          </w:tcPr>
          <w:p w14:paraId="4C015F4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活动组织单位</w:t>
            </w:r>
          </w:p>
        </w:tc>
        <w:tc>
          <w:tcPr>
            <w:tcW w:w="990" w:type="dxa"/>
            <w:vAlign w:val="center"/>
          </w:tcPr>
          <w:p w14:paraId="4A27267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500" w:type="dxa"/>
            <w:vAlign w:val="center"/>
          </w:tcPr>
          <w:p w14:paraId="00CB7AD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092" w:type="dxa"/>
            <w:vMerge w:val="continue"/>
            <w:vAlign w:val="center"/>
          </w:tcPr>
          <w:p w14:paraId="14D596D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r w14:paraId="1C198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2D85C04A">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技能特长</w:t>
            </w:r>
          </w:p>
        </w:tc>
        <w:tc>
          <w:tcPr>
            <w:tcW w:w="3514" w:type="dxa"/>
            <w:vAlign w:val="center"/>
          </w:tcPr>
          <w:p w14:paraId="509B93CC">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1.职业资格证书</w:t>
            </w:r>
          </w:p>
          <w:p w14:paraId="233319B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2.职业技能证书</w:t>
            </w:r>
          </w:p>
          <w:p w14:paraId="3BFDE3F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3.机动车驾驶证</w:t>
            </w:r>
          </w:p>
          <w:p w14:paraId="4F93889F">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4.从业人员上岗资格证</w:t>
            </w:r>
          </w:p>
          <w:p w14:paraId="7907591D">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5.技能比赛获奖</w:t>
            </w:r>
          </w:p>
        </w:tc>
        <w:tc>
          <w:tcPr>
            <w:tcW w:w="939" w:type="dxa"/>
            <w:vAlign w:val="center"/>
          </w:tcPr>
          <w:p w14:paraId="7AD1037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943" w:type="dxa"/>
            <w:vAlign w:val="center"/>
          </w:tcPr>
          <w:p w14:paraId="1248EB0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活动组织单位</w:t>
            </w:r>
          </w:p>
        </w:tc>
        <w:tc>
          <w:tcPr>
            <w:tcW w:w="990" w:type="dxa"/>
            <w:vAlign w:val="center"/>
          </w:tcPr>
          <w:p w14:paraId="1F474F9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500" w:type="dxa"/>
            <w:vAlign w:val="center"/>
          </w:tcPr>
          <w:p w14:paraId="70BBE754">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092" w:type="dxa"/>
            <w:vMerge w:val="continue"/>
            <w:vAlign w:val="center"/>
          </w:tcPr>
          <w:p w14:paraId="2658880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r w14:paraId="02B74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14:paraId="5707362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其他</w:t>
            </w:r>
          </w:p>
        </w:tc>
        <w:tc>
          <w:tcPr>
            <w:tcW w:w="3514" w:type="dxa"/>
            <w:vAlign w:val="center"/>
          </w:tcPr>
          <w:p w14:paraId="07093AC5">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1.其他证书（社会职业类证书）</w:t>
            </w:r>
          </w:p>
          <w:p w14:paraId="6F50514B">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2.校内各单位其他类型活动</w:t>
            </w:r>
          </w:p>
          <w:p w14:paraId="20456286">
            <w:pPr>
              <w:keepNext w:val="0"/>
              <w:keepLines w:val="0"/>
              <w:pageBreakBefore w:val="0"/>
              <w:widowControl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color w:val="auto"/>
                <w:sz w:val="24"/>
                <w:szCs w:val="24"/>
                <w:highlight w:val="none"/>
                <w:lang w:val="en-US" w:eastAsia="zh-CN"/>
              </w:rPr>
              <w:t>3.升旗仪式工作人员</w:t>
            </w:r>
          </w:p>
        </w:tc>
        <w:tc>
          <w:tcPr>
            <w:tcW w:w="939" w:type="dxa"/>
            <w:vAlign w:val="center"/>
          </w:tcPr>
          <w:p w14:paraId="6783742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943" w:type="dxa"/>
            <w:vAlign w:val="center"/>
          </w:tcPr>
          <w:p w14:paraId="06BB101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活动组织单位</w:t>
            </w:r>
          </w:p>
        </w:tc>
        <w:tc>
          <w:tcPr>
            <w:tcW w:w="990" w:type="dxa"/>
            <w:vAlign w:val="center"/>
          </w:tcPr>
          <w:p w14:paraId="248F129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500" w:type="dxa"/>
            <w:vAlign w:val="center"/>
          </w:tcPr>
          <w:p w14:paraId="7201789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092" w:type="dxa"/>
            <w:vMerge w:val="continue"/>
            <w:vAlign w:val="center"/>
          </w:tcPr>
          <w:p w14:paraId="1060FAC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highlight w:val="none"/>
              </w:rPr>
            </w:pPr>
          </w:p>
        </w:tc>
      </w:tr>
    </w:tbl>
    <w:p w14:paraId="5A7F5BD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八</w:t>
      </w:r>
      <w:r>
        <w:rPr>
          <w:rFonts w:ascii="黑体" w:hAnsi="黑体" w:eastAsia="黑体"/>
          <w:color w:val="auto"/>
          <w:sz w:val="32"/>
          <w:szCs w:val="32"/>
          <w:highlight w:val="none"/>
        </w:rPr>
        <w:t>、教学进程总体安排</w:t>
      </w:r>
    </w:p>
    <w:p w14:paraId="10D62F29">
      <w:pPr>
        <w:keepNext w:val="0"/>
        <w:keepLines w:val="0"/>
        <w:pageBreakBefore w:val="0"/>
        <w:widowControl w:val="0"/>
        <w:kinsoku/>
        <w:wordWrap/>
        <w:topLinePunct w:val="0"/>
        <w:autoSpaceDE/>
        <w:autoSpaceDN/>
        <w:bidi w:val="0"/>
        <w:snapToGrid/>
        <w:spacing w:after="0" w:line="520" w:lineRule="exact"/>
        <w:ind w:firstLine="640" w:firstLineChars="200"/>
        <w:textAlignment w:val="auto"/>
        <w:outlineLvl w:val="1"/>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（一）教学环节分配表</w:t>
      </w:r>
    </w:p>
    <w:p w14:paraId="3666F4A8">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教学周数分配表每学期总周数合计应为</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周，各学期教学周数应与教学计划进程表一致，军训、入学教育、考试环节、实习开展、毕业设计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社会实践及毕业教育</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学期合计周数</w:t>
      </w:r>
      <w:r>
        <w:rPr>
          <w:rFonts w:hint="eastAsia" w:ascii="仿宋_GB2312" w:hAnsi="仿宋_GB2312" w:eastAsia="仿宋_GB2312" w:cs="仿宋_GB2312"/>
          <w:color w:val="auto"/>
          <w:sz w:val="32"/>
          <w:szCs w:val="32"/>
          <w:highlight w:val="none"/>
          <w:lang w:val="en-US" w:eastAsia="zh-CN"/>
        </w:rPr>
        <w:t>为</w:t>
      </w:r>
      <w:r>
        <w:rPr>
          <w:rFonts w:hint="eastAsia" w:ascii="仿宋_GB2312" w:hAnsi="仿宋_GB2312" w:eastAsia="仿宋_GB2312" w:cs="仿宋_GB2312"/>
          <w:color w:val="auto"/>
          <w:sz w:val="32"/>
          <w:szCs w:val="32"/>
          <w:highlight w:val="none"/>
        </w:rPr>
        <w:t>20周。</w:t>
      </w:r>
    </w:p>
    <w:p w14:paraId="336FE809">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8 </w:t>
      </w:r>
      <w:r>
        <w:rPr>
          <w:rFonts w:hint="eastAsia" w:ascii="仿宋_GB2312" w:hAnsi="仿宋_GB2312" w:eastAsia="仿宋_GB2312" w:cs="仿宋_GB2312"/>
          <w:color w:val="auto"/>
          <w:sz w:val="32"/>
          <w:szCs w:val="32"/>
          <w:highlight w:val="none"/>
        </w:rPr>
        <w:t>教育活动时间分配表（单位：周）</w:t>
      </w:r>
    </w:p>
    <w:tbl>
      <w:tblPr>
        <w:tblStyle w:val="8"/>
        <w:tblW w:w="5411"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657"/>
      </w:tblGrid>
      <w:tr w14:paraId="37B36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359"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627C536C">
            <w:pPr>
              <w:spacing w:after="0" w:line="240" w:lineRule="auto"/>
              <w:rPr>
                <w:rFonts w:hint="eastAsia" w:ascii="仿宋_GB2312" w:hAnsi="仿宋_GB2312" w:eastAsia="仿宋_GB2312" w:cs="仿宋_GB2312"/>
                <w:color w:val="auto"/>
                <w:sz w:val="24"/>
                <w:szCs w:val="24"/>
                <w:highlight w:val="none"/>
              </w:rPr>
            </w:pPr>
          </w:p>
          <w:p w14:paraId="3B627867">
            <w:pPr>
              <w:spacing w:after="0" w:line="240" w:lineRule="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项目</w:t>
            </w:r>
          </w:p>
          <w:p w14:paraId="44B621C1">
            <w:pPr>
              <w:spacing w:after="0" w:line="24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周数</w:t>
            </w:r>
          </w:p>
          <w:p w14:paraId="2F150468">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内容</w:t>
            </w:r>
          </w:p>
          <w:p w14:paraId="31B0969B">
            <w:pPr>
              <w:spacing w:after="0" w:line="240" w:lineRule="auto"/>
              <w:rPr>
                <w:rFonts w:hint="eastAsia" w:ascii="仿宋_GB2312" w:hAnsi="仿宋_GB2312" w:eastAsia="仿宋_GB2312" w:cs="仿宋_GB2312"/>
                <w:color w:val="auto"/>
                <w:sz w:val="24"/>
                <w:szCs w:val="24"/>
                <w:highlight w:val="none"/>
                <w:lang w:val="en-US" w:eastAsia="zh-CN"/>
              </w:rPr>
            </w:pPr>
          </w:p>
          <w:p w14:paraId="249110AD">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周数</w:t>
            </w:r>
          </w:p>
          <w:p w14:paraId="21DE638A">
            <w:pPr>
              <w:spacing w:after="0" w:line="240" w:lineRule="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学年</w:t>
            </w:r>
          </w:p>
        </w:tc>
        <w:tc>
          <w:tcPr>
            <w:tcW w:w="1162" w:type="pct"/>
            <w:gridSpan w:val="2"/>
            <w:vAlign w:val="center"/>
          </w:tcPr>
          <w:p w14:paraId="13577905">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一</w:t>
            </w:r>
          </w:p>
        </w:tc>
        <w:tc>
          <w:tcPr>
            <w:tcW w:w="1102" w:type="pct"/>
            <w:gridSpan w:val="2"/>
            <w:vAlign w:val="center"/>
          </w:tcPr>
          <w:p w14:paraId="4AF8CDF1">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二</w:t>
            </w:r>
          </w:p>
        </w:tc>
        <w:tc>
          <w:tcPr>
            <w:tcW w:w="1375" w:type="pct"/>
            <w:gridSpan w:val="2"/>
            <w:vAlign w:val="center"/>
          </w:tcPr>
          <w:p w14:paraId="47D07649">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三</w:t>
            </w:r>
          </w:p>
        </w:tc>
      </w:tr>
      <w:tr w14:paraId="11911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359" w:type="pct"/>
            <w:vMerge w:val="continue"/>
          </w:tcPr>
          <w:p w14:paraId="02439940">
            <w:pPr>
              <w:spacing w:after="0" w:line="240" w:lineRule="auto"/>
              <w:rPr>
                <w:rFonts w:hint="eastAsia" w:ascii="仿宋_GB2312" w:hAnsi="仿宋_GB2312" w:eastAsia="仿宋_GB2312" w:cs="仿宋_GB2312"/>
                <w:sz w:val="24"/>
                <w:szCs w:val="24"/>
                <w:highlight w:val="none"/>
              </w:rPr>
            </w:pPr>
          </w:p>
        </w:tc>
        <w:tc>
          <w:tcPr>
            <w:tcW w:w="611" w:type="pct"/>
            <w:vAlign w:val="center"/>
          </w:tcPr>
          <w:p w14:paraId="1C6C7716">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551" w:type="pct"/>
            <w:vAlign w:val="center"/>
          </w:tcPr>
          <w:p w14:paraId="4DC4BE88">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551" w:type="pct"/>
            <w:vAlign w:val="center"/>
          </w:tcPr>
          <w:p w14:paraId="6F889DFF">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551" w:type="pct"/>
            <w:vAlign w:val="center"/>
          </w:tcPr>
          <w:p w14:paraId="45A64380">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551" w:type="pct"/>
            <w:vAlign w:val="center"/>
          </w:tcPr>
          <w:p w14:paraId="5F93A195">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824" w:type="pct"/>
            <w:vAlign w:val="center"/>
          </w:tcPr>
          <w:p w14:paraId="5D4AC763">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r>
      <w:tr w14:paraId="284A1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359" w:type="pct"/>
            <w:vAlign w:val="center"/>
          </w:tcPr>
          <w:p w14:paraId="36FE3176">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课堂教学</w:t>
            </w:r>
          </w:p>
        </w:tc>
        <w:tc>
          <w:tcPr>
            <w:tcW w:w="611" w:type="pct"/>
            <w:vAlign w:val="center"/>
          </w:tcPr>
          <w:p w14:paraId="29C84722">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1-18</w:t>
            </w:r>
          </w:p>
        </w:tc>
        <w:tc>
          <w:tcPr>
            <w:tcW w:w="551" w:type="pct"/>
            <w:vAlign w:val="center"/>
          </w:tcPr>
          <w:p w14:paraId="3730C793">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51" w:type="pct"/>
            <w:vAlign w:val="center"/>
          </w:tcPr>
          <w:p w14:paraId="096C055E">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51" w:type="pct"/>
            <w:vAlign w:val="center"/>
          </w:tcPr>
          <w:p w14:paraId="0BEC8072">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551" w:type="pct"/>
            <w:vAlign w:val="center"/>
          </w:tcPr>
          <w:p w14:paraId="51B4737C">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c>
          <w:tcPr>
            <w:tcW w:w="824" w:type="pct"/>
            <w:vAlign w:val="center"/>
          </w:tcPr>
          <w:p w14:paraId="75C20245">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1-18</w:t>
            </w:r>
          </w:p>
        </w:tc>
      </w:tr>
      <w:tr w14:paraId="6609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359" w:type="pct"/>
            <w:vAlign w:val="center"/>
          </w:tcPr>
          <w:p w14:paraId="1F19B5E5">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考试</w:t>
            </w:r>
          </w:p>
        </w:tc>
        <w:tc>
          <w:tcPr>
            <w:tcW w:w="611" w:type="pct"/>
            <w:vAlign w:val="center"/>
          </w:tcPr>
          <w:p w14:paraId="0A5DA9DC">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19-20</w:t>
            </w:r>
          </w:p>
        </w:tc>
        <w:tc>
          <w:tcPr>
            <w:tcW w:w="551" w:type="pct"/>
            <w:vAlign w:val="center"/>
          </w:tcPr>
          <w:p w14:paraId="77906EDD">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51" w:type="pct"/>
            <w:vAlign w:val="center"/>
          </w:tcPr>
          <w:p w14:paraId="26666B46">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51" w:type="pct"/>
            <w:vAlign w:val="center"/>
          </w:tcPr>
          <w:p w14:paraId="5B2035E7">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551" w:type="pct"/>
            <w:vAlign w:val="center"/>
          </w:tcPr>
          <w:p w14:paraId="05F9035A">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c>
          <w:tcPr>
            <w:tcW w:w="824" w:type="pct"/>
            <w:vAlign w:val="center"/>
          </w:tcPr>
          <w:p w14:paraId="2D4F5A43">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lang w:val="en-US" w:eastAsia="zh-CN"/>
              </w:rPr>
              <w:t>19-20</w:t>
            </w:r>
          </w:p>
        </w:tc>
      </w:tr>
      <w:tr w14:paraId="3830C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359" w:type="pct"/>
            <w:vAlign w:val="center"/>
          </w:tcPr>
          <w:p w14:paraId="4479E33D">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军训</w:t>
            </w:r>
          </w:p>
        </w:tc>
        <w:tc>
          <w:tcPr>
            <w:tcW w:w="611" w:type="pct"/>
            <w:vAlign w:val="center"/>
          </w:tcPr>
          <w:p w14:paraId="2EBB530A">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1-2</w:t>
            </w:r>
          </w:p>
        </w:tc>
        <w:tc>
          <w:tcPr>
            <w:tcW w:w="551" w:type="pct"/>
            <w:vAlign w:val="center"/>
          </w:tcPr>
          <w:p w14:paraId="638806EE">
            <w:pPr>
              <w:spacing w:after="0" w:line="240" w:lineRule="auto"/>
              <w:jc w:val="center"/>
              <w:rPr>
                <w:rFonts w:hint="eastAsia" w:ascii="仿宋_GB2312" w:hAnsi="仿宋_GB2312" w:eastAsia="仿宋_GB2312" w:cs="仿宋_GB2312"/>
                <w:color w:val="auto"/>
                <w:sz w:val="24"/>
                <w:szCs w:val="24"/>
                <w:highlight w:val="none"/>
              </w:rPr>
            </w:pPr>
          </w:p>
        </w:tc>
        <w:tc>
          <w:tcPr>
            <w:tcW w:w="551" w:type="pct"/>
            <w:vAlign w:val="center"/>
          </w:tcPr>
          <w:p w14:paraId="2B91CCE7">
            <w:pPr>
              <w:spacing w:after="0" w:line="240" w:lineRule="auto"/>
              <w:jc w:val="center"/>
              <w:rPr>
                <w:rFonts w:hint="eastAsia" w:ascii="仿宋_GB2312" w:hAnsi="仿宋_GB2312" w:eastAsia="仿宋_GB2312" w:cs="仿宋_GB2312"/>
                <w:color w:val="auto"/>
                <w:sz w:val="24"/>
                <w:szCs w:val="24"/>
                <w:highlight w:val="none"/>
              </w:rPr>
            </w:pPr>
          </w:p>
        </w:tc>
        <w:tc>
          <w:tcPr>
            <w:tcW w:w="551" w:type="pct"/>
            <w:vAlign w:val="center"/>
          </w:tcPr>
          <w:p w14:paraId="41FED319">
            <w:pPr>
              <w:spacing w:after="0" w:line="240" w:lineRule="auto"/>
              <w:jc w:val="center"/>
              <w:rPr>
                <w:rFonts w:hint="eastAsia" w:ascii="仿宋_GB2312" w:hAnsi="仿宋_GB2312" w:eastAsia="仿宋_GB2312" w:cs="仿宋_GB2312"/>
                <w:color w:val="auto"/>
                <w:sz w:val="24"/>
                <w:szCs w:val="24"/>
                <w:highlight w:val="none"/>
              </w:rPr>
            </w:pPr>
          </w:p>
        </w:tc>
        <w:tc>
          <w:tcPr>
            <w:tcW w:w="551" w:type="pct"/>
            <w:vAlign w:val="center"/>
          </w:tcPr>
          <w:p w14:paraId="17B0672A">
            <w:pPr>
              <w:spacing w:after="0" w:line="240" w:lineRule="auto"/>
              <w:jc w:val="center"/>
              <w:rPr>
                <w:rFonts w:hint="eastAsia" w:ascii="仿宋_GB2312" w:hAnsi="仿宋_GB2312" w:eastAsia="仿宋_GB2312" w:cs="仿宋_GB2312"/>
                <w:color w:val="auto"/>
                <w:sz w:val="24"/>
                <w:szCs w:val="24"/>
                <w:highlight w:val="none"/>
              </w:rPr>
            </w:pPr>
          </w:p>
        </w:tc>
        <w:tc>
          <w:tcPr>
            <w:tcW w:w="824" w:type="pct"/>
            <w:vAlign w:val="center"/>
          </w:tcPr>
          <w:p w14:paraId="7E81E157">
            <w:pPr>
              <w:spacing w:after="0" w:line="240" w:lineRule="auto"/>
              <w:jc w:val="center"/>
              <w:rPr>
                <w:rFonts w:hint="eastAsia" w:ascii="仿宋_GB2312" w:hAnsi="仿宋_GB2312" w:eastAsia="仿宋_GB2312" w:cs="仿宋_GB2312"/>
                <w:color w:val="auto"/>
                <w:sz w:val="24"/>
                <w:szCs w:val="24"/>
                <w:highlight w:val="none"/>
              </w:rPr>
            </w:pPr>
          </w:p>
        </w:tc>
      </w:tr>
      <w:tr w14:paraId="7ED92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359" w:type="pct"/>
            <w:vAlign w:val="center"/>
          </w:tcPr>
          <w:p w14:paraId="33536C9B">
            <w:pPr>
              <w:spacing w:after="0" w:line="240" w:lineRule="auto"/>
              <w:jc w:val="center"/>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入学教育</w:t>
            </w:r>
          </w:p>
        </w:tc>
        <w:tc>
          <w:tcPr>
            <w:tcW w:w="611" w:type="pct"/>
            <w:vAlign w:val="center"/>
          </w:tcPr>
          <w:p w14:paraId="556A776A">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3-8</w:t>
            </w:r>
          </w:p>
        </w:tc>
        <w:tc>
          <w:tcPr>
            <w:tcW w:w="551" w:type="pct"/>
            <w:vAlign w:val="center"/>
          </w:tcPr>
          <w:p w14:paraId="7D5E22FC">
            <w:pPr>
              <w:spacing w:after="0" w:line="240" w:lineRule="auto"/>
              <w:jc w:val="center"/>
              <w:rPr>
                <w:rFonts w:hint="eastAsia" w:ascii="仿宋_GB2312" w:hAnsi="仿宋_GB2312" w:eastAsia="仿宋_GB2312" w:cs="仿宋_GB2312"/>
                <w:color w:val="auto"/>
                <w:sz w:val="24"/>
                <w:szCs w:val="24"/>
                <w:highlight w:val="none"/>
              </w:rPr>
            </w:pPr>
          </w:p>
        </w:tc>
        <w:tc>
          <w:tcPr>
            <w:tcW w:w="551" w:type="pct"/>
            <w:vAlign w:val="center"/>
          </w:tcPr>
          <w:p w14:paraId="3BC6D1D4">
            <w:pPr>
              <w:spacing w:after="0" w:line="240" w:lineRule="auto"/>
              <w:jc w:val="center"/>
              <w:rPr>
                <w:rFonts w:hint="eastAsia" w:ascii="仿宋_GB2312" w:hAnsi="仿宋_GB2312" w:eastAsia="仿宋_GB2312" w:cs="仿宋_GB2312"/>
                <w:color w:val="auto"/>
                <w:sz w:val="24"/>
                <w:szCs w:val="24"/>
                <w:highlight w:val="none"/>
              </w:rPr>
            </w:pPr>
          </w:p>
        </w:tc>
        <w:tc>
          <w:tcPr>
            <w:tcW w:w="551" w:type="pct"/>
            <w:vAlign w:val="center"/>
          </w:tcPr>
          <w:p w14:paraId="0822405E">
            <w:pPr>
              <w:spacing w:after="0" w:line="240" w:lineRule="auto"/>
              <w:jc w:val="center"/>
              <w:rPr>
                <w:rFonts w:hint="eastAsia" w:ascii="仿宋_GB2312" w:hAnsi="仿宋_GB2312" w:eastAsia="仿宋_GB2312" w:cs="仿宋_GB2312"/>
                <w:color w:val="auto"/>
                <w:sz w:val="24"/>
                <w:szCs w:val="24"/>
                <w:highlight w:val="none"/>
              </w:rPr>
            </w:pPr>
          </w:p>
        </w:tc>
        <w:tc>
          <w:tcPr>
            <w:tcW w:w="551" w:type="pct"/>
            <w:vAlign w:val="center"/>
          </w:tcPr>
          <w:p w14:paraId="028AE50F">
            <w:pPr>
              <w:spacing w:after="0" w:line="240" w:lineRule="auto"/>
              <w:jc w:val="center"/>
              <w:rPr>
                <w:rFonts w:hint="eastAsia" w:ascii="仿宋_GB2312" w:hAnsi="仿宋_GB2312" w:eastAsia="仿宋_GB2312" w:cs="仿宋_GB2312"/>
                <w:color w:val="auto"/>
                <w:sz w:val="24"/>
                <w:szCs w:val="24"/>
                <w:highlight w:val="none"/>
              </w:rPr>
            </w:pPr>
          </w:p>
        </w:tc>
        <w:tc>
          <w:tcPr>
            <w:tcW w:w="824" w:type="pct"/>
            <w:vAlign w:val="center"/>
          </w:tcPr>
          <w:p w14:paraId="2679D75D">
            <w:pPr>
              <w:spacing w:after="0" w:line="240" w:lineRule="auto"/>
              <w:jc w:val="center"/>
              <w:rPr>
                <w:rFonts w:hint="eastAsia" w:ascii="仿宋_GB2312" w:hAnsi="仿宋_GB2312" w:eastAsia="仿宋_GB2312" w:cs="仿宋_GB2312"/>
                <w:color w:val="auto"/>
                <w:sz w:val="24"/>
                <w:szCs w:val="24"/>
                <w:highlight w:val="none"/>
              </w:rPr>
            </w:pPr>
          </w:p>
        </w:tc>
      </w:tr>
      <w:tr w14:paraId="0F724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359" w:type="pct"/>
            <w:vAlign w:val="center"/>
          </w:tcPr>
          <w:p w14:paraId="52DEEBAC">
            <w:pPr>
              <w:spacing w:after="0" w:line="240" w:lineRule="auto"/>
              <w:jc w:val="center"/>
              <w:rPr>
                <w:rFonts w:hint="eastAsia" w:ascii="仿宋_GB2312" w:hAnsi="仿宋_GB2312" w:eastAsia="仿宋_GB2312" w:cs="仿宋_GB2312"/>
                <w:b w:val="0"/>
                <w:bCs w:val="0"/>
                <w:color w:val="000000"/>
                <w:sz w:val="24"/>
                <w:szCs w:val="24"/>
                <w:highlight w:val="none"/>
              </w:rPr>
            </w:pPr>
            <w:r>
              <w:rPr>
                <w:rFonts w:hint="eastAsia" w:ascii="仿宋_GB2312" w:hAnsi="仿宋_GB2312" w:eastAsia="仿宋_GB2312" w:cs="仿宋_GB2312"/>
                <w:b w:val="0"/>
                <w:bCs w:val="0"/>
                <w:color w:val="000000"/>
                <w:sz w:val="24"/>
                <w:szCs w:val="24"/>
                <w:highlight w:val="none"/>
              </w:rPr>
              <w:t>毕业设计</w:t>
            </w:r>
          </w:p>
        </w:tc>
        <w:tc>
          <w:tcPr>
            <w:tcW w:w="611" w:type="pct"/>
            <w:vAlign w:val="center"/>
          </w:tcPr>
          <w:p w14:paraId="4C2783B1">
            <w:pPr>
              <w:spacing w:after="0" w:line="240" w:lineRule="auto"/>
              <w:jc w:val="center"/>
              <w:rPr>
                <w:rFonts w:hint="eastAsia" w:ascii="仿宋_GB2312" w:hAnsi="仿宋_GB2312" w:eastAsia="仿宋_GB2312" w:cs="仿宋_GB2312"/>
                <w:sz w:val="24"/>
                <w:szCs w:val="24"/>
                <w:highlight w:val="none"/>
                <w:lang w:val="en-US" w:eastAsia="zh-CN"/>
              </w:rPr>
            </w:pPr>
          </w:p>
        </w:tc>
        <w:tc>
          <w:tcPr>
            <w:tcW w:w="551" w:type="pct"/>
            <w:vAlign w:val="center"/>
          </w:tcPr>
          <w:p w14:paraId="39B14D0F">
            <w:pPr>
              <w:spacing w:after="0" w:line="240" w:lineRule="auto"/>
              <w:jc w:val="center"/>
              <w:rPr>
                <w:rFonts w:hint="eastAsia" w:ascii="仿宋_GB2312" w:hAnsi="仿宋_GB2312" w:eastAsia="仿宋_GB2312" w:cs="仿宋_GB2312"/>
                <w:color w:val="auto"/>
                <w:sz w:val="24"/>
                <w:szCs w:val="24"/>
                <w:highlight w:val="none"/>
              </w:rPr>
            </w:pPr>
          </w:p>
        </w:tc>
        <w:tc>
          <w:tcPr>
            <w:tcW w:w="551" w:type="pct"/>
            <w:vAlign w:val="center"/>
          </w:tcPr>
          <w:p w14:paraId="32E09882">
            <w:pPr>
              <w:spacing w:after="0" w:line="240" w:lineRule="auto"/>
              <w:jc w:val="center"/>
              <w:rPr>
                <w:rFonts w:hint="eastAsia" w:ascii="仿宋_GB2312" w:hAnsi="仿宋_GB2312" w:eastAsia="仿宋_GB2312" w:cs="仿宋_GB2312"/>
                <w:color w:val="auto"/>
                <w:sz w:val="24"/>
                <w:szCs w:val="24"/>
                <w:highlight w:val="none"/>
              </w:rPr>
            </w:pPr>
          </w:p>
        </w:tc>
        <w:tc>
          <w:tcPr>
            <w:tcW w:w="551" w:type="pct"/>
            <w:vAlign w:val="center"/>
          </w:tcPr>
          <w:p w14:paraId="48FB54E9">
            <w:pPr>
              <w:spacing w:after="0" w:line="240" w:lineRule="auto"/>
              <w:jc w:val="center"/>
              <w:rPr>
                <w:rFonts w:hint="eastAsia" w:ascii="仿宋_GB2312" w:hAnsi="仿宋_GB2312" w:eastAsia="仿宋_GB2312" w:cs="仿宋_GB2312"/>
                <w:color w:val="auto"/>
                <w:sz w:val="24"/>
                <w:szCs w:val="24"/>
                <w:highlight w:val="none"/>
              </w:rPr>
            </w:pPr>
          </w:p>
        </w:tc>
        <w:tc>
          <w:tcPr>
            <w:tcW w:w="551" w:type="pct"/>
            <w:vAlign w:val="center"/>
          </w:tcPr>
          <w:p w14:paraId="55306EE3">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824" w:type="pct"/>
            <w:vAlign w:val="center"/>
          </w:tcPr>
          <w:p w14:paraId="78264CD7">
            <w:pPr>
              <w:spacing w:after="0" w:line="240" w:lineRule="auto"/>
              <w:jc w:val="center"/>
              <w:rPr>
                <w:rFonts w:hint="eastAsia" w:ascii="仿宋_GB2312" w:hAnsi="仿宋_GB2312" w:eastAsia="仿宋_GB2312" w:cs="仿宋_GB2312"/>
                <w:color w:val="auto"/>
                <w:sz w:val="24"/>
                <w:szCs w:val="24"/>
                <w:highlight w:val="none"/>
              </w:rPr>
            </w:pPr>
          </w:p>
        </w:tc>
      </w:tr>
      <w:tr w14:paraId="57152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359" w:type="pct"/>
            <w:vAlign w:val="center"/>
          </w:tcPr>
          <w:p w14:paraId="710474C2">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岗位实习</w:t>
            </w:r>
          </w:p>
        </w:tc>
        <w:tc>
          <w:tcPr>
            <w:tcW w:w="611" w:type="pct"/>
            <w:vAlign w:val="center"/>
          </w:tcPr>
          <w:p w14:paraId="2ABC88D9">
            <w:pPr>
              <w:spacing w:after="0" w:line="240" w:lineRule="auto"/>
              <w:jc w:val="center"/>
              <w:rPr>
                <w:rFonts w:hint="eastAsia" w:ascii="仿宋_GB2312" w:hAnsi="仿宋_GB2312" w:eastAsia="仿宋_GB2312" w:cs="仿宋_GB2312"/>
                <w:sz w:val="24"/>
                <w:szCs w:val="24"/>
                <w:highlight w:val="none"/>
              </w:rPr>
            </w:pPr>
          </w:p>
        </w:tc>
        <w:tc>
          <w:tcPr>
            <w:tcW w:w="551" w:type="pct"/>
            <w:vAlign w:val="center"/>
          </w:tcPr>
          <w:p w14:paraId="6A933ACC">
            <w:pPr>
              <w:spacing w:after="0" w:line="240" w:lineRule="auto"/>
              <w:jc w:val="center"/>
              <w:rPr>
                <w:rFonts w:hint="eastAsia" w:ascii="仿宋_GB2312" w:hAnsi="仿宋_GB2312" w:eastAsia="仿宋_GB2312" w:cs="仿宋_GB2312"/>
                <w:color w:val="auto"/>
                <w:sz w:val="24"/>
                <w:szCs w:val="24"/>
                <w:highlight w:val="none"/>
              </w:rPr>
            </w:pPr>
          </w:p>
        </w:tc>
        <w:tc>
          <w:tcPr>
            <w:tcW w:w="551" w:type="pct"/>
            <w:vAlign w:val="center"/>
          </w:tcPr>
          <w:p w14:paraId="057BF890">
            <w:pPr>
              <w:spacing w:after="0" w:line="240" w:lineRule="auto"/>
              <w:jc w:val="center"/>
              <w:rPr>
                <w:rFonts w:hint="eastAsia" w:ascii="仿宋_GB2312" w:hAnsi="仿宋_GB2312" w:eastAsia="仿宋_GB2312" w:cs="仿宋_GB2312"/>
                <w:color w:val="auto"/>
                <w:sz w:val="24"/>
                <w:szCs w:val="24"/>
                <w:highlight w:val="none"/>
              </w:rPr>
            </w:pPr>
          </w:p>
        </w:tc>
        <w:tc>
          <w:tcPr>
            <w:tcW w:w="551" w:type="pct"/>
            <w:vAlign w:val="center"/>
          </w:tcPr>
          <w:p w14:paraId="5E11BA2C">
            <w:pPr>
              <w:spacing w:after="0" w:line="240" w:lineRule="auto"/>
              <w:jc w:val="center"/>
              <w:rPr>
                <w:rFonts w:hint="eastAsia" w:ascii="仿宋_GB2312" w:hAnsi="仿宋_GB2312" w:eastAsia="仿宋_GB2312" w:cs="仿宋_GB2312"/>
                <w:color w:val="auto"/>
                <w:sz w:val="24"/>
                <w:szCs w:val="24"/>
                <w:highlight w:val="none"/>
              </w:rPr>
            </w:pPr>
          </w:p>
        </w:tc>
        <w:tc>
          <w:tcPr>
            <w:tcW w:w="551" w:type="pct"/>
            <w:vAlign w:val="center"/>
          </w:tcPr>
          <w:p w14:paraId="7CC517A7">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824" w:type="pct"/>
            <w:vAlign w:val="center"/>
          </w:tcPr>
          <w:p w14:paraId="51C74492">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1-18</w:t>
            </w:r>
          </w:p>
        </w:tc>
      </w:tr>
      <w:tr w14:paraId="4C893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359" w:type="pct"/>
            <w:vAlign w:val="center"/>
          </w:tcPr>
          <w:p w14:paraId="1F811694">
            <w:pPr>
              <w:spacing w:after="0" w:line="240" w:lineRule="auto"/>
              <w:jc w:val="center"/>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11" w:type="pct"/>
            <w:vAlign w:val="center"/>
          </w:tcPr>
          <w:p w14:paraId="49C10024">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51" w:type="pct"/>
            <w:vAlign w:val="center"/>
          </w:tcPr>
          <w:p w14:paraId="1A19187D">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51" w:type="pct"/>
            <w:vAlign w:val="center"/>
          </w:tcPr>
          <w:p w14:paraId="4482EBFB">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51" w:type="pct"/>
            <w:vAlign w:val="center"/>
          </w:tcPr>
          <w:p w14:paraId="7E2CB266">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51" w:type="pct"/>
            <w:vAlign w:val="center"/>
          </w:tcPr>
          <w:p w14:paraId="6C6D7165">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824" w:type="pct"/>
            <w:vAlign w:val="center"/>
          </w:tcPr>
          <w:p w14:paraId="581ED5E5">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r>
      <w:tr w14:paraId="2B15F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359" w:type="pct"/>
            <w:vAlign w:val="center"/>
          </w:tcPr>
          <w:p w14:paraId="59963B7A">
            <w:pPr>
              <w:spacing w:after="0" w:line="240" w:lineRule="auto"/>
              <w:jc w:val="center"/>
              <w:rPr>
                <w:rFonts w:hint="eastAsia" w:ascii="仿宋_GB2312" w:hAnsi="仿宋_GB2312" w:eastAsia="仿宋_GB2312" w:cs="仿宋_GB2312"/>
                <w:b w:val="0"/>
                <w:bCs w:val="0"/>
                <w:color w:val="000000"/>
                <w:sz w:val="24"/>
                <w:szCs w:val="24"/>
                <w:highlight w:val="none"/>
                <w:lang w:val="en-US" w:eastAsia="zh-CN"/>
              </w:rPr>
            </w:pPr>
            <w:r>
              <w:rPr>
                <w:rFonts w:hint="eastAsia" w:ascii="仿宋_GB2312" w:hAnsi="仿宋_GB2312" w:eastAsia="仿宋_GB2312" w:cs="仿宋_GB2312"/>
                <w:b w:val="0"/>
                <w:bCs w:val="0"/>
                <w:color w:val="000000"/>
                <w:sz w:val="24"/>
                <w:szCs w:val="24"/>
                <w:highlight w:val="none"/>
                <w:lang w:val="en-US" w:eastAsia="zh-CN"/>
              </w:rPr>
              <w:t>毕业教育</w:t>
            </w:r>
          </w:p>
        </w:tc>
        <w:tc>
          <w:tcPr>
            <w:tcW w:w="611" w:type="pct"/>
            <w:vAlign w:val="center"/>
          </w:tcPr>
          <w:p w14:paraId="1DC9DDA2">
            <w:pPr>
              <w:spacing w:after="0" w:line="240" w:lineRule="auto"/>
              <w:jc w:val="center"/>
              <w:rPr>
                <w:rFonts w:hint="eastAsia" w:ascii="仿宋_GB2312" w:hAnsi="仿宋_GB2312" w:eastAsia="仿宋_GB2312" w:cs="仿宋_GB2312"/>
                <w:sz w:val="24"/>
                <w:szCs w:val="24"/>
                <w:highlight w:val="none"/>
              </w:rPr>
            </w:pPr>
          </w:p>
        </w:tc>
        <w:tc>
          <w:tcPr>
            <w:tcW w:w="551" w:type="pct"/>
            <w:vAlign w:val="center"/>
          </w:tcPr>
          <w:p w14:paraId="10C331DC">
            <w:pPr>
              <w:spacing w:after="0" w:line="240" w:lineRule="auto"/>
              <w:jc w:val="center"/>
              <w:rPr>
                <w:rFonts w:hint="eastAsia" w:ascii="仿宋_GB2312" w:hAnsi="仿宋_GB2312" w:eastAsia="仿宋_GB2312" w:cs="仿宋_GB2312"/>
                <w:color w:val="auto"/>
                <w:sz w:val="24"/>
                <w:szCs w:val="24"/>
                <w:highlight w:val="none"/>
              </w:rPr>
            </w:pPr>
          </w:p>
        </w:tc>
        <w:tc>
          <w:tcPr>
            <w:tcW w:w="551" w:type="pct"/>
            <w:vAlign w:val="center"/>
          </w:tcPr>
          <w:p w14:paraId="7D47A04B">
            <w:pPr>
              <w:spacing w:after="0" w:line="240" w:lineRule="auto"/>
              <w:jc w:val="center"/>
              <w:rPr>
                <w:rFonts w:hint="eastAsia" w:ascii="仿宋_GB2312" w:hAnsi="仿宋_GB2312" w:eastAsia="仿宋_GB2312" w:cs="仿宋_GB2312"/>
                <w:color w:val="auto"/>
                <w:sz w:val="24"/>
                <w:szCs w:val="24"/>
                <w:highlight w:val="none"/>
              </w:rPr>
            </w:pPr>
          </w:p>
        </w:tc>
        <w:tc>
          <w:tcPr>
            <w:tcW w:w="551" w:type="pct"/>
            <w:vAlign w:val="center"/>
          </w:tcPr>
          <w:p w14:paraId="5D3CF545">
            <w:pPr>
              <w:spacing w:after="0" w:line="240" w:lineRule="auto"/>
              <w:jc w:val="center"/>
              <w:rPr>
                <w:rFonts w:hint="eastAsia" w:ascii="仿宋_GB2312" w:hAnsi="仿宋_GB2312" w:eastAsia="仿宋_GB2312" w:cs="仿宋_GB2312"/>
                <w:color w:val="auto"/>
                <w:sz w:val="24"/>
                <w:szCs w:val="24"/>
                <w:highlight w:val="none"/>
              </w:rPr>
            </w:pPr>
          </w:p>
        </w:tc>
        <w:tc>
          <w:tcPr>
            <w:tcW w:w="551" w:type="pct"/>
            <w:vAlign w:val="center"/>
          </w:tcPr>
          <w:p w14:paraId="3BBA0878">
            <w:pPr>
              <w:spacing w:after="0" w:line="240" w:lineRule="auto"/>
              <w:jc w:val="center"/>
              <w:rPr>
                <w:rFonts w:hint="eastAsia" w:ascii="仿宋_GB2312" w:hAnsi="仿宋_GB2312" w:eastAsia="仿宋_GB2312" w:cs="仿宋_GB2312"/>
                <w:color w:val="auto"/>
                <w:sz w:val="24"/>
                <w:szCs w:val="24"/>
                <w:highlight w:val="none"/>
                <w:lang w:val="en-US" w:eastAsia="zh-CN"/>
              </w:rPr>
            </w:pPr>
          </w:p>
        </w:tc>
        <w:tc>
          <w:tcPr>
            <w:tcW w:w="824" w:type="pct"/>
            <w:vAlign w:val="center"/>
          </w:tcPr>
          <w:p w14:paraId="6C5B0171">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18-19</w:t>
            </w:r>
          </w:p>
        </w:tc>
      </w:tr>
      <w:tr w14:paraId="6C7A7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359" w:type="pct"/>
            <w:vAlign w:val="center"/>
          </w:tcPr>
          <w:p w14:paraId="667BAF2D">
            <w:pPr>
              <w:spacing w:after="0" w:line="24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val="0"/>
                <w:color w:val="000000"/>
                <w:sz w:val="24"/>
                <w:szCs w:val="24"/>
                <w:highlight w:val="none"/>
              </w:rPr>
              <w:t>学期教学总周数</w:t>
            </w:r>
          </w:p>
        </w:tc>
        <w:tc>
          <w:tcPr>
            <w:tcW w:w="611" w:type="pct"/>
            <w:vAlign w:val="center"/>
          </w:tcPr>
          <w:p w14:paraId="7E79E289">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51" w:type="pct"/>
            <w:vAlign w:val="center"/>
          </w:tcPr>
          <w:p w14:paraId="4E0460F3">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51" w:type="pct"/>
            <w:vAlign w:val="center"/>
          </w:tcPr>
          <w:p w14:paraId="743E6E35">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51" w:type="pct"/>
            <w:vAlign w:val="center"/>
          </w:tcPr>
          <w:p w14:paraId="388832C0">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551" w:type="pct"/>
            <w:vAlign w:val="center"/>
          </w:tcPr>
          <w:p w14:paraId="05DA3922">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c>
          <w:tcPr>
            <w:tcW w:w="824" w:type="pct"/>
            <w:vAlign w:val="center"/>
          </w:tcPr>
          <w:p w14:paraId="35197CC4">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sz w:val="24"/>
                <w:szCs w:val="24"/>
                <w:highlight w:val="none"/>
                <w:lang w:val="en-US" w:eastAsia="zh-CN"/>
              </w:rPr>
              <w:t>20周</w:t>
            </w:r>
          </w:p>
        </w:tc>
      </w:tr>
    </w:tbl>
    <w:p w14:paraId="427B357E">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outlineLvl w:val="1"/>
        <w:rPr>
          <w:rFonts w:hint="eastAsia" w:ascii="楷体" w:hAnsi="楷体" w:eastAsia="楷体" w:cs="楷体"/>
          <w:bCs/>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bCs/>
          <w:color w:val="auto"/>
          <w:sz w:val="32"/>
          <w:szCs w:val="32"/>
          <w:highlight w:val="none"/>
        </w:rPr>
        <w:t>课程结构与学时、学分分配</w:t>
      </w:r>
    </w:p>
    <w:p w14:paraId="57EC4647">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本专业教学总学时为</w:t>
      </w:r>
      <w:r>
        <w:rPr>
          <w:rFonts w:hint="eastAsia" w:ascii="仿宋_GB2312" w:hAnsi="仿宋_GB2312" w:eastAsia="仿宋_GB2312" w:cs="仿宋_GB2312"/>
          <w:bCs/>
          <w:color w:val="auto"/>
          <w:sz w:val="32"/>
          <w:szCs w:val="32"/>
          <w:highlight w:val="none"/>
          <w:lang w:val="en-US" w:eastAsia="zh-CN"/>
        </w:rPr>
        <w:t>2694</w:t>
      </w:r>
      <w:r>
        <w:rPr>
          <w:rFonts w:hint="eastAsia" w:ascii="仿宋_GB2312" w:hAnsi="仿宋_GB2312" w:eastAsia="仿宋_GB2312" w:cs="仿宋_GB2312"/>
          <w:bCs/>
          <w:color w:val="auto"/>
          <w:sz w:val="32"/>
          <w:szCs w:val="32"/>
          <w:highlight w:val="none"/>
        </w:rPr>
        <w:t>学时。其中理论教学</w:t>
      </w:r>
      <w:r>
        <w:rPr>
          <w:rFonts w:hint="eastAsia" w:ascii="仿宋_GB2312" w:hAnsi="仿宋_GB2312" w:eastAsia="仿宋_GB2312" w:cs="仿宋_GB2312"/>
          <w:color w:val="auto"/>
          <w:spacing w:val="-2"/>
          <w:sz w:val="32"/>
          <w:szCs w:val="32"/>
          <w:highlight w:val="none"/>
          <w:lang w:val="en-US" w:eastAsia="zh-CN"/>
        </w:rPr>
        <w:t>1310</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48.63</w:t>
      </w:r>
      <w:r>
        <w:rPr>
          <w:rFonts w:hint="eastAsia" w:ascii="仿宋_GB2312" w:hAnsi="仿宋_GB2312" w:eastAsia="仿宋_GB2312" w:cs="仿宋_GB2312"/>
          <w:bCs/>
          <w:color w:val="auto"/>
          <w:sz w:val="32"/>
          <w:szCs w:val="32"/>
          <w:highlight w:val="none"/>
        </w:rPr>
        <w:t>%；实践教学</w:t>
      </w:r>
      <w:r>
        <w:rPr>
          <w:rFonts w:hint="eastAsia" w:ascii="仿宋_GB2312" w:hAnsi="仿宋_GB2312" w:eastAsia="仿宋_GB2312" w:cs="仿宋_GB2312"/>
          <w:bCs/>
          <w:color w:val="auto"/>
          <w:sz w:val="32"/>
          <w:szCs w:val="32"/>
          <w:highlight w:val="none"/>
          <w:lang w:val="en-US" w:eastAsia="zh-CN"/>
        </w:rPr>
        <w:t>1384</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51.37</w:t>
      </w:r>
      <w:r>
        <w:rPr>
          <w:rFonts w:hint="eastAsia" w:ascii="仿宋_GB2312" w:hAnsi="仿宋_GB2312" w:eastAsia="仿宋_GB2312" w:cs="仿宋_GB2312"/>
          <w:bCs/>
          <w:color w:val="auto"/>
          <w:sz w:val="32"/>
          <w:szCs w:val="32"/>
          <w:highlight w:val="none"/>
        </w:rPr>
        <w:t>%，其中岗位</w:t>
      </w:r>
      <w:r>
        <w:rPr>
          <w:rFonts w:hint="eastAsia" w:ascii="仿宋_GB2312" w:hAnsi="仿宋_GB2312" w:eastAsia="仿宋_GB2312" w:cs="仿宋_GB2312"/>
          <w:color w:val="auto"/>
          <w:spacing w:val="-2"/>
          <w:sz w:val="32"/>
          <w:szCs w:val="32"/>
          <w:highlight w:val="none"/>
          <w:lang w:val="en-US" w:eastAsia="zh-CN"/>
        </w:rPr>
        <w:t>实习时间累计一般为6个月。</w:t>
      </w:r>
      <w:r>
        <w:rPr>
          <w:rFonts w:hint="eastAsia" w:ascii="仿宋_GB2312" w:hAnsi="仿宋_GB2312" w:eastAsia="仿宋_GB2312" w:cs="仿宋_GB2312"/>
          <w:bCs/>
          <w:color w:val="auto"/>
          <w:sz w:val="32"/>
          <w:szCs w:val="32"/>
          <w:highlight w:val="none"/>
        </w:rPr>
        <w:t>公共基础课</w:t>
      </w:r>
      <w:r>
        <w:rPr>
          <w:rFonts w:hint="eastAsia" w:ascii="仿宋_GB2312" w:hAnsi="仿宋_GB2312" w:eastAsia="仿宋_GB2312" w:cs="仿宋_GB2312"/>
          <w:bCs/>
          <w:color w:val="auto"/>
          <w:sz w:val="32"/>
          <w:szCs w:val="32"/>
          <w:highlight w:val="none"/>
          <w:lang w:val="en-US" w:eastAsia="zh-CN"/>
        </w:rPr>
        <w:t>922</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bCs/>
          <w:color w:val="auto"/>
          <w:sz w:val="32"/>
          <w:szCs w:val="32"/>
          <w:highlight w:val="none"/>
          <w:lang w:val="en-US" w:eastAsia="zh-CN"/>
        </w:rPr>
        <w:t>34.22</w:t>
      </w:r>
      <w:r>
        <w:rPr>
          <w:rFonts w:hint="eastAsia" w:ascii="仿宋_GB2312" w:hAnsi="仿宋_GB2312" w:eastAsia="仿宋_GB2312" w:cs="仿宋_GB2312"/>
          <w:bCs/>
          <w:color w:val="auto"/>
          <w:sz w:val="32"/>
          <w:szCs w:val="32"/>
          <w:highlight w:val="none"/>
        </w:rPr>
        <w:t>%；选修课</w:t>
      </w:r>
      <w:r>
        <w:rPr>
          <w:rFonts w:hint="eastAsia" w:ascii="仿宋_GB2312" w:hAnsi="仿宋_GB2312" w:eastAsia="仿宋_GB2312" w:cs="仿宋_GB2312"/>
          <w:color w:val="auto"/>
          <w:spacing w:val="-2"/>
          <w:sz w:val="32"/>
          <w:szCs w:val="32"/>
          <w:highlight w:val="none"/>
          <w:lang w:val="en-US" w:eastAsia="zh-CN"/>
        </w:rPr>
        <w:t>272</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10.10</w:t>
      </w:r>
      <w:r>
        <w:rPr>
          <w:rFonts w:hint="eastAsia" w:ascii="仿宋_GB2312" w:hAnsi="仿宋_GB2312" w:eastAsia="仿宋_GB2312" w:cs="仿宋_GB2312"/>
          <w:bCs/>
          <w:color w:val="auto"/>
          <w:sz w:val="32"/>
          <w:szCs w:val="32"/>
          <w:highlight w:val="none"/>
        </w:rPr>
        <w:t>%。</w:t>
      </w:r>
    </w:p>
    <w:p w14:paraId="3ED913D7">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bCs/>
          <w:color w:val="auto"/>
          <w:sz w:val="32"/>
          <w:szCs w:val="32"/>
          <w:highlight w:val="none"/>
        </w:rPr>
      </w:pPr>
      <w:bookmarkStart w:id="17" w:name="_GoBack"/>
      <w:bookmarkEnd w:id="17"/>
    </w:p>
    <w:p w14:paraId="3EBC7910">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9 </w:t>
      </w:r>
      <w:r>
        <w:rPr>
          <w:rFonts w:hint="eastAsia" w:ascii="仿宋_GB2312" w:hAnsi="仿宋_GB2312" w:eastAsia="仿宋_GB2312" w:cs="仿宋_GB2312"/>
          <w:color w:val="auto"/>
          <w:spacing w:val="-2"/>
          <w:sz w:val="32"/>
          <w:szCs w:val="32"/>
          <w:highlight w:val="none"/>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3"/>
        <w:gridCol w:w="1628"/>
        <w:gridCol w:w="1280"/>
        <w:gridCol w:w="718"/>
        <w:gridCol w:w="1118"/>
        <w:gridCol w:w="896"/>
        <w:gridCol w:w="759"/>
        <w:gridCol w:w="1261"/>
        <w:gridCol w:w="750"/>
        <w:gridCol w:w="1264"/>
      </w:tblGrid>
      <w:tr w14:paraId="61CBC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D4A83">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课程类别</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AA0C67">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B1DB5">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48A921">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8E0AC">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学时</w:t>
            </w:r>
          </w:p>
        </w:tc>
      </w:tr>
      <w:tr w14:paraId="21563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74397">
            <w:pPr>
              <w:spacing w:after="0" w:line="240" w:lineRule="auto"/>
              <w:jc w:val="center"/>
              <w:rPr>
                <w:rFonts w:hint="eastAsia" w:ascii="仿宋_GB2312" w:hAnsi="仿宋_GB2312" w:eastAsia="仿宋_GB2312" w:cs="仿宋_GB2312"/>
                <w:sz w:val="24"/>
                <w:szCs w:val="24"/>
                <w:highlight w:val="none"/>
                <w:lang w:val="en-US" w:eastAsia="zh-CN"/>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19EECA">
            <w:pPr>
              <w:spacing w:after="0" w:line="240" w:lineRule="auto"/>
              <w:jc w:val="center"/>
              <w:rPr>
                <w:rFonts w:hint="eastAsia" w:ascii="仿宋_GB2312" w:hAnsi="仿宋_GB2312" w:eastAsia="仿宋_GB2312" w:cs="仿宋_GB2312"/>
                <w:sz w:val="24"/>
                <w:szCs w:val="24"/>
                <w:highlight w:val="none"/>
                <w:lang w:val="en-US" w:eastAsia="zh-CN"/>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66295">
            <w:pPr>
              <w:spacing w:after="0" w:line="240" w:lineRule="auto"/>
              <w:jc w:val="center"/>
              <w:rPr>
                <w:rFonts w:hint="eastAsia" w:ascii="仿宋_GB2312" w:hAnsi="仿宋_GB2312" w:eastAsia="仿宋_GB2312" w:cs="仿宋_GB2312"/>
                <w:sz w:val="24"/>
                <w:szCs w:val="24"/>
                <w:highlight w:val="none"/>
                <w:lang w:val="en-US" w:eastAsia="zh-CN"/>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870CC">
            <w:pPr>
              <w:spacing w:after="0" w:line="240" w:lineRule="auto"/>
              <w:jc w:val="center"/>
              <w:rPr>
                <w:rFonts w:hint="eastAsia" w:ascii="仿宋_GB2312" w:hAnsi="仿宋_GB2312" w:eastAsia="仿宋_GB2312" w:cs="仿宋_GB2312"/>
                <w:sz w:val="24"/>
                <w:szCs w:val="24"/>
                <w:highlight w:val="none"/>
                <w:lang w:val="en-US" w:eastAsia="zh-CN"/>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7E53E">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A8F6E">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F58EB">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实践教学</w:t>
            </w:r>
          </w:p>
        </w:tc>
      </w:tr>
      <w:tr w14:paraId="05561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EA642">
            <w:pPr>
              <w:spacing w:after="0" w:line="240" w:lineRule="auto"/>
              <w:jc w:val="center"/>
              <w:rPr>
                <w:rFonts w:hint="eastAsia" w:ascii="仿宋_GB2312" w:hAnsi="仿宋_GB2312" w:eastAsia="仿宋_GB2312" w:cs="仿宋_GB2312"/>
                <w:sz w:val="24"/>
                <w:szCs w:val="24"/>
                <w:highlight w:val="none"/>
                <w:lang w:val="en-US" w:eastAsia="zh-CN"/>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80258B">
            <w:pPr>
              <w:spacing w:after="0" w:line="240" w:lineRule="auto"/>
              <w:jc w:val="center"/>
              <w:rPr>
                <w:rFonts w:hint="eastAsia" w:ascii="仿宋_GB2312" w:hAnsi="仿宋_GB2312" w:eastAsia="仿宋_GB2312" w:cs="仿宋_GB2312"/>
                <w:sz w:val="24"/>
                <w:szCs w:val="24"/>
                <w:highlight w:val="none"/>
                <w:lang w:val="en-US" w:eastAsia="zh-CN"/>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973E1">
            <w:pPr>
              <w:spacing w:after="0" w:line="240" w:lineRule="auto"/>
              <w:jc w:val="center"/>
              <w:rPr>
                <w:rFonts w:hint="eastAsia" w:ascii="仿宋_GB2312" w:hAnsi="仿宋_GB2312" w:eastAsia="仿宋_GB2312" w:cs="仿宋_GB2312"/>
                <w:sz w:val="24"/>
                <w:szCs w:val="24"/>
                <w:highlight w:val="none"/>
                <w:lang w:val="en-US" w:eastAsia="zh-CN"/>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319BA7">
            <w:pPr>
              <w:spacing w:after="0" w:line="240" w:lineRule="auto"/>
              <w:jc w:val="center"/>
              <w:rPr>
                <w:rFonts w:hint="eastAsia" w:ascii="仿宋_GB2312" w:hAnsi="仿宋_GB2312" w:eastAsia="仿宋_GB2312" w:cs="仿宋_GB2312"/>
                <w:sz w:val="24"/>
                <w:szCs w:val="24"/>
                <w:highlight w:val="none"/>
                <w:lang w:val="en-US" w:eastAsia="zh-CN"/>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DE165">
            <w:pPr>
              <w:spacing w:after="0" w:line="240" w:lineRule="auto"/>
              <w:jc w:val="center"/>
              <w:rPr>
                <w:rFonts w:hint="eastAsia" w:ascii="仿宋_GB2312" w:hAnsi="仿宋_GB2312" w:eastAsia="仿宋_GB2312" w:cs="仿宋_GB2312"/>
                <w:sz w:val="24"/>
                <w:szCs w:val="24"/>
                <w:highlight w:val="none"/>
                <w:lang w:val="en-US" w:eastAsia="zh-CN"/>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BA93D">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2D7A8">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68D1F">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AC56D">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占专业总学时比例（%）</w:t>
            </w:r>
          </w:p>
        </w:tc>
      </w:tr>
      <w:tr w14:paraId="137B7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5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FE416">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公共基础课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43F85">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7E435">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CE103">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29.37%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3ED9D">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39C69">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FD0D1">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16.85%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8A3C9">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D529D">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12.62%</w:t>
            </w:r>
          </w:p>
        </w:tc>
      </w:tr>
      <w:tr w14:paraId="1B487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B0B5D">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sz w:val="24"/>
                <w:szCs w:val="24"/>
                <w:highlight w:val="none"/>
                <w:lang w:val="en-US" w:eastAsia="zh-CN"/>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64FF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0E0D0">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8C8F5">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5.59%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CA617">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BB3E3">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0211B">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2.97%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0B7B4">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3FFA8">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1.78%</w:t>
            </w:r>
          </w:p>
        </w:tc>
      </w:tr>
      <w:tr w14:paraId="5C081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0E85D">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sz w:val="24"/>
                <w:szCs w:val="24"/>
                <w:highlight w:val="none"/>
                <w:lang w:val="en-US" w:eastAsia="zh-CN"/>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F8F2E">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EC2E4">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B9E2E">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34.97%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A0170">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70647">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17E62">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19.82%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F91BD">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0377C">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14.40%</w:t>
            </w:r>
          </w:p>
        </w:tc>
      </w:tr>
      <w:tr w14:paraId="5E2CF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DE605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专业课</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0F7E2">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专业基础课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BA1B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183A7">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31A14">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20.98%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F1169">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540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05CC9">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402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7BD3A">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14.92%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905C5">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138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C9B44">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5.12%</w:t>
            </w:r>
          </w:p>
        </w:tc>
      </w:tr>
      <w:tr w14:paraId="53AD4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22BB2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sz w:val="24"/>
                <w:szCs w:val="24"/>
                <w:highlight w:val="none"/>
                <w:lang w:val="en-US" w:eastAsia="zh-CN"/>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C0EA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专业核心课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CCE03">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8B99C">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A7E1B">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22.38%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81898">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510D4">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282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BF744">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10.47%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A8211">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294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94170">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10.91%</w:t>
            </w:r>
          </w:p>
        </w:tc>
      </w:tr>
      <w:tr w14:paraId="479EC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53D239">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sz w:val="24"/>
                <w:szCs w:val="24"/>
                <w:highlight w:val="none"/>
                <w:lang w:val="en-US" w:eastAsia="zh-CN"/>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8188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专业拓展课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6F32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7CAE4">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13BB7">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5.59%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C293F">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8F56D">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72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77412">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2.67%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9177C">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72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227FD">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2.67%</w:t>
            </w:r>
          </w:p>
        </w:tc>
      </w:tr>
      <w:tr w14:paraId="1DCED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3AA8D4">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94617">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highlight w:val="none"/>
              </w:rPr>
            </w:pPr>
            <w:r>
              <w:rPr>
                <w:rFonts w:hint="eastAsia" w:ascii="仿宋_GB2312" w:hAnsi="仿宋_GB2312" w:eastAsia="仿宋_GB2312" w:cs="仿宋_GB2312"/>
                <w:i w:val="0"/>
                <w:iCs w:val="0"/>
                <w:color w:val="000000"/>
                <w:sz w:val="20"/>
                <w:szCs w:val="20"/>
                <w:highlight w:val="none"/>
                <w:u w:val="none"/>
              </w:rPr>
              <w:t>实践</w:t>
            </w:r>
            <w:r>
              <w:rPr>
                <w:rFonts w:hint="eastAsia" w:ascii="仿宋_GB2312" w:hAnsi="仿宋_GB2312" w:eastAsia="仿宋_GB2312" w:cs="仿宋_GB2312"/>
                <w:i w:val="0"/>
                <w:iCs w:val="0"/>
                <w:color w:val="000000"/>
                <w:sz w:val="20"/>
                <w:szCs w:val="20"/>
                <w:highlight w:val="none"/>
                <w:u w:val="none"/>
                <w:lang w:val="en-US" w:eastAsia="zh-CN"/>
              </w:rPr>
              <w:t>性</w:t>
            </w:r>
            <w:r>
              <w:rPr>
                <w:rFonts w:hint="eastAsia" w:ascii="仿宋_GB2312" w:hAnsi="仿宋_GB2312" w:eastAsia="仿宋_GB2312" w:cs="仿宋_GB2312"/>
                <w:i w:val="0"/>
                <w:iCs w:val="0"/>
                <w:color w:val="000000"/>
                <w:sz w:val="20"/>
                <w:szCs w:val="20"/>
                <w:highlight w:val="none"/>
                <w:u w:val="none"/>
              </w:rPr>
              <w:t>教学环节</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B8A4D">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78FF8">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7D425">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16.08%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1A649">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512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AA10B">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BC9EC">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0.74%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FD614">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492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0C9EE">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18.26%</w:t>
            </w:r>
          </w:p>
        </w:tc>
      </w:tr>
      <w:tr w14:paraId="7B4D9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10CC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p>
        </w:tc>
        <w:tc>
          <w:tcPr>
            <w:tcW w:w="29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9E1361">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highlight w:val="none"/>
              </w:rPr>
            </w:pPr>
            <w:r>
              <w:rPr>
                <w:rFonts w:hint="eastAsia" w:ascii="仿宋_GB2312" w:hAnsi="仿宋_GB2312" w:eastAsia="仿宋_GB2312" w:cs="仿宋_GB2312"/>
                <w:i w:val="0"/>
                <w:color w:val="000000"/>
                <w:kern w:val="0"/>
                <w:sz w:val="20"/>
                <w:szCs w:val="20"/>
                <w:highlight w:val="none"/>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2CCBD">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93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E93B5">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65.03%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96417">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1772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6D67E">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776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E3E1A">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28.80%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CB1C3">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996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3D21C">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36.97%</w:t>
            </w:r>
          </w:p>
        </w:tc>
      </w:tr>
      <w:tr w14:paraId="4FA7D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64358">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i w:val="0"/>
                <w:color w:val="000000"/>
                <w:kern w:val="0"/>
                <w:sz w:val="20"/>
                <w:szCs w:val="20"/>
                <w:highlight w:val="none"/>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A6510">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143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B689E">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11685">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2694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26A8E">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1310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31472">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48.63%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68B74">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1384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46974">
            <w:pPr>
              <w:spacing w:after="0" w:line="240" w:lineRule="auto"/>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51.37%</w:t>
            </w:r>
          </w:p>
        </w:tc>
      </w:tr>
    </w:tbl>
    <w:p w14:paraId="36007777">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outlineLvl w:val="1"/>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教学计划进程</w:t>
      </w:r>
    </w:p>
    <w:p w14:paraId="4CFE3EBE">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10 </w:t>
      </w:r>
      <w:r>
        <w:rPr>
          <w:rFonts w:hint="eastAsia" w:ascii="仿宋_GB2312" w:hAnsi="仿宋_GB2312" w:eastAsia="仿宋_GB2312" w:cs="仿宋_GB2312"/>
          <w:color w:val="auto"/>
          <w:sz w:val="32"/>
          <w:szCs w:val="32"/>
          <w:highlight w:val="none"/>
          <w:shd w:val="clear" w:color="auto" w:fill="FFFFFF"/>
          <w:lang w:bidi="ar"/>
        </w:rPr>
        <w:t>教学计划进程安排表</w:t>
      </w:r>
    </w:p>
    <w:tbl>
      <w:tblPr>
        <w:tblStyle w:val="7"/>
        <w:tblW w:w="584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3"/>
        <w:gridCol w:w="383"/>
        <w:gridCol w:w="481"/>
        <w:gridCol w:w="550"/>
        <w:gridCol w:w="1567"/>
        <w:gridCol w:w="1628"/>
        <w:gridCol w:w="684"/>
        <w:gridCol w:w="840"/>
        <w:gridCol w:w="750"/>
        <w:gridCol w:w="728"/>
        <w:gridCol w:w="357"/>
        <w:gridCol w:w="354"/>
        <w:gridCol w:w="354"/>
        <w:gridCol w:w="263"/>
        <w:gridCol w:w="540"/>
        <w:gridCol w:w="407"/>
        <w:gridCol w:w="646"/>
      </w:tblGrid>
      <w:tr w14:paraId="394F8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8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378C6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bookmarkStart w:id="16" w:name="OLE_LINK3"/>
            <w:r>
              <w:rPr>
                <w:rFonts w:hint="eastAsia" w:ascii="仿宋_GB2312" w:hAnsi="仿宋_GB2312" w:eastAsia="仿宋_GB2312" w:cs="仿宋_GB2312"/>
                <w:sz w:val="20"/>
                <w:szCs w:val="20"/>
                <w:highlight w:val="none"/>
                <w:lang w:val="en-US" w:eastAsia="zh-CN"/>
              </w:rPr>
              <w:t>课程类型</w:t>
            </w:r>
          </w:p>
        </w:tc>
        <w:tc>
          <w:tcPr>
            <w:tcW w:w="5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56931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序号</w:t>
            </w:r>
          </w:p>
        </w:tc>
        <w:tc>
          <w:tcPr>
            <w:tcW w:w="1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7286F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课程代码</w:t>
            </w:r>
          </w:p>
        </w:tc>
        <w:tc>
          <w:tcPr>
            <w:tcW w:w="16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B448A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课程名称</w:t>
            </w:r>
          </w:p>
        </w:tc>
        <w:tc>
          <w:tcPr>
            <w:tcW w:w="6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B544E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学分</w:t>
            </w:r>
          </w:p>
        </w:tc>
        <w:tc>
          <w:tcPr>
            <w:tcW w:w="231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2ACD0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教学学时数</w:t>
            </w:r>
          </w:p>
        </w:tc>
        <w:tc>
          <w:tcPr>
            <w:tcW w:w="2275"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F5C86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开课学期和周学时</w:t>
            </w:r>
          </w:p>
        </w:tc>
        <w:tc>
          <w:tcPr>
            <w:tcW w:w="6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CF817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考核类型</w:t>
            </w:r>
          </w:p>
        </w:tc>
      </w:tr>
      <w:tr w14:paraId="20B22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18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A91E0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4893C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1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42332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D60C2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84774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31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246F8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27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6A09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71A19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r>
      <w:tr w14:paraId="55E4A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118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C26E2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08F37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1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2C638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1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82C2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52200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9B1D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合计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435A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理论学时</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46A5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实践学时</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3EC8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一</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3172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二</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9A5B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三</w:t>
            </w: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FD12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四</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2272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五</w:t>
            </w: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4BCA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六</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F837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r>
      <w:tr w14:paraId="1A4D0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7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D5F08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公共基础课</w:t>
            </w: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9A47A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必修</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37D4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6F80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1B410101101</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8625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思想道德与法治</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1246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F579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48</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259B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AA1A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8B57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97FE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D061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D753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4294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4D36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2359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14:paraId="431E9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F0ABE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4EFBD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BBB5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087F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1A410101102</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BF66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形势与政策</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6F27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4AC9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4FBF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A3A8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AFEE14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1到4学期开课，每学期8学时。</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B663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18EB8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B2C9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F4A1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0CAA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34A2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1A410101103</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EDD2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国家安全教育</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71AA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B3F8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41C9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16</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D24A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2867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C52C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4F69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EE09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C44F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65AB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4F89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7DF96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E9562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4CDB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9C87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A515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1A410101104</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370F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军事理论</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E7CD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0B4D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6B76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4780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FD6B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5A52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EEF3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4A37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3EC4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26A8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82E4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4FD52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6BBD2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63E4F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3CC4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90E1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1C410101105</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EDA4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军训</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9AF5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A4E9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0BAA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56B1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112</w:t>
            </w:r>
          </w:p>
        </w:tc>
        <w:tc>
          <w:tcPr>
            <w:tcW w:w="22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191C46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第1学期，实际训练时间不少于14天</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28E3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237AA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99BFC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ADAB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3920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EAEC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1B410101106</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2AF7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计算机基础</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805E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D451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E54D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AC5F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1B08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8699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F0FB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1B6E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B00E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CCD6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982C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5614F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286B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C02A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7DE3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1692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1B410101107</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F931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高等数学</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400F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1487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3342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32A6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EEA7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434A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E6A2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B0CB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C26C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A9C0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A527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14:paraId="5A126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D5988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46ACC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26FD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D8A3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1B410101108</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F05D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大学英语</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A2C1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FBA2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128</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3378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8773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D209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C97F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28A2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CF5A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4382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7DC9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E802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14:paraId="06346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DE573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C5717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5EA3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F166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1C410101109</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F2A9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大学体育</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E06C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7A12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108</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9824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7299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108</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66AC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0CBD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01B9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3044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D200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3694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EB59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0E451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FA7E5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2AA3B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DF2D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9843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1B410101110</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73CC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大学生职业发展与就业指导</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FC96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0F19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38</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AADF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26</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BC9B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69F6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3C79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9708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2230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BE9E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AFCA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0F66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50F97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5A511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E6033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35F1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0F35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1B410101111</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3633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大学生心理健康教育</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1E60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BCF5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4E59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B8ED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B8A7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EB46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3C2A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4825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EA11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365F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66D9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7F324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8D0A8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B83DA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67B5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38B8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1C410101112</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D934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劳动教育</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93B5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E0DC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FA7B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B469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16</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76E3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C344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nil"/>
              <w:left w:val="nil"/>
              <w:bottom w:val="nil"/>
              <w:right w:val="nil"/>
            </w:tcBorders>
            <w:shd w:val="clear" w:color="auto" w:fill="auto"/>
            <w:noWrap/>
            <w:vAlign w:val="center"/>
          </w:tcPr>
          <w:p w14:paraId="433FE50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DA04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3E98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50B9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A494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27F44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A6253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64465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EC2F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13</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AC2A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1B410101113</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BE13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毛泽东思想和中国特色社会主义理论体系概论</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398D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AE1C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2A4D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59DC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C7FC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029B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auto" w:sz="4" w:space="0"/>
              <w:right w:val="single" w:color="000000" w:sz="4" w:space="0"/>
            </w:tcBorders>
            <w:shd w:val="clear" w:color="auto" w:fill="auto"/>
            <w:vAlign w:val="center"/>
          </w:tcPr>
          <w:p w14:paraId="424B761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263" w:type="dxa"/>
            <w:tcBorders>
              <w:top w:val="single" w:color="000000" w:sz="4" w:space="0"/>
              <w:left w:val="single" w:color="000000" w:sz="4" w:space="0"/>
              <w:bottom w:val="single" w:color="auto" w:sz="4" w:space="0"/>
              <w:right w:val="single" w:color="000000" w:sz="4" w:space="0"/>
            </w:tcBorders>
            <w:shd w:val="clear" w:color="auto" w:fill="auto"/>
            <w:vAlign w:val="center"/>
          </w:tcPr>
          <w:p w14:paraId="35826E8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152B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F2CE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DAC3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14:paraId="573F2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0C4C4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7E2D3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F536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841C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1B410101114</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FFC7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创新创业</w:t>
            </w:r>
          </w:p>
          <w:p w14:paraId="0ABCA69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教育</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63C0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F684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4D56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CE77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B944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54" w:type="dxa"/>
            <w:tcBorders>
              <w:top w:val="single" w:color="000000" w:sz="4" w:space="0"/>
              <w:left w:val="single" w:color="000000" w:sz="4" w:space="0"/>
              <w:bottom w:val="single" w:color="000000" w:sz="4" w:space="0"/>
              <w:right w:val="single" w:color="auto" w:sz="4" w:space="0"/>
            </w:tcBorders>
            <w:shd w:val="clear" w:color="auto" w:fill="auto"/>
            <w:vAlign w:val="center"/>
          </w:tcPr>
          <w:p w14:paraId="0AA6DD4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auto" w:sz="4" w:space="0"/>
              <w:left w:val="single" w:color="auto" w:sz="4" w:space="0"/>
              <w:bottom w:val="single" w:color="auto" w:sz="4" w:space="0"/>
              <w:right w:val="nil"/>
            </w:tcBorders>
            <w:shd w:val="clear" w:color="auto" w:fill="auto"/>
            <w:noWrap/>
            <w:vAlign w:val="center"/>
          </w:tcPr>
          <w:p w14:paraId="6909241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auto" w:sz="4" w:space="0"/>
              <w:left w:val="single" w:color="000000" w:sz="4" w:space="0"/>
              <w:bottom w:val="single" w:color="auto" w:sz="4" w:space="0"/>
              <w:right w:val="single" w:color="auto" w:sz="4" w:space="0"/>
            </w:tcBorders>
            <w:shd w:val="clear" w:color="auto" w:fill="auto"/>
            <w:vAlign w:val="center"/>
          </w:tcPr>
          <w:p w14:paraId="1278EED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auto" w:sz="4" w:space="0"/>
              <w:bottom w:val="single" w:color="000000" w:sz="4" w:space="0"/>
              <w:right w:val="single" w:color="000000" w:sz="4" w:space="0"/>
            </w:tcBorders>
            <w:shd w:val="clear" w:color="auto" w:fill="auto"/>
            <w:vAlign w:val="center"/>
          </w:tcPr>
          <w:p w14:paraId="20D5A26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EDDE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BCB2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03F03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4"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42704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6E1C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ACAF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5914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1B410101115</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487B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习近平新时代中国特色社会主义思想概论</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93A7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2E6D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B61D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F581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73AB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4CF1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auto" w:sz="4" w:space="0"/>
              <w:left w:val="single" w:color="000000" w:sz="4" w:space="0"/>
              <w:bottom w:val="single" w:color="000000" w:sz="4" w:space="0"/>
              <w:right w:val="single" w:color="000000" w:sz="4" w:space="0"/>
            </w:tcBorders>
            <w:shd w:val="clear" w:color="auto" w:fill="auto"/>
            <w:vAlign w:val="center"/>
          </w:tcPr>
          <w:p w14:paraId="0A7FCBE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03B9242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EB54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995D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7109F26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7EDB217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46372C7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56EDD51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5ECE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38D8DB0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14:paraId="184A6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13E72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8C512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选修</w:t>
            </w:r>
          </w:p>
        </w:tc>
        <w:tc>
          <w:tcPr>
            <w:tcW w:w="550" w:type="dxa"/>
            <w:tcBorders>
              <w:top w:val="single" w:color="000000" w:sz="4" w:space="0"/>
              <w:left w:val="nil"/>
              <w:bottom w:val="single" w:color="000000" w:sz="4" w:space="0"/>
              <w:right w:val="single" w:color="000000" w:sz="4" w:space="0"/>
            </w:tcBorders>
            <w:shd w:val="clear" w:color="auto" w:fill="auto"/>
            <w:vAlign w:val="center"/>
          </w:tcPr>
          <w:p w14:paraId="4EAD586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8BFE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1B410101201</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069D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中国民俗剪纸技法</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FF53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43CC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C1E0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C07F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w:t>
            </w:r>
          </w:p>
        </w:tc>
        <w:tc>
          <w:tcPr>
            <w:tcW w:w="2275" w:type="dxa"/>
            <w:gridSpan w:val="6"/>
            <w:vMerge w:val="restart"/>
            <w:tcBorders>
              <w:top w:val="single" w:color="000000" w:sz="4" w:space="0"/>
              <w:left w:val="single" w:color="000000" w:sz="4" w:space="0"/>
              <w:right w:val="single" w:color="000000" w:sz="4" w:space="0"/>
            </w:tcBorders>
            <w:shd w:val="clear" w:color="auto" w:fill="auto"/>
            <w:vAlign w:val="center"/>
          </w:tcPr>
          <w:p w14:paraId="006DDA1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1A3A628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6746D68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2669FE3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18D24EF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公共选修课最低学分要求为8学分，其中要求2个学分为思政选修课学分。</w:t>
            </w: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8184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784E7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C556A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16A7E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nil"/>
              <w:bottom w:val="single" w:color="000000" w:sz="4" w:space="0"/>
              <w:right w:val="single" w:color="000000" w:sz="4" w:space="0"/>
            </w:tcBorders>
            <w:shd w:val="clear" w:color="auto" w:fill="auto"/>
            <w:vAlign w:val="center"/>
          </w:tcPr>
          <w:p w14:paraId="1E9C4AE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60DF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1B410101202</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6C1F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影视与鉴赏</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34C4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BDAE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0859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39E1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w:t>
            </w:r>
          </w:p>
        </w:tc>
        <w:tc>
          <w:tcPr>
            <w:tcW w:w="2275" w:type="dxa"/>
            <w:gridSpan w:val="6"/>
            <w:vMerge w:val="continue"/>
            <w:tcBorders>
              <w:left w:val="single" w:color="000000" w:sz="4" w:space="0"/>
              <w:right w:val="single" w:color="000000" w:sz="4" w:space="0"/>
            </w:tcBorders>
            <w:shd w:val="clear" w:color="auto" w:fill="auto"/>
            <w:vAlign w:val="center"/>
          </w:tcPr>
          <w:p w14:paraId="7363A3A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6E7C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659AA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769A1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1C492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nil"/>
              <w:bottom w:val="single" w:color="000000" w:sz="4" w:space="0"/>
              <w:right w:val="single" w:color="000000" w:sz="4" w:space="0"/>
            </w:tcBorders>
            <w:shd w:val="clear" w:color="auto" w:fill="auto"/>
            <w:vAlign w:val="center"/>
          </w:tcPr>
          <w:p w14:paraId="3552B74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6CEB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1B410101203</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4E84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中华优秀传统文化</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60D9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13C3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701F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8464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75" w:type="dxa"/>
            <w:gridSpan w:val="6"/>
            <w:vMerge w:val="continue"/>
            <w:tcBorders>
              <w:left w:val="single" w:color="000000" w:sz="4" w:space="0"/>
              <w:right w:val="single" w:color="000000" w:sz="4" w:space="0"/>
            </w:tcBorders>
            <w:shd w:val="clear" w:color="auto" w:fill="auto"/>
            <w:vAlign w:val="center"/>
          </w:tcPr>
          <w:p w14:paraId="61F1A6F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8F2C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0639E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C47AA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3D9DA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nil"/>
              <w:bottom w:val="single" w:color="000000" w:sz="4" w:space="0"/>
              <w:right w:val="single" w:color="000000" w:sz="4" w:space="0"/>
            </w:tcBorders>
            <w:shd w:val="clear" w:color="auto" w:fill="auto"/>
            <w:vAlign w:val="center"/>
          </w:tcPr>
          <w:p w14:paraId="6A9A9AC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6034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1B410101204</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6BA8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中国共产党简史</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17F3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83E5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28B8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12B0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75" w:type="dxa"/>
            <w:gridSpan w:val="6"/>
            <w:vMerge w:val="continue"/>
            <w:tcBorders>
              <w:left w:val="single" w:color="000000" w:sz="4" w:space="0"/>
              <w:right w:val="single" w:color="000000" w:sz="4" w:space="0"/>
            </w:tcBorders>
            <w:shd w:val="clear" w:color="auto" w:fill="auto"/>
            <w:vAlign w:val="center"/>
          </w:tcPr>
          <w:p w14:paraId="4C9FD71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5517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3EB73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8E54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5A18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nil"/>
              <w:bottom w:val="single" w:color="000000" w:sz="4" w:space="0"/>
              <w:right w:val="single" w:color="000000" w:sz="4" w:space="0"/>
            </w:tcBorders>
            <w:shd w:val="clear" w:color="auto" w:fill="auto"/>
            <w:vAlign w:val="center"/>
          </w:tcPr>
          <w:p w14:paraId="29ADAE9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BD78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1B410101205</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1165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改革开放简史</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B7E6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F7FD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5CB1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B343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75" w:type="dxa"/>
            <w:gridSpan w:val="6"/>
            <w:vMerge w:val="continue"/>
            <w:tcBorders>
              <w:left w:val="single" w:color="000000" w:sz="4" w:space="0"/>
              <w:right w:val="single" w:color="000000" w:sz="4" w:space="0"/>
            </w:tcBorders>
            <w:shd w:val="clear" w:color="auto" w:fill="auto"/>
            <w:vAlign w:val="center"/>
          </w:tcPr>
          <w:p w14:paraId="1281F7E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19E2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72396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1BAF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A2B2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nil"/>
              <w:bottom w:val="single" w:color="000000" w:sz="4" w:space="0"/>
              <w:right w:val="single" w:color="000000" w:sz="4" w:space="0"/>
            </w:tcBorders>
            <w:shd w:val="clear" w:color="auto" w:fill="auto"/>
            <w:vAlign w:val="center"/>
          </w:tcPr>
          <w:p w14:paraId="1569009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716E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1B410101206</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4B1E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中华人民共和国简史</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ECD7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20EB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2F59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E3F3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75" w:type="dxa"/>
            <w:gridSpan w:val="6"/>
            <w:vMerge w:val="continue"/>
            <w:tcBorders>
              <w:left w:val="single" w:color="000000" w:sz="4" w:space="0"/>
              <w:right w:val="single" w:color="000000" w:sz="4" w:space="0"/>
            </w:tcBorders>
            <w:shd w:val="clear" w:color="auto" w:fill="auto"/>
            <w:vAlign w:val="center"/>
          </w:tcPr>
          <w:p w14:paraId="4187C2F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7032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44D48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FAFD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B9FD7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nil"/>
              <w:bottom w:val="single" w:color="000000" w:sz="4" w:space="0"/>
              <w:right w:val="single" w:color="000000" w:sz="4" w:space="0"/>
            </w:tcBorders>
            <w:shd w:val="clear" w:color="auto" w:fill="auto"/>
            <w:vAlign w:val="center"/>
          </w:tcPr>
          <w:p w14:paraId="01F41DF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8637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1B410101207</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5CA2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社会主义发展简史</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F706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EF2C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1078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88AF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75" w:type="dxa"/>
            <w:gridSpan w:val="6"/>
            <w:vMerge w:val="continue"/>
            <w:tcBorders>
              <w:left w:val="single" w:color="000000" w:sz="4" w:space="0"/>
              <w:right w:val="single" w:color="000000" w:sz="4" w:space="0"/>
            </w:tcBorders>
            <w:shd w:val="clear" w:color="auto" w:fill="auto"/>
            <w:vAlign w:val="center"/>
          </w:tcPr>
          <w:p w14:paraId="1987E19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CF56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21558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B8333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F3E63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nil"/>
              <w:bottom w:val="single" w:color="000000" w:sz="4" w:space="0"/>
              <w:right w:val="single" w:color="000000" w:sz="4" w:space="0"/>
            </w:tcBorders>
            <w:shd w:val="clear" w:color="auto" w:fill="auto"/>
            <w:vAlign w:val="center"/>
          </w:tcPr>
          <w:p w14:paraId="25D9ABC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CE9D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1B410101208</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3AB6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中华民族共同体概论</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5657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2A6D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87CA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0CE1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75" w:type="dxa"/>
            <w:gridSpan w:val="6"/>
            <w:vMerge w:val="continue"/>
            <w:tcBorders>
              <w:left w:val="single" w:color="000000" w:sz="4" w:space="0"/>
              <w:right w:val="single" w:color="000000" w:sz="4" w:space="0"/>
            </w:tcBorders>
            <w:shd w:val="clear" w:color="auto" w:fill="auto"/>
            <w:vAlign w:val="center"/>
          </w:tcPr>
          <w:p w14:paraId="7ED0A9E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6079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28E75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A6998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59AB8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nil"/>
              <w:bottom w:val="single" w:color="000000" w:sz="4" w:space="0"/>
              <w:right w:val="single" w:color="000000" w:sz="4" w:space="0"/>
            </w:tcBorders>
            <w:shd w:val="clear" w:color="auto" w:fill="auto"/>
            <w:vAlign w:val="center"/>
          </w:tcPr>
          <w:p w14:paraId="5E92715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w:t>
            </w:r>
          </w:p>
        </w:tc>
        <w:tc>
          <w:tcPr>
            <w:tcW w:w="1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7239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1B410101210</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2F12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语文</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C497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399A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B4FD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8E4C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75" w:type="dxa"/>
            <w:gridSpan w:val="6"/>
            <w:vMerge w:val="continue"/>
            <w:tcBorders>
              <w:left w:val="single" w:color="000000" w:sz="4" w:space="0"/>
              <w:bottom w:val="single" w:color="000000" w:sz="4" w:space="0"/>
              <w:right w:val="single" w:color="000000" w:sz="4" w:space="0"/>
            </w:tcBorders>
            <w:shd w:val="clear" w:color="auto" w:fill="auto"/>
            <w:vAlign w:val="center"/>
          </w:tcPr>
          <w:p w14:paraId="00E453B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7937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287EC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5F56A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22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A8694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公共必修课程学分、学时小计</w:t>
            </w:r>
          </w:p>
        </w:tc>
        <w:tc>
          <w:tcPr>
            <w:tcW w:w="684" w:type="dxa"/>
            <w:tcBorders>
              <w:top w:val="nil"/>
              <w:left w:val="single" w:color="000000" w:sz="4" w:space="0"/>
              <w:bottom w:val="single" w:color="000000" w:sz="4" w:space="0"/>
              <w:right w:val="single" w:color="000000" w:sz="4" w:space="0"/>
            </w:tcBorders>
            <w:shd w:val="clear" w:color="auto" w:fill="auto"/>
            <w:vAlign w:val="center"/>
          </w:tcPr>
          <w:p w14:paraId="3D80D37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42</w:t>
            </w:r>
          </w:p>
        </w:tc>
        <w:tc>
          <w:tcPr>
            <w:tcW w:w="840" w:type="dxa"/>
            <w:tcBorders>
              <w:top w:val="nil"/>
              <w:left w:val="single" w:color="000000" w:sz="4" w:space="0"/>
              <w:bottom w:val="single" w:color="000000" w:sz="4" w:space="0"/>
              <w:right w:val="single" w:color="000000" w:sz="4" w:space="0"/>
            </w:tcBorders>
            <w:shd w:val="clear" w:color="auto" w:fill="auto"/>
            <w:vAlign w:val="center"/>
          </w:tcPr>
          <w:p w14:paraId="33064C5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794</w:t>
            </w:r>
          </w:p>
        </w:tc>
        <w:tc>
          <w:tcPr>
            <w:tcW w:w="750" w:type="dxa"/>
            <w:tcBorders>
              <w:top w:val="nil"/>
              <w:left w:val="single" w:color="000000" w:sz="4" w:space="0"/>
              <w:bottom w:val="single" w:color="000000" w:sz="4" w:space="0"/>
              <w:right w:val="single" w:color="000000" w:sz="4" w:space="0"/>
            </w:tcBorders>
            <w:shd w:val="clear" w:color="auto" w:fill="auto"/>
            <w:vAlign w:val="center"/>
          </w:tcPr>
          <w:p w14:paraId="47CF112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454</w:t>
            </w:r>
          </w:p>
        </w:tc>
        <w:tc>
          <w:tcPr>
            <w:tcW w:w="728" w:type="dxa"/>
            <w:tcBorders>
              <w:top w:val="nil"/>
              <w:left w:val="single" w:color="000000" w:sz="4" w:space="0"/>
              <w:bottom w:val="single" w:color="000000" w:sz="4" w:space="0"/>
              <w:right w:val="single" w:color="000000" w:sz="4" w:space="0"/>
            </w:tcBorders>
            <w:shd w:val="clear" w:color="auto" w:fill="auto"/>
            <w:vAlign w:val="center"/>
          </w:tcPr>
          <w:p w14:paraId="20F6111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340</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EAE4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D084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6546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8528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A157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FE52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DA18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r>
      <w:tr w14:paraId="57358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D2DF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22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981E6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公共必修课程学分、学时占比</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CE75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963C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86%</w:t>
            </w:r>
          </w:p>
        </w:tc>
        <w:tc>
          <w:tcPr>
            <w:tcW w:w="750" w:type="dxa"/>
            <w:tcBorders>
              <w:top w:val="single" w:color="000000" w:sz="4" w:space="0"/>
              <w:left w:val="single" w:color="000000" w:sz="4" w:space="0"/>
              <w:bottom w:val="nil"/>
              <w:right w:val="single" w:color="000000" w:sz="4" w:space="0"/>
            </w:tcBorders>
            <w:shd w:val="clear" w:color="auto" w:fill="auto"/>
            <w:vAlign w:val="center"/>
          </w:tcPr>
          <w:p w14:paraId="677F150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85%</w:t>
            </w:r>
          </w:p>
        </w:tc>
        <w:tc>
          <w:tcPr>
            <w:tcW w:w="728" w:type="dxa"/>
            <w:tcBorders>
              <w:top w:val="single" w:color="000000" w:sz="4" w:space="0"/>
              <w:left w:val="single" w:color="000000" w:sz="4" w:space="0"/>
              <w:bottom w:val="nil"/>
              <w:right w:val="single" w:color="000000" w:sz="4" w:space="0"/>
            </w:tcBorders>
            <w:shd w:val="clear" w:color="auto" w:fill="auto"/>
            <w:vAlign w:val="center"/>
          </w:tcPr>
          <w:p w14:paraId="04E37DA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88%</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FBC1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7712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02DB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62ED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0C69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83C5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A42F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r>
      <w:tr w14:paraId="3B13B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5"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444C1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22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E0E1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公共选修课程学分、学时小计</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963B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840" w:type="dxa"/>
            <w:tcBorders>
              <w:top w:val="single" w:color="000000" w:sz="4" w:space="0"/>
              <w:left w:val="single" w:color="000000" w:sz="4" w:space="0"/>
              <w:bottom w:val="single" w:color="000000" w:sz="4" w:space="0"/>
              <w:right w:val="nil"/>
            </w:tcBorders>
            <w:shd w:val="clear" w:color="auto" w:fill="auto"/>
            <w:vAlign w:val="center"/>
          </w:tcPr>
          <w:p w14:paraId="7A08F58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128</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EEC6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80</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C57E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48</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3036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3E47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E19B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CFE5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73F3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46F9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DBB7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r>
      <w:tr w14:paraId="4CAA9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CFF5F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22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5A55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公共选修课程学分、学时占比</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F019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16%</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7E64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CDDB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72B4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F019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28E8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EF74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50A6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4339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8923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8DCC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r>
      <w:tr w14:paraId="66F72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jc w:val="center"/>
        </w:trPr>
        <w:tc>
          <w:tcPr>
            <w:tcW w:w="323" w:type="dxa"/>
            <w:vMerge w:val="restart"/>
            <w:tcBorders>
              <w:top w:val="single" w:color="auto" w:sz="4" w:space="0"/>
              <w:left w:val="single" w:color="auto" w:sz="4" w:space="0"/>
              <w:right w:val="single" w:color="auto" w:sz="4" w:space="0"/>
            </w:tcBorders>
            <w:shd w:val="clear" w:color="auto" w:fill="auto"/>
            <w:vAlign w:val="center"/>
          </w:tcPr>
          <w:p w14:paraId="32FCAA4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专业课</w:t>
            </w:r>
          </w:p>
        </w:tc>
        <w:tc>
          <w:tcPr>
            <w:tcW w:w="383" w:type="dxa"/>
            <w:vMerge w:val="restart"/>
            <w:tcBorders>
              <w:top w:val="single" w:color="000000" w:sz="4" w:space="0"/>
              <w:left w:val="single" w:color="auto" w:sz="4" w:space="0"/>
              <w:bottom w:val="nil"/>
              <w:right w:val="single" w:color="000000" w:sz="4" w:space="0"/>
            </w:tcBorders>
            <w:shd w:val="clear" w:color="auto" w:fill="auto"/>
            <w:vAlign w:val="center"/>
          </w:tcPr>
          <w:p w14:paraId="76517BC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专业基础课</w:t>
            </w:r>
          </w:p>
        </w:tc>
        <w:tc>
          <w:tcPr>
            <w:tcW w:w="481" w:type="dxa"/>
            <w:vMerge w:val="restart"/>
            <w:tcBorders>
              <w:top w:val="single" w:color="000000" w:sz="4" w:space="0"/>
              <w:left w:val="single" w:color="000000" w:sz="4" w:space="0"/>
              <w:bottom w:val="nil"/>
              <w:right w:val="single" w:color="000000" w:sz="4" w:space="0"/>
            </w:tcBorders>
            <w:shd w:val="clear" w:color="auto" w:fill="auto"/>
            <w:noWrap/>
            <w:vAlign w:val="center"/>
          </w:tcPr>
          <w:p w14:paraId="5F155EF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必修</w:t>
            </w: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E1B2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20AB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5A530302303</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2ED0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经济学原理</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8C13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B405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0430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FB15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50D6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5A15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106A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E1A5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7EC5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936A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D906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14:paraId="04BC3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jc w:val="center"/>
        </w:trPr>
        <w:tc>
          <w:tcPr>
            <w:tcW w:w="323" w:type="dxa"/>
            <w:vMerge w:val="continue"/>
            <w:tcBorders>
              <w:left w:val="single" w:color="auto" w:sz="4" w:space="0"/>
              <w:right w:val="single" w:color="auto" w:sz="4" w:space="0"/>
            </w:tcBorders>
            <w:shd w:val="clear" w:color="auto" w:fill="auto"/>
            <w:vAlign w:val="center"/>
          </w:tcPr>
          <w:p w14:paraId="5B5FC0B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top w:val="single" w:color="000000" w:sz="4" w:space="0"/>
              <w:left w:val="single" w:color="auto" w:sz="4" w:space="0"/>
              <w:bottom w:val="nil"/>
              <w:right w:val="single" w:color="000000" w:sz="4" w:space="0"/>
            </w:tcBorders>
            <w:shd w:val="clear" w:color="auto" w:fill="auto"/>
            <w:vAlign w:val="center"/>
          </w:tcPr>
          <w:p w14:paraId="5F84775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nil"/>
              <w:right w:val="single" w:color="000000" w:sz="4" w:space="0"/>
            </w:tcBorders>
            <w:shd w:val="clear" w:color="auto" w:fill="auto"/>
            <w:noWrap/>
            <w:vAlign w:val="center"/>
          </w:tcPr>
          <w:p w14:paraId="69255C1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9F19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881E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5A530302302</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19AF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经济法基础</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A146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3CB9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ABCF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CD50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306B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7863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BB2B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F88B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1AB1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E504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58FA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14:paraId="090F3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jc w:val="center"/>
        </w:trPr>
        <w:tc>
          <w:tcPr>
            <w:tcW w:w="323" w:type="dxa"/>
            <w:vMerge w:val="continue"/>
            <w:tcBorders>
              <w:left w:val="single" w:color="auto" w:sz="4" w:space="0"/>
              <w:right w:val="single" w:color="auto" w:sz="4" w:space="0"/>
            </w:tcBorders>
            <w:shd w:val="clear" w:color="auto" w:fill="auto"/>
            <w:vAlign w:val="center"/>
          </w:tcPr>
          <w:p w14:paraId="30A06EB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top w:val="single" w:color="000000" w:sz="4" w:space="0"/>
              <w:left w:val="single" w:color="auto" w:sz="4" w:space="0"/>
              <w:bottom w:val="nil"/>
              <w:right w:val="single" w:color="000000" w:sz="4" w:space="0"/>
            </w:tcBorders>
            <w:shd w:val="clear" w:color="auto" w:fill="auto"/>
            <w:vAlign w:val="center"/>
          </w:tcPr>
          <w:p w14:paraId="127EADD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nil"/>
              <w:right w:val="single" w:color="000000" w:sz="4" w:space="0"/>
            </w:tcBorders>
            <w:shd w:val="clear" w:color="auto" w:fill="auto"/>
            <w:noWrap/>
            <w:vAlign w:val="center"/>
          </w:tcPr>
          <w:p w14:paraId="71553AA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7400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EAD6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5A530302301</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19FE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会计基础</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78DE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24E8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D4F3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108</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8296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51CB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FB7A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0460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BBC4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5CD6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F0D2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9F22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14:paraId="47574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4B1ABEE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top w:val="single" w:color="000000" w:sz="4" w:space="0"/>
              <w:left w:val="single" w:color="auto" w:sz="4" w:space="0"/>
              <w:bottom w:val="nil"/>
              <w:right w:val="single" w:color="000000" w:sz="4" w:space="0"/>
            </w:tcBorders>
            <w:shd w:val="clear" w:color="auto" w:fill="auto"/>
            <w:vAlign w:val="center"/>
          </w:tcPr>
          <w:p w14:paraId="70518D0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nil"/>
              <w:right w:val="single" w:color="000000" w:sz="4" w:space="0"/>
            </w:tcBorders>
            <w:shd w:val="clear" w:color="auto" w:fill="auto"/>
            <w:noWrap/>
            <w:vAlign w:val="center"/>
          </w:tcPr>
          <w:p w14:paraId="584CE93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B7AE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1169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5A530302304</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754B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企业管理基础</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C81C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E89E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BD84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D6AD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7FA6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AA33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80D6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2B04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5B33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B5DD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2024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5E3F4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50F55F9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top w:val="single" w:color="000000" w:sz="4" w:space="0"/>
              <w:left w:val="single" w:color="auto" w:sz="4" w:space="0"/>
              <w:bottom w:val="nil"/>
              <w:right w:val="single" w:color="000000" w:sz="4" w:space="0"/>
            </w:tcBorders>
            <w:shd w:val="clear" w:color="auto" w:fill="auto"/>
            <w:vAlign w:val="center"/>
          </w:tcPr>
          <w:p w14:paraId="2D44EE8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nil"/>
              <w:right w:val="single" w:color="000000" w:sz="4" w:space="0"/>
            </w:tcBorders>
            <w:shd w:val="clear" w:color="auto" w:fill="auto"/>
            <w:noWrap/>
            <w:vAlign w:val="center"/>
          </w:tcPr>
          <w:p w14:paraId="49A293D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52B4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05B4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5B530302306</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AB3D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出纳业务操作</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98B6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7D1A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3D9E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E98C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988C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BCE2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02F5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4C1B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487D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7908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B28E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14:paraId="47434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0FC7A04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top w:val="single" w:color="000000" w:sz="4" w:space="0"/>
              <w:left w:val="single" w:color="auto" w:sz="4" w:space="0"/>
              <w:bottom w:val="nil"/>
              <w:right w:val="single" w:color="000000" w:sz="4" w:space="0"/>
            </w:tcBorders>
            <w:shd w:val="clear" w:color="auto" w:fill="auto"/>
            <w:vAlign w:val="center"/>
          </w:tcPr>
          <w:p w14:paraId="381C74B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nil"/>
              <w:right w:val="single" w:color="000000" w:sz="4" w:space="0"/>
            </w:tcBorders>
            <w:shd w:val="clear" w:color="auto" w:fill="auto"/>
            <w:noWrap/>
            <w:vAlign w:val="center"/>
          </w:tcPr>
          <w:p w14:paraId="0FAE88E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240E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16BC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5B530302305</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F541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大数据技术应用基础</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086D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6EBC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3B07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3A09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48</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E1BE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101E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6834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64E0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0B7C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80E4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1C32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6D51F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jc w:val="center"/>
        </w:trPr>
        <w:tc>
          <w:tcPr>
            <w:tcW w:w="323" w:type="dxa"/>
            <w:vMerge w:val="continue"/>
            <w:tcBorders>
              <w:left w:val="single" w:color="auto" w:sz="4" w:space="0"/>
              <w:right w:val="single" w:color="auto" w:sz="4" w:space="0"/>
            </w:tcBorders>
            <w:shd w:val="clear" w:color="auto" w:fill="auto"/>
            <w:vAlign w:val="center"/>
          </w:tcPr>
          <w:p w14:paraId="233A083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top w:val="single" w:color="000000" w:sz="4" w:space="0"/>
              <w:left w:val="single" w:color="auto" w:sz="4" w:space="0"/>
              <w:bottom w:val="nil"/>
              <w:right w:val="single" w:color="000000" w:sz="4" w:space="0"/>
            </w:tcBorders>
            <w:shd w:val="clear" w:color="auto" w:fill="auto"/>
            <w:vAlign w:val="center"/>
          </w:tcPr>
          <w:p w14:paraId="5336CCD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nil"/>
              <w:right w:val="single" w:color="000000" w:sz="4" w:space="0"/>
            </w:tcBorders>
            <w:shd w:val="clear" w:color="auto" w:fill="auto"/>
            <w:noWrap/>
            <w:vAlign w:val="center"/>
          </w:tcPr>
          <w:p w14:paraId="6A5CED9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DC2F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7E62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5B530302307</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A50F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统计基础</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8B95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9D76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E71C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FF7E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E0C6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3CAB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175E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1DE8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C1BB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4BD4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4267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14:paraId="60D87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5B63E2F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A8DEC2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AFCA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87B8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5F87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5B530302308</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4F16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财务机器人应用与开发</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DD46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AA4A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AE23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F6F8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27A5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55A1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80A1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128E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449A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E03F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51B5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4DF85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jc w:val="center"/>
        </w:trPr>
        <w:tc>
          <w:tcPr>
            <w:tcW w:w="323" w:type="dxa"/>
            <w:vMerge w:val="continue"/>
            <w:tcBorders>
              <w:left w:val="single" w:color="auto" w:sz="4" w:space="0"/>
              <w:right w:val="single" w:color="auto" w:sz="4" w:space="0"/>
            </w:tcBorders>
            <w:shd w:val="clear" w:color="auto" w:fill="auto"/>
            <w:vAlign w:val="center"/>
          </w:tcPr>
          <w:p w14:paraId="1F0B9BB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1384EA1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58F6562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5DEB960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2D7E3E2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专业核心课</w:t>
            </w: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E1BC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41A0B5E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3E62101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4FE09EA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564A333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必修</w:t>
            </w: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BD0B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EF35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5B530302401</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8927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大数据技术在财务中的应用</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4DE9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6DBE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9D05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A31F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DB95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1411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C458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6C7A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57B4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64C3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483F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273F0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1DB675A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FD6E40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6513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EC03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862F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5B530302402</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6D7E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企业财务会计</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6649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ADAC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7287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0965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E83C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86F8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87B2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EF40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C00A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B08A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2C20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14:paraId="05CD7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1E93E13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C553CF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17B8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BE06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5470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5B530302403</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5620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智能化成本核算与管理</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931F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AB46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3941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0F17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C844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185A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DFA7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DE67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A4E9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5F08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92F7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14:paraId="7484E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0A59E9C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E56822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7B1B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F36C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0084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5B530302404</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180D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智慧化税费申报与管理</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3E71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6E89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C14D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B40D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CFCB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A4F8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AFF8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C722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07F3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29DA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3D2F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16C79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18E6D59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412CBD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E4A1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2B17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E600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5B530302404</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F290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企业内部控制</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13A0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B803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BDDF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48</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7283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4BFD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4EC4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4E3A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D291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C98E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071D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D3E1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14:paraId="73222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369981E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E520C0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B3F2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0685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7125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5B530302406</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7E43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会计信息系统应用</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FD75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C7E0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6660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8912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60</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C334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957E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2DD3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7038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AB69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DD06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44B6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121C9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68E129B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7776DA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9BF5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C976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E5E1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5A530302407</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6C76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管理会计实务</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C63F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A50B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D6F3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3535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F3C0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06B2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8288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8308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9A97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DDE9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D4CF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考试</w:t>
            </w:r>
          </w:p>
        </w:tc>
      </w:tr>
      <w:tr w14:paraId="0B6C0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3625A2E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B3C31C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636E8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03E1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88E8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5B530302408</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EB62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财务大数据分析</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2FA4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8672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CA20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CB0F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48</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9D9F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A4A1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5A93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8F1D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4F7A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D3E1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C71C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4F4B5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2452C4A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restart"/>
            <w:tcBorders>
              <w:top w:val="single" w:color="000000" w:sz="4" w:space="0"/>
              <w:left w:val="single" w:color="auto" w:sz="4" w:space="0"/>
              <w:right w:val="single" w:color="000000" w:sz="4" w:space="0"/>
            </w:tcBorders>
            <w:shd w:val="clear" w:color="auto" w:fill="auto"/>
            <w:vAlign w:val="center"/>
          </w:tcPr>
          <w:p w14:paraId="5BF8DB0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专业拓展课</w:t>
            </w:r>
          </w:p>
        </w:tc>
        <w:tc>
          <w:tcPr>
            <w:tcW w:w="481" w:type="dxa"/>
            <w:vMerge w:val="restart"/>
            <w:tcBorders>
              <w:top w:val="single" w:color="000000" w:sz="4" w:space="0"/>
              <w:left w:val="single" w:color="000000" w:sz="4" w:space="0"/>
              <w:right w:val="single" w:color="000000" w:sz="4" w:space="0"/>
            </w:tcBorders>
            <w:shd w:val="clear" w:color="auto" w:fill="auto"/>
            <w:vAlign w:val="center"/>
          </w:tcPr>
          <w:p w14:paraId="6EE68AB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选修</w:t>
            </w: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92AB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C6D9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5B530302501</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C0DD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财政金融基础</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663E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4677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2030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96CA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F73A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B85B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2B39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04E4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947" w:type="dxa"/>
            <w:gridSpan w:val="2"/>
            <w:vMerge w:val="restart"/>
            <w:tcBorders>
              <w:top w:val="single" w:color="000000" w:sz="4" w:space="0"/>
              <w:left w:val="single" w:color="000000" w:sz="4" w:space="0"/>
              <w:right w:val="single" w:color="000000" w:sz="4" w:space="0"/>
            </w:tcBorders>
            <w:shd w:val="clear" w:color="auto" w:fill="auto"/>
            <w:noWrap/>
            <w:vAlign w:val="center"/>
          </w:tcPr>
          <w:p w14:paraId="0C4D184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31C4578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75C3135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4CAAF90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p w14:paraId="2EAD8CC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专业拓展课最低学分要求为8学分</w:t>
            </w: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4E05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3B943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0A2B4B2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left w:val="single" w:color="auto" w:sz="4" w:space="0"/>
              <w:right w:val="single" w:color="000000" w:sz="4" w:space="0"/>
            </w:tcBorders>
            <w:shd w:val="clear" w:color="auto" w:fill="auto"/>
            <w:vAlign w:val="center"/>
          </w:tcPr>
          <w:p w14:paraId="6B9C600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left w:val="single" w:color="000000" w:sz="4" w:space="0"/>
              <w:right w:val="single" w:color="000000" w:sz="4" w:space="0"/>
            </w:tcBorders>
            <w:shd w:val="clear" w:color="auto" w:fill="auto"/>
            <w:vAlign w:val="center"/>
          </w:tcPr>
          <w:p w14:paraId="5D70ACE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0E2C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8EAA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5B530302502</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C544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Excel在会计中的应用</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61C8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E324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8E23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98AE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690C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0958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4AEC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8A5B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947" w:type="dxa"/>
            <w:gridSpan w:val="2"/>
            <w:vMerge w:val="continue"/>
            <w:tcBorders>
              <w:left w:val="single" w:color="000000" w:sz="4" w:space="0"/>
              <w:right w:val="single" w:color="000000" w:sz="4" w:space="0"/>
            </w:tcBorders>
            <w:shd w:val="clear" w:color="auto" w:fill="auto"/>
            <w:noWrap/>
            <w:vAlign w:val="center"/>
          </w:tcPr>
          <w:p w14:paraId="364874B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A2AD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7442B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0094866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left w:val="single" w:color="auto" w:sz="4" w:space="0"/>
              <w:right w:val="single" w:color="000000" w:sz="4" w:space="0"/>
            </w:tcBorders>
            <w:shd w:val="clear" w:color="auto" w:fill="auto"/>
            <w:vAlign w:val="center"/>
          </w:tcPr>
          <w:p w14:paraId="263D429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left w:val="single" w:color="000000" w:sz="4" w:space="0"/>
              <w:right w:val="single" w:color="000000" w:sz="4" w:space="0"/>
            </w:tcBorders>
            <w:shd w:val="clear" w:color="auto" w:fill="auto"/>
            <w:vAlign w:val="center"/>
          </w:tcPr>
          <w:p w14:paraId="50AC67A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510B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4F23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5B530302503</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D725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中国会计文化</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A690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B917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9169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1463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A80B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F22E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D5C9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02CF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947" w:type="dxa"/>
            <w:gridSpan w:val="2"/>
            <w:vMerge w:val="continue"/>
            <w:tcBorders>
              <w:left w:val="single" w:color="000000" w:sz="4" w:space="0"/>
              <w:right w:val="single" w:color="000000" w:sz="4" w:space="0"/>
            </w:tcBorders>
            <w:shd w:val="clear" w:color="auto" w:fill="auto"/>
            <w:noWrap/>
            <w:vAlign w:val="center"/>
          </w:tcPr>
          <w:p w14:paraId="60F009A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5CA2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67EC9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4777C2A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left w:val="single" w:color="auto" w:sz="4" w:space="0"/>
              <w:right w:val="single" w:color="000000" w:sz="4" w:space="0"/>
            </w:tcBorders>
            <w:shd w:val="clear" w:color="auto" w:fill="auto"/>
            <w:vAlign w:val="center"/>
          </w:tcPr>
          <w:p w14:paraId="369368C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left w:val="single" w:color="000000" w:sz="4" w:space="0"/>
              <w:right w:val="single" w:color="000000" w:sz="4" w:space="0"/>
            </w:tcBorders>
            <w:shd w:val="clear" w:color="auto" w:fill="auto"/>
            <w:vAlign w:val="center"/>
          </w:tcPr>
          <w:p w14:paraId="4B54949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F55E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9CE2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5B530302504</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43BC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审计基础与实务</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8E15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0D06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5A49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97B1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A351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5C47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D400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40A3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947" w:type="dxa"/>
            <w:gridSpan w:val="2"/>
            <w:vMerge w:val="continue"/>
            <w:tcBorders>
              <w:left w:val="single" w:color="000000" w:sz="4" w:space="0"/>
              <w:right w:val="single" w:color="000000" w:sz="4" w:space="0"/>
            </w:tcBorders>
            <w:shd w:val="clear" w:color="auto" w:fill="auto"/>
            <w:noWrap/>
            <w:vAlign w:val="center"/>
          </w:tcPr>
          <w:p w14:paraId="29461B6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4777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1882F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5741251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left w:val="single" w:color="auto" w:sz="4" w:space="0"/>
              <w:right w:val="single" w:color="000000" w:sz="4" w:space="0"/>
            </w:tcBorders>
            <w:shd w:val="clear" w:color="auto" w:fill="auto"/>
            <w:vAlign w:val="center"/>
          </w:tcPr>
          <w:p w14:paraId="2FE5DFD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left w:val="single" w:color="000000" w:sz="4" w:space="0"/>
              <w:right w:val="single" w:color="000000" w:sz="4" w:space="0"/>
            </w:tcBorders>
            <w:shd w:val="clear" w:color="auto" w:fill="auto"/>
            <w:vAlign w:val="center"/>
          </w:tcPr>
          <w:p w14:paraId="4C1186F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8C0D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B7A2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5B530302505</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AE56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行业会计比较</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DD3B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94DE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DB09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069E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064B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0964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57BA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3D59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947" w:type="dxa"/>
            <w:gridSpan w:val="2"/>
            <w:vMerge w:val="continue"/>
            <w:tcBorders>
              <w:left w:val="single" w:color="000000" w:sz="4" w:space="0"/>
              <w:right w:val="single" w:color="000000" w:sz="4" w:space="0"/>
            </w:tcBorders>
            <w:shd w:val="clear" w:color="auto" w:fill="auto"/>
            <w:noWrap/>
            <w:vAlign w:val="center"/>
          </w:tcPr>
          <w:p w14:paraId="45E1EA9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A148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706BF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6F21E9C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left w:val="single" w:color="auto" w:sz="4" w:space="0"/>
              <w:right w:val="single" w:color="000000" w:sz="4" w:space="0"/>
            </w:tcBorders>
            <w:shd w:val="clear" w:color="auto" w:fill="auto"/>
            <w:vAlign w:val="center"/>
          </w:tcPr>
          <w:p w14:paraId="4E85FE0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left w:val="single" w:color="000000" w:sz="4" w:space="0"/>
              <w:right w:val="single" w:color="000000" w:sz="4" w:space="0"/>
            </w:tcBorders>
            <w:shd w:val="clear" w:color="auto" w:fill="auto"/>
            <w:vAlign w:val="center"/>
          </w:tcPr>
          <w:p w14:paraId="55622A5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3CD2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E21A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5B530302506</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FF66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会计制度设计</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A844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DB3B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6DEE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76EF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5DA1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AEE7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A484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FA54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947" w:type="dxa"/>
            <w:gridSpan w:val="2"/>
            <w:vMerge w:val="continue"/>
            <w:tcBorders>
              <w:left w:val="single" w:color="000000" w:sz="4" w:space="0"/>
              <w:right w:val="single" w:color="000000" w:sz="4" w:space="0"/>
            </w:tcBorders>
            <w:shd w:val="clear" w:color="auto" w:fill="auto"/>
            <w:noWrap/>
            <w:vAlign w:val="center"/>
          </w:tcPr>
          <w:p w14:paraId="0899334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CC9B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0A3D3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jc w:val="center"/>
        </w:trPr>
        <w:tc>
          <w:tcPr>
            <w:tcW w:w="323" w:type="dxa"/>
            <w:vMerge w:val="continue"/>
            <w:tcBorders>
              <w:left w:val="single" w:color="auto" w:sz="4" w:space="0"/>
              <w:right w:val="single" w:color="auto" w:sz="4" w:space="0"/>
            </w:tcBorders>
            <w:shd w:val="clear" w:color="auto" w:fill="auto"/>
            <w:vAlign w:val="center"/>
          </w:tcPr>
          <w:p w14:paraId="266F385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left w:val="single" w:color="auto" w:sz="4" w:space="0"/>
              <w:right w:val="single" w:color="000000" w:sz="4" w:space="0"/>
            </w:tcBorders>
            <w:shd w:val="clear" w:color="auto" w:fill="auto"/>
            <w:vAlign w:val="center"/>
          </w:tcPr>
          <w:p w14:paraId="140FF91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left w:val="single" w:color="000000" w:sz="4" w:space="0"/>
              <w:right w:val="single" w:color="000000" w:sz="4" w:space="0"/>
            </w:tcBorders>
            <w:shd w:val="clear" w:color="auto" w:fill="auto"/>
            <w:vAlign w:val="center"/>
          </w:tcPr>
          <w:p w14:paraId="0C0E567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67B7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14CA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5B530302507</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9561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市场营销</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27E8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A131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03DB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185C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894C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BD1F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6D66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2DBD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947" w:type="dxa"/>
            <w:gridSpan w:val="2"/>
            <w:vMerge w:val="continue"/>
            <w:tcBorders>
              <w:left w:val="single" w:color="000000" w:sz="4" w:space="0"/>
              <w:right w:val="single" w:color="000000" w:sz="4" w:space="0"/>
            </w:tcBorders>
            <w:shd w:val="clear" w:color="auto" w:fill="auto"/>
            <w:noWrap/>
            <w:vAlign w:val="center"/>
          </w:tcPr>
          <w:p w14:paraId="3029D28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4DFF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1E70E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6B0B396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left w:val="single" w:color="auto" w:sz="4" w:space="0"/>
              <w:right w:val="single" w:color="000000" w:sz="4" w:space="0"/>
            </w:tcBorders>
            <w:shd w:val="clear" w:color="auto" w:fill="auto"/>
            <w:vAlign w:val="center"/>
          </w:tcPr>
          <w:p w14:paraId="651A3E4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left w:val="single" w:color="000000" w:sz="4" w:space="0"/>
              <w:right w:val="single" w:color="000000" w:sz="4" w:space="0"/>
            </w:tcBorders>
            <w:shd w:val="clear" w:color="auto" w:fill="auto"/>
            <w:vAlign w:val="center"/>
          </w:tcPr>
          <w:p w14:paraId="24D490B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8B9D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8FCB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5B530302508</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0997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企业财务管理</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378E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F8B2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C667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72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3E6961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357" w:type="dxa"/>
            <w:tcBorders>
              <w:top w:val="nil"/>
              <w:left w:val="nil"/>
              <w:bottom w:val="single" w:color="auto" w:sz="4" w:space="0"/>
              <w:right w:val="nil"/>
            </w:tcBorders>
            <w:shd w:val="clear" w:color="auto" w:fill="auto"/>
            <w:noWrap/>
            <w:vAlign w:val="center"/>
          </w:tcPr>
          <w:p w14:paraId="57989A2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60FCAF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BF7F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AF96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947" w:type="dxa"/>
            <w:gridSpan w:val="2"/>
            <w:vMerge w:val="continue"/>
            <w:tcBorders>
              <w:left w:val="single" w:color="000000" w:sz="4" w:space="0"/>
              <w:right w:val="single" w:color="000000" w:sz="4" w:space="0"/>
            </w:tcBorders>
            <w:shd w:val="clear" w:color="auto" w:fill="auto"/>
            <w:vAlign w:val="center"/>
          </w:tcPr>
          <w:p w14:paraId="3C50D50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033E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511D5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jc w:val="center"/>
        </w:trPr>
        <w:tc>
          <w:tcPr>
            <w:tcW w:w="323" w:type="dxa"/>
            <w:vMerge w:val="continue"/>
            <w:tcBorders>
              <w:left w:val="single" w:color="auto" w:sz="4" w:space="0"/>
              <w:right w:val="single" w:color="auto" w:sz="4" w:space="0"/>
            </w:tcBorders>
            <w:shd w:val="clear" w:color="auto" w:fill="auto"/>
            <w:vAlign w:val="center"/>
          </w:tcPr>
          <w:p w14:paraId="227F1F3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left w:val="single" w:color="auto" w:sz="4" w:space="0"/>
              <w:right w:val="single" w:color="000000" w:sz="4" w:space="0"/>
            </w:tcBorders>
            <w:shd w:val="clear" w:color="auto" w:fill="auto"/>
            <w:vAlign w:val="center"/>
          </w:tcPr>
          <w:p w14:paraId="0BA2E88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left w:val="single" w:color="000000" w:sz="4" w:space="0"/>
              <w:right w:val="single" w:color="000000" w:sz="4" w:space="0"/>
            </w:tcBorders>
            <w:shd w:val="clear" w:color="auto" w:fill="auto"/>
            <w:vAlign w:val="center"/>
          </w:tcPr>
          <w:p w14:paraId="6881641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41E9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296D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5B530302509</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7768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财经法规与会计职业道德</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3A7C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4C00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5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259D50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728" w:type="dxa"/>
            <w:tcBorders>
              <w:top w:val="single" w:color="auto" w:sz="4" w:space="0"/>
              <w:left w:val="single" w:color="auto" w:sz="4" w:space="0"/>
              <w:bottom w:val="single" w:color="auto" w:sz="4" w:space="0"/>
              <w:right w:val="single" w:color="000000" w:sz="4" w:space="0"/>
            </w:tcBorders>
            <w:shd w:val="clear" w:color="auto" w:fill="auto"/>
            <w:noWrap/>
            <w:vAlign w:val="center"/>
          </w:tcPr>
          <w:p w14:paraId="3A39C77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357" w:type="dxa"/>
            <w:tcBorders>
              <w:top w:val="single" w:color="auto" w:sz="4" w:space="0"/>
              <w:left w:val="nil"/>
              <w:bottom w:val="single" w:color="auto" w:sz="4" w:space="0"/>
              <w:right w:val="nil"/>
            </w:tcBorders>
            <w:shd w:val="clear" w:color="auto" w:fill="auto"/>
            <w:noWrap/>
            <w:vAlign w:val="center"/>
          </w:tcPr>
          <w:p w14:paraId="50ECAFE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7854C8F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47B0F02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E9FD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947" w:type="dxa"/>
            <w:gridSpan w:val="2"/>
            <w:vMerge w:val="continue"/>
            <w:tcBorders>
              <w:left w:val="single" w:color="000000" w:sz="4" w:space="0"/>
              <w:right w:val="single" w:color="000000" w:sz="4" w:space="0"/>
            </w:tcBorders>
            <w:shd w:val="clear" w:color="auto" w:fill="auto"/>
            <w:vAlign w:val="center"/>
          </w:tcPr>
          <w:p w14:paraId="0CE936B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04BF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10F00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 w:hRule="atLeast"/>
          <w:jc w:val="center"/>
        </w:trPr>
        <w:tc>
          <w:tcPr>
            <w:tcW w:w="323" w:type="dxa"/>
            <w:vMerge w:val="continue"/>
            <w:tcBorders>
              <w:left w:val="single" w:color="auto" w:sz="4" w:space="0"/>
              <w:right w:val="single" w:color="auto" w:sz="4" w:space="0"/>
            </w:tcBorders>
            <w:shd w:val="clear" w:color="auto" w:fill="auto"/>
            <w:vAlign w:val="center"/>
          </w:tcPr>
          <w:p w14:paraId="2E7AD4F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left w:val="single" w:color="auto" w:sz="4" w:space="0"/>
              <w:right w:val="single" w:color="000000" w:sz="4" w:space="0"/>
            </w:tcBorders>
            <w:shd w:val="clear" w:color="auto" w:fill="auto"/>
            <w:vAlign w:val="center"/>
          </w:tcPr>
          <w:p w14:paraId="0246250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left w:val="single" w:color="000000" w:sz="4" w:space="0"/>
              <w:right w:val="single" w:color="000000" w:sz="4" w:space="0"/>
            </w:tcBorders>
            <w:shd w:val="clear" w:color="auto" w:fill="auto"/>
            <w:vAlign w:val="center"/>
          </w:tcPr>
          <w:p w14:paraId="05A3C56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5EC0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F6BE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5B530302510</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7B5F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管理学</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A498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B1C8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3A43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728" w:type="dxa"/>
            <w:tcBorders>
              <w:top w:val="single" w:color="auto" w:sz="4" w:space="0"/>
              <w:left w:val="single" w:color="000000" w:sz="4" w:space="0"/>
              <w:bottom w:val="single" w:color="000000" w:sz="4" w:space="0"/>
              <w:right w:val="single" w:color="auto" w:sz="4" w:space="0"/>
            </w:tcBorders>
            <w:shd w:val="clear" w:color="auto" w:fill="auto"/>
            <w:noWrap/>
            <w:vAlign w:val="center"/>
          </w:tcPr>
          <w:p w14:paraId="185A464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357" w:type="dxa"/>
            <w:tcBorders>
              <w:top w:val="single" w:color="auto" w:sz="4" w:space="0"/>
              <w:left w:val="single" w:color="auto" w:sz="4" w:space="0"/>
              <w:bottom w:val="single" w:color="auto" w:sz="4" w:space="0"/>
              <w:right w:val="nil"/>
            </w:tcBorders>
            <w:shd w:val="clear" w:color="auto" w:fill="auto"/>
            <w:noWrap/>
            <w:vAlign w:val="center"/>
          </w:tcPr>
          <w:p w14:paraId="5C1052A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577ED5B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4D5B1F4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89BF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947" w:type="dxa"/>
            <w:gridSpan w:val="2"/>
            <w:vMerge w:val="continue"/>
            <w:tcBorders>
              <w:left w:val="single" w:color="000000" w:sz="4" w:space="0"/>
              <w:right w:val="single" w:color="000000" w:sz="4" w:space="0"/>
            </w:tcBorders>
            <w:shd w:val="clear" w:color="auto" w:fill="auto"/>
            <w:vAlign w:val="center"/>
          </w:tcPr>
          <w:p w14:paraId="149B5CD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E7A8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70816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 w:hRule="atLeast"/>
          <w:jc w:val="center"/>
        </w:trPr>
        <w:tc>
          <w:tcPr>
            <w:tcW w:w="323" w:type="dxa"/>
            <w:vMerge w:val="continue"/>
            <w:tcBorders>
              <w:left w:val="single" w:color="auto" w:sz="4" w:space="0"/>
              <w:right w:val="single" w:color="auto" w:sz="4" w:space="0"/>
            </w:tcBorders>
            <w:shd w:val="clear" w:color="auto" w:fill="auto"/>
            <w:vAlign w:val="center"/>
          </w:tcPr>
          <w:p w14:paraId="73F2572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left w:val="single" w:color="auto" w:sz="4" w:space="0"/>
              <w:bottom w:val="single" w:color="000000" w:sz="4" w:space="0"/>
              <w:right w:val="single" w:color="000000" w:sz="4" w:space="0"/>
            </w:tcBorders>
            <w:shd w:val="clear" w:color="auto" w:fill="auto"/>
            <w:vAlign w:val="center"/>
          </w:tcPr>
          <w:p w14:paraId="7C54F22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left w:val="single" w:color="000000" w:sz="4" w:space="0"/>
              <w:bottom w:val="single" w:color="000000" w:sz="4" w:space="0"/>
              <w:right w:val="single" w:color="000000" w:sz="4" w:space="0"/>
            </w:tcBorders>
            <w:shd w:val="clear" w:color="auto" w:fill="auto"/>
            <w:vAlign w:val="center"/>
          </w:tcPr>
          <w:p w14:paraId="7EB7030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3C8F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A434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5B530302511</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B073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电子商务</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0F10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668D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6E1E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AB0D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357" w:type="dxa"/>
            <w:tcBorders>
              <w:top w:val="single" w:color="auto" w:sz="4" w:space="0"/>
              <w:left w:val="nil"/>
              <w:bottom w:val="nil"/>
              <w:right w:val="nil"/>
            </w:tcBorders>
            <w:shd w:val="clear" w:color="auto" w:fill="auto"/>
            <w:noWrap/>
            <w:vAlign w:val="center"/>
          </w:tcPr>
          <w:p w14:paraId="4DA9CF5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63ADA2F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DA04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21A9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947" w:type="dxa"/>
            <w:gridSpan w:val="2"/>
            <w:vMerge w:val="continue"/>
            <w:tcBorders>
              <w:left w:val="single" w:color="000000" w:sz="4" w:space="0"/>
              <w:bottom w:val="single" w:color="000000" w:sz="4" w:space="0"/>
              <w:right w:val="single" w:color="000000" w:sz="4" w:space="0"/>
            </w:tcBorders>
            <w:shd w:val="clear" w:color="auto" w:fill="auto"/>
            <w:vAlign w:val="center"/>
          </w:tcPr>
          <w:p w14:paraId="3B1ECCD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7E13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791F1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4" w:hRule="atLeast"/>
          <w:jc w:val="center"/>
        </w:trPr>
        <w:tc>
          <w:tcPr>
            <w:tcW w:w="323" w:type="dxa"/>
            <w:vMerge w:val="continue"/>
            <w:tcBorders>
              <w:left w:val="single" w:color="auto" w:sz="4" w:space="0"/>
              <w:right w:val="single" w:color="auto" w:sz="4" w:space="0"/>
            </w:tcBorders>
            <w:shd w:val="clear" w:color="auto" w:fill="auto"/>
            <w:vAlign w:val="center"/>
          </w:tcPr>
          <w:p w14:paraId="5380FD5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5E1D8CA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实践性教学环节</w:t>
            </w:r>
          </w:p>
        </w:tc>
        <w:tc>
          <w:tcPr>
            <w:tcW w:w="481"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0C63FCD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必修</w:t>
            </w:r>
          </w:p>
        </w:tc>
        <w:tc>
          <w:tcPr>
            <w:tcW w:w="550"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5951766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w:t>
            </w:r>
          </w:p>
        </w:tc>
        <w:tc>
          <w:tcPr>
            <w:tcW w:w="156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1D27A3D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1B410101601</w:t>
            </w:r>
          </w:p>
        </w:tc>
        <w:tc>
          <w:tcPr>
            <w:tcW w:w="1628" w:type="dxa"/>
            <w:tcBorders>
              <w:top w:val="single" w:color="000000" w:sz="4" w:space="0"/>
              <w:left w:val="single" w:color="000000" w:sz="4" w:space="0"/>
              <w:bottom w:val="single" w:color="auto" w:sz="4" w:space="0"/>
              <w:right w:val="single" w:color="000000" w:sz="4" w:space="0"/>
            </w:tcBorders>
            <w:shd w:val="clear" w:color="auto" w:fill="auto"/>
            <w:vAlign w:val="center"/>
          </w:tcPr>
          <w:p w14:paraId="5DD153F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毕业设计</w:t>
            </w:r>
          </w:p>
        </w:tc>
        <w:tc>
          <w:tcPr>
            <w:tcW w:w="68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AB8B2D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w:t>
            </w:r>
          </w:p>
        </w:tc>
        <w:tc>
          <w:tcPr>
            <w:tcW w:w="840"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ED5DB5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80</w:t>
            </w:r>
          </w:p>
        </w:tc>
        <w:tc>
          <w:tcPr>
            <w:tcW w:w="750"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E3628A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w:t>
            </w:r>
          </w:p>
        </w:tc>
        <w:tc>
          <w:tcPr>
            <w:tcW w:w="72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9830B2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60</w:t>
            </w:r>
          </w:p>
        </w:tc>
        <w:tc>
          <w:tcPr>
            <w:tcW w:w="35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A35797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706EB5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6D2965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E619B7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auto" w:sz="4" w:space="0"/>
              <w:right w:val="single" w:color="000000" w:sz="4" w:space="0"/>
            </w:tcBorders>
            <w:shd w:val="clear" w:color="auto" w:fill="auto"/>
            <w:vAlign w:val="center"/>
          </w:tcPr>
          <w:p w14:paraId="1F1F98A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20</w:t>
            </w:r>
          </w:p>
        </w:tc>
        <w:tc>
          <w:tcPr>
            <w:tcW w:w="407" w:type="dxa"/>
            <w:tcBorders>
              <w:top w:val="single" w:color="000000" w:sz="4" w:space="0"/>
              <w:left w:val="single" w:color="000000" w:sz="4" w:space="0"/>
              <w:bottom w:val="single" w:color="auto" w:sz="4" w:space="0"/>
              <w:right w:val="single" w:color="000000" w:sz="4" w:space="0"/>
            </w:tcBorders>
            <w:shd w:val="clear" w:color="auto" w:fill="auto"/>
            <w:vAlign w:val="center"/>
          </w:tcPr>
          <w:p w14:paraId="5106EAA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auto" w:sz="4" w:space="0"/>
              <w:right w:val="single" w:color="000000" w:sz="4" w:space="0"/>
            </w:tcBorders>
            <w:shd w:val="clear" w:color="auto" w:fill="auto"/>
            <w:vAlign w:val="center"/>
          </w:tcPr>
          <w:p w14:paraId="484F168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063C9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323" w:type="dxa"/>
            <w:vMerge w:val="continue"/>
            <w:tcBorders>
              <w:left w:val="single" w:color="auto" w:sz="4" w:space="0"/>
              <w:right w:val="single" w:color="auto" w:sz="4" w:space="0"/>
            </w:tcBorders>
            <w:shd w:val="clear" w:color="auto" w:fill="auto"/>
            <w:vAlign w:val="center"/>
          </w:tcPr>
          <w:p w14:paraId="48E9AFF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83" w:type="dxa"/>
            <w:vMerge w:val="continue"/>
            <w:tcBorders>
              <w:left w:val="single" w:color="000000" w:sz="4" w:space="0"/>
              <w:right w:val="single" w:color="000000" w:sz="4" w:space="0"/>
            </w:tcBorders>
            <w:shd w:val="clear" w:color="auto" w:fill="auto"/>
            <w:vAlign w:val="center"/>
          </w:tcPr>
          <w:p w14:paraId="4717F18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3C58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DA45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w:t>
            </w:r>
          </w:p>
        </w:tc>
        <w:tc>
          <w:tcPr>
            <w:tcW w:w="1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F23F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1C410101602</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5B6A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岗位实习</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4830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1E61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432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B63E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1BB4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432</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BB1C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11FD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3D30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AFE2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0540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B868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4979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考查</w:t>
            </w:r>
          </w:p>
        </w:tc>
      </w:tr>
      <w:tr w14:paraId="277E8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932" w:type="dxa"/>
            <w:gridSpan w:val="6"/>
            <w:tcBorders>
              <w:top w:val="single" w:color="000000" w:sz="4" w:space="0"/>
              <w:left w:val="single" w:color="000000" w:sz="4" w:space="0"/>
              <w:bottom w:val="single" w:color="000000" w:sz="4" w:space="0"/>
              <w:right w:val="single" w:color="000000" w:sz="4" w:space="0"/>
            </w:tcBorders>
            <w:shd w:val="clear" w:color="auto" w:fill="auto"/>
            <w:vAlign w:val="bottom"/>
          </w:tcPr>
          <w:p w14:paraId="18CEE02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专业必修课程学分、学时小计</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D626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6531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1628</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5CC4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704</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B3AE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924</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86F2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F06B5">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E4DAB">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26EB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92C4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9C1D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ABDB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r>
      <w:tr w14:paraId="2A763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49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5CA44E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专业必修课程学分、学时占比</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5BEB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pacing w:val="-23"/>
                <w:w w:val="97"/>
                <w:sz w:val="20"/>
                <w:szCs w:val="20"/>
                <w:highlight w:val="none"/>
                <w:lang w:val="en-US" w:eastAsia="zh-CN"/>
              </w:rPr>
            </w:pPr>
            <w:r>
              <w:rPr>
                <w:rFonts w:hint="eastAsia" w:ascii="仿宋_GB2312" w:hAnsi="仿宋_GB2312" w:eastAsia="仿宋_GB2312" w:cs="仿宋_GB2312"/>
                <w:spacing w:val="-23"/>
                <w:w w:val="97"/>
                <w:sz w:val="20"/>
                <w:szCs w:val="20"/>
                <w:highlight w:val="none"/>
                <w:lang w:val="en-US" w:eastAsia="zh-CN"/>
              </w:rPr>
              <w:t>59.44%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A441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60.43%</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E96D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pacing w:val="-23"/>
                <w:w w:val="97"/>
                <w:sz w:val="20"/>
                <w:szCs w:val="20"/>
                <w:highlight w:val="none"/>
                <w:lang w:val="en-US" w:eastAsia="zh-CN"/>
              </w:rPr>
            </w:pPr>
            <w:r>
              <w:rPr>
                <w:rFonts w:hint="eastAsia" w:ascii="仿宋_GB2312" w:hAnsi="仿宋_GB2312" w:eastAsia="仿宋_GB2312" w:cs="仿宋_GB2312"/>
                <w:spacing w:val="-23"/>
                <w:w w:val="97"/>
                <w:sz w:val="20"/>
                <w:szCs w:val="20"/>
                <w:highlight w:val="none"/>
                <w:lang w:val="en-US" w:eastAsia="zh-CN"/>
              </w:rPr>
              <w:t>26.13%</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0F3A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pacing w:val="-23"/>
                <w:w w:val="97"/>
                <w:sz w:val="20"/>
                <w:szCs w:val="20"/>
                <w:highlight w:val="none"/>
                <w:lang w:val="en-US" w:eastAsia="zh-CN"/>
              </w:rPr>
            </w:pPr>
            <w:r>
              <w:rPr>
                <w:rFonts w:hint="eastAsia" w:ascii="仿宋_GB2312" w:hAnsi="仿宋_GB2312" w:eastAsia="仿宋_GB2312" w:cs="仿宋_GB2312"/>
                <w:spacing w:val="-23"/>
                <w:w w:val="97"/>
                <w:sz w:val="20"/>
                <w:szCs w:val="20"/>
                <w:highlight w:val="none"/>
                <w:lang w:val="en-US" w:eastAsia="zh-CN"/>
              </w:rPr>
              <w:t>34.30%</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98C1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B7F5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60EA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A233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361D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4901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61FD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r>
      <w:tr w14:paraId="6F684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49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04B4DC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专业拓展课程学分、学时小计</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BD4E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pacing w:val="-23"/>
                <w:w w:val="97"/>
                <w:sz w:val="20"/>
                <w:szCs w:val="20"/>
                <w:highlight w:val="none"/>
                <w:lang w:val="en-US" w:eastAsia="zh-CN"/>
              </w:rPr>
            </w:pPr>
            <w:r>
              <w:rPr>
                <w:rFonts w:hint="eastAsia" w:ascii="仿宋_GB2312" w:hAnsi="仿宋_GB2312" w:eastAsia="仿宋_GB2312" w:cs="仿宋_GB2312"/>
                <w:spacing w:val="-23"/>
                <w:w w:val="97"/>
                <w:sz w:val="20"/>
                <w:szCs w:val="20"/>
                <w:highlight w:val="none"/>
                <w:lang w:val="en-US" w:eastAsia="zh-CN"/>
              </w:rPr>
              <w:t>8</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D158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80CD4">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62C2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72</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3953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1ADB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92CC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3C7D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D382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A64B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4A2B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r>
      <w:tr w14:paraId="5D6E8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 w:hRule="atLeast"/>
          <w:jc w:val="center"/>
        </w:trPr>
        <w:tc>
          <w:tcPr>
            <w:tcW w:w="49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403837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专业拓展课程学分、学时占比</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8A27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pacing w:val="-23"/>
                <w:w w:val="97"/>
                <w:sz w:val="20"/>
                <w:szCs w:val="20"/>
                <w:highlight w:val="none"/>
                <w:lang w:val="en-US" w:eastAsia="zh-CN"/>
              </w:rPr>
            </w:pPr>
            <w:r>
              <w:rPr>
                <w:rFonts w:hint="eastAsia" w:ascii="仿宋_GB2312" w:hAnsi="仿宋_GB2312" w:eastAsia="仿宋_GB2312" w:cs="仿宋_GB2312"/>
                <w:spacing w:val="-23"/>
                <w:w w:val="97"/>
                <w:sz w:val="20"/>
                <w:szCs w:val="20"/>
                <w:highlight w:val="none"/>
                <w:lang w:val="en-US" w:eastAsia="zh-CN"/>
              </w:rPr>
              <w:t>5.59%</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BBE18">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5.35%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D5A52">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2.67%</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1951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2.67%</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BF55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1561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9AFC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09F9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A74C1">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9C679">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74DB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r>
      <w:tr w14:paraId="59AFE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3" w:hRule="atLeast"/>
          <w:jc w:val="center"/>
        </w:trPr>
        <w:tc>
          <w:tcPr>
            <w:tcW w:w="49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8CB173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总学分、学时合计</w:t>
            </w:r>
          </w:p>
        </w:tc>
        <w:tc>
          <w:tcPr>
            <w:tcW w:w="684" w:type="dxa"/>
            <w:tcBorders>
              <w:top w:val="single" w:color="000000" w:sz="4" w:space="0"/>
              <w:left w:val="single" w:color="000000" w:sz="4" w:space="0"/>
              <w:bottom w:val="single" w:color="000000" w:sz="4" w:space="0"/>
              <w:right w:val="nil"/>
            </w:tcBorders>
            <w:shd w:val="clear" w:color="auto" w:fill="auto"/>
            <w:noWrap/>
            <w:vAlign w:val="center"/>
          </w:tcPr>
          <w:p w14:paraId="40DBC88C">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143</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3E85F">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2694</w:t>
            </w:r>
          </w:p>
        </w:tc>
        <w:tc>
          <w:tcPr>
            <w:tcW w:w="750" w:type="dxa"/>
            <w:tcBorders>
              <w:top w:val="single" w:color="000000" w:sz="4" w:space="0"/>
              <w:left w:val="nil"/>
              <w:bottom w:val="single" w:color="000000" w:sz="4" w:space="0"/>
              <w:right w:val="single" w:color="000000" w:sz="4" w:space="0"/>
            </w:tcBorders>
            <w:shd w:val="clear" w:color="auto" w:fill="auto"/>
            <w:noWrap/>
            <w:vAlign w:val="center"/>
          </w:tcPr>
          <w:p w14:paraId="1843192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1310</w:t>
            </w: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212F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1384</w:t>
            </w: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A6376">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84DA7">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E5143">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2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A588A">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846BE">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F6BA0">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8F39D">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0"/>
                <w:szCs w:val="20"/>
                <w:highlight w:val="none"/>
                <w:lang w:val="en-US" w:eastAsia="zh-CN"/>
              </w:rPr>
            </w:pPr>
          </w:p>
        </w:tc>
      </w:tr>
      <w:bookmarkEnd w:id="16"/>
    </w:tbl>
    <w:p w14:paraId="678ED3C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师资队伍</w:t>
      </w:r>
    </w:p>
    <w:p w14:paraId="3133560E">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2DE6B199">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14:paraId="2799F3D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大数据与会计专业教师团队现有专任教师36人，获取职称人数为21人。其中副高及以上职称2人，中级职称12人，初级职称7人。双师型专任教师4人，具有研究生学位教师9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4B1D0156">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专业带头人</w:t>
      </w:r>
    </w:p>
    <w:p w14:paraId="691E2F05">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ascii="Segoe UI" w:hAnsi="Segoe UI" w:eastAsia="Segoe UI" w:cs="Segoe UI"/>
          <w:i w:val="0"/>
          <w:iCs w:val="0"/>
          <w:caps w:val="0"/>
          <w:spacing w:val="0"/>
          <w:sz w:val="19"/>
          <w:szCs w:val="19"/>
          <w:highlight w:val="none"/>
          <w:shd w:val="clear" w:fill="F9FAFB"/>
        </w:rPr>
      </w:pPr>
      <w:r>
        <w:rPr>
          <w:rFonts w:hint="eastAsia" w:ascii="仿宋_GB2312" w:hAnsi="仿宋_GB2312" w:eastAsia="仿宋_GB2312" w:cs="仿宋_GB2312"/>
          <w:color w:val="auto"/>
          <w:sz w:val="32"/>
          <w:szCs w:val="32"/>
          <w:highlight w:val="none"/>
        </w:rPr>
        <w:t>专业带头人原则上应具有副高及以上职称，能够较好地把握国内外会计行业、专业发展，能广泛联系行业企业，了解行业企业对本专业人才的需求实际，教学设计、专业研究能力强，组织开展教科研工作能力强，在本区域或本领域具有一定的专业影响力。本专业带头人为国超，副高级职称，负责本专业的规划与建设、主持专业人才培养方案、课程标准的制定与修订、教材、专业教学标准、专业认证体系的建设工作、负责本专业教学改革和实践技能培养方案的制定等工作。确保专业建设方向与行业发展同步；与广西本地企业建立深度合作，牵头建设校外实习实训基地，组织教师参与企业财务数字化转型项目，定期邀请行业专家优化课程内容，</w:t>
      </w:r>
      <w:r>
        <w:rPr>
          <w:rFonts w:hint="eastAsia" w:ascii="仿宋_GB2312" w:hAnsi="仿宋_GB2312" w:eastAsia="仿宋_GB2312" w:cs="仿宋_GB2312"/>
          <w:b w:val="0"/>
          <w:bCs w:val="0"/>
          <w:color w:val="auto"/>
          <w:sz w:val="32"/>
          <w:szCs w:val="32"/>
          <w:highlight w:val="none"/>
          <w:lang w:val="en-US" w:eastAsia="zh-CN"/>
        </w:rPr>
        <w:t>坚持教书和育人相统一，坚持言传和身教相统一，坚持潜心问道和关注社会相统一，坚持学术自由和学术规范相统一，</w:t>
      </w:r>
      <w:r>
        <w:rPr>
          <w:rFonts w:hint="eastAsia" w:ascii="仿宋_GB2312" w:hAnsi="仿宋_GB2312" w:eastAsia="仿宋_GB2312" w:cs="仿宋_GB2312"/>
          <w:color w:val="auto"/>
          <w:sz w:val="32"/>
          <w:szCs w:val="32"/>
          <w:highlight w:val="none"/>
        </w:rPr>
        <w:t>落实“做学生学习知识的引路人”。</w:t>
      </w:r>
    </w:p>
    <w:p w14:paraId="438A832C">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专任教师</w:t>
      </w:r>
      <w:r>
        <w:rPr>
          <w:rFonts w:hint="eastAsia" w:ascii="楷体" w:hAnsi="楷体" w:eastAsia="楷体" w:cs="楷体"/>
          <w:color w:val="auto"/>
          <w:sz w:val="32"/>
          <w:szCs w:val="32"/>
          <w:highlight w:val="none"/>
        </w:rPr>
        <w:br w:type="textWrapping"/>
      </w:r>
      <w:r>
        <w:rPr>
          <w:rFonts w:hint="eastAsia" w:ascii="仿宋_GB2312" w:hAnsi="仿宋_GB2312" w:eastAsia="仿宋_GB2312" w:cs="仿宋_GB2312"/>
          <w:color w:val="auto"/>
          <w:sz w:val="32"/>
          <w:szCs w:val="32"/>
          <w:highlight w:val="none"/>
        </w:rPr>
        <w:t>专任教师应具有高校教师资格</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有理想信念、有道德情操、有扎实学识、有仁爱之心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做学生锤炼品格的引路人，做学生学习知识的引路人，做学生创新思维的引路人，做学生奉献祖国的引路人；</w:t>
      </w:r>
      <w:r>
        <w:rPr>
          <w:rFonts w:hint="eastAsia" w:ascii="仿宋_GB2312" w:hAnsi="仿宋_GB2312" w:eastAsia="仿宋_GB2312" w:cs="仿宋_GB2312"/>
          <w:color w:val="auto"/>
          <w:sz w:val="32"/>
          <w:szCs w:val="32"/>
          <w:highlight w:val="none"/>
        </w:rPr>
        <w:t>具有大数据与会计等相关专业本科及以上学历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具有扎实的本专业相关理论功底和实践能力</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具有较强信息化教学能力，能够开展课程教学改革和科学研究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有每5年累计不少于6个月的企业实践经历。</w:t>
      </w:r>
      <w:r>
        <w:rPr>
          <w:rFonts w:hint="eastAsia" w:ascii="仿宋_GB2312" w:hAnsi="仿宋_GB2312" w:eastAsia="仿宋_GB2312" w:cs="仿宋_GB2312"/>
          <w:color w:val="auto"/>
          <w:sz w:val="32"/>
          <w:szCs w:val="32"/>
          <w:highlight w:val="none"/>
        </w:rPr>
        <w:br w:type="textWrapping"/>
      </w:r>
      <w:r>
        <w:rPr>
          <w:rFonts w:hint="eastAsia" w:ascii="楷体" w:hAnsi="楷体" w:eastAsia="楷体" w:cs="楷体"/>
          <w:color w:val="auto"/>
          <w:sz w:val="32"/>
          <w:szCs w:val="32"/>
          <w:highlight w:val="none"/>
          <w:lang w:val="en-US" w:eastAsia="zh-CN"/>
        </w:rPr>
        <w:t>（四）兼职教师</w:t>
      </w:r>
    </w:p>
    <w:p w14:paraId="0241932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5532D4F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黑体" w:hAnsi="黑体" w:eastAsia="黑体" w:cs="黑体"/>
          <w:color w:val="auto"/>
          <w:sz w:val="32"/>
          <w:szCs w:val="32"/>
          <w:highlight w:val="none"/>
          <w:lang w:val="en-US" w:eastAsia="zh-CN"/>
        </w:rPr>
        <w:t>十、教学条件</w:t>
      </w:r>
    </w:p>
    <w:p w14:paraId="0F81881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）教学设施</w:t>
      </w:r>
    </w:p>
    <w:p w14:paraId="29AF4D4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教学设施主要包括能够满足正常的课程教学、实习实训所需的专业教室、校内实训室和校外实训基地等。</w:t>
      </w:r>
    </w:p>
    <w:p w14:paraId="59B44FC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1.专业教室要求</w:t>
      </w:r>
    </w:p>
    <w:p w14:paraId="4718068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学校为该专业配备公共教室（配备有多媒体设施）、多媒体教室等，满足理论教学要求。</w:t>
      </w:r>
    </w:p>
    <w:p w14:paraId="6669B55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配有黑（白）板、多媒体计算机、投影设备、音响设备，安装应急照明装置并保持良好状态，符合紧急疏散要求，标志明显，逃生通道畅通无阻。</w:t>
      </w:r>
    </w:p>
    <w:p w14:paraId="44DC7DA1">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校内实训资源</w:t>
      </w:r>
    </w:p>
    <w:p w14:paraId="5EEEEE52">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 xml:space="preserve">1 </w:t>
      </w:r>
      <w:r>
        <w:rPr>
          <w:rFonts w:hint="eastAsia" w:ascii="仿宋_GB2312" w:hAnsi="仿宋_GB2312" w:eastAsia="仿宋_GB2312" w:cs="仿宋_GB2312"/>
          <w:color w:val="auto"/>
          <w:kern w:val="0"/>
          <w:sz w:val="32"/>
          <w:szCs w:val="32"/>
          <w:highlight w:val="none"/>
        </w:rPr>
        <w:t>校内实训资源列表</w:t>
      </w:r>
    </w:p>
    <w:tbl>
      <w:tblPr>
        <w:tblStyle w:val="8"/>
        <w:tblW w:w="92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
        <w:gridCol w:w="1470"/>
        <w:gridCol w:w="1499"/>
        <w:gridCol w:w="3151"/>
        <w:gridCol w:w="1695"/>
        <w:gridCol w:w="1000"/>
      </w:tblGrid>
      <w:tr w14:paraId="62853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482" w:type="dxa"/>
            <w:vAlign w:val="center"/>
          </w:tcPr>
          <w:p w14:paraId="52AAC9F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1470" w:type="dxa"/>
            <w:vAlign w:val="center"/>
          </w:tcPr>
          <w:p w14:paraId="629ED5D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实验实训室名称</w:t>
            </w:r>
          </w:p>
        </w:tc>
        <w:tc>
          <w:tcPr>
            <w:tcW w:w="1499" w:type="dxa"/>
            <w:vAlign w:val="center"/>
          </w:tcPr>
          <w:p w14:paraId="316460C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实训适用</w:t>
            </w:r>
          </w:p>
          <w:p w14:paraId="3F1607F8">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课程</w:t>
            </w:r>
          </w:p>
        </w:tc>
        <w:tc>
          <w:tcPr>
            <w:tcW w:w="3151" w:type="dxa"/>
            <w:vAlign w:val="center"/>
          </w:tcPr>
          <w:p w14:paraId="5A5EE1E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实训</w:t>
            </w:r>
          </w:p>
          <w:p w14:paraId="59B1BF13">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项目</w:t>
            </w:r>
          </w:p>
        </w:tc>
        <w:tc>
          <w:tcPr>
            <w:tcW w:w="1695" w:type="dxa"/>
          </w:tcPr>
          <w:p w14:paraId="00184CC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主要设备名称</w:t>
            </w:r>
          </w:p>
          <w:p w14:paraId="5362A33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及配置数量</w:t>
            </w:r>
          </w:p>
        </w:tc>
        <w:tc>
          <w:tcPr>
            <w:tcW w:w="1000" w:type="dxa"/>
          </w:tcPr>
          <w:p w14:paraId="48B05AB1">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p>
          <w:p w14:paraId="399EEC2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工位数</w:t>
            </w:r>
          </w:p>
        </w:tc>
      </w:tr>
      <w:tr w14:paraId="34D8A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9" w:hRule="atLeast"/>
        </w:trPr>
        <w:tc>
          <w:tcPr>
            <w:tcW w:w="482" w:type="dxa"/>
            <w:vAlign w:val="center"/>
          </w:tcPr>
          <w:p w14:paraId="559756F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1</w:t>
            </w:r>
          </w:p>
        </w:tc>
        <w:tc>
          <w:tcPr>
            <w:tcW w:w="1470" w:type="dxa"/>
            <w:vAlign w:val="center"/>
          </w:tcPr>
          <w:p w14:paraId="4E03523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会计师事务所</w:t>
            </w:r>
          </w:p>
        </w:tc>
        <w:tc>
          <w:tcPr>
            <w:tcW w:w="1499" w:type="dxa"/>
            <w:vAlign w:val="top"/>
          </w:tcPr>
          <w:p w14:paraId="2FDB4364">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rPr>
              <w:t>财务大数据分析、大数据技术应用基础、企业内部控制</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lang w:val="en-US" w:eastAsia="zh-CN"/>
              </w:rPr>
              <w:t>会计制度设计</w:t>
            </w:r>
          </w:p>
        </w:tc>
        <w:tc>
          <w:tcPr>
            <w:tcW w:w="3151" w:type="dxa"/>
            <w:vAlign w:val="top"/>
          </w:tcPr>
          <w:p w14:paraId="590ECE1B">
            <w:pPr>
              <w:keepNext w:val="0"/>
              <w:keepLines w:val="0"/>
              <w:pageBreakBefore w:val="0"/>
              <w:widowControl w:val="0"/>
              <w:numPr>
                <w:ilvl w:val="0"/>
                <w:numId w:val="0"/>
              </w:numPr>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审查企业会计报表，出具审计报告；验证企业资本，出具验资报告；办理企业合并、分立、清算事宜中的审计业务，出具有关报告；办理法律、行政法规规定的其他审计业务。设计财务会计制度</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担任会计顾问，提供会计、财务、税务和其他经济管理</w:t>
            </w:r>
            <w:r>
              <w:rPr>
                <w:rFonts w:hint="eastAsia" w:ascii="仿宋_GB2312" w:hAnsi="仿宋_GB2312" w:eastAsia="仿宋_GB2312" w:cs="仿宋_GB2312"/>
                <w:color w:val="auto"/>
                <w:sz w:val="24"/>
                <w:highlight w:val="none"/>
                <w:lang w:val="en-US" w:eastAsia="zh-CN"/>
              </w:rPr>
              <w:t>咨询</w:t>
            </w:r>
            <w:r>
              <w:rPr>
                <w:rFonts w:hint="eastAsia" w:ascii="仿宋_GB2312" w:hAnsi="仿宋_GB2312" w:eastAsia="仿宋_GB2312" w:cs="仿宋_GB2312"/>
                <w:color w:val="auto"/>
                <w:sz w:val="24"/>
                <w:highlight w:val="none"/>
              </w:rPr>
              <w:t>。</w:t>
            </w:r>
          </w:p>
        </w:tc>
        <w:tc>
          <w:tcPr>
            <w:tcW w:w="1695" w:type="dxa"/>
            <w:vAlign w:val="center"/>
          </w:tcPr>
          <w:p w14:paraId="3BD12C7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模拟事务台15台</w:t>
            </w:r>
          </w:p>
          <w:p w14:paraId="18238F3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p>
        </w:tc>
        <w:tc>
          <w:tcPr>
            <w:tcW w:w="1000" w:type="dxa"/>
            <w:vAlign w:val="center"/>
          </w:tcPr>
          <w:p w14:paraId="7D2714B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60</w:t>
            </w:r>
          </w:p>
        </w:tc>
      </w:tr>
      <w:tr w14:paraId="38386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2" w:hRule="atLeast"/>
        </w:trPr>
        <w:tc>
          <w:tcPr>
            <w:tcW w:w="482" w:type="dxa"/>
            <w:vAlign w:val="center"/>
          </w:tcPr>
          <w:p w14:paraId="30B4579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2</w:t>
            </w:r>
          </w:p>
        </w:tc>
        <w:tc>
          <w:tcPr>
            <w:tcW w:w="1470" w:type="dxa"/>
            <w:vAlign w:val="center"/>
          </w:tcPr>
          <w:p w14:paraId="6175A40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财会综合实训室</w:t>
            </w:r>
          </w:p>
        </w:tc>
        <w:tc>
          <w:tcPr>
            <w:tcW w:w="1499" w:type="dxa"/>
            <w:vAlign w:val="top"/>
          </w:tcPr>
          <w:p w14:paraId="6731410A">
            <w:pPr>
              <w:keepNext w:val="0"/>
              <w:keepLines w:val="0"/>
              <w:pageBreakBefore w:val="0"/>
              <w:widowControl w:val="0"/>
              <w:kinsoku/>
              <w:wordWrap/>
              <w:overflowPunct w:val="0"/>
              <w:topLinePunct w:val="0"/>
              <w:autoSpaceDE/>
              <w:autoSpaceDN/>
              <w:bidi w:val="0"/>
              <w:adjustRightInd w:val="0"/>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企业财务会计、管理会计实务</w:t>
            </w:r>
          </w:p>
        </w:tc>
        <w:tc>
          <w:tcPr>
            <w:tcW w:w="3151" w:type="dxa"/>
            <w:vAlign w:val="top"/>
          </w:tcPr>
          <w:p w14:paraId="7E41A941">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建立新账套</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审核财务单据</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填制会计凭证</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对相关凭证进行审核记账</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登记各种</w:t>
            </w:r>
            <w:r>
              <w:rPr>
                <w:rFonts w:hint="eastAsia" w:ascii="仿宋_GB2312" w:hAnsi="仿宋_GB2312" w:eastAsia="仿宋_GB2312" w:cs="仿宋_GB2312"/>
                <w:color w:val="auto"/>
                <w:sz w:val="24"/>
                <w:highlight w:val="none"/>
                <w:lang w:val="en-US" w:eastAsia="zh-CN"/>
              </w:rPr>
              <w:t>账簿</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编制财务报表</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装订凭证。</w:t>
            </w:r>
          </w:p>
        </w:tc>
        <w:tc>
          <w:tcPr>
            <w:tcW w:w="1695" w:type="dxa"/>
            <w:vAlign w:val="center"/>
          </w:tcPr>
          <w:p w14:paraId="3E394A2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凭证装订机10台</w:t>
            </w:r>
          </w:p>
        </w:tc>
        <w:tc>
          <w:tcPr>
            <w:tcW w:w="1000" w:type="dxa"/>
            <w:vAlign w:val="center"/>
          </w:tcPr>
          <w:p w14:paraId="4EC9A3E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60</w:t>
            </w:r>
          </w:p>
        </w:tc>
      </w:tr>
      <w:tr w14:paraId="03A22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2" w:hRule="atLeast"/>
        </w:trPr>
        <w:tc>
          <w:tcPr>
            <w:tcW w:w="482" w:type="dxa"/>
            <w:vAlign w:val="center"/>
          </w:tcPr>
          <w:p w14:paraId="65E64B4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p>
          <w:p w14:paraId="6EAFBFC8">
            <w:pPr>
              <w:keepNext w:val="0"/>
              <w:keepLines w:val="0"/>
              <w:pageBreakBefore w:val="0"/>
              <w:widowControl w:val="0"/>
              <w:kinsoku/>
              <w:wordWrap/>
              <w:overflowPunct w:val="0"/>
              <w:topLinePunct w:val="0"/>
              <w:autoSpaceDE/>
              <w:autoSpaceDN/>
              <w:bidi w:val="0"/>
              <w:adjustRightInd w:val="0"/>
              <w:snapToGrid/>
              <w:spacing w:after="0" w:line="320" w:lineRule="exact"/>
              <w:ind w:firstLine="240" w:firstLineChars="100"/>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3</w:t>
            </w:r>
          </w:p>
        </w:tc>
        <w:tc>
          <w:tcPr>
            <w:tcW w:w="1470" w:type="dxa"/>
            <w:vAlign w:val="center"/>
          </w:tcPr>
          <w:p w14:paraId="5A1F3D1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会计信息系统室</w:t>
            </w:r>
          </w:p>
        </w:tc>
        <w:tc>
          <w:tcPr>
            <w:tcW w:w="1499" w:type="dxa"/>
            <w:vAlign w:val="center"/>
          </w:tcPr>
          <w:p w14:paraId="05A2859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会计信息系统应用、智能化成本核算与管理、智慧化税费申报与管理</w:t>
            </w:r>
          </w:p>
        </w:tc>
        <w:tc>
          <w:tcPr>
            <w:tcW w:w="3151" w:type="dxa"/>
            <w:vAlign w:val="top"/>
          </w:tcPr>
          <w:p w14:paraId="14DCD601">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建立新账套</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财务总账模块</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固定资产模块</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工资模块</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财务报表模块</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往来管理</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成本计算</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销售采购等。</w:t>
            </w:r>
          </w:p>
        </w:tc>
        <w:tc>
          <w:tcPr>
            <w:tcW w:w="1695" w:type="dxa"/>
            <w:vAlign w:val="center"/>
          </w:tcPr>
          <w:p w14:paraId="7C3A9BFE">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金蝶软件一套、电脑60台</w:t>
            </w:r>
          </w:p>
        </w:tc>
        <w:tc>
          <w:tcPr>
            <w:tcW w:w="1000" w:type="dxa"/>
            <w:vAlign w:val="center"/>
          </w:tcPr>
          <w:p w14:paraId="1527631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60</w:t>
            </w:r>
          </w:p>
        </w:tc>
      </w:tr>
      <w:tr w14:paraId="29C10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3" w:hRule="atLeast"/>
        </w:trPr>
        <w:tc>
          <w:tcPr>
            <w:tcW w:w="482" w:type="dxa"/>
            <w:vAlign w:val="center"/>
          </w:tcPr>
          <w:p w14:paraId="1508125F">
            <w:pPr>
              <w:keepNext w:val="0"/>
              <w:keepLines w:val="0"/>
              <w:pageBreakBefore w:val="0"/>
              <w:widowControl w:val="0"/>
              <w:kinsoku/>
              <w:wordWrap/>
              <w:overflowPunct w:val="0"/>
              <w:topLinePunct w:val="0"/>
              <w:autoSpaceDE/>
              <w:autoSpaceDN/>
              <w:bidi w:val="0"/>
              <w:adjustRightInd w:val="0"/>
              <w:snapToGrid/>
              <w:spacing w:after="0" w:line="320" w:lineRule="exact"/>
              <w:ind w:firstLine="240" w:firstLineChars="100"/>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4</w:t>
            </w:r>
          </w:p>
        </w:tc>
        <w:tc>
          <w:tcPr>
            <w:tcW w:w="1470" w:type="dxa"/>
            <w:vAlign w:val="center"/>
          </w:tcPr>
          <w:p w14:paraId="0D4135A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会计技能实训室</w:t>
            </w:r>
          </w:p>
        </w:tc>
        <w:tc>
          <w:tcPr>
            <w:tcW w:w="1499" w:type="dxa"/>
            <w:vAlign w:val="center"/>
          </w:tcPr>
          <w:p w14:paraId="332037F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会计基础、出纳业务操作</w:t>
            </w:r>
          </w:p>
        </w:tc>
        <w:tc>
          <w:tcPr>
            <w:tcW w:w="3151" w:type="dxa"/>
            <w:vAlign w:val="top"/>
          </w:tcPr>
          <w:p w14:paraId="4B1FD441">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珠算加减法</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珠算乘除法</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心算</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点钞</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商务谈判人员的基本能力</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商务谈判人员的礼仪</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商务谈判人员的语言表达能力。</w:t>
            </w:r>
          </w:p>
        </w:tc>
        <w:tc>
          <w:tcPr>
            <w:tcW w:w="1695" w:type="dxa"/>
            <w:vAlign w:val="center"/>
          </w:tcPr>
          <w:p w14:paraId="04BE5CD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算盘、计算器、练钞券120把</w:t>
            </w:r>
          </w:p>
        </w:tc>
        <w:tc>
          <w:tcPr>
            <w:tcW w:w="1000" w:type="dxa"/>
            <w:vAlign w:val="center"/>
          </w:tcPr>
          <w:p w14:paraId="7A26962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60</w:t>
            </w:r>
          </w:p>
        </w:tc>
      </w:tr>
      <w:tr w14:paraId="271CB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482" w:type="dxa"/>
            <w:vAlign w:val="center"/>
          </w:tcPr>
          <w:p w14:paraId="77B479B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w:t>
            </w:r>
          </w:p>
        </w:tc>
        <w:tc>
          <w:tcPr>
            <w:tcW w:w="1470" w:type="dxa"/>
            <w:vAlign w:val="center"/>
          </w:tcPr>
          <w:p w14:paraId="32DBC96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财会实训资料室</w:t>
            </w:r>
          </w:p>
        </w:tc>
        <w:tc>
          <w:tcPr>
            <w:tcW w:w="1499" w:type="dxa"/>
            <w:vAlign w:val="center"/>
          </w:tcPr>
          <w:p w14:paraId="7AB322C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管理会计实务、财务大数据分析</w:t>
            </w:r>
          </w:p>
        </w:tc>
        <w:tc>
          <w:tcPr>
            <w:tcW w:w="3151" w:type="dxa"/>
            <w:vAlign w:val="top"/>
          </w:tcPr>
          <w:p w14:paraId="1D58E6F9">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专业相关实训资料、会计资料档案保管。</w:t>
            </w:r>
          </w:p>
        </w:tc>
        <w:tc>
          <w:tcPr>
            <w:tcW w:w="1695" w:type="dxa"/>
            <w:vAlign w:val="center"/>
          </w:tcPr>
          <w:p w14:paraId="60B1D78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资料箱、资料柜6个</w:t>
            </w:r>
          </w:p>
        </w:tc>
        <w:tc>
          <w:tcPr>
            <w:tcW w:w="1000" w:type="dxa"/>
            <w:vAlign w:val="center"/>
          </w:tcPr>
          <w:p w14:paraId="3D2190E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60</w:t>
            </w:r>
          </w:p>
        </w:tc>
      </w:tr>
      <w:tr w14:paraId="28AE0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2" w:hRule="atLeast"/>
        </w:trPr>
        <w:tc>
          <w:tcPr>
            <w:tcW w:w="482" w:type="dxa"/>
            <w:vAlign w:val="center"/>
          </w:tcPr>
          <w:p w14:paraId="74532FE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6</w:t>
            </w:r>
          </w:p>
        </w:tc>
        <w:tc>
          <w:tcPr>
            <w:tcW w:w="1470" w:type="dxa"/>
            <w:vAlign w:val="center"/>
          </w:tcPr>
          <w:p w14:paraId="32F189EC">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模拟教学公司</w:t>
            </w:r>
          </w:p>
        </w:tc>
        <w:tc>
          <w:tcPr>
            <w:tcW w:w="1499" w:type="dxa"/>
            <w:vAlign w:val="center"/>
          </w:tcPr>
          <w:p w14:paraId="08F7CBC8">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会计基础、智能化成本核算与管理</w:t>
            </w:r>
          </w:p>
        </w:tc>
        <w:tc>
          <w:tcPr>
            <w:tcW w:w="3151" w:type="dxa"/>
            <w:vAlign w:val="top"/>
          </w:tcPr>
          <w:p w14:paraId="31D224C9">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适应企业特点，熟悉会计核算原理和操作</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成本核算及成本费用计算表</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财务费用核算以及资金筹集、投资、营运规划与选择。</w:t>
            </w:r>
          </w:p>
        </w:tc>
        <w:tc>
          <w:tcPr>
            <w:tcW w:w="1695" w:type="dxa"/>
            <w:vAlign w:val="center"/>
          </w:tcPr>
          <w:p w14:paraId="18CB4C2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课桌椅90套，成本核算资料4套、财务方案6套</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模拟事务台15台</w:t>
            </w:r>
          </w:p>
        </w:tc>
        <w:tc>
          <w:tcPr>
            <w:tcW w:w="1000" w:type="dxa"/>
            <w:vAlign w:val="center"/>
          </w:tcPr>
          <w:p w14:paraId="2449571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90</w:t>
            </w:r>
          </w:p>
        </w:tc>
      </w:tr>
      <w:tr w14:paraId="72240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0" w:hRule="atLeast"/>
        </w:trPr>
        <w:tc>
          <w:tcPr>
            <w:tcW w:w="482" w:type="dxa"/>
            <w:vAlign w:val="center"/>
          </w:tcPr>
          <w:p w14:paraId="71BE3E00">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7</w:t>
            </w:r>
          </w:p>
        </w:tc>
        <w:tc>
          <w:tcPr>
            <w:tcW w:w="1470" w:type="dxa"/>
            <w:vAlign w:val="center"/>
          </w:tcPr>
          <w:p w14:paraId="4D2D232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综合实训室</w:t>
            </w:r>
          </w:p>
        </w:tc>
        <w:tc>
          <w:tcPr>
            <w:tcW w:w="1499" w:type="dxa"/>
            <w:vAlign w:val="center"/>
          </w:tcPr>
          <w:p w14:paraId="467F32B7">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会计基础、出纳业务操作、企业财务会计</w:t>
            </w:r>
          </w:p>
        </w:tc>
        <w:tc>
          <w:tcPr>
            <w:tcW w:w="3151" w:type="dxa"/>
            <w:vAlign w:val="top"/>
          </w:tcPr>
          <w:p w14:paraId="00A12920">
            <w:pPr>
              <w:keepNext w:val="0"/>
              <w:keepLines w:val="0"/>
              <w:pageBreakBefore w:val="0"/>
              <w:widowControl w:val="0"/>
              <w:kinsoku/>
              <w:wordWrap/>
              <w:overflowPunct w:val="0"/>
              <w:topLinePunct w:val="0"/>
              <w:autoSpaceDE/>
              <w:autoSpaceDN/>
              <w:bidi w:val="0"/>
              <w:adjustRightInd w:val="0"/>
              <w:snapToGrid/>
              <w:spacing w:after="0" w:line="32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适应企业特点，熟悉会计核算原理和操作</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设计财务会计制度</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担任会计顾问，提供会计、财务、税务和其他经济管理</w:t>
            </w:r>
            <w:r>
              <w:rPr>
                <w:rFonts w:hint="eastAsia" w:ascii="仿宋_GB2312" w:hAnsi="仿宋_GB2312" w:eastAsia="仿宋_GB2312" w:cs="仿宋_GB2312"/>
                <w:color w:val="auto"/>
                <w:sz w:val="24"/>
                <w:highlight w:val="none"/>
                <w:lang w:val="en-US" w:eastAsia="zh-CN"/>
              </w:rPr>
              <w:t>咨询</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成本核算及成本费用计算表</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财务费用核算以及资金筹集、投资、营运规划与选择。</w:t>
            </w:r>
          </w:p>
        </w:tc>
        <w:tc>
          <w:tcPr>
            <w:tcW w:w="1695" w:type="dxa"/>
            <w:vAlign w:val="center"/>
          </w:tcPr>
          <w:p w14:paraId="314AC95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课桌椅90套，成本核算资料4套、财务方案6套</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模拟事务台15台</w:t>
            </w:r>
          </w:p>
        </w:tc>
        <w:tc>
          <w:tcPr>
            <w:tcW w:w="1000" w:type="dxa"/>
            <w:vAlign w:val="center"/>
          </w:tcPr>
          <w:p w14:paraId="4DF2935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90</w:t>
            </w:r>
          </w:p>
        </w:tc>
      </w:tr>
    </w:tbl>
    <w:p w14:paraId="738C59CE">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3.校外实训资源</w:t>
      </w:r>
    </w:p>
    <w:p w14:paraId="1DCDCBA2">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（1）校外实训基地基本要求</w:t>
      </w:r>
    </w:p>
    <w:p w14:paraId="569E75B0">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具有稳定的校外实训基地2个以上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能够开展会计核算、成本核算、全盘账等实训活动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实训设施齐备，实训岗位、实训指导教师确定，实训管理及实施规章制度齐全。</w:t>
      </w:r>
    </w:p>
    <w:p w14:paraId="1E366A04">
      <w:pPr>
        <w:pageBreakBefore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学生实习基地基本要求</w:t>
      </w:r>
    </w:p>
    <w:p w14:paraId="53757C8F">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具有稳定的校外实习基地2个以上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能提供实习会计、会计助理、出纳等相关实习岗位，能涵盖当前相关产业的主流技术，可接纳一定规模的学生实习</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能够配备相应数量的指导教师对学生实习进行指导和管理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有保证实习生日常工作、学习、生活的规章制度，有安全、保险保障。</w:t>
      </w:r>
    </w:p>
    <w:p w14:paraId="1B0A054D">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 xml:space="preserve">2 </w:t>
      </w:r>
      <w:r>
        <w:rPr>
          <w:rFonts w:hint="eastAsia" w:ascii="仿宋_GB2312" w:hAnsi="仿宋_GB2312" w:eastAsia="仿宋_GB2312" w:cs="仿宋_GB2312"/>
          <w:color w:val="auto"/>
          <w:sz w:val="32"/>
          <w:szCs w:val="32"/>
          <w:highlight w:val="none"/>
        </w:rPr>
        <w:t>校外实习基地一览表</w:t>
      </w:r>
    </w:p>
    <w:tbl>
      <w:tblPr>
        <w:tblStyle w:val="8"/>
        <w:tblW w:w="10177"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2874"/>
        <w:gridCol w:w="2479"/>
        <w:gridCol w:w="1275"/>
        <w:gridCol w:w="1230"/>
        <w:gridCol w:w="1608"/>
      </w:tblGrid>
      <w:tr w14:paraId="51116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1" w:type="dxa"/>
            <w:vAlign w:val="center"/>
          </w:tcPr>
          <w:p w14:paraId="3C08B47F">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2874" w:type="dxa"/>
            <w:vAlign w:val="center"/>
          </w:tcPr>
          <w:p w14:paraId="0205F3D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校外实习基地名称</w:t>
            </w:r>
          </w:p>
        </w:tc>
        <w:tc>
          <w:tcPr>
            <w:tcW w:w="2479" w:type="dxa"/>
            <w:vAlign w:val="center"/>
          </w:tcPr>
          <w:p w14:paraId="0CA8AD78">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合作企业名称</w:t>
            </w:r>
          </w:p>
        </w:tc>
        <w:tc>
          <w:tcPr>
            <w:tcW w:w="1275" w:type="dxa"/>
            <w:vAlign w:val="center"/>
          </w:tcPr>
          <w:p w14:paraId="15AF0171">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用途</w:t>
            </w:r>
          </w:p>
        </w:tc>
        <w:tc>
          <w:tcPr>
            <w:tcW w:w="1230" w:type="dxa"/>
            <w:vAlign w:val="center"/>
          </w:tcPr>
          <w:p w14:paraId="5D37F40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合作深</w:t>
            </w:r>
          </w:p>
          <w:p w14:paraId="616343F9">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度要求</w:t>
            </w:r>
          </w:p>
        </w:tc>
        <w:tc>
          <w:tcPr>
            <w:tcW w:w="1608" w:type="dxa"/>
            <w:vAlign w:val="center"/>
          </w:tcPr>
          <w:p w14:paraId="1F35583A">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接纳学生实习人次</w:t>
            </w:r>
          </w:p>
        </w:tc>
      </w:tr>
      <w:tr w14:paraId="41F78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trPr>
        <w:tc>
          <w:tcPr>
            <w:tcW w:w="711" w:type="dxa"/>
            <w:vAlign w:val="center"/>
          </w:tcPr>
          <w:p w14:paraId="00782044">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1</w:t>
            </w:r>
          </w:p>
        </w:tc>
        <w:tc>
          <w:tcPr>
            <w:tcW w:w="2874" w:type="dxa"/>
            <w:vAlign w:val="center"/>
          </w:tcPr>
          <w:p w14:paraId="777AD728">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广西工程职业学院大数据与会计专业校外实习基地</w:t>
            </w:r>
          </w:p>
        </w:tc>
        <w:tc>
          <w:tcPr>
            <w:tcW w:w="2479" w:type="dxa"/>
            <w:vAlign w:val="center"/>
          </w:tcPr>
          <w:p w14:paraId="689EB4AA">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广西北部湾银行股份有限公司平果支行</w:t>
            </w:r>
          </w:p>
        </w:tc>
        <w:tc>
          <w:tcPr>
            <w:tcW w:w="1275" w:type="dxa"/>
            <w:vAlign w:val="center"/>
          </w:tcPr>
          <w:p w14:paraId="0DCF0469">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岗位实习</w:t>
            </w:r>
          </w:p>
        </w:tc>
        <w:tc>
          <w:tcPr>
            <w:tcW w:w="1230" w:type="dxa"/>
            <w:vAlign w:val="center"/>
          </w:tcPr>
          <w:p w14:paraId="495E51D9">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深度合作</w:t>
            </w:r>
          </w:p>
        </w:tc>
        <w:tc>
          <w:tcPr>
            <w:tcW w:w="1608" w:type="dxa"/>
            <w:vAlign w:val="center"/>
          </w:tcPr>
          <w:p w14:paraId="61897197">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50</w:t>
            </w:r>
          </w:p>
        </w:tc>
      </w:tr>
      <w:tr w14:paraId="23311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trPr>
        <w:tc>
          <w:tcPr>
            <w:tcW w:w="711" w:type="dxa"/>
            <w:vAlign w:val="center"/>
          </w:tcPr>
          <w:p w14:paraId="67E7E1AF">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2</w:t>
            </w:r>
          </w:p>
        </w:tc>
        <w:tc>
          <w:tcPr>
            <w:tcW w:w="2874" w:type="dxa"/>
            <w:vAlign w:val="center"/>
          </w:tcPr>
          <w:p w14:paraId="221629D4">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广西工程职业学院大数据与会计专业校外实习基地</w:t>
            </w:r>
          </w:p>
        </w:tc>
        <w:tc>
          <w:tcPr>
            <w:tcW w:w="2479" w:type="dxa"/>
            <w:vAlign w:val="center"/>
          </w:tcPr>
          <w:p w14:paraId="761270A7">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中国建设银行博白</w:t>
            </w:r>
          </w:p>
          <w:p w14:paraId="23D031F7">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支行</w:t>
            </w:r>
          </w:p>
        </w:tc>
        <w:tc>
          <w:tcPr>
            <w:tcW w:w="1275" w:type="dxa"/>
            <w:vAlign w:val="center"/>
          </w:tcPr>
          <w:p w14:paraId="4E64AB44">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岗位实习</w:t>
            </w:r>
          </w:p>
        </w:tc>
        <w:tc>
          <w:tcPr>
            <w:tcW w:w="1230" w:type="dxa"/>
            <w:vAlign w:val="center"/>
          </w:tcPr>
          <w:p w14:paraId="048BBABF">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深度合作</w:t>
            </w:r>
          </w:p>
        </w:tc>
        <w:tc>
          <w:tcPr>
            <w:tcW w:w="1608" w:type="dxa"/>
            <w:vAlign w:val="center"/>
          </w:tcPr>
          <w:p w14:paraId="2E11625A">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50</w:t>
            </w:r>
          </w:p>
        </w:tc>
      </w:tr>
      <w:tr w14:paraId="50033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trPr>
        <w:tc>
          <w:tcPr>
            <w:tcW w:w="711" w:type="dxa"/>
            <w:vAlign w:val="center"/>
          </w:tcPr>
          <w:p w14:paraId="2C3D5597">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3</w:t>
            </w:r>
          </w:p>
        </w:tc>
        <w:tc>
          <w:tcPr>
            <w:tcW w:w="2874" w:type="dxa"/>
            <w:vAlign w:val="center"/>
          </w:tcPr>
          <w:p w14:paraId="396610C4">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广西工程职业学院大数据与会计专业校外实习基地</w:t>
            </w:r>
          </w:p>
        </w:tc>
        <w:tc>
          <w:tcPr>
            <w:tcW w:w="2479" w:type="dxa"/>
            <w:vAlign w:val="center"/>
          </w:tcPr>
          <w:p w14:paraId="2C04C3C8">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平果国民村镇银行</w:t>
            </w:r>
          </w:p>
        </w:tc>
        <w:tc>
          <w:tcPr>
            <w:tcW w:w="1275" w:type="dxa"/>
            <w:vAlign w:val="center"/>
          </w:tcPr>
          <w:p w14:paraId="30853C3D">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岗位实习</w:t>
            </w:r>
          </w:p>
        </w:tc>
        <w:tc>
          <w:tcPr>
            <w:tcW w:w="1230" w:type="dxa"/>
            <w:vAlign w:val="center"/>
          </w:tcPr>
          <w:p w14:paraId="6051020B">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深度合作</w:t>
            </w:r>
          </w:p>
        </w:tc>
        <w:tc>
          <w:tcPr>
            <w:tcW w:w="1608" w:type="dxa"/>
            <w:vAlign w:val="center"/>
          </w:tcPr>
          <w:p w14:paraId="1CCBE095">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50</w:t>
            </w:r>
          </w:p>
        </w:tc>
      </w:tr>
      <w:tr w14:paraId="5FE8C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trPr>
        <w:tc>
          <w:tcPr>
            <w:tcW w:w="711" w:type="dxa"/>
            <w:vAlign w:val="center"/>
          </w:tcPr>
          <w:p w14:paraId="28FA073D">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4</w:t>
            </w:r>
          </w:p>
        </w:tc>
        <w:tc>
          <w:tcPr>
            <w:tcW w:w="2874" w:type="dxa"/>
            <w:vAlign w:val="center"/>
          </w:tcPr>
          <w:p w14:paraId="7EA02AE2">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广西工程职业学院大数据与会计专业校外实习基地</w:t>
            </w:r>
          </w:p>
        </w:tc>
        <w:tc>
          <w:tcPr>
            <w:tcW w:w="2479" w:type="dxa"/>
            <w:vAlign w:val="center"/>
          </w:tcPr>
          <w:p w14:paraId="22BF38EF">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中国农业银行平果市支行</w:t>
            </w:r>
          </w:p>
        </w:tc>
        <w:tc>
          <w:tcPr>
            <w:tcW w:w="1275" w:type="dxa"/>
            <w:vAlign w:val="center"/>
          </w:tcPr>
          <w:p w14:paraId="7F14EAA7">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岗位实习</w:t>
            </w:r>
          </w:p>
        </w:tc>
        <w:tc>
          <w:tcPr>
            <w:tcW w:w="1230" w:type="dxa"/>
            <w:vAlign w:val="center"/>
          </w:tcPr>
          <w:p w14:paraId="2D0C449E">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深度合作</w:t>
            </w:r>
          </w:p>
        </w:tc>
        <w:tc>
          <w:tcPr>
            <w:tcW w:w="1608" w:type="dxa"/>
            <w:vAlign w:val="center"/>
          </w:tcPr>
          <w:p w14:paraId="707E4C1C">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50</w:t>
            </w:r>
          </w:p>
        </w:tc>
      </w:tr>
      <w:tr w14:paraId="7022D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trPr>
        <w:tc>
          <w:tcPr>
            <w:tcW w:w="711" w:type="dxa"/>
            <w:vAlign w:val="center"/>
          </w:tcPr>
          <w:p w14:paraId="2A2E6C5F">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w:t>
            </w:r>
          </w:p>
        </w:tc>
        <w:tc>
          <w:tcPr>
            <w:tcW w:w="2874" w:type="dxa"/>
            <w:vAlign w:val="center"/>
          </w:tcPr>
          <w:p w14:paraId="1511830A">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广西工程职业学院大数据与会计专业校外实习基地</w:t>
            </w:r>
          </w:p>
        </w:tc>
        <w:tc>
          <w:tcPr>
            <w:tcW w:w="2479" w:type="dxa"/>
            <w:vAlign w:val="center"/>
          </w:tcPr>
          <w:p w14:paraId="3FBD4163">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柳州银行平果支行</w:t>
            </w:r>
          </w:p>
        </w:tc>
        <w:tc>
          <w:tcPr>
            <w:tcW w:w="1275" w:type="dxa"/>
            <w:vAlign w:val="center"/>
          </w:tcPr>
          <w:p w14:paraId="74B49C4A">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岗位实习</w:t>
            </w:r>
          </w:p>
        </w:tc>
        <w:tc>
          <w:tcPr>
            <w:tcW w:w="1230" w:type="dxa"/>
            <w:vAlign w:val="center"/>
          </w:tcPr>
          <w:p w14:paraId="710A9121">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深度合作</w:t>
            </w:r>
          </w:p>
        </w:tc>
        <w:tc>
          <w:tcPr>
            <w:tcW w:w="1608" w:type="dxa"/>
            <w:vAlign w:val="center"/>
          </w:tcPr>
          <w:p w14:paraId="36B30047">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50</w:t>
            </w:r>
          </w:p>
        </w:tc>
      </w:tr>
      <w:tr w14:paraId="5347B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trPr>
        <w:tc>
          <w:tcPr>
            <w:tcW w:w="711" w:type="dxa"/>
            <w:vAlign w:val="center"/>
          </w:tcPr>
          <w:p w14:paraId="7076D936">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6</w:t>
            </w:r>
          </w:p>
        </w:tc>
        <w:tc>
          <w:tcPr>
            <w:tcW w:w="2874" w:type="dxa"/>
            <w:vAlign w:val="center"/>
          </w:tcPr>
          <w:p w14:paraId="30861373">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广西工程职业学院大数据与会计专业校外实习基地</w:t>
            </w:r>
          </w:p>
        </w:tc>
        <w:tc>
          <w:tcPr>
            <w:tcW w:w="2479" w:type="dxa"/>
            <w:vAlign w:val="center"/>
          </w:tcPr>
          <w:p w14:paraId="3679B9C9">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中国银行平果支行</w:t>
            </w:r>
          </w:p>
        </w:tc>
        <w:tc>
          <w:tcPr>
            <w:tcW w:w="1275" w:type="dxa"/>
            <w:vAlign w:val="center"/>
          </w:tcPr>
          <w:p w14:paraId="19739A94">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岗位实习</w:t>
            </w:r>
          </w:p>
        </w:tc>
        <w:tc>
          <w:tcPr>
            <w:tcW w:w="1230" w:type="dxa"/>
            <w:vAlign w:val="center"/>
          </w:tcPr>
          <w:p w14:paraId="0DCBD4D5">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深度合作</w:t>
            </w:r>
          </w:p>
        </w:tc>
        <w:tc>
          <w:tcPr>
            <w:tcW w:w="1608" w:type="dxa"/>
            <w:vAlign w:val="center"/>
          </w:tcPr>
          <w:p w14:paraId="79F55C8A">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50</w:t>
            </w:r>
          </w:p>
        </w:tc>
      </w:tr>
      <w:tr w14:paraId="0EA84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trPr>
        <w:tc>
          <w:tcPr>
            <w:tcW w:w="711" w:type="dxa"/>
            <w:vAlign w:val="center"/>
          </w:tcPr>
          <w:p w14:paraId="109E1023">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7</w:t>
            </w:r>
          </w:p>
        </w:tc>
        <w:tc>
          <w:tcPr>
            <w:tcW w:w="2874" w:type="dxa"/>
            <w:vAlign w:val="center"/>
          </w:tcPr>
          <w:p w14:paraId="435E8C1A">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广西工程职业学院大数据与会计专业校外实习基地</w:t>
            </w:r>
          </w:p>
        </w:tc>
        <w:tc>
          <w:tcPr>
            <w:tcW w:w="2479" w:type="dxa"/>
            <w:vAlign w:val="center"/>
          </w:tcPr>
          <w:p w14:paraId="2C4AAECD">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桂林银行股份有限公司百色平果支行</w:t>
            </w:r>
          </w:p>
        </w:tc>
        <w:tc>
          <w:tcPr>
            <w:tcW w:w="1275" w:type="dxa"/>
            <w:vAlign w:val="center"/>
          </w:tcPr>
          <w:p w14:paraId="52E57EB7">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岗位实习</w:t>
            </w:r>
          </w:p>
        </w:tc>
        <w:tc>
          <w:tcPr>
            <w:tcW w:w="1230" w:type="dxa"/>
            <w:vAlign w:val="center"/>
          </w:tcPr>
          <w:p w14:paraId="3CDFF09D">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深度合作</w:t>
            </w:r>
          </w:p>
        </w:tc>
        <w:tc>
          <w:tcPr>
            <w:tcW w:w="1608" w:type="dxa"/>
            <w:vAlign w:val="center"/>
          </w:tcPr>
          <w:p w14:paraId="6371ACBE">
            <w:pPr>
              <w:overflowPunct w:val="0"/>
              <w:adjustRightInd w:val="0"/>
              <w:spacing w:line="24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50</w:t>
            </w:r>
          </w:p>
        </w:tc>
      </w:tr>
    </w:tbl>
    <w:p w14:paraId="67E4448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rPr>
        <w:t>）教学资源</w:t>
      </w:r>
    </w:p>
    <w:p w14:paraId="0283E4B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教学资源主要包括能满足学生专业学习、教师专业教学研究和教学实施所需的教材、图书文献及数字教学资源等。</w:t>
      </w:r>
    </w:p>
    <w:p w14:paraId="48A7A7D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1.教材选用基本要求</w:t>
      </w:r>
    </w:p>
    <w:p w14:paraId="755CC4B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选用近五年内出版的高职高专国家级规划教材、自治区级规划教材、高职高专类出版教材。</w:t>
      </w:r>
    </w:p>
    <w:p w14:paraId="4135A65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2"/>
        <w:rPr>
          <w:rFonts w:hint="eastAsia" w:ascii="仿宋_GB2312" w:hAnsi="仿宋_GB2312" w:eastAsia="仿宋_GB2312" w:cs="仿宋_GB2312"/>
          <w:color w:val="auto"/>
          <w:sz w:val="32"/>
          <w:szCs w:val="32"/>
          <w:highlight w:val="none"/>
          <w:lang w:val="en-US" w:eastAsia="zh-CN"/>
        </w:rPr>
      </w:pPr>
    </w:p>
    <w:p w14:paraId="6FF05514">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图书文献配备基本要求</w:t>
      </w:r>
    </w:p>
    <w:p w14:paraId="79D367A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图书文献配备能满足人才培养、专业建设、教科研等工作的需要，方便师生查询、借阅。专业类文献主要包括：财务会计相关行业政策法规、行业标准、技术规范以及财务会计从业人员素养要求等与服务相关专业类图书和实务案例类图书。专业图书资料（含电子图书）不低于500册，5种以上财务会计类专业学术期刊，并能保持每年更新。</w:t>
      </w:r>
    </w:p>
    <w:p w14:paraId="5C74255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3.数字教学资源配置基本要求</w:t>
      </w:r>
    </w:p>
    <w:p w14:paraId="11B8D13E">
      <w:pPr>
        <w:keepNext w:val="0"/>
        <w:keepLines w:val="0"/>
        <w:pageBreakBefore w:val="0"/>
        <w:widowControl w:val="0"/>
        <w:kinsoku/>
        <w:wordWrap/>
        <w:overflowPunct w:val="0"/>
        <w:topLinePunct w:val="0"/>
        <w:autoSpaceDE/>
        <w:autoSpaceDN/>
        <w:bidi w:val="0"/>
        <w:adjustRightInd w:val="0"/>
        <w:snapToGrid/>
        <w:spacing w:after="0" w:line="520" w:lineRule="exact"/>
        <w:ind w:firstLine="664" w:firstLineChars="200"/>
        <w:textAlignment w:val="auto"/>
        <w:rPr>
          <w:rFonts w:hint="eastAsia" w:ascii="仿宋_GB2312" w:hAnsi="仿宋_GB2312" w:eastAsia="仿宋_GB2312" w:cs="仿宋_GB2312"/>
          <w:color w:val="auto"/>
          <w:spacing w:val="6"/>
          <w:sz w:val="32"/>
          <w:szCs w:val="32"/>
          <w:highlight w:val="none"/>
        </w:rPr>
      </w:pPr>
      <w:r>
        <w:rPr>
          <w:rFonts w:hint="eastAsia" w:ascii="仿宋_GB2312" w:hAnsi="仿宋_GB2312" w:eastAsia="仿宋_GB2312" w:cs="仿宋_GB2312"/>
          <w:color w:val="auto"/>
          <w:spacing w:val="6"/>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5D92EFF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rPr>
        <w:t>）教学方法</w:t>
      </w:r>
    </w:p>
    <w:p w14:paraId="215E848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根据不同课程的性质</w:t>
      </w:r>
      <w:r>
        <w:rPr>
          <w:rFonts w:hint="eastAsia" w:ascii="仿宋_GB2312" w:hAnsi="仿宋_GB2312" w:eastAsia="仿宋_GB2312" w:cs="仿宋_GB2312"/>
          <w:color w:val="auto"/>
          <w:sz w:val="32"/>
          <w:szCs w:val="32"/>
          <w:highlight w:val="none"/>
        </w:rPr>
        <w:t>特点</w:t>
      </w:r>
      <w:r>
        <w:rPr>
          <w:rFonts w:ascii="仿宋_GB2312" w:hAnsi="仿宋_GB2312" w:eastAsia="仿宋_GB2312" w:cs="仿宋_GB2312"/>
          <w:color w:val="auto"/>
          <w:sz w:val="32"/>
          <w:szCs w:val="32"/>
          <w:highlight w:val="none"/>
        </w:rPr>
        <w:t>，在保留传统讲授法、演示法、讨论法、问答法、案例分析法等的基础上</w:t>
      </w:r>
      <w:r>
        <w:rPr>
          <w:rFonts w:hint="eastAsia" w:ascii="仿宋_GB2312" w:hAnsi="仿宋_GB2312" w:eastAsia="仿宋_GB2312" w:cs="仿宋_GB2312"/>
          <w:color w:val="auto"/>
          <w:sz w:val="32"/>
          <w:szCs w:val="32"/>
          <w:highlight w:val="none"/>
        </w:rPr>
        <w:t>，</w:t>
      </w:r>
      <w:r>
        <w:rPr>
          <w:rFonts w:ascii="仿宋_GB2312" w:hAnsi="仿宋_GB2312" w:eastAsia="仿宋_GB2312" w:cs="仿宋_GB2312"/>
          <w:color w:val="auto"/>
          <w:sz w:val="32"/>
          <w:szCs w:val="32"/>
          <w:highlight w:val="none"/>
        </w:rPr>
        <w:t>应充分利用信息化教学资源，尽量将项目驱动法、探究式教学、翻转课堂等新型教学模式及方法引入课堂，遵循“学生为主体，教师为主导”的原则，积极探索多种教学方法。</w:t>
      </w:r>
    </w:p>
    <w:p w14:paraId="2955135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1"/>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rPr>
        <w:t>）学习评价</w:t>
      </w:r>
    </w:p>
    <w:p w14:paraId="64EA394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1.课程考核方法</w:t>
      </w:r>
    </w:p>
    <w:p w14:paraId="295520C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556995F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课程成绩评定根据学生参与度、作业质量、实训效果与期末考核等项目确定不同比例进行综合评定，评定标准如下：</w:t>
      </w:r>
    </w:p>
    <w:p w14:paraId="6DFDDD4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p>
    <w:p w14:paraId="0E3B2CF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）A类课程成绩构成（纯理论）</w:t>
      </w:r>
    </w:p>
    <w:p w14:paraId="72316F8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课程总成绩=期末卷面考试成绩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14:paraId="2440020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）B类课程成绩构成（理论+实践）</w:t>
      </w:r>
    </w:p>
    <w:p w14:paraId="4150918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课程总成绩=理论部分期末卷面考试成</w:t>
      </w:r>
      <w:r>
        <w:rPr>
          <w:rFonts w:hint="eastAsia" w:ascii="仿宋_GB2312" w:hAnsi="仿宋_GB2312" w:eastAsia="仿宋_GB2312" w:cs="仿宋_GB2312"/>
          <w:color w:val="auto"/>
          <w:sz w:val="32"/>
          <w:szCs w:val="32"/>
          <w:highlight w:val="none"/>
          <w:lang w:val="en-US" w:eastAsia="zh-CN"/>
        </w:rPr>
        <w:t>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+技能成绩（30%）+平时成绩（30%）</w:t>
      </w:r>
    </w:p>
    <w:p w14:paraId="0AE3186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纯实践）</w:t>
      </w:r>
    </w:p>
    <w:p w14:paraId="077FD38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课程总成绩=技能成绩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14:paraId="573B8CF4">
      <w:pPr>
        <w:keepNext w:val="0"/>
        <w:keepLines w:val="0"/>
        <w:pageBreakBefore w:val="0"/>
        <w:widowControl w:val="0"/>
        <w:kinsoku/>
        <w:wordWrap/>
        <w:overflowPunct w:val="0"/>
        <w:topLinePunct w:val="0"/>
        <w:autoSpaceDE/>
        <w:autoSpaceDN/>
        <w:bidi w:val="0"/>
        <w:adjustRightInd w:val="0"/>
        <w:snapToGrid/>
        <w:spacing w:after="0" w:line="520" w:lineRule="exact"/>
        <w:ind w:firstLine="664" w:firstLineChars="200"/>
        <w:textAlignment w:val="auto"/>
        <w:outlineLvl w:val="2"/>
        <w:rPr>
          <w:rFonts w:hint="eastAsia" w:ascii="仿宋_GB2312" w:hAnsi="仿宋_GB2312" w:eastAsia="仿宋_GB2312" w:cs="仿宋_GB2312"/>
          <w:color w:val="auto"/>
          <w:spacing w:val="6"/>
          <w:sz w:val="32"/>
          <w:szCs w:val="32"/>
          <w:highlight w:val="none"/>
        </w:rPr>
      </w:pPr>
      <w:r>
        <w:rPr>
          <w:rFonts w:hint="eastAsia" w:ascii="仿宋_GB2312" w:hAnsi="仿宋_GB2312" w:eastAsia="仿宋_GB2312" w:cs="仿宋_GB2312"/>
          <w:color w:val="auto"/>
          <w:spacing w:val="6"/>
          <w:sz w:val="32"/>
          <w:szCs w:val="32"/>
          <w:highlight w:val="none"/>
          <w:lang w:val="en-US" w:eastAsia="zh-CN"/>
        </w:rPr>
        <w:t>2.</w:t>
      </w:r>
      <w:r>
        <w:rPr>
          <w:rFonts w:hint="eastAsia" w:ascii="仿宋_GB2312" w:hAnsi="仿宋_GB2312" w:eastAsia="仿宋_GB2312" w:cs="仿宋_GB2312"/>
          <w:color w:val="auto"/>
          <w:spacing w:val="6"/>
          <w:sz w:val="32"/>
          <w:szCs w:val="32"/>
          <w:highlight w:val="none"/>
        </w:rPr>
        <w:t>教学评价方式</w:t>
      </w:r>
    </w:p>
    <w:p w14:paraId="4AE3EE5B">
      <w:pPr>
        <w:keepNext w:val="0"/>
        <w:keepLines w:val="0"/>
        <w:pageBreakBefore w:val="0"/>
        <w:widowControl w:val="0"/>
        <w:kinsoku/>
        <w:wordWrap/>
        <w:overflowPunct w:val="0"/>
        <w:topLinePunct w:val="0"/>
        <w:autoSpaceDE/>
        <w:autoSpaceDN/>
        <w:bidi w:val="0"/>
        <w:adjustRightInd w:val="0"/>
        <w:snapToGrid/>
        <w:spacing w:after="0" w:line="520" w:lineRule="exact"/>
        <w:ind w:firstLine="664" w:firstLineChars="200"/>
        <w:textAlignment w:val="auto"/>
        <w:rPr>
          <w:rFonts w:hint="eastAsia" w:ascii="仿宋_GB2312" w:hAnsi="仿宋_GB2312" w:eastAsia="仿宋_GB2312" w:cs="仿宋_GB2312"/>
          <w:color w:val="auto"/>
          <w:spacing w:val="6"/>
          <w:sz w:val="32"/>
          <w:szCs w:val="32"/>
          <w:highlight w:val="none"/>
        </w:rPr>
      </w:pPr>
      <w:r>
        <w:rPr>
          <w:rFonts w:hint="eastAsia" w:ascii="仿宋_GB2312" w:hAnsi="仿宋_GB2312" w:eastAsia="仿宋_GB2312" w:cs="仿宋_GB2312"/>
          <w:color w:val="auto"/>
          <w:spacing w:val="6"/>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26B3CC59">
      <w:pPr>
        <w:keepNext w:val="0"/>
        <w:keepLines w:val="0"/>
        <w:pageBreakBefore w:val="0"/>
        <w:widowControl w:val="0"/>
        <w:numPr>
          <w:ilvl w:val="0"/>
          <w:numId w:val="3"/>
        </w:numPr>
        <w:kinsoku/>
        <w:wordWrap/>
        <w:overflowPunct w:val="0"/>
        <w:topLinePunct w:val="0"/>
        <w:autoSpaceDE/>
        <w:autoSpaceDN/>
        <w:bidi w:val="0"/>
        <w:adjustRightInd w:val="0"/>
        <w:snapToGrid/>
        <w:spacing w:after="0" w:line="520" w:lineRule="exact"/>
        <w:ind w:firstLine="664" w:firstLineChars="200"/>
        <w:textAlignment w:val="auto"/>
        <w:outlineLvl w:val="0"/>
        <w:rPr>
          <w:rFonts w:hint="eastAsia" w:ascii="黑体" w:hAnsi="黑体" w:eastAsia="黑体" w:cs="黑体"/>
          <w:b w:val="0"/>
          <w:bCs w:val="0"/>
          <w:color w:val="auto"/>
          <w:spacing w:val="6"/>
          <w:sz w:val="32"/>
          <w:szCs w:val="32"/>
          <w:highlight w:val="none"/>
          <w:lang w:val="en-US" w:eastAsia="zh-CN"/>
        </w:rPr>
      </w:pPr>
      <w:r>
        <w:rPr>
          <w:rFonts w:hint="eastAsia" w:ascii="黑体" w:hAnsi="黑体" w:eastAsia="黑体" w:cs="黑体"/>
          <w:b w:val="0"/>
          <w:bCs w:val="0"/>
          <w:color w:val="auto"/>
          <w:spacing w:val="6"/>
          <w:sz w:val="32"/>
          <w:szCs w:val="32"/>
          <w:highlight w:val="none"/>
        </w:rPr>
        <w:t>质量</w:t>
      </w:r>
      <w:r>
        <w:rPr>
          <w:rFonts w:hint="eastAsia" w:ascii="黑体" w:hAnsi="黑体" w:eastAsia="黑体" w:cs="黑体"/>
          <w:b w:val="0"/>
          <w:bCs w:val="0"/>
          <w:color w:val="auto"/>
          <w:spacing w:val="6"/>
          <w:sz w:val="32"/>
          <w:szCs w:val="32"/>
          <w:highlight w:val="none"/>
          <w:lang w:val="en-US" w:eastAsia="zh-CN"/>
        </w:rPr>
        <w:t>保障</w:t>
      </w:r>
    </w:p>
    <w:p w14:paraId="15B9DEA4">
      <w:pPr>
        <w:keepNext w:val="0"/>
        <w:keepLines w:val="0"/>
        <w:pageBreakBefore w:val="0"/>
        <w:widowControl w:val="0"/>
        <w:kinsoku/>
        <w:wordWrap/>
        <w:overflowPunct w:val="0"/>
        <w:topLinePunct w:val="0"/>
        <w:autoSpaceDE/>
        <w:autoSpaceDN/>
        <w:bidi w:val="0"/>
        <w:adjustRightInd w:val="0"/>
        <w:snapToGrid/>
        <w:spacing w:after="0" w:line="520" w:lineRule="exact"/>
        <w:ind w:firstLine="664" w:firstLineChars="200"/>
        <w:textAlignment w:val="auto"/>
        <w:rPr>
          <w:rFonts w:hint="eastAsia" w:ascii="仿宋_GB2312" w:hAnsi="仿宋_GB2312" w:eastAsia="仿宋_GB2312" w:cs="仿宋_GB2312"/>
          <w:color w:val="auto"/>
          <w:spacing w:val="6"/>
          <w:sz w:val="32"/>
          <w:szCs w:val="32"/>
          <w:highlight w:val="none"/>
        </w:rPr>
      </w:pPr>
      <w:r>
        <w:rPr>
          <w:rFonts w:hint="eastAsia" w:ascii="仿宋_GB2312" w:hAnsi="仿宋_GB2312" w:eastAsia="仿宋_GB2312" w:cs="仿宋_GB2312"/>
          <w:color w:val="auto"/>
          <w:spacing w:val="6"/>
          <w:sz w:val="32"/>
          <w:szCs w:val="32"/>
          <w:highlight w:val="none"/>
          <w:lang w:eastAsia="zh-CN"/>
        </w:rPr>
        <w:t>（</w:t>
      </w:r>
      <w:r>
        <w:rPr>
          <w:rFonts w:hint="eastAsia" w:ascii="仿宋_GB2312" w:hAnsi="仿宋_GB2312" w:eastAsia="仿宋_GB2312" w:cs="仿宋_GB2312"/>
          <w:color w:val="auto"/>
          <w:spacing w:val="6"/>
          <w:sz w:val="32"/>
          <w:szCs w:val="32"/>
          <w:highlight w:val="none"/>
          <w:lang w:val="en-US" w:eastAsia="zh-CN"/>
        </w:rPr>
        <w:t>一</w:t>
      </w:r>
      <w:r>
        <w:rPr>
          <w:rFonts w:hint="eastAsia" w:ascii="仿宋_GB2312" w:hAnsi="仿宋_GB2312" w:eastAsia="仿宋_GB2312" w:cs="仿宋_GB2312"/>
          <w:color w:val="auto"/>
          <w:spacing w:val="6"/>
          <w:sz w:val="32"/>
          <w:szCs w:val="32"/>
          <w:highlight w:val="none"/>
          <w:lang w:eastAsia="zh-CN"/>
        </w:rPr>
        <w:t>）</w:t>
      </w:r>
      <w:r>
        <w:rPr>
          <w:rFonts w:hint="eastAsia" w:ascii="仿宋_GB2312" w:hAnsi="仿宋_GB2312" w:eastAsia="仿宋_GB2312" w:cs="仿宋_GB2312"/>
          <w:color w:val="auto"/>
          <w:spacing w:val="6"/>
          <w:sz w:val="32"/>
          <w:szCs w:val="32"/>
          <w:highlight w:val="none"/>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3CDE1C0D">
      <w:pPr>
        <w:keepNext w:val="0"/>
        <w:keepLines w:val="0"/>
        <w:pageBreakBefore w:val="0"/>
        <w:widowControl w:val="0"/>
        <w:kinsoku/>
        <w:wordWrap/>
        <w:overflowPunct w:val="0"/>
        <w:topLinePunct w:val="0"/>
        <w:autoSpaceDE/>
        <w:autoSpaceDN/>
        <w:bidi w:val="0"/>
        <w:adjustRightInd w:val="0"/>
        <w:snapToGrid/>
        <w:spacing w:after="0" w:line="520" w:lineRule="exact"/>
        <w:ind w:firstLine="664" w:firstLineChars="200"/>
        <w:textAlignment w:val="auto"/>
        <w:rPr>
          <w:rFonts w:hint="eastAsia" w:ascii="仿宋_GB2312" w:hAnsi="仿宋_GB2312" w:eastAsia="仿宋_GB2312" w:cs="仿宋_GB2312"/>
          <w:color w:val="auto"/>
          <w:spacing w:val="6"/>
          <w:sz w:val="32"/>
          <w:szCs w:val="32"/>
          <w:highlight w:val="none"/>
        </w:rPr>
      </w:pPr>
      <w:r>
        <w:rPr>
          <w:rFonts w:hint="eastAsia" w:ascii="仿宋_GB2312" w:hAnsi="仿宋_GB2312" w:eastAsia="仿宋_GB2312" w:cs="仿宋_GB2312"/>
          <w:color w:val="auto"/>
          <w:spacing w:val="6"/>
          <w:sz w:val="32"/>
          <w:szCs w:val="32"/>
          <w:highlight w:val="none"/>
          <w:lang w:eastAsia="zh-CN"/>
        </w:rPr>
        <w:t>（</w:t>
      </w:r>
      <w:r>
        <w:rPr>
          <w:rFonts w:hint="eastAsia" w:ascii="仿宋_GB2312" w:hAnsi="仿宋_GB2312" w:eastAsia="仿宋_GB2312" w:cs="仿宋_GB2312"/>
          <w:color w:val="auto"/>
          <w:spacing w:val="6"/>
          <w:sz w:val="32"/>
          <w:szCs w:val="32"/>
          <w:highlight w:val="none"/>
          <w:lang w:val="en-US" w:eastAsia="zh-CN"/>
        </w:rPr>
        <w:t>二</w:t>
      </w:r>
      <w:r>
        <w:rPr>
          <w:rFonts w:hint="eastAsia" w:ascii="仿宋_GB2312" w:hAnsi="仿宋_GB2312" w:eastAsia="仿宋_GB2312" w:cs="仿宋_GB2312"/>
          <w:color w:val="auto"/>
          <w:spacing w:val="6"/>
          <w:sz w:val="32"/>
          <w:szCs w:val="32"/>
          <w:highlight w:val="none"/>
          <w:lang w:eastAsia="zh-CN"/>
        </w:rPr>
        <w:t>）</w:t>
      </w:r>
      <w:r>
        <w:rPr>
          <w:rFonts w:hint="eastAsia" w:ascii="仿宋_GB2312" w:hAnsi="仿宋_GB2312" w:eastAsia="仿宋_GB2312" w:cs="仿宋_GB2312"/>
          <w:color w:val="auto"/>
          <w:spacing w:val="6"/>
          <w:sz w:val="32"/>
          <w:szCs w:val="32"/>
          <w:highlight w:val="none"/>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4DEAD1FF">
      <w:pPr>
        <w:keepNext w:val="0"/>
        <w:keepLines w:val="0"/>
        <w:pageBreakBefore w:val="0"/>
        <w:widowControl w:val="0"/>
        <w:kinsoku/>
        <w:wordWrap/>
        <w:overflowPunct w:val="0"/>
        <w:topLinePunct w:val="0"/>
        <w:autoSpaceDE/>
        <w:autoSpaceDN/>
        <w:bidi w:val="0"/>
        <w:adjustRightInd w:val="0"/>
        <w:snapToGrid/>
        <w:spacing w:after="0" w:line="520" w:lineRule="exact"/>
        <w:ind w:firstLine="664" w:firstLineChars="200"/>
        <w:textAlignment w:val="auto"/>
        <w:rPr>
          <w:rFonts w:hint="eastAsia" w:ascii="仿宋_GB2312" w:hAnsi="仿宋_GB2312" w:eastAsia="仿宋_GB2312" w:cs="仿宋_GB2312"/>
          <w:color w:val="auto"/>
          <w:spacing w:val="6"/>
          <w:sz w:val="32"/>
          <w:szCs w:val="32"/>
          <w:highlight w:val="none"/>
        </w:rPr>
      </w:pPr>
      <w:r>
        <w:rPr>
          <w:rFonts w:hint="eastAsia" w:ascii="仿宋_GB2312" w:hAnsi="仿宋_GB2312" w:eastAsia="仿宋_GB2312" w:cs="仿宋_GB2312"/>
          <w:color w:val="auto"/>
          <w:spacing w:val="6"/>
          <w:sz w:val="32"/>
          <w:szCs w:val="32"/>
          <w:highlight w:val="none"/>
          <w:lang w:eastAsia="zh-CN"/>
        </w:rPr>
        <w:t>（</w:t>
      </w:r>
      <w:r>
        <w:rPr>
          <w:rFonts w:hint="eastAsia" w:ascii="仿宋_GB2312" w:hAnsi="仿宋_GB2312" w:eastAsia="仿宋_GB2312" w:cs="仿宋_GB2312"/>
          <w:color w:val="auto"/>
          <w:spacing w:val="6"/>
          <w:sz w:val="32"/>
          <w:szCs w:val="32"/>
          <w:highlight w:val="none"/>
          <w:lang w:val="en-US" w:eastAsia="zh-CN"/>
        </w:rPr>
        <w:t>三</w:t>
      </w:r>
      <w:r>
        <w:rPr>
          <w:rFonts w:hint="eastAsia" w:ascii="仿宋_GB2312" w:hAnsi="仿宋_GB2312" w:eastAsia="仿宋_GB2312" w:cs="仿宋_GB2312"/>
          <w:color w:val="auto"/>
          <w:spacing w:val="6"/>
          <w:sz w:val="32"/>
          <w:szCs w:val="32"/>
          <w:highlight w:val="none"/>
          <w:lang w:eastAsia="zh-CN"/>
        </w:rPr>
        <w:t>）</w:t>
      </w:r>
      <w:r>
        <w:rPr>
          <w:rFonts w:hint="eastAsia" w:ascii="仿宋_GB2312" w:hAnsi="仿宋_GB2312" w:eastAsia="仿宋_GB2312" w:cs="仿宋_GB2312"/>
          <w:color w:val="auto"/>
          <w:spacing w:val="6"/>
          <w:sz w:val="32"/>
          <w:szCs w:val="32"/>
          <w:highlight w:val="none"/>
        </w:rPr>
        <w:t>建立毕业生跟踪反馈机制及社会评价机制，并对生源情况、在校生学业水平、毕业生就业情况等进行分析，定期评价人才培养质量和培养目标达成情况。</w:t>
      </w:r>
    </w:p>
    <w:p w14:paraId="17C8C97E">
      <w:pPr>
        <w:keepNext w:val="0"/>
        <w:keepLines w:val="0"/>
        <w:pageBreakBefore w:val="0"/>
        <w:widowControl w:val="0"/>
        <w:kinsoku/>
        <w:wordWrap/>
        <w:overflowPunct w:val="0"/>
        <w:topLinePunct w:val="0"/>
        <w:autoSpaceDE/>
        <w:autoSpaceDN/>
        <w:bidi w:val="0"/>
        <w:adjustRightInd w:val="0"/>
        <w:snapToGrid/>
        <w:spacing w:after="0" w:line="520" w:lineRule="exact"/>
        <w:ind w:firstLine="664" w:firstLineChars="200"/>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color w:val="auto"/>
          <w:spacing w:val="6"/>
          <w:sz w:val="32"/>
          <w:szCs w:val="32"/>
          <w:highlight w:val="none"/>
          <w:lang w:eastAsia="zh-CN"/>
        </w:rPr>
        <w:t>（</w:t>
      </w:r>
      <w:r>
        <w:rPr>
          <w:rFonts w:hint="eastAsia" w:ascii="仿宋_GB2312" w:hAnsi="仿宋_GB2312" w:eastAsia="仿宋_GB2312" w:cs="仿宋_GB2312"/>
          <w:color w:val="auto"/>
          <w:spacing w:val="6"/>
          <w:sz w:val="32"/>
          <w:szCs w:val="32"/>
          <w:highlight w:val="none"/>
          <w:lang w:val="en-US" w:eastAsia="zh-CN"/>
        </w:rPr>
        <w:t>四</w:t>
      </w:r>
      <w:r>
        <w:rPr>
          <w:rFonts w:hint="eastAsia" w:ascii="仿宋_GB2312" w:hAnsi="仿宋_GB2312" w:eastAsia="仿宋_GB2312" w:cs="仿宋_GB2312"/>
          <w:color w:val="auto"/>
          <w:spacing w:val="6"/>
          <w:sz w:val="32"/>
          <w:szCs w:val="32"/>
          <w:highlight w:val="none"/>
          <w:lang w:eastAsia="zh-CN"/>
        </w:rPr>
        <w:t>）</w:t>
      </w:r>
      <w:r>
        <w:rPr>
          <w:rFonts w:hint="eastAsia" w:ascii="仿宋_GB2312" w:hAnsi="仿宋_GB2312" w:eastAsia="仿宋_GB2312" w:cs="仿宋_GB2312"/>
          <w:color w:val="auto"/>
          <w:spacing w:val="6"/>
          <w:sz w:val="32"/>
          <w:szCs w:val="32"/>
          <w:highlight w:val="none"/>
        </w:rPr>
        <w:t>充分利用评价分析结果有效改进专业教学，持续提高人才培养质量。</w:t>
      </w:r>
    </w:p>
    <w:p w14:paraId="3E88C42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235FBF03">
      <w:pPr>
        <w:keepNext w:val="0"/>
        <w:keepLines w:val="0"/>
        <w:pageBreakBefore w:val="0"/>
        <w:widowControl w:val="0"/>
        <w:numPr>
          <w:ilvl w:val="0"/>
          <w:numId w:val="4"/>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学分要求</w:t>
      </w:r>
    </w:p>
    <w:p w14:paraId="70091B7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专业要求学生根据人才培养方案确定的目标和培养规格，完成规定的实习实训，全部课程考核合格且修满至少143学分。其中，必修课127学分，选修课16学分。公共必修课42学分，公共选修课8学分。专业必修课85学分，专业选修课8学分。</w:t>
      </w:r>
    </w:p>
    <w:p w14:paraId="3E48994A">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（二）综合素质要求</w:t>
      </w:r>
    </w:p>
    <w:p w14:paraId="7A249F52">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color w:val="auto"/>
          <w:highlight w:val="none"/>
        </w:rPr>
      </w:pPr>
      <w:r>
        <w:rPr>
          <w:rFonts w:hint="eastAsia" w:ascii="仿宋_GB2312" w:hAnsi="仿宋_GB2312" w:eastAsia="仿宋_GB2312" w:cs="仿宋_GB2312"/>
          <w:color w:val="auto"/>
          <w:kern w:val="2"/>
          <w:sz w:val="32"/>
          <w:szCs w:val="32"/>
          <w:highlight w:val="none"/>
          <w:lang w:val="en-US" w:eastAsia="zh-CN" w:bidi="ar-SA"/>
        </w:rPr>
        <w:t>经鉴定思想品德符合要求，掌握本专业知识和技术技能，积极参加社会实践活动，具备职业综合素质和行动能力。</w:t>
      </w: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D01311-BC90-407A-AB27-7EB58B1C365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63851A4D-C1F7-436A-9FA1-271DA8F7A90C}"/>
  </w:font>
  <w:font w:name="华文新魏">
    <w:panose1 w:val="02010800040101010101"/>
    <w:charset w:val="86"/>
    <w:family w:val="auto"/>
    <w:pitch w:val="default"/>
    <w:sig w:usb0="00000001" w:usb1="080F0000" w:usb2="00000000" w:usb3="00000000" w:csb0="00040000" w:csb1="00000000"/>
    <w:embedRegular r:id="rId3" w:fontKey="{5044BA13-422F-4D82-92EF-647A70B1368B}"/>
  </w:font>
  <w:font w:name="方正小标宋简体">
    <w:panose1 w:val="03000509000000000000"/>
    <w:charset w:val="86"/>
    <w:family w:val="script"/>
    <w:pitch w:val="default"/>
    <w:sig w:usb0="00000001" w:usb1="080E0000" w:usb2="00000000" w:usb3="00000000" w:csb0="00040000" w:csb1="00000000"/>
    <w:embedRegular r:id="rId4" w:fontKey="{5C7A1DBD-7CD9-48EC-888E-55265650EEA3}"/>
  </w:font>
  <w:font w:name="仿宋_GB2312">
    <w:panose1 w:val="02010609030101010101"/>
    <w:charset w:val="86"/>
    <w:family w:val="modern"/>
    <w:pitch w:val="default"/>
    <w:sig w:usb0="00000001" w:usb1="080E0000" w:usb2="00000000" w:usb3="00000000" w:csb0="00040000" w:csb1="00000000"/>
    <w:embedRegular r:id="rId5" w:fontKey="{9AB7CAE5-C12C-4448-A715-0D630C6DDD86}"/>
  </w:font>
  <w:font w:name="楷体">
    <w:panose1 w:val="02010609060101010101"/>
    <w:charset w:val="86"/>
    <w:family w:val="modern"/>
    <w:pitch w:val="default"/>
    <w:sig w:usb0="800002BF" w:usb1="38CF7CFA" w:usb2="00000016" w:usb3="00000000" w:csb0="00040001" w:csb1="00000000"/>
    <w:embedRegular r:id="rId6" w:fontKey="{3FFA8098-49F1-45F6-9565-F9BE7E363D43}"/>
  </w:font>
  <w:font w:name="Segoe UI">
    <w:panose1 w:val="020B0502040204020203"/>
    <w:charset w:val="00"/>
    <w:family w:val="auto"/>
    <w:pitch w:val="default"/>
    <w:sig w:usb0="E4002EFF" w:usb1="C000E47F" w:usb2="00000009" w:usb3="00000000" w:csb0="200001FF" w:csb1="00000000"/>
    <w:embedRegular r:id="rId7" w:fontKey="{10E4F78F-9689-454A-8657-9B3F457CCF4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0B8FC">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520FDD">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15520FDD">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760D9">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2D466B"/>
    <w:multiLevelType w:val="singleLevel"/>
    <w:tmpl w:val="EB2D466B"/>
    <w:lvl w:ilvl="0" w:tentative="0">
      <w:start w:val="1"/>
      <w:numFmt w:val="chineseCounting"/>
      <w:suff w:val="nothing"/>
      <w:lvlText w:val="（%1）"/>
      <w:lvlJc w:val="left"/>
      <w:rPr>
        <w:rFonts w:hint="eastAsia"/>
      </w:rPr>
    </w:lvl>
  </w:abstractNum>
  <w:abstractNum w:abstractNumId="1">
    <w:nsid w:val="0E454663"/>
    <w:multiLevelType w:val="singleLevel"/>
    <w:tmpl w:val="0E454663"/>
    <w:lvl w:ilvl="0" w:tentative="0">
      <w:start w:val="11"/>
      <w:numFmt w:val="chineseCounting"/>
      <w:suff w:val="nothing"/>
      <w:lvlText w:val="%1、"/>
      <w:lvlJc w:val="left"/>
      <w:rPr>
        <w:rFonts w:hint="eastAsia"/>
      </w:rPr>
    </w:lvl>
  </w:abstractNum>
  <w:abstractNum w:abstractNumId="2">
    <w:nsid w:val="4005274C"/>
    <w:multiLevelType w:val="singleLevel"/>
    <w:tmpl w:val="4005274C"/>
    <w:lvl w:ilvl="0" w:tentative="0">
      <w:start w:val="1"/>
      <w:numFmt w:val="chineseCounting"/>
      <w:suff w:val="nothing"/>
      <w:lvlText w:val="（%1）"/>
      <w:lvlJc w:val="left"/>
      <w:pPr>
        <w:ind w:left="640" w:firstLine="0"/>
      </w:pPr>
      <w:rPr>
        <w:rFonts w:hint="eastAsia"/>
      </w:rPr>
    </w:lvl>
  </w:abstractNum>
  <w:abstractNum w:abstractNumId="3">
    <w:nsid w:val="5BA7B6DC"/>
    <w:multiLevelType w:val="singleLevel"/>
    <w:tmpl w:val="5BA7B6DC"/>
    <w:lvl w:ilvl="0" w:tentative="0">
      <w:start w:val="2"/>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6F4B"/>
    <w:rsid w:val="01AA3877"/>
    <w:rsid w:val="01AC75F0"/>
    <w:rsid w:val="02661E94"/>
    <w:rsid w:val="02CD5374"/>
    <w:rsid w:val="03304250"/>
    <w:rsid w:val="03A07894"/>
    <w:rsid w:val="048C3708"/>
    <w:rsid w:val="04BC3FEE"/>
    <w:rsid w:val="051223C4"/>
    <w:rsid w:val="062E0F1B"/>
    <w:rsid w:val="06471FDD"/>
    <w:rsid w:val="06C90C44"/>
    <w:rsid w:val="070954E4"/>
    <w:rsid w:val="07322345"/>
    <w:rsid w:val="082F2519"/>
    <w:rsid w:val="084C7436"/>
    <w:rsid w:val="08793BBD"/>
    <w:rsid w:val="08DA7138"/>
    <w:rsid w:val="08F70DAF"/>
    <w:rsid w:val="09075A53"/>
    <w:rsid w:val="094D790A"/>
    <w:rsid w:val="095347F5"/>
    <w:rsid w:val="09CB082F"/>
    <w:rsid w:val="09D45935"/>
    <w:rsid w:val="0A1E4E03"/>
    <w:rsid w:val="0A634F0B"/>
    <w:rsid w:val="0AC91212"/>
    <w:rsid w:val="0AFF69E2"/>
    <w:rsid w:val="0B64718D"/>
    <w:rsid w:val="0B9E269F"/>
    <w:rsid w:val="0BB93035"/>
    <w:rsid w:val="0C0A3BA0"/>
    <w:rsid w:val="0CE642FD"/>
    <w:rsid w:val="0D3000CB"/>
    <w:rsid w:val="0DE924A0"/>
    <w:rsid w:val="0E1375FC"/>
    <w:rsid w:val="0E2350DD"/>
    <w:rsid w:val="0E5E6115"/>
    <w:rsid w:val="0ED4462A"/>
    <w:rsid w:val="0F386966"/>
    <w:rsid w:val="0FA47B58"/>
    <w:rsid w:val="0FA67D74"/>
    <w:rsid w:val="0FCA63F2"/>
    <w:rsid w:val="0FD20B69"/>
    <w:rsid w:val="0FE4089C"/>
    <w:rsid w:val="10004DAC"/>
    <w:rsid w:val="10093E5F"/>
    <w:rsid w:val="10152804"/>
    <w:rsid w:val="10234F21"/>
    <w:rsid w:val="10914580"/>
    <w:rsid w:val="10EE36A0"/>
    <w:rsid w:val="116752E1"/>
    <w:rsid w:val="12485112"/>
    <w:rsid w:val="127F665A"/>
    <w:rsid w:val="12DC3AAD"/>
    <w:rsid w:val="12F708E7"/>
    <w:rsid w:val="13203999"/>
    <w:rsid w:val="135C5E82"/>
    <w:rsid w:val="139B5716"/>
    <w:rsid w:val="13C77F07"/>
    <w:rsid w:val="13F454F6"/>
    <w:rsid w:val="148121B8"/>
    <w:rsid w:val="14A800EA"/>
    <w:rsid w:val="15001CD4"/>
    <w:rsid w:val="150317C5"/>
    <w:rsid w:val="15202377"/>
    <w:rsid w:val="15542020"/>
    <w:rsid w:val="165F0C7D"/>
    <w:rsid w:val="1699418F"/>
    <w:rsid w:val="16995FBA"/>
    <w:rsid w:val="16A42B33"/>
    <w:rsid w:val="16DC051F"/>
    <w:rsid w:val="170B4961"/>
    <w:rsid w:val="1740285C"/>
    <w:rsid w:val="1749510D"/>
    <w:rsid w:val="1796247C"/>
    <w:rsid w:val="18CB084B"/>
    <w:rsid w:val="19481E9C"/>
    <w:rsid w:val="19AF3CC9"/>
    <w:rsid w:val="19F75BB7"/>
    <w:rsid w:val="1A262FB5"/>
    <w:rsid w:val="1AA2738A"/>
    <w:rsid w:val="1AE45BF4"/>
    <w:rsid w:val="1BAE7956"/>
    <w:rsid w:val="1BCC19A4"/>
    <w:rsid w:val="1BE85270"/>
    <w:rsid w:val="1BF93A5C"/>
    <w:rsid w:val="1C27223D"/>
    <w:rsid w:val="1C6F14EE"/>
    <w:rsid w:val="1CB25FAA"/>
    <w:rsid w:val="1D0377EB"/>
    <w:rsid w:val="1D24677C"/>
    <w:rsid w:val="1DD51824"/>
    <w:rsid w:val="1E4B3DFE"/>
    <w:rsid w:val="1E91399D"/>
    <w:rsid w:val="1EA77665"/>
    <w:rsid w:val="1ECC6B87"/>
    <w:rsid w:val="1F3A7811"/>
    <w:rsid w:val="1F5350F7"/>
    <w:rsid w:val="1FB17C46"/>
    <w:rsid w:val="1FB21E1D"/>
    <w:rsid w:val="1FBC2C9C"/>
    <w:rsid w:val="207417C9"/>
    <w:rsid w:val="20AA343C"/>
    <w:rsid w:val="20AD7038"/>
    <w:rsid w:val="20BE4D41"/>
    <w:rsid w:val="20E56222"/>
    <w:rsid w:val="210E0F0E"/>
    <w:rsid w:val="213A73C6"/>
    <w:rsid w:val="2170143C"/>
    <w:rsid w:val="21EB3D26"/>
    <w:rsid w:val="22123047"/>
    <w:rsid w:val="223461B5"/>
    <w:rsid w:val="22967FAA"/>
    <w:rsid w:val="22A00653"/>
    <w:rsid w:val="22AC51A0"/>
    <w:rsid w:val="2338088B"/>
    <w:rsid w:val="236773C3"/>
    <w:rsid w:val="237D0994"/>
    <w:rsid w:val="23954DD6"/>
    <w:rsid w:val="23D42CAA"/>
    <w:rsid w:val="249D12EE"/>
    <w:rsid w:val="24E76143"/>
    <w:rsid w:val="24F353B2"/>
    <w:rsid w:val="26485411"/>
    <w:rsid w:val="267A11BB"/>
    <w:rsid w:val="27075144"/>
    <w:rsid w:val="27441EF5"/>
    <w:rsid w:val="274F0C58"/>
    <w:rsid w:val="27AE3812"/>
    <w:rsid w:val="27F5401D"/>
    <w:rsid w:val="28557849"/>
    <w:rsid w:val="285A12A4"/>
    <w:rsid w:val="28862099"/>
    <w:rsid w:val="289A5B44"/>
    <w:rsid w:val="28BD30CD"/>
    <w:rsid w:val="296E1A2F"/>
    <w:rsid w:val="29B449E4"/>
    <w:rsid w:val="29C72B81"/>
    <w:rsid w:val="29F55728"/>
    <w:rsid w:val="2A175BF1"/>
    <w:rsid w:val="2B0F281A"/>
    <w:rsid w:val="2B6575DC"/>
    <w:rsid w:val="2B8D373E"/>
    <w:rsid w:val="2BF11F1F"/>
    <w:rsid w:val="2C29568D"/>
    <w:rsid w:val="2C802418"/>
    <w:rsid w:val="2CB341C7"/>
    <w:rsid w:val="2CC66F08"/>
    <w:rsid w:val="2CEB2E12"/>
    <w:rsid w:val="2D5704A8"/>
    <w:rsid w:val="2D8165B1"/>
    <w:rsid w:val="2D964B2C"/>
    <w:rsid w:val="2DAC4350"/>
    <w:rsid w:val="2DE47F8D"/>
    <w:rsid w:val="2F083808"/>
    <w:rsid w:val="2F34284F"/>
    <w:rsid w:val="2F436F36"/>
    <w:rsid w:val="2F7A2E0A"/>
    <w:rsid w:val="2F8D1F5F"/>
    <w:rsid w:val="2FA96B3D"/>
    <w:rsid w:val="2FD933F6"/>
    <w:rsid w:val="30A6152A"/>
    <w:rsid w:val="30A77050"/>
    <w:rsid w:val="30DC27D6"/>
    <w:rsid w:val="3115220C"/>
    <w:rsid w:val="31342FDA"/>
    <w:rsid w:val="318A49A8"/>
    <w:rsid w:val="31A83FF1"/>
    <w:rsid w:val="31AA329C"/>
    <w:rsid w:val="31D2634F"/>
    <w:rsid w:val="321D581C"/>
    <w:rsid w:val="329F708A"/>
    <w:rsid w:val="32F32A21"/>
    <w:rsid w:val="32F92E4C"/>
    <w:rsid w:val="32FA3DAF"/>
    <w:rsid w:val="33260700"/>
    <w:rsid w:val="33266952"/>
    <w:rsid w:val="33AE06F6"/>
    <w:rsid w:val="33B93C14"/>
    <w:rsid w:val="348B3F97"/>
    <w:rsid w:val="34B65AB4"/>
    <w:rsid w:val="34C46423"/>
    <w:rsid w:val="34EA50C0"/>
    <w:rsid w:val="357449D1"/>
    <w:rsid w:val="35E93C67"/>
    <w:rsid w:val="364315C9"/>
    <w:rsid w:val="36657792"/>
    <w:rsid w:val="370E7E29"/>
    <w:rsid w:val="37143303"/>
    <w:rsid w:val="376B0DD8"/>
    <w:rsid w:val="3770165B"/>
    <w:rsid w:val="37960DB8"/>
    <w:rsid w:val="37AD2573"/>
    <w:rsid w:val="380217EA"/>
    <w:rsid w:val="381153F4"/>
    <w:rsid w:val="38481119"/>
    <w:rsid w:val="38877EE4"/>
    <w:rsid w:val="38C22C79"/>
    <w:rsid w:val="39306799"/>
    <w:rsid w:val="39372651"/>
    <w:rsid w:val="39596A1B"/>
    <w:rsid w:val="39A700C1"/>
    <w:rsid w:val="3A451367"/>
    <w:rsid w:val="3A60099C"/>
    <w:rsid w:val="3A7A7584"/>
    <w:rsid w:val="3AEA4709"/>
    <w:rsid w:val="3B4007CD"/>
    <w:rsid w:val="3C17152E"/>
    <w:rsid w:val="3D0047E4"/>
    <w:rsid w:val="3D766728"/>
    <w:rsid w:val="3D9F7A2D"/>
    <w:rsid w:val="3E4D7489"/>
    <w:rsid w:val="3E725142"/>
    <w:rsid w:val="3EB92D70"/>
    <w:rsid w:val="3ED951C1"/>
    <w:rsid w:val="3F6A4DBB"/>
    <w:rsid w:val="3F785DC7"/>
    <w:rsid w:val="3FF86C17"/>
    <w:rsid w:val="3FFC1167"/>
    <w:rsid w:val="40077B0C"/>
    <w:rsid w:val="404B5C4A"/>
    <w:rsid w:val="40664832"/>
    <w:rsid w:val="4084115C"/>
    <w:rsid w:val="4099592E"/>
    <w:rsid w:val="40B53BBC"/>
    <w:rsid w:val="40B557B9"/>
    <w:rsid w:val="40C8470D"/>
    <w:rsid w:val="4131371A"/>
    <w:rsid w:val="413D6362"/>
    <w:rsid w:val="41540B2E"/>
    <w:rsid w:val="415648A7"/>
    <w:rsid w:val="41727207"/>
    <w:rsid w:val="41A42FA1"/>
    <w:rsid w:val="41BB6E00"/>
    <w:rsid w:val="41CF62FB"/>
    <w:rsid w:val="41DE5079"/>
    <w:rsid w:val="422A57D8"/>
    <w:rsid w:val="42817701"/>
    <w:rsid w:val="428611BC"/>
    <w:rsid w:val="42B86E9B"/>
    <w:rsid w:val="43105F3B"/>
    <w:rsid w:val="436463B1"/>
    <w:rsid w:val="43713C1A"/>
    <w:rsid w:val="43792ACE"/>
    <w:rsid w:val="43A538C3"/>
    <w:rsid w:val="43C755E8"/>
    <w:rsid w:val="44380293"/>
    <w:rsid w:val="447D65EE"/>
    <w:rsid w:val="44A43B7B"/>
    <w:rsid w:val="44B71B00"/>
    <w:rsid w:val="44B862E9"/>
    <w:rsid w:val="455530C7"/>
    <w:rsid w:val="45A67843"/>
    <w:rsid w:val="4602706C"/>
    <w:rsid w:val="465810C1"/>
    <w:rsid w:val="46733805"/>
    <w:rsid w:val="46B856BC"/>
    <w:rsid w:val="46EE10DD"/>
    <w:rsid w:val="46F661E4"/>
    <w:rsid w:val="47103740"/>
    <w:rsid w:val="471C3E9C"/>
    <w:rsid w:val="47510F07"/>
    <w:rsid w:val="4803505C"/>
    <w:rsid w:val="480A0199"/>
    <w:rsid w:val="48A57EC2"/>
    <w:rsid w:val="48AE4FC8"/>
    <w:rsid w:val="48BA396D"/>
    <w:rsid w:val="48BD16AF"/>
    <w:rsid w:val="48DF1625"/>
    <w:rsid w:val="48E56510"/>
    <w:rsid w:val="49395702"/>
    <w:rsid w:val="49843F7B"/>
    <w:rsid w:val="49A63EF1"/>
    <w:rsid w:val="4A3C6604"/>
    <w:rsid w:val="4AA20B5D"/>
    <w:rsid w:val="4AD8632C"/>
    <w:rsid w:val="4AF15640"/>
    <w:rsid w:val="4AFA62A3"/>
    <w:rsid w:val="4B490FD8"/>
    <w:rsid w:val="4B726781"/>
    <w:rsid w:val="4C0272E2"/>
    <w:rsid w:val="4C0C0983"/>
    <w:rsid w:val="4C1149B8"/>
    <w:rsid w:val="4C1F6B20"/>
    <w:rsid w:val="4C675BBA"/>
    <w:rsid w:val="4D135D42"/>
    <w:rsid w:val="4D1473C4"/>
    <w:rsid w:val="4D5A72B9"/>
    <w:rsid w:val="4E514358"/>
    <w:rsid w:val="4E5C7274"/>
    <w:rsid w:val="4F585C8E"/>
    <w:rsid w:val="4F6B3C13"/>
    <w:rsid w:val="4F7D56F4"/>
    <w:rsid w:val="509C4C8B"/>
    <w:rsid w:val="5135219E"/>
    <w:rsid w:val="51C30881"/>
    <w:rsid w:val="51D535C6"/>
    <w:rsid w:val="51FE1E87"/>
    <w:rsid w:val="522105B9"/>
    <w:rsid w:val="5259656B"/>
    <w:rsid w:val="52767E5B"/>
    <w:rsid w:val="535B634F"/>
    <w:rsid w:val="53807561"/>
    <w:rsid w:val="53C71634"/>
    <w:rsid w:val="542919A7"/>
    <w:rsid w:val="55D87B28"/>
    <w:rsid w:val="561C7274"/>
    <w:rsid w:val="56397652"/>
    <w:rsid w:val="565C2507"/>
    <w:rsid w:val="566118CC"/>
    <w:rsid w:val="56A23A63"/>
    <w:rsid w:val="56B23EF5"/>
    <w:rsid w:val="56F95FA8"/>
    <w:rsid w:val="572D5C52"/>
    <w:rsid w:val="579F7BCE"/>
    <w:rsid w:val="58337298"/>
    <w:rsid w:val="58680DC2"/>
    <w:rsid w:val="588673C8"/>
    <w:rsid w:val="58E02A3F"/>
    <w:rsid w:val="5900361E"/>
    <w:rsid w:val="592F7A5F"/>
    <w:rsid w:val="59345076"/>
    <w:rsid w:val="59575208"/>
    <w:rsid w:val="595C12A3"/>
    <w:rsid w:val="5996188C"/>
    <w:rsid w:val="59C77C98"/>
    <w:rsid w:val="59DE1485"/>
    <w:rsid w:val="59FD4171"/>
    <w:rsid w:val="5A9F0C15"/>
    <w:rsid w:val="5AD36B10"/>
    <w:rsid w:val="5AE64A95"/>
    <w:rsid w:val="5B137EF8"/>
    <w:rsid w:val="5B1F1DFE"/>
    <w:rsid w:val="5B322D65"/>
    <w:rsid w:val="5BBC75A4"/>
    <w:rsid w:val="5BBE191C"/>
    <w:rsid w:val="5BCC4E68"/>
    <w:rsid w:val="5C0E6052"/>
    <w:rsid w:val="5C38700F"/>
    <w:rsid w:val="5C4E644E"/>
    <w:rsid w:val="5C606182"/>
    <w:rsid w:val="5C8C341B"/>
    <w:rsid w:val="5C9B365E"/>
    <w:rsid w:val="5CD1707F"/>
    <w:rsid w:val="5D01298C"/>
    <w:rsid w:val="5D206DB4"/>
    <w:rsid w:val="5D292A17"/>
    <w:rsid w:val="5E043D85"/>
    <w:rsid w:val="5E510503"/>
    <w:rsid w:val="5E7540E3"/>
    <w:rsid w:val="5E8B1BDC"/>
    <w:rsid w:val="5E93321A"/>
    <w:rsid w:val="5E9B7945"/>
    <w:rsid w:val="5EBD5B0D"/>
    <w:rsid w:val="5F07293D"/>
    <w:rsid w:val="5F1B4F3C"/>
    <w:rsid w:val="5F2B6F1B"/>
    <w:rsid w:val="5F335DCF"/>
    <w:rsid w:val="5F475456"/>
    <w:rsid w:val="5F4C0C3F"/>
    <w:rsid w:val="5FC058B5"/>
    <w:rsid w:val="5FE1582B"/>
    <w:rsid w:val="5FEC48FC"/>
    <w:rsid w:val="5FF23595"/>
    <w:rsid w:val="5FF437B1"/>
    <w:rsid w:val="601C4AB5"/>
    <w:rsid w:val="608D150F"/>
    <w:rsid w:val="611D2893"/>
    <w:rsid w:val="613D1187"/>
    <w:rsid w:val="614442C4"/>
    <w:rsid w:val="614B6102"/>
    <w:rsid w:val="61750921"/>
    <w:rsid w:val="617A5F38"/>
    <w:rsid w:val="61926DDD"/>
    <w:rsid w:val="62386256"/>
    <w:rsid w:val="62D11B87"/>
    <w:rsid w:val="62E80EC0"/>
    <w:rsid w:val="631D301E"/>
    <w:rsid w:val="631F49AF"/>
    <w:rsid w:val="632717A7"/>
    <w:rsid w:val="6384309D"/>
    <w:rsid w:val="638D0589"/>
    <w:rsid w:val="63CE39A4"/>
    <w:rsid w:val="63D27965"/>
    <w:rsid w:val="64025D70"/>
    <w:rsid w:val="643017E4"/>
    <w:rsid w:val="644840CB"/>
    <w:rsid w:val="64966BE4"/>
    <w:rsid w:val="65165F77"/>
    <w:rsid w:val="65FE0EE5"/>
    <w:rsid w:val="663F14FE"/>
    <w:rsid w:val="666716AD"/>
    <w:rsid w:val="66707909"/>
    <w:rsid w:val="66B141AA"/>
    <w:rsid w:val="670D60AD"/>
    <w:rsid w:val="67470A9D"/>
    <w:rsid w:val="6773145F"/>
    <w:rsid w:val="67B90B06"/>
    <w:rsid w:val="67FA56DC"/>
    <w:rsid w:val="681A3FD0"/>
    <w:rsid w:val="6888718C"/>
    <w:rsid w:val="68B25FB7"/>
    <w:rsid w:val="69164798"/>
    <w:rsid w:val="69D837FB"/>
    <w:rsid w:val="6A246A40"/>
    <w:rsid w:val="6A9C6F1F"/>
    <w:rsid w:val="6ABA1153"/>
    <w:rsid w:val="6AF44665"/>
    <w:rsid w:val="6BA46FC2"/>
    <w:rsid w:val="6BDB75D3"/>
    <w:rsid w:val="6BF80185"/>
    <w:rsid w:val="6C2B055A"/>
    <w:rsid w:val="6C423AF6"/>
    <w:rsid w:val="6C891725"/>
    <w:rsid w:val="6C8A72E3"/>
    <w:rsid w:val="6C923EBF"/>
    <w:rsid w:val="6D1D49F8"/>
    <w:rsid w:val="6D465A88"/>
    <w:rsid w:val="6D5D3CB7"/>
    <w:rsid w:val="6D8F2D6B"/>
    <w:rsid w:val="6E047686"/>
    <w:rsid w:val="6E0C43BB"/>
    <w:rsid w:val="6EF07839"/>
    <w:rsid w:val="6F2F65B3"/>
    <w:rsid w:val="6F8456A9"/>
    <w:rsid w:val="6FC4358D"/>
    <w:rsid w:val="6FF128C8"/>
    <w:rsid w:val="6FF60E7F"/>
    <w:rsid w:val="713C6D66"/>
    <w:rsid w:val="71DD2CB4"/>
    <w:rsid w:val="72011973"/>
    <w:rsid w:val="72563E57"/>
    <w:rsid w:val="72DA6836"/>
    <w:rsid w:val="72F21DD2"/>
    <w:rsid w:val="72FF629D"/>
    <w:rsid w:val="730022F6"/>
    <w:rsid w:val="73123A3C"/>
    <w:rsid w:val="732301DD"/>
    <w:rsid w:val="732950C8"/>
    <w:rsid w:val="735E76C4"/>
    <w:rsid w:val="73C60B68"/>
    <w:rsid w:val="73FD2CDB"/>
    <w:rsid w:val="74024296"/>
    <w:rsid w:val="74185868"/>
    <w:rsid w:val="742510D0"/>
    <w:rsid w:val="74257F85"/>
    <w:rsid w:val="744F0B5E"/>
    <w:rsid w:val="749A44CF"/>
    <w:rsid w:val="74E41BEE"/>
    <w:rsid w:val="74F55BA9"/>
    <w:rsid w:val="74F6722B"/>
    <w:rsid w:val="751A53DD"/>
    <w:rsid w:val="75224489"/>
    <w:rsid w:val="753A35BC"/>
    <w:rsid w:val="75504B8E"/>
    <w:rsid w:val="76191423"/>
    <w:rsid w:val="76326989"/>
    <w:rsid w:val="76562678"/>
    <w:rsid w:val="7718792D"/>
    <w:rsid w:val="77D965A0"/>
    <w:rsid w:val="77FC484A"/>
    <w:rsid w:val="782C5979"/>
    <w:rsid w:val="7847671C"/>
    <w:rsid w:val="789254BD"/>
    <w:rsid w:val="78FA1894"/>
    <w:rsid w:val="79002D6F"/>
    <w:rsid w:val="791660EE"/>
    <w:rsid w:val="79751DE3"/>
    <w:rsid w:val="7A1E674C"/>
    <w:rsid w:val="7B5B0730"/>
    <w:rsid w:val="7B821819"/>
    <w:rsid w:val="7B8B4A06"/>
    <w:rsid w:val="7BAC4AE8"/>
    <w:rsid w:val="7C9C690A"/>
    <w:rsid w:val="7D1172F8"/>
    <w:rsid w:val="7D7B6E68"/>
    <w:rsid w:val="7DAC0DCF"/>
    <w:rsid w:val="7E312723"/>
    <w:rsid w:val="7E372159"/>
    <w:rsid w:val="7EAF501B"/>
    <w:rsid w:val="7F080287"/>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18193</Words>
  <Characters>18298</Characters>
  <Lines>1850</Lines>
  <Paragraphs>1270</Paragraphs>
  <TotalTime>17</TotalTime>
  <ScaleCrop>false</ScaleCrop>
  <LinksUpToDate>false</LinksUpToDate>
  <CharactersWithSpaces>18301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2025-09-26T11:01:42Z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0DAC74E1EFE5487690866511387BAA3D_13</vt:lpwstr>
  </property>
  <property fmtid="{D5CDD505-2E9C-101B-9397-08002B2CF9AE}" pid="4" name="KSOTemplateDocerSaveRecord">
    <vt:lpwstr>eyJoZGlkIjoiMjc1MmY4YmRmMWQyOTI4YTA4ZWU0YzkzZDQ5ZjQ0MWYiLCJ1c2VySWQiOiI5MzQ1MzgzNTMifQ==</vt:lpwstr>
  </property>
</Properties>
</file>