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智慧健康养老服务与管理</w:t>
      </w:r>
      <w:r>
        <w:rPr>
          <w:rFonts w:hint="eastAsia" w:ascii="黑体" w:hAnsi="黑体" w:eastAsia="黑体" w:cs="黑体"/>
          <w:b w:val="0"/>
          <w:bCs/>
          <w:color w:val="auto"/>
          <w:sz w:val="72"/>
          <w:szCs w:val="72"/>
        </w:rPr>
        <w:t>专业人才培养方案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val="en-US" w:eastAsia="zh-CN"/>
        </w:rPr>
        <w:t>智慧健康养老服务与管理</w:t>
      </w:r>
      <w:r>
        <w:rPr>
          <w:rFonts w:hint="eastAsia" w:ascii="方正小标宋简体" w:hAnsi="方正小标宋简体" w:eastAsia="方正小标宋简体" w:cs="方正小标宋简体"/>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专业名称：</w:t>
      </w:r>
      <w:r>
        <w:rPr>
          <w:rFonts w:hint="eastAsia" w:ascii="仿宋_GB2312" w:hAnsi="仿宋_GB2312" w:eastAsia="仿宋_GB2312" w:cs="仿宋_GB2312"/>
          <w:color w:val="auto"/>
          <w:sz w:val="32"/>
          <w:szCs w:val="32"/>
          <w:highlight w:val="none"/>
          <w:lang w:val="en-US" w:eastAsia="zh-CN"/>
        </w:rPr>
        <w:t>智慧健康养老服务与管理</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专业代码：</w:t>
      </w:r>
      <w:r>
        <w:rPr>
          <w:rFonts w:hint="eastAsia" w:ascii="仿宋_GB2312" w:hAnsi="仿宋_GB2312" w:eastAsia="仿宋_GB2312" w:cs="仿宋_GB2312"/>
          <w:color w:val="auto"/>
          <w:sz w:val="32"/>
          <w:szCs w:val="32"/>
          <w:highlight w:val="none"/>
          <w:lang w:val="en-US" w:eastAsia="zh-CN"/>
        </w:rPr>
        <w:t xml:space="preserve">590302 </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中等职业学校毕业、普通高级中学毕业或具备同等学力</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55"/>
        <w:gridCol w:w="1532"/>
        <w:gridCol w:w="2186"/>
        <w:gridCol w:w="1546"/>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455"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532"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对应行业（代码）</w:t>
            </w:r>
          </w:p>
        </w:tc>
        <w:tc>
          <w:tcPr>
            <w:tcW w:w="218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54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866"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rPr>
            </w:pPr>
            <w:bookmarkStart w:id="0" w:name="OLE_LINK1" w:colFirst="0" w:colLast="5"/>
            <w:r>
              <w:rPr>
                <w:rFonts w:hint="eastAsia" w:ascii="仿宋_GB2312" w:hAnsi="仿宋_GB2312" w:eastAsia="仿宋_GB2312" w:cs="仿宋_GB2312"/>
                <w:color w:val="auto"/>
                <w:sz w:val="24"/>
                <w:highlight w:val="none"/>
              </w:rPr>
              <w:t>公共管理与服务大类（59）</w:t>
            </w:r>
          </w:p>
        </w:tc>
        <w:tc>
          <w:tcPr>
            <w:tcW w:w="14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公共服务类（5903</w:t>
            </w:r>
            <w:r>
              <w:rPr>
                <w:rFonts w:hint="eastAsia" w:ascii="仿宋_GB2312" w:hAnsi="仿宋_GB2312" w:eastAsia="仿宋_GB2312" w:cs="仿宋_GB2312"/>
                <w:color w:val="auto"/>
                <w:sz w:val="24"/>
                <w:highlight w:val="none"/>
                <w:lang w:val="en-US" w:eastAsia="zh-CN"/>
              </w:rPr>
              <w:t>）</w:t>
            </w:r>
          </w:p>
        </w:tc>
        <w:tc>
          <w:tcPr>
            <w:tcW w:w="153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老年人、残疾人养护服务（8514）</w:t>
            </w:r>
          </w:p>
        </w:tc>
        <w:tc>
          <w:tcPr>
            <w:tcW w:w="218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养老护理员（4-10-01-05）、失智老年人照护员（4-10-01-05）、</w:t>
            </w:r>
          </w:p>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老年人能力评估师（4-14-02-05）、健康照护师（4-14-01-03）</w:t>
            </w:r>
          </w:p>
        </w:tc>
        <w:tc>
          <w:tcPr>
            <w:tcW w:w="154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老年评估、老年照护、养老运营管理</w:t>
            </w:r>
          </w:p>
        </w:tc>
        <w:tc>
          <w:tcPr>
            <w:tcW w:w="186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auto"/>
              <w:jc w:val="center"/>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老年照护、失智老年人照护、医养个案管理、老年康体指导、 老年护理服务需求评估</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专业秉持着“服务区域经济发展、培育优秀工程人才”的办学理念，同时恪守“厚德博学，至材健行”的校训精神，致力于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老年人、残疾人养护服务行业的老年评估、老年照护、养老运营与管理等技术领域，能够从事老年照护、老年评估、失智老年人照护、养老机构运营管理、养老服务规划与咨询工作的高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本专业学</w:t>
      </w:r>
      <w:r>
        <w:rPr>
          <w:rFonts w:hint="eastAsia" w:ascii="仿宋_GB2312" w:hAnsi="仿宋_GB2312" w:eastAsia="仿宋_GB2312" w:cs="仿宋_GB2312"/>
          <w:color w:val="auto"/>
          <w:sz w:val="32"/>
          <w:szCs w:val="32"/>
          <w:highlight w:val="none"/>
          <w:lang w:val="en-US" w:eastAsia="zh-CN"/>
        </w:rPr>
        <w:t>生</w:t>
      </w:r>
      <w:r>
        <w:rPr>
          <w:rFonts w:hint="eastAsia" w:ascii="仿宋_GB2312" w:hAnsi="仿宋_GB2312" w:eastAsia="仿宋_GB2312" w:cs="仿宋_GB2312"/>
          <w:color w:val="auto"/>
          <w:sz w:val="32"/>
          <w:szCs w:val="32"/>
          <w:highlight w:val="none"/>
          <w:lang w:eastAsia="zh-CN"/>
        </w:rPr>
        <w:t>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掌握与本专业对应职业活动相关的国家法律、行业规定，掌握绿色生产、环境保护、安全防护、质量管理等相关知识与技能，了解相关行业文化，具有爱岗敬业的职业精神，遵守职业道德准则和行为规范，具备社会责任感和担当精神；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2.掌握支撑本专业学习和可持续发展必备的语文、数学、外语（英语等）、信息技术等文化基础知识，具有良好的人文素养与科学素养，具备职业生涯规划能力；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3.具有良好的语言表达能力、文字表达能力、沟通合作能力，具有较强的集体意识和 团队合作意识，学习 1 门外语并结合本专业加以运用；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4.掌握养老职业素养与安全、养老产业与养老服务业、养老服务礼仪与沟通、老年人体结构与功能、养老政策法规与标准、老年常见慢性病健康管理、健康养老大数据应用等专业基础理论知识。</w:t>
      </w:r>
    </w:p>
    <w:p>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1.掌握老年人日常生活能力、认知功能和精神状态、感知觉与沟通、社会参与及服务需求知识，具备进行老年人评估的能力或实践能力；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2.掌握老年人饮食照护、排泄照护、清洁照护、睡眠照护、生命体征测量、消毒防护等生活与基础照护知识，具备为失能失智老年人提供生活照护、基础照护的能力或实践能力；</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3.掌握老年人生活能力康复训练以及辅助器具、助行器具选配与使用、生活环境适老化改造与控制技术知识，具备协助与指导老年人进行康复训练的能力或实践能力；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4.掌握老年常见慢性疾病的健康照护知识，具备为老年人提供常见慢性病整体照护并能运用智慧养老设备及系统协助完成健康监测及照护的能力或实践能力；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5.掌握老年人心理特点、老年心理评估方法与辅疗技巧、常见心理健康问题等心理护理知识，具备初步为老年人进行心理健康评估、心理辅疗服务的能力或实践能力；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6.掌握活动策划方案写作、策划组织与实施、活动创意设计等知识，具备策划、组织与实施、设计各类老年活动的能力或实践能力；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7.掌握养老机构的论证、申报、审批及备案、运营管理等知识，具备养老设施筹建、业务及运营管理并熟练运用智能化设施设备及信息平台进行管理的能力或实践能力；</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8.掌握社区居家养老基础设施选址设计、标准化建设、智慧化管理、风险管理等知识，能进行社区居家养老管理并熟练运用智能化设施设备及信息平台进行管理的能力或实践能力；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9.掌握信息技术基础知识，具有适应本行业数字化和智能化发展需求的数字技能； </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10.具有探究学习、终身学习和可持续发展的能力，具有整合知识和综合运用知识分析问题和解决问题的能力。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1.坚定拥护中国共产党领导和中国特色社会主义制度，以习近平新时代中国特色社会主义思想为指导，践行社会主义核心价值观，具有坚定的理想信念、深厚的爱国情感和中华民族自豪感；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2.掌握身体运动的基本知识和至少1项体育运动技能，达到国家大学生体质健康测试合格标准，养成良好的运动习惯、卫生习惯和行为习惯；具备一定的心理调适能力；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3.掌握必备的美育知识，具有一定的文化修养、审美能力，形成至少1项艺术特长或爱好；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4.树立正确的劳动观，尊重劳动，热爱劳动，具备与本专业职业发展相适应的劳动素养，弘扬劳模精神、劳动精神、工匠精神，弘扬劳动光荣、技能宝贵、创造伟大的时代风尚。</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语文、物理、化学、职业素养、</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2" w:type="dxa"/>
          <w:left w:w="64" w:type="dxa"/>
          <w:bottom w:w="32" w:type="dxa"/>
          <w:right w:w="64" w:type="dxa"/>
        </w:tblCellMar>
      </w:tblPr>
      <w:tblGrid>
        <w:gridCol w:w="728"/>
        <w:gridCol w:w="800"/>
        <w:gridCol w:w="4600"/>
        <w:gridCol w:w="2411"/>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序号</w:t>
            </w:r>
          </w:p>
        </w:tc>
        <w:tc>
          <w:tcPr>
            <w:tcW w:w="800"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课程名称</w:t>
            </w:r>
          </w:p>
        </w:tc>
        <w:tc>
          <w:tcPr>
            <w:tcW w:w="4600"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课程目标</w:t>
            </w:r>
          </w:p>
        </w:tc>
        <w:tc>
          <w:tcPr>
            <w:tcW w:w="2411"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主要教学内容</w:t>
            </w:r>
          </w:p>
        </w:tc>
        <w:tc>
          <w:tcPr>
            <w:tcW w:w="2367"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600"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411"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367"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367"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60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4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67"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600"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4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3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80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6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7</w:t>
            </w:r>
          </w:p>
        </w:tc>
        <w:tc>
          <w:tcPr>
            <w:tcW w:w="80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6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，培养学生树立正确的世界观、人生观、价值观，明辨西方文化与价值观，增强文化自信和爱国情怀。</w:t>
            </w:r>
          </w:p>
        </w:tc>
        <w:tc>
          <w:tcPr>
            <w:tcW w:w="24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3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8</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pacing w:val="-6"/>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w:t>
            </w:r>
            <w:r>
              <w:rPr>
                <w:rFonts w:hint="eastAsia" w:ascii="仿宋_GB2312" w:hAnsi="仿宋_GB2312" w:eastAsia="仿宋_GB2312" w:cs="仿宋_GB2312"/>
                <w:color w:val="auto"/>
                <w:spacing w:val="-6"/>
                <w:sz w:val="24"/>
                <w:szCs w:val="24"/>
                <w:highlight w:val="none"/>
              </w:rPr>
              <w:t>。培养1-2项运动特长，</w:t>
            </w:r>
            <w:r>
              <w:rPr>
                <w:rFonts w:hint="eastAsia" w:ascii="仿宋_GB2312" w:hAnsi="仿宋_GB2312" w:eastAsia="仿宋_GB2312" w:cs="仿宋_GB2312"/>
                <w:b w:val="0"/>
                <w:bCs w:val="0"/>
                <w:color w:val="auto"/>
                <w:spacing w:val="-6"/>
                <w:sz w:val="24"/>
                <w:szCs w:val="24"/>
                <w:highlight w:val="none"/>
              </w:rPr>
              <w:t>提升体育运动能力，提高职业体能水平。</w:t>
            </w:r>
            <w:r>
              <w:rPr>
                <w:rFonts w:hint="eastAsia" w:ascii="仿宋_GB2312" w:hAnsi="仿宋_GB2312" w:eastAsia="仿宋_GB2312" w:cs="仿宋_GB2312"/>
                <w:color w:val="auto"/>
                <w:spacing w:val="-6"/>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9</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w:t>
            </w:r>
            <w:r>
              <w:rPr>
                <w:rFonts w:hint="eastAsia" w:ascii="仿宋_GB2312" w:hAnsi="仿宋_GB2312" w:eastAsia="仿宋_GB2312" w:cs="仿宋_GB2312"/>
                <w:b w:val="0"/>
                <w:bCs w:val="0"/>
                <w:color w:val="auto"/>
                <w:spacing w:val="-6"/>
                <w:kern w:val="2"/>
                <w:sz w:val="24"/>
                <w:szCs w:val="24"/>
                <w:highlight w:val="none"/>
                <w:lang w:val="en-US" w:eastAsia="zh-CN" w:bidi="ar-SA"/>
              </w:rPr>
              <w:t>，充分感知国家在相关领域的坚实能力。</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10</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11</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w:t>
            </w:r>
            <w:r>
              <w:rPr>
                <w:rFonts w:hint="eastAsia" w:ascii="仿宋_GB2312" w:hAnsi="仿宋_GB2312" w:eastAsia="仿宋_GB2312" w:cs="仿宋_GB2312"/>
                <w:color w:val="auto"/>
                <w:spacing w:val="-6"/>
                <w:sz w:val="24"/>
                <w:szCs w:val="24"/>
                <w:highlight w:val="none"/>
                <w:lang w:val="en-US" w:eastAsia="zh-CN"/>
              </w:rPr>
              <w:t>，形成尊重劳动、热爱劳动的良好品格</w:t>
            </w:r>
            <w:r>
              <w:rPr>
                <w:rFonts w:hint="eastAsia" w:ascii="仿宋_GB2312" w:hAnsi="仿宋_GB2312" w:eastAsia="仿宋_GB2312" w:cs="仿宋_GB2312"/>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12</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系统把握马克思主义中国化理论成果所蕴含的马克思主义立场、观点和方法。</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13</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14</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600"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411"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367"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15</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16</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17</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w:t>
            </w:r>
            <w:r>
              <w:rPr>
                <w:rFonts w:hint="eastAsia" w:ascii="仿宋_GB2312" w:hAnsi="仿宋_GB2312" w:eastAsia="仿宋_GB2312" w:cs="仿宋_GB2312"/>
                <w:i w:val="0"/>
                <w:iCs w:val="0"/>
                <w:caps w:val="0"/>
                <w:color w:val="auto"/>
                <w:spacing w:val="-6"/>
                <w:kern w:val="0"/>
                <w:sz w:val="24"/>
                <w:szCs w:val="24"/>
                <w:highlight w:val="none"/>
                <w:shd w:val="clear" w:color="auto" w:fill="FFFFFF"/>
                <w:lang w:val="en-US" w:eastAsia="zh-CN" w:bidi="ar"/>
              </w:rPr>
              <w:t>。社会主义建设艰辛探索的主要过程、成就、失误及经验教训。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19</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21</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w:t>
            </w:r>
            <w:r>
              <w:rPr>
                <w:rFonts w:hint="eastAsia" w:ascii="仿宋_GB2312" w:hAnsi="仿宋_GB2312" w:eastAsia="仿宋_GB2312" w:cs="仿宋_GB2312"/>
                <w:color w:val="auto"/>
                <w:spacing w:val="-6"/>
                <w:sz w:val="24"/>
                <w:szCs w:val="24"/>
                <w:highlight w:val="none"/>
                <w:lang w:val="en-US" w:eastAsia="zh-CN"/>
              </w:rPr>
              <w:t>，全面评估学生的学习成效与综合素养。培养学生对民族文化的感情和</w:t>
            </w:r>
            <w:r>
              <w:rPr>
                <w:rFonts w:hint="eastAsia" w:ascii="仿宋_GB2312" w:hAnsi="仿宋_GB2312" w:eastAsia="仿宋_GB2312" w:cs="仿宋_GB2312"/>
                <w:color w:val="auto"/>
                <w:sz w:val="24"/>
                <w:szCs w:val="24"/>
                <w:highlight w:val="none"/>
                <w:lang w:val="en-US" w:eastAsia="zh-CN"/>
              </w:rPr>
              <w:t>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22</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600"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411"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367"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23</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24</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物理</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sz w:val="24"/>
                <w:szCs w:val="24"/>
                <w:highlight w:val="none"/>
                <w:lang w:val="en-US" w:eastAsia="zh-CN"/>
              </w:rPr>
              <w:t>通过物理学史和科学家故事，弘扬科学精神和爱国情怀，培养职业道德、团队协作意识与社会责任感。</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sz w:val="24"/>
                <w:szCs w:val="24"/>
                <w:highlight w:val="none"/>
                <w:lang w:val="en-US" w:eastAsia="zh-CN"/>
              </w:rPr>
            </w:pP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25</w:t>
            </w:r>
          </w:p>
        </w:tc>
        <w:tc>
          <w:tcPr>
            <w:tcW w:w="80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化学</w:t>
            </w:r>
          </w:p>
        </w:tc>
        <w:tc>
          <w:tcPr>
            <w:tcW w:w="460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sz w:val="24"/>
                <w:szCs w:val="24"/>
                <w:highlight w:val="none"/>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sz w:val="24"/>
                <w:szCs w:val="24"/>
                <w:highlight w:val="none"/>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sz w:val="24"/>
                <w:szCs w:val="24"/>
                <w:highlight w:val="none"/>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sz w:val="24"/>
                <w:szCs w:val="24"/>
                <w:highlight w:val="none"/>
                <w:lang w:val="en-US" w:eastAsia="zh-CN"/>
              </w:rPr>
              <w:t>通过我国古代化工成就与现代科技发展案例，增强民族自豪感，培养绿色化学理念、社会责任感和职业道德。</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sz w:val="24"/>
                <w:szCs w:val="24"/>
                <w:highlight w:val="none"/>
                <w:lang w:val="en-US" w:eastAsia="zh-CN"/>
              </w:rPr>
            </w:pPr>
          </w:p>
        </w:tc>
        <w:tc>
          <w:tcPr>
            <w:tcW w:w="2411"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367"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72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26</w:t>
            </w:r>
          </w:p>
        </w:tc>
        <w:tc>
          <w:tcPr>
            <w:tcW w:w="80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6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，实现个人全面发展与社会价值统一。</w:t>
            </w:r>
          </w:p>
        </w:tc>
        <w:tc>
          <w:tcPr>
            <w:tcW w:w="2411"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3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2" w:name="_Toc90734975"/>
      <w:r>
        <w:rPr>
          <w:rFonts w:hint="eastAsia" w:ascii="仿宋_GB2312" w:hAnsi="仿宋_GB2312" w:eastAsia="仿宋_GB2312" w:cs="仿宋_GB2312"/>
          <w:b w:val="0"/>
          <w:bCs w:val="0"/>
          <w:color w:val="auto"/>
          <w:sz w:val="32"/>
          <w:szCs w:val="32"/>
          <w:highlight w:val="none"/>
        </w:rPr>
        <w:t>1.专业基础课程</w:t>
      </w:r>
      <w:bookmarkEnd w:id="2"/>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pacing w:val="-4"/>
          <w:sz w:val="32"/>
          <w:szCs w:val="32"/>
          <w:highlight w:val="none"/>
        </w:rPr>
      </w:pPr>
      <w:r>
        <w:rPr>
          <w:rFonts w:hint="eastAsia" w:ascii="仿宋_GB2312" w:hAnsi="仿宋_GB2312" w:eastAsia="仿宋_GB2312" w:cs="仿宋_GB2312"/>
          <w:color w:val="auto"/>
          <w:sz w:val="32"/>
          <w:szCs w:val="32"/>
          <w:highlight w:val="none"/>
        </w:rPr>
        <w:t>专业基础课程</w:t>
      </w:r>
      <w:r>
        <w:rPr>
          <w:rFonts w:hint="eastAsia" w:ascii="仿宋_GB2312" w:hAnsi="仿宋_GB2312" w:eastAsia="仿宋_GB2312" w:cs="仿宋_GB2312"/>
          <w:color w:val="auto"/>
          <w:sz w:val="32"/>
          <w:szCs w:val="32"/>
          <w:highlight w:val="none"/>
          <w:lang w:val="en-US" w:eastAsia="zh-CN"/>
        </w:rPr>
        <w:t>是为后续专业课程学习打基础的课程。包括：老龄事业与产业发展、康养政策法规与标准、老年服务礼仪与沟通、管理学、人力资源管理、正常人体结构与功能、健康养老职业素养与安全、健康养老大数据应用等课程</w:t>
      </w:r>
      <w:r>
        <w:rPr>
          <w:rFonts w:hint="eastAsia" w:ascii="仿宋_GB2312" w:hAnsi="仿宋_GB2312" w:eastAsia="仿宋_GB2312" w:cs="仿宋_GB2312"/>
          <w:color w:val="auto"/>
          <w:spacing w:val="-4"/>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6" w:type="dxa"/>
          <w:left w:w="96" w:type="dxa"/>
          <w:bottom w:w="56" w:type="dxa"/>
          <w:right w:w="96" w:type="dxa"/>
        </w:tblCellMar>
      </w:tblPr>
      <w:tblGrid>
        <w:gridCol w:w="792"/>
        <w:gridCol w:w="864"/>
        <w:gridCol w:w="4543"/>
        <w:gridCol w:w="2464"/>
        <w:gridCol w:w="2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843"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序号</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60" w:lineRule="exact"/>
              <w:jc w:val="center"/>
              <w:textAlignment w:val="auto"/>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课程名称</w:t>
            </w:r>
          </w:p>
        </w:tc>
        <w:tc>
          <w:tcPr>
            <w:tcW w:w="4543" w:type="dxa"/>
            <w:vAlign w:val="center"/>
          </w:tcPr>
          <w:p>
            <w:pPr>
              <w:keepNext w:val="0"/>
              <w:keepLines w:val="0"/>
              <w:pageBreakBefore w:val="0"/>
              <w:widowControl/>
              <w:kinsoku/>
              <w:wordWrap/>
              <w:overflowPunct/>
              <w:topLinePunct w:val="0"/>
              <w:autoSpaceDE/>
              <w:autoSpaceDN/>
              <w:bidi w:val="0"/>
              <w:adjustRightInd/>
              <w:snapToGrid w:val="0"/>
              <w:spacing w:after="0" w:line="360" w:lineRule="exact"/>
              <w:jc w:val="center"/>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课程目标</w:t>
            </w:r>
          </w:p>
        </w:tc>
        <w:tc>
          <w:tcPr>
            <w:tcW w:w="2464" w:type="dxa"/>
            <w:vAlign w:val="center"/>
          </w:tcPr>
          <w:p>
            <w:pPr>
              <w:keepNext w:val="0"/>
              <w:keepLines w:val="0"/>
              <w:pageBreakBefore w:val="0"/>
              <w:widowControl/>
              <w:kinsoku/>
              <w:wordWrap/>
              <w:overflowPunct/>
              <w:topLinePunct w:val="0"/>
              <w:autoSpaceDE/>
              <w:autoSpaceDN/>
              <w:bidi w:val="0"/>
              <w:adjustRightInd/>
              <w:snapToGrid w:val="0"/>
              <w:spacing w:after="0" w:line="360" w:lineRule="exact"/>
              <w:jc w:val="center"/>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主要教学内容</w:t>
            </w:r>
          </w:p>
        </w:tc>
        <w:tc>
          <w:tcPr>
            <w:tcW w:w="2243" w:type="dxa"/>
            <w:vAlign w:val="center"/>
          </w:tcPr>
          <w:p>
            <w:pPr>
              <w:keepNext w:val="0"/>
              <w:keepLines w:val="0"/>
              <w:pageBreakBefore w:val="0"/>
              <w:widowControl/>
              <w:kinsoku/>
              <w:wordWrap/>
              <w:overflowPunct/>
              <w:topLinePunct w:val="0"/>
              <w:autoSpaceDE/>
              <w:autoSpaceDN/>
              <w:bidi w:val="0"/>
              <w:adjustRightInd/>
              <w:snapToGrid w:val="0"/>
              <w:spacing w:after="0" w:line="360" w:lineRule="exact"/>
              <w:jc w:val="center"/>
              <w:textAlignment w:val="auto"/>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老龄事业与产业发展</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掌握老龄事业产业概念、政策、智慧养老技术，明晰老龄化特征影响，熟悉法规，构建老龄知识体系。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具备老龄服务规划等能力，能设计养老方案、整合资源、解决老人问题，适应老龄需求。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树立尊老理念，恪守职业道德，增强责任感，关注弱势老人，培养协作与终身学习能力。</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弘扬尊老美德，反思刻板印象，结合战略增强家国情怀，强化职业法治思维，践行“科技向善”。</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涵盖全球老龄政策解析、养老机构运营管理实训、传统文化在老年服务中的应用创新，以及智慧养老技术实践与伦理研讨，培养政策分析、服务设计、文化转化及科研能力。</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本课程要求采用“理论+实践+文化”多维教学法，通过政策解析、沙盘模拟、国际案例研讨及智慧养老技术实践，培养老龄产业规划、服务设计、技术创新及跨文化协作能力，强化社会责任感与终身发展意识。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3" w:name="_Hlk194587108"/>
            <w:r>
              <w:rPr>
                <w:rFonts w:hint="eastAsia" w:ascii="仿宋_GB2312" w:hAnsi="仿宋_GB2312" w:eastAsia="仿宋_GB2312" w:cs="仿宋_GB2312"/>
                <w:color w:val="auto"/>
                <w:sz w:val="24"/>
                <w:szCs w:val="24"/>
                <w:highlight w:val="none"/>
                <w:lang w:val="en-US" w:eastAsia="zh-CN"/>
              </w:rPr>
              <w:t>2</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康养政策法规与标准</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z w:val="24"/>
                <w:szCs w:val="24"/>
                <w:highlight w:val="none"/>
                <w:lang w:val="en-US" w:eastAsia="zh-CN"/>
              </w:rPr>
              <w:t>知识目标：</w:t>
            </w:r>
            <w:r>
              <w:rPr>
                <w:rFonts w:hint="eastAsia" w:ascii="仿宋_GB2312" w:hAnsi="仿宋_GB2312" w:eastAsia="仿宋_GB2312" w:cs="仿宋_GB2312"/>
                <w:color w:val="auto"/>
                <w:sz w:val="24"/>
                <w:szCs w:val="24"/>
                <w:highlight w:val="none"/>
              </w:rPr>
              <w:t>掌握康养政策法规标准核心概念、框架及演变逻辑，理解国内外政策导向</w:t>
            </w:r>
            <w:r>
              <w:rPr>
                <w:rFonts w:hint="eastAsia" w:ascii="仿宋_GB2312" w:hAnsi="仿宋_GB2312" w:eastAsia="仿宋_GB2312" w:cs="仿宋_GB2312"/>
                <w:color w:val="auto"/>
                <w:spacing w:val="-6"/>
                <w:sz w:val="24"/>
                <w:szCs w:val="24"/>
                <w:highlight w:val="none"/>
              </w:rPr>
              <w:t>（如医养结合），熟悉服务标准与相关法规，构建康养政策</w:t>
            </w:r>
            <w:r>
              <w:rPr>
                <w:rFonts w:hint="eastAsia" w:ascii="仿宋_GB2312" w:hAnsi="仿宋_GB2312" w:eastAsia="仿宋_GB2312" w:cs="仿宋_GB2312"/>
                <w:color w:val="auto"/>
                <w:spacing w:val="-6"/>
                <w:sz w:val="24"/>
                <w:szCs w:val="24"/>
                <w:highlight w:val="none"/>
                <w:lang w:eastAsia="zh-CN"/>
              </w:rPr>
              <w:t>－</w:t>
            </w:r>
            <w:r>
              <w:rPr>
                <w:rFonts w:hint="eastAsia" w:ascii="仿宋_GB2312" w:hAnsi="仿宋_GB2312" w:eastAsia="仿宋_GB2312" w:cs="仿宋_GB2312"/>
                <w:color w:val="auto"/>
                <w:spacing w:val="-6"/>
                <w:sz w:val="24"/>
                <w:szCs w:val="24"/>
                <w:highlight w:val="none"/>
              </w:rPr>
              <w:t>标准</w:t>
            </w:r>
            <w:r>
              <w:rPr>
                <w:rFonts w:hint="eastAsia" w:ascii="仿宋_GB2312" w:hAnsi="仿宋_GB2312" w:eastAsia="仿宋_GB2312" w:cs="仿宋_GB2312"/>
                <w:color w:val="auto"/>
                <w:spacing w:val="-6"/>
                <w:sz w:val="24"/>
                <w:szCs w:val="24"/>
                <w:highlight w:val="none"/>
                <w:lang w:eastAsia="zh-CN"/>
              </w:rPr>
              <w:t>－</w:t>
            </w:r>
            <w:r>
              <w:rPr>
                <w:rFonts w:hint="eastAsia" w:ascii="仿宋_GB2312" w:hAnsi="仿宋_GB2312" w:eastAsia="仿宋_GB2312" w:cs="仿宋_GB2312"/>
                <w:color w:val="auto"/>
                <w:spacing w:val="-6"/>
                <w:sz w:val="24"/>
                <w:szCs w:val="24"/>
                <w:highlight w:val="none"/>
              </w:rPr>
              <w:t>实践知识体系。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能解读政策、应用标准，分析区域需求并制定合规方案，整合资源推动落地；掌握质量评估、风险防控技巧，用法律思维解决纠纷，适应产业趋势。</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树立“以人为本”理念，恪守职业伦理法治，增强责任感与公益心，关注弱势群体；培养协作与终身学习能力，跟踪政策标准更新，适应行业变革。</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w:t>
            </w:r>
            <w:r>
              <w:rPr>
                <w:rFonts w:hint="eastAsia" w:ascii="仿宋_GB2312" w:hAnsi="仿宋_GB2312" w:eastAsia="仿宋_GB2312" w:cs="仿宋_GB2312"/>
                <w:b/>
                <w:bCs/>
                <w:color w:val="auto"/>
                <w:sz w:val="24"/>
                <w:szCs w:val="24"/>
                <w:highlight w:val="none"/>
                <w:lang w:val="en-US" w:eastAsia="zh-CN"/>
              </w:rPr>
              <w:t>育人目标</w:t>
            </w:r>
            <w:r>
              <w:rPr>
                <w:rFonts w:hint="eastAsia" w:ascii="仿宋_GB2312" w:hAnsi="仿宋_GB2312" w:eastAsia="仿宋_GB2312" w:cs="仿宋_GB2312"/>
                <w:b/>
                <w:bCs/>
                <w:color w:val="auto"/>
                <w:sz w:val="24"/>
                <w:szCs w:val="24"/>
                <w:highlight w:val="none"/>
              </w:rPr>
              <w:t>：</w:t>
            </w:r>
            <w:r>
              <w:rPr>
                <w:rFonts w:hint="eastAsia" w:ascii="仿宋_GB2312" w:hAnsi="仿宋_GB2312" w:eastAsia="仿宋_GB2312" w:cs="仿宋_GB2312"/>
                <w:color w:val="auto"/>
                <w:sz w:val="24"/>
                <w:szCs w:val="24"/>
                <w:highlight w:val="none"/>
              </w:rPr>
              <w:t>弘扬“健康优先”理念，反思资源分配问题，结合战略增强使命感；强化法治与职业操守，借案例培育规则意识；鼓励探索智慧康养创新，践行“科技赋能健康”观。</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涵盖国内外康养政策体系解析、行业标准对比、合规运营案例分析，通过政策解读、模拟审批及风险评估实践，培养政策应用与标准化管理能力。</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通过政策解读、标准对比及合规案例分析，培养政策理解、标准应用及风险评估能力，强调理论与实践结合，提升康养产业合规运营水平。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老年服务礼仪与沟通</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掌握老年服务礼仪规范与沟通技巧，理解老</w:t>
            </w:r>
            <w:r>
              <w:rPr>
                <w:rFonts w:hint="eastAsia" w:ascii="仿宋_GB2312" w:hAnsi="仿宋_GB2312" w:eastAsia="仿宋_GB2312" w:cs="仿宋_GB2312"/>
                <w:sz w:val="24"/>
                <w:szCs w:val="24"/>
                <w:highlight w:val="none"/>
                <w:lang w:eastAsia="zh-CN"/>
              </w:rPr>
              <w:t>年人</w:t>
            </w:r>
            <w:r>
              <w:rPr>
                <w:rFonts w:hint="eastAsia" w:ascii="仿宋_GB2312" w:hAnsi="仿宋_GB2312" w:eastAsia="仿宋_GB2312" w:cs="仿宋_GB2312"/>
                <w:sz w:val="24"/>
                <w:szCs w:val="24"/>
                <w:highlight w:val="none"/>
              </w:rPr>
              <w:t>心理特征及文化差异，熟悉《老年人权益保障法》中人格尊严保护条款，形成“礼仪</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心理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法律”融合的知识体系。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能灵活运用服务礼仪化解沟通冲突，设计个性化关怀方案，整合多方资</w:t>
            </w:r>
            <w:r>
              <w:rPr>
                <w:rFonts w:hint="eastAsia" w:ascii="仿宋_GB2312" w:hAnsi="仿宋_GB2312" w:eastAsia="仿宋_GB2312" w:cs="仿宋_GB2312"/>
                <w:spacing w:val="-11"/>
                <w:sz w:val="24"/>
                <w:szCs w:val="24"/>
                <w:highlight w:val="none"/>
              </w:rPr>
              <w:t>源优化服务流程，适应多元化养老场景需求。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树立尊老敬老价值观，恪守职业伦理，增强社会责任感，关注弱势老年群体，培养跨文化协作与终身学习能力。</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弘扬传统美德，反思年龄歧视，结合“积极老龄化”战略增强使命感，强化法治思维，鼓励学生创新“礼仪+科技”服务模式，践行人文关怀理念。</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涵盖适老化沟通技巧、非语言交流实践、多元文化敏感训练，通过情景模拟与角色扮演提升共情能力，培养专业服务素养。</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掌握适老化沟通话术与非语言交流技巧，通过情景模拟、角色扮演强化实践应用，培养共情能力与文化敏感性，提升专业服务品质。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管理学</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掌握管理学基础理论、方法及工具，理解组织行为、战略规划与运营模式，熟悉《公司法》等相关法规，形成“理论</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实践</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法律”融合的管理知识体系。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具备组织设计、决策分析与危机应对能力，能制定高效管理方案，整合人财物资源，运用沟通协调技巧解决团队问题，适应多元化管理场景需求。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树立责任意识与全局观念，恪守职业道德，增强社会责任感，关注弱势群体权益，培养跨文化协作与终身学习能力，形成适应时代发展的管理素养。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弘扬诚信协作精神，反思管理中的功利倾向，结合国家战略增强使命担当，强化法治思维与伦理意识，鼓励学生探索管理创新模式，践行“以人为本”理念。</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涵盖管理理论演进（古典、现代、当代），核心职能（计划、组织、领导、控制），经典案例分析，实践技能（决策、沟通、领导力）培养，及全球化、创新、可持续发展等前沿趋势。</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要求掌握管理基础理论，培养决策、沟通、领导力；注重案例分析与实战模拟，强化团队协作与问题解决能力；关注创新思维与伦理责任，提升战略视野与跨文化管理能力。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人力资源管理</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掌握人力资源管理理论、流程及工具，理解组织行为与劳动法规，熟悉《劳动法》等相关法律，形成“理论</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实践</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法律”融合的人力资源管理知识体系。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具备招聘、培训、绩效管理等核心技能，能设计人才发展方案，整合内外部资源，运用沟通协调技巧解决团队冲突，适应多元化组织管理需求。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树立以人为本理念，恪守职业伦理，增强社会责任感，关注员工权益与弱势群体就业，培养跨文化协作与终身学习能力，形成适应时代发展的管理素养。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树立以人为本理念，恪守职业伦理，增强社会责任感，关注员工权益与弱势群体就业，培养跨文化协作与终身学习能力，形成适应时代发展的管理素养。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bookmarkStart w:id="9" w:name="_GoBack"/>
            <w:bookmarkEnd w:id="9"/>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人力资源规划、招聘配置、培训开发、绩效管理、薪酬福利、劳动关系六大模块，融合战略人力资源管理理念，引入数字化工具（如HRIS、AI招聘），强调劳动法合规与员工关系管理，培养数据驱动的决策能力。</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要求掌握人力资源核心理论，培养招聘、培训、绩效管理等实操技能；注重劳动法合规与员工关系管理，强化数据分析与数字化工具应用；通过案例研讨提升战略思维，培养跨文化沟通与团队协作能力。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正常人体结构与功能</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掌握人体各系统结构、功能及相互关系，理解生命活动规律与健康维护机制，熟悉解剖学、生理学等基础理论，形成“结构</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功能</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健康”融合的人体科学知识体系。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具备人体结构辨识、功能分析及健康评估能力，能运用解剖生理知识解释疾病现象，整合临床与预防资源，解决基础医学问题，适应健康服务领域需求。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树立生命敬畏理念，恪守医学伦理，增强社会责任感，关注特殊群体健康需求，培养跨学科协作与终身学习能力，形成适应医学发展的综合素质。</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弘扬“生命至上”价值观，反思健康歧视现象，结合“健康中国”战略增强使命担当，强化职业操守与法治思维，鼓励学生探索医学技术创新，践行“科技护佑生命”理念。</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涵盖人体九大系统（运动、消化、呼吸、泌尿、循环、神经、内分泌、生殖、感觉器），解析器官形态结构与生理功能，强调系统间协调机制，融合解剖学、组织学、胚胎学及生理学核心内容。</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要求掌握基础理论与实验技能，理解系统间联系；培养三维解剖思维与临床逻辑；关注结构与功能的动态关联；强化科学严谨态度与医学人文关怀，为后续课程奠定基础。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健康养老职业素养与安全</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掌握健康养老职业素养规范、安全风险类型及防控措施，理解服务伦理与职业防护要求，熟悉《养老机构服务安全基本规范》等法规，形成“素养</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安全</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具备职业素养实践与安全风险识别能力，能制定应急预案、规范操作流程，整合资源优化服务环境，运用沟通技巧化解安全冲突，适应健康养老服务场景需求。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树立“安全至上、人文关怀”价值观，恪守职业伦理，增强风险防范意识与社会责任感，关注弱势老年群体安全需求，培养跨团队协作与终身学习能力，形成职业安全素养。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弘扬敬老爱老美德，反思服务中的安全疏忽问题，结合“健康中国”战略增强使命担当，强化法治思维与责任意识，鼓励学生探索智慧安全防护技术，践行“科技守护安全”理念。</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涵盖老年照护职业道德、安全护理（防跌倒、用药管理、急救技能）、健康养老政策法规、感染防控及人文关怀实践，结合模拟训练培养实操能力，强调跨学科团队协作与个性化照护方案设计。</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要求培养老年照护责任心、同理心与沟通技能；掌握安全护理、应急救护及感染防控知识；强化实践操作能力；熟悉健康养老政策法规；塑造人文关怀精神，提升职业道德与团队协作意识。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64" w:type="dxa"/>
            <w:vAlign w:val="center"/>
          </w:tcPr>
          <w:p>
            <w:pPr>
              <w:keepNext w:val="0"/>
              <w:keepLines w:val="0"/>
              <w:pageBreakBefore w:val="0"/>
              <w:widowControl/>
              <w:kinsoku/>
              <w:wordWrap/>
              <w:overflowPunct/>
              <w:topLinePunct w:val="0"/>
              <w:autoSpaceDE/>
              <w:autoSpaceDN/>
              <w:bidi w:val="0"/>
              <w:adjustRightInd/>
              <w:snapToGrid w:val="0"/>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健康养老大数据应用</w:t>
            </w:r>
          </w:p>
        </w:tc>
        <w:tc>
          <w:tcPr>
            <w:tcW w:w="45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掌握健康养老大数据的采集、分析及应用技术，理解老龄健康数据特征与挖掘方法，熟悉《数据安全法》等法规，形成“数据</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技术</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法规”融合的健康养老数据知识体系。</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具备数据建模、风险预测与决策支持能力，能设计个性化健康管理方案，整合多源数据优化服务流程，运用可视化工具解决养老问题，适应智慧养老场景需求。</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树立数据伦理意识，恪守职业规范，增强社会责任感，关注弱势老年群体数据权益，培养跨学科协作与终身学习能力，形成适应数字化养老的综合素质。</w:t>
            </w:r>
          </w:p>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弘扬科技惠老理念，反思数据滥用与隐私泄露问题，结合“数字中国”战略增强使命担当，强化法治思维与伦理意识，鼓励学生探索适老化数据技术，践行“数据向善”理念</w:t>
            </w:r>
            <w:r>
              <w:rPr>
                <w:rFonts w:hint="eastAsia" w:ascii="仿宋_GB2312" w:hAnsi="仿宋_GB2312" w:eastAsia="仿宋_GB2312" w:cs="仿宋_GB2312"/>
                <w:sz w:val="24"/>
                <w:szCs w:val="24"/>
                <w:highlight w:val="none"/>
                <w:lang w:eastAsia="zh-CN"/>
              </w:rPr>
              <w:t>。</w:t>
            </w:r>
          </w:p>
        </w:tc>
        <w:tc>
          <w:tcPr>
            <w:tcW w:w="2464"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涵盖大数据基础、健康养老数据特征、采集清洗技术、分析挖掘算法（如疾病预测、服务需求建模）、可视化工具应用、跨领域实践项目，强调数据安全与伦理合规，培养智慧养老创新思维能力。</w:t>
            </w:r>
          </w:p>
        </w:tc>
        <w:tc>
          <w:tcPr>
            <w:tcW w:w="2243" w:type="dxa"/>
            <w:vAlign w:val="top"/>
          </w:tcPr>
          <w:p>
            <w:pPr>
              <w:keepNext w:val="0"/>
              <w:keepLines w:val="0"/>
              <w:pageBreakBefore w:val="0"/>
              <w:widowControl/>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掌握大数据工具操作与健康养老数据特征，培养采集、清洗、分析及可视化技能；通过案例研讨与项目实践提升数据驱动决策能力；强调团队协作与伦理安全意识，培养智慧养老创新应用思维。</w:t>
            </w:r>
          </w:p>
        </w:tc>
      </w:tr>
      <w:bookmarkEnd w:id="3"/>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4" w:name="_Toc90734977"/>
      <w:r>
        <w:rPr>
          <w:rFonts w:hint="eastAsia" w:ascii="仿宋_GB2312" w:hAnsi="仿宋_GB2312" w:eastAsia="仿宋_GB2312" w:cs="仿宋_GB2312"/>
          <w:b w:val="0"/>
          <w:bCs w:val="0"/>
          <w:color w:val="auto"/>
          <w:sz w:val="32"/>
          <w:szCs w:val="32"/>
          <w:highlight w:val="none"/>
        </w:rPr>
        <w:t>2.专业核心课程</w:t>
      </w:r>
      <w:bookmarkEnd w:id="4"/>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highlight w:val="none"/>
        </w:rPr>
      </w:pPr>
      <w:bookmarkStart w:id="5" w:name="OLE_LINK7"/>
      <w:r>
        <w:rPr>
          <w:rFonts w:hint="eastAsia" w:ascii="仿宋_GB2312" w:hAnsi="仿宋_GB2312" w:eastAsia="仿宋_GB2312" w:cs="仿宋_GB2312"/>
          <w:color w:val="auto"/>
          <w:sz w:val="32"/>
          <w:szCs w:val="32"/>
          <w:highlight w:val="none"/>
        </w:rPr>
        <w:t>专业核心课是</w:t>
      </w:r>
      <w:bookmarkEnd w:id="5"/>
      <w:r>
        <w:rPr>
          <w:rFonts w:hint="eastAsia" w:ascii="仿宋_GB2312" w:hAnsi="仿宋_GB2312" w:eastAsia="仿宋_GB2312" w:cs="仿宋_GB2312"/>
          <w:color w:val="auto"/>
          <w:sz w:val="32"/>
          <w:szCs w:val="32"/>
          <w:highlight w:val="none"/>
          <w:lang w:val="en-US" w:eastAsia="zh-CN"/>
        </w:rPr>
        <w:t>面向老年评估、老年照护、失智老年人照护、医养个案管理、健康养老顾问、养老机构运营与管理等岗位（群），结合养老护理员、失智老年人照护员、健康照护师、老年人能力评估师的就业岗位，建立智慧健康养老服务与管理专业核心课程，培养学生老年评估、老年照护、失智老年人照护、养老机构运营与管理等方面的能力。包括老年活动策划与设计、老年人能力评估实务、老年人生活与基础照护实务、老年心理护理实务、老年健康照护、老年人生活能力康复训练、社区居家智慧康养管理、养老机构智慧运营与管理等课程</w:t>
      </w:r>
      <w:r>
        <w:rPr>
          <w:rFonts w:hint="eastAsia" w:ascii="仿宋_GB2312" w:hAnsi="仿宋_GB2312" w:eastAsia="仿宋_GB2312" w:cs="仿宋_GB2312"/>
          <w:color w:val="auto"/>
          <w:spacing w:val="-4"/>
          <w:sz w:val="32"/>
          <w:szCs w:val="32"/>
          <w:highlight w:val="none"/>
        </w:rPr>
        <w:t>。</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850"/>
        <w:gridCol w:w="2164"/>
        <w:gridCol w:w="2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4850"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164"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18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老年活动策划与设计</w:t>
            </w:r>
          </w:p>
        </w:tc>
        <w:tc>
          <w:tcPr>
            <w:tcW w:w="485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掌握老年活动类型、策划流程及设计原则，理解老年人身心特点与活动需求，熟悉《老年人权益保障法》中文化权益保障条款，形成“需求－设计－法规”融合的老年活动知识体系。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具备活动创意策划、资源整合与风险管控能力，能设计适老化活动方案，协调政企社多方参与，运用互动技巧提升参与感，满足多元化养老精神需求。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树立“以老为本”服务理念，恪守活动安全伦理，增强社会责任感，关注弱势老年群体文化需求，培养跨领域协作与终身学习能力，形成创新适老服务素养。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弘扬代际共融精神，反思年龄歧视与活动形式化问题，结合“文化养老”战略增强使命担当，强化法治思维与人文关怀</w:t>
            </w:r>
            <w:r>
              <w:rPr>
                <w:rFonts w:hint="eastAsia" w:ascii="仿宋_GB2312" w:hAnsi="仿宋_GB2312" w:eastAsia="仿宋_GB2312" w:cs="仿宋_GB2312"/>
                <w:color w:val="auto"/>
                <w:spacing w:val="-6"/>
                <w:sz w:val="24"/>
                <w:szCs w:val="24"/>
                <w:highlight w:val="none"/>
                <w:lang w:val="en-US" w:eastAsia="zh-CN"/>
              </w:rPr>
              <w:t>，鼓励学生探索科技赋能活动模式，践行“活动助老”理念。</w:t>
            </w:r>
          </w:p>
        </w:tc>
        <w:tc>
          <w:tcPr>
            <w:tcW w:w="216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国内外关于活动策划的成果以及对实际工作的指导意义；活动策划的含义、类型和主要作用，活动策划的基本原则、基本要素和基本程序，活动策划的创新思维模型和典型方法；各类老年活动的策划、组织实施与设计的技巧、活动策划方案写作的程序与技巧等。</w:t>
            </w:r>
          </w:p>
        </w:tc>
        <w:tc>
          <w:tcPr>
            <w:tcW w:w="218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了解国内外关于活动策划的成果以及对实际工作的指导意义。熟悉活动策划的含义、类型和主要作用，活动策划的基本原则、基本要素和基本程序，活动策划的创新思维模型和典型方法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掌握各类老年活动的策划、组织实施与设计的技巧、活动策划方案写作的程序与技巧。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老年人能力评估实务</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掌握老年人能力评估标准、工具及流程，理解身心功能衰退规律与评估伦理，熟悉《老年人能力评估规范》等法规，形成“评估</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干预</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法规”融合的专业知识体系。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具备精准评估、需求分析与报告撰写能力，能制定个性化照护计划，整合医疗、社工资源，运用沟通技巧获取真实信息，适应多元化养老服务场景需求。</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树立客观公正评估理念，恪守职业伦理，增强社会责任感，关注失能失智老年群体权益</w:t>
            </w:r>
            <w:r>
              <w:rPr>
                <w:rFonts w:hint="eastAsia" w:ascii="仿宋_GB2312" w:hAnsi="仿宋_GB2312" w:eastAsia="仿宋_GB2312" w:cs="仿宋_GB2312"/>
                <w:spacing w:val="-11"/>
                <w:sz w:val="24"/>
                <w:szCs w:val="24"/>
                <w:highlight w:val="none"/>
              </w:rPr>
              <w:t>，培养跨学科协作与终身学习能力，形成专业评估综合素养。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弘扬人道主义精神，反思评估中的标签化倾向，结合“积极老龄化”战略增强使命担当，强化法治思维与人文关怀，鼓励学生探索智能化评估技术，践行“精准助老”理念。</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涵盖老年人评估基本要求；老年人评估的内涵、方法、评分标准和注意事项、评估的管理方法与技巧、常见风险对应处理办法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老年人评估沟通的技巧、老年人评估技术等知识；评估信息管理等。</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老年人评估基本要求。熟悉老年人评估的内涵、方法、评分标准和注意事项、评估的管理方法与技巧、常见风险对应处理办法。掌握老年人评估沟通的技巧、老年人评估技术等知识，具有为老年人进行自理能力、基础运动能力、精神状态、感知觉与社会参与能力评估的能力。熟练进行评估信息管理；并能熟练运用智能化评估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6" w:name="_Toc90734991"/>
            <w:r>
              <w:rPr>
                <w:rFonts w:hint="eastAsia" w:ascii="仿宋_GB2312" w:hAnsi="仿宋_GB2312" w:eastAsia="仿宋_GB2312" w:cs="仿宋_GB2312"/>
                <w:color w:val="auto"/>
                <w:sz w:val="24"/>
                <w:szCs w:val="24"/>
                <w:highlight w:val="none"/>
                <w:lang w:val="en-US" w:eastAsia="zh-CN"/>
              </w:rPr>
              <w:t>3</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老年人生活与基础照护实务</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掌握老年人生活照护技能、健康监测方法及安全防护要点，理解老年</w:t>
            </w:r>
            <w:r>
              <w:rPr>
                <w:rFonts w:hint="eastAsia" w:ascii="仿宋_GB2312" w:hAnsi="仿宋_GB2312" w:eastAsia="仿宋_GB2312" w:cs="仿宋_GB2312"/>
                <w:sz w:val="24"/>
                <w:szCs w:val="24"/>
                <w:highlight w:val="none"/>
                <w:lang w:val="en-US" w:eastAsia="zh-CN"/>
              </w:rPr>
              <w:t>人</w:t>
            </w:r>
            <w:r>
              <w:rPr>
                <w:rFonts w:hint="eastAsia" w:ascii="仿宋_GB2312" w:hAnsi="仿宋_GB2312" w:eastAsia="仿宋_GB2312" w:cs="仿宋_GB2312"/>
                <w:sz w:val="24"/>
                <w:szCs w:val="24"/>
                <w:highlight w:val="none"/>
              </w:rPr>
              <w:t>生理心理变化与照护需求，熟悉《养老护理员国家职业技能标准》等规范，形成“生活</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健康</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安全”融合的照护知识体系。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具备生活照料、健康管理与应急处理能力，能制定个性化照护计划，规范操作助</w:t>
            </w:r>
            <w:r>
              <w:rPr>
                <w:rFonts w:hint="eastAsia" w:ascii="仿宋_GB2312" w:hAnsi="仿宋_GB2312" w:eastAsia="仿宋_GB2312" w:cs="仿宋_GB2312"/>
                <w:spacing w:val="-6"/>
                <w:sz w:val="24"/>
                <w:szCs w:val="24"/>
                <w:highlight w:val="none"/>
              </w:rPr>
              <w:t>浴、进食等基础服务，运用沟通技巧提升服务温度，适应居家</w:t>
            </w:r>
            <w:r>
              <w:rPr>
                <w:rFonts w:hint="eastAsia" w:ascii="仿宋_GB2312" w:hAnsi="仿宋_GB2312" w:eastAsia="仿宋_GB2312" w:cs="仿宋_GB2312"/>
                <w:spacing w:val="-6"/>
                <w:sz w:val="24"/>
                <w:szCs w:val="24"/>
                <w:highlight w:val="none"/>
                <w:lang w:eastAsia="zh-CN"/>
              </w:rPr>
              <w:t>－</w:t>
            </w:r>
            <w:r>
              <w:rPr>
                <w:rFonts w:hint="eastAsia" w:ascii="仿宋_GB2312" w:hAnsi="仿宋_GB2312" w:eastAsia="仿宋_GB2312" w:cs="仿宋_GB2312"/>
                <w:spacing w:val="-6"/>
                <w:sz w:val="24"/>
                <w:szCs w:val="24"/>
                <w:highlight w:val="none"/>
              </w:rPr>
              <w:t>机构多场景照护需求</w:t>
            </w:r>
            <w:r>
              <w:rPr>
                <w:rFonts w:hint="eastAsia" w:ascii="仿宋_GB2312" w:hAnsi="仿宋_GB2312" w:eastAsia="仿宋_GB2312" w:cs="仿宋_GB2312"/>
                <w:sz w:val="24"/>
                <w:szCs w:val="24"/>
                <w:highlight w:val="none"/>
              </w:rPr>
              <w:t>。</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树立“生命尊严”照护理念，恪守职业伦理，增强责任意识与人文关怀，关注失能失智等弱势群体，培养跨学科协作与终身学习能力，形成专业照护综合素养。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弘扬孝亲敬老传统，反思照护中的“任务化”倾向，结合“健康中国”战略增强使命担当，强化法治思维与细节关怀</w:t>
            </w:r>
            <w:r>
              <w:rPr>
                <w:rFonts w:hint="eastAsia" w:ascii="仿宋_GB2312" w:hAnsi="仿宋_GB2312" w:eastAsia="仿宋_GB2312" w:cs="仿宋_GB2312"/>
                <w:spacing w:val="-6"/>
                <w:sz w:val="24"/>
                <w:szCs w:val="24"/>
                <w:highlight w:val="none"/>
              </w:rPr>
              <w:t>，鼓励学生探索适老化照护技术，践行“科技暖老”理念。</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涵盖生活与基础照护的含义、适应症与禁忌</w:t>
            </w:r>
            <w:r>
              <w:rPr>
                <w:rFonts w:hint="eastAsia" w:ascii="仿宋_GB2312" w:hAnsi="仿宋_GB2312" w:eastAsia="仿宋_GB2312" w:cs="仿宋_GB2312"/>
                <w:color w:val="auto"/>
                <w:sz w:val="24"/>
                <w:szCs w:val="24"/>
                <w:highlight w:val="none"/>
                <w:lang w:val="en-US" w:eastAsia="zh-CN"/>
              </w:rPr>
              <w:t>症</w:t>
            </w:r>
            <w:r>
              <w:rPr>
                <w:rFonts w:hint="eastAsia" w:ascii="仿宋_GB2312" w:hAnsi="仿宋_GB2312" w:eastAsia="仿宋_GB2312" w:cs="仿宋_GB2312"/>
                <w:color w:val="auto"/>
                <w:sz w:val="24"/>
                <w:szCs w:val="24"/>
                <w:highlight w:val="none"/>
              </w:rPr>
              <w:t>；老年人排泄照护、清洁照护、 睡眠照护、消毒防护等生活照护知识；老年人饮食照护、生命体征观 测、用药照护等。</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了解生活与基础照护的含义、适应症与</w:t>
            </w:r>
            <w:r>
              <w:rPr>
                <w:rFonts w:hint="eastAsia" w:ascii="仿宋_GB2312" w:hAnsi="仿宋_GB2312" w:eastAsia="仿宋_GB2312" w:cs="仿宋_GB2312"/>
                <w:color w:val="auto"/>
                <w:sz w:val="24"/>
                <w:szCs w:val="24"/>
                <w:highlight w:val="none"/>
                <w:lang w:val="en-US" w:eastAsia="zh-CN"/>
              </w:rPr>
              <w:t>禁忌症</w:t>
            </w:r>
            <w:r>
              <w:rPr>
                <w:rFonts w:hint="eastAsia" w:ascii="仿宋_GB2312" w:hAnsi="仿宋_GB2312" w:eastAsia="仿宋_GB2312" w:cs="仿宋_GB2312"/>
                <w:color w:val="auto"/>
                <w:sz w:val="24"/>
                <w:szCs w:val="24"/>
                <w:highlight w:val="none"/>
              </w:rPr>
              <w:t>。</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熟悉老年人排泄照护、清洁照护、睡眠照护、消毒防护等生活照护知识，具备为老年人提供生活照护的能力。掌握老年人饮食照护、生命体征观 测、用药照护等，具备为失能失智老年 人提供基础照护的能力。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老年心理护理实务</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掌握老年心理发展规律、常见心理问题及干预方法，理解老龄化对心理的影响机制，熟悉《精神卫生法》等相关法规</w:t>
            </w:r>
            <w:r>
              <w:rPr>
                <w:rFonts w:hint="eastAsia" w:ascii="仿宋_GB2312" w:hAnsi="仿宋_GB2312" w:eastAsia="仿宋_GB2312" w:cs="仿宋_GB2312"/>
                <w:spacing w:val="-6"/>
                <w:sz w:val="24"/>
                <w:szCs w:val="24"/>
                <w:highlight w:val="none"/>
              </w:rPr>
              <w:t>，形成“心理</w:t>
            </w:r>
            <w:r>
              <w:rPr>
                <w:rFonts w:hint="eastAsia" w:ascii="仿宋_GB2312" w:hAnsi="仿宋_GB2312" w:eastAsia="仿宋_GB2312" w:cs="仿宋_GB2312"/>
                <w:spacing w:val="-6"/>
                <w:sz w:val="24"/>
                <w:szCs w:val="24"/>
                <w:highlight w:val="none"/>
                <w:lang w:eastAsia="zh-CN"/>
              </w:rPr>
              <w:t>－</w:t>
            </w:r>
            <w:r>
              <w:rPr>
                <w:rFonts w:hint="eastAsia" w:ascii="仿宋_GB2312" w:hAnsi="仿宋_GB2312" w:eastAsia="仿宋_GB2312" w:cs="仿宋_GB2312"/>
                <w:spacing w:val="-6"/>
                <w:sz w:val="24"/>
                <w:szCs w:val="24"/>
                <w:highlight w:val="none"/>
              </w:rPr>
              <w:t>行为</w:t>
            </w:r>
            <w:r>
              <w:rPr>
                <w:rFonts w:hint="eastAsia" w:ascii="仿宋_GB2312" w:hAnsi="仿宋_GB2312" w:eastAsia="仿宋_GB2312" w:cs="仿宋_GB2312"/>
                <w:spacing w:val="-6"/>
                <w:sz w:val="24"/>
                <w:szCs w:val="24"/>
                <w:highlight w:val="none"/>
                <w:lang w:eastAsia="zh-CN"/>
              </w:rPr>
              <w:t>－</w:t>
            </w:r>
            <w:r>
              <w:rPr>
                <w:rFonts w:hint="eastAsia" w:ascii="仿宋_GB2312" w:hAnsi="仿宋_GB2312" w:eastAsia="仿宋_GB2312" w:cs="仿宋_GB2312"/>
                <w:spacing w:val="-6"/>
                <w:sz w:val="24"/>
                <w:szCs w:val="24"/>
                <w:highlight w:val="none"/>
              </w:rPr>
              <w:t>法律”融合的老年心理护理知识体系。</w:t>
            </w:r>
          </w:p>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具备心理评估、情绪疏导与危机干预能力，能设计个性化心理支持方案，运用倾听、共情等技巧改善老年心理状态</w:t>
            </w:r>
            <w:r>
              <w:rPr>
                <w:rFonts w:hint="eastAsia" w:ascii="仿宋_GB2312" w:hAnsi="仿宋_GB2312" w:eastAsia="仿宋_GB2312" w:cs="仿宋_GB2312"/>
                <w:spacing w:val="-6"/>
                <w:sz w:val="24"/>
                <w:szCs w:val="24"/>
                <w:highlight w:val="none"/>
              </w:rPr>
              <w:t>，整合家庭</w:t>
            </w:r>
            <w:r>
              <w:rPr>
                <w:rFonts w:hint="eastAsia" w:ascii="仿宋_GB2312" w:hAnsi="仿宋_GB2312" w:eastAsia="仿宋_GB2312" w:cs="仿宋_GB2312"/>
                <w:spacing w:val="-6"/>
                <w:sz w:val="24"/>
                <w:szCs w:val="24"/>
                <w:highlight w:val="none"/>
                <w:lang w:eastAsia="zh-CN"/>
              </w:rPr>
              <w:t>－</w:t>
            </w:r>
            <w:r>
              <w:rPr>
                <w:rFonts w:hint="eastAsia" w:ascii="仿宋_GB2312" w:hAnsi="仿宋_GB2312" w:eastAsia="仿宋_GB2312" w:cs="仿宋_GB2312"/>
                <w:spacing w:val="-6"/>
                <w:sz w:val="24"/>
                <w:szCs w:val="24"/>
                <w:highlight w:val="none"/>
              </w:rPr>
              <w:t>社区资源构建支持网络，适应多元养老场景需求。</w:t>
            </w:r>
          </w:p>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树立“心身共护”理念，恪守保密与尊重原则，增强人文关怀与社会责任感，关注孤寡、失能等弱势老年群体心理需求，培养跨学科协作与终身学习能力，形成专业心理护理素养。</w:t>
            </w:r>
          </w:p>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弘扬孝亲敬老美德，反思年龄歧视与心理污名化现象，结合“积极老龄化”战略增强使命担当，强化职业伦理与法治思维，鼓励学生探索数字化心理干预技术，践行“科技暖心”理念。</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涵盖不良心理因素对老年人心理和身体健康的不良影响；老年心理辅导、心理障碍、心身疾病、心理评估、老年死亡教育与临终关怀的概念、原理和规律等知识；老年人心理健康问题的心理辅疗技巧。</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了解不良心理因素对老年人心理和身体健康的不良影响。熟悉老年心理辅导、心理障碍、心身疾病、心理评估、老年死亡教育与临 终关怀的概念、原理和规律等知识。掌握老年人心理健康问题的心理 辅疗技巧，具备为老年人进行心理支持及辅疗的能力。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老年健康照护</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掌握老年健康评估、常见疾病照护及康复技术，理解老龄化对健康的影响机制，熟悉《基本医疗卫生与健康促进法》等法规，形成“健康</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照护</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法律”融合的老年健康照护知识体系。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具备健康监测、症状管理及应急处置能力，能制定个性化照护计划，运用沟通技巧落实护理措施，整合医疗</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社区资源构建照护网络，适应居家</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机构多元场景需求。</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树立“全人照护”理念，恪守职业伦理与隐私保护原则，增强人文关怀与社会责任感，关注失能、慢病等弱势老年群体健康需求，培养跨学科协作与终身学习能力，形成专业健康照护素养。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弘扬敬老爱老传统，反思“重治疗轻照护”观念偏差，结合“健康中国”战略增强使命担当，强化法治思维与生命尊严意识，鼓励学生探索智慧化照护技术，践行“科技护佑健康”理念。</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老年健康照护认知基础知识；老年人感官系统与泌尿生殖系统疾病、常见情绪问题等照护知识；老年人呼吸系统、循环系统、消化系统、运动系统、代谢和内分泌、神经系统等慢性病的照护等知识；设计老年人照护方案；运用智慧养老设备及系统协助完成慢性病老年人健康监测及照护。</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了解老年健康照护认知基础知识。 熟悉老年人感官系统与泌尿生殖 系统疾病、常见情绪问题等照护的知识 并提供整体照护。 掌握老年人呼吸系统、循环系统、消化系统、运动系统、代谢和内分泌、 神经系统等慢性病的照护等知识并提供 整体照护。具备设计老年人照护方案的能力。 具备运用智慧养老设备及系统协 助完成慢性病老年人健康监测及照护的能力。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老年人生活能力康复训练</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掌握老年人生活能力评估、康复原理及器具应用，理解衰老疾病影响机制，熟悉相关法规，构建“评估</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训练</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支持”康复知识体系。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具备精准的功能评估与个性化训练方案的高效执行能力，熟练运用作业疗法提升老年人生活技能，有效整合各类资源构建全方位支持网络，巧妙运用激励技巧增强老年人康复信心，全面适应居家、社区、机构等多场景康复需求。</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树立“赋能助老”理念，恪守伦理安全规范，增强关怀与责任感，关注弱势老年群体，培养协作与终身学习能力，养成专业素养。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sz w:val="24"/>
                <w:szCs w:val="24"/>
                <w:highlight w:val="none"/>
              </w:rPr>
              <w:t>弘扬生命尊严观，反思康复观念偏差，结合战略增强使命担当，强化法治与无障碍意识，鼓励探索智能康复技术</w:t>
            </w:r>
            <w:r>
              <w:rPr>
                <w:rFonts w:hint="eastAsia" w:ascii="仿宋_GB2312" w:hAnsi="仿宋_GB2312" w:eastAsia="仿宋_GB2312" w:cs="仿宋_GB2312"/>
                <w:spacing w:val="-6"/>
                <w:sz w:val="24"/>
                <w:szCs w:val="24"/>
                <w:highlight w:val="none"/>
              </w:rPr>
              <w:t>，践行“科技赋能康复”。</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涵盖生活能力康复训练含义、适应症与禁忌</w:t>
            </w:r>
            <w:r>
              <w:rPr>
                <w:rFonts w:hint="eastAsia" w:ascii="仿宋_GB2312" w:hAnsi="仿宋_GB2312" w:eastAsia="仿宋_GB2312" w:cs="仿宋_GB2312"/>
                <w:color w:val="auto"/>
                <w:sz w:val="24"/>
                <w:szCs w:val="24"/>
                <w:highlight w:val="none"/>
                <w:lang w:val="en-US" w:eastAsia="zh-CN"/>
              </w:rPr>
              <w:t>症</w:t>
            </w:r>
            <w:r>
              <w:rPr>
                <w:rFonts w:hint="eastAsia" w:ascii="仿宋_GB2312" w:hAnsi="仿宋_GB2312" w:eastAsia="仿宋_GB2312" w:cs="仿宋_GB2312"/>
                <w:color w:val="auto"/>
                <w:sz w:val="24"/>
                <w:szCs w:val="24"/>
                <w:highlight w:val="none"/>
              </w:rPr>
              <w:t>；老年人自理能力、家务劳动能力康复训练的方法，老年人辅助器具与助行器具的选配与使用、生活环境改造 与控制技术等知识；老年人生活活动能力、老年人社区活动能力康复训练等知识。</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了解生活能力康复训练含义、适应症与禁忌</w:t>
            </w:r>
            <w:r>
              <w:rPr>
                <w:rFonts w:hint="eastAsia" w:ascii="仿宋_GB2312" w:hAnsi="仿宋_GB2312" w:eastAsia="仿宋_GB2312" w:cs="仿宋_GB2312"/>
                <w:color w:val="auto"/>
                <w:sz w:val="24"/>
                <w:szCs w:val="24"/>
                <w:highlight w:val="none"/>
                <w:lang w:val="en-US" w:eastAsia="zh-CN"/>
              </w:rPr>
              <w:t>症</w:t>
            </w:r>
            <w:r>
              <w:rPr>
                <w:rFonts w:hint="eastAsia" w:ascii="仿宋_GB2312" w:hAnsi="仿宋_GB2312" w:eastAsia="仿宋_GB2312" w:cs="仿宋_GB2312"/>
                <w:color w:val="auto"/>
                <w:sz w:val="24"/>
                <w:szCs w:val="24"/>
                <w:highlight w:val="none"/>
              </w:rPr>
              <w:t xml:space="preserve">。 </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熟悉老年人自理能力、家务劳动能 力康复训练的方法，老年人辅助器具与助行器具的选配与使用、生活环境改造 与控制技术等知识。掌握老年人生活活动能力、老年人 社区活动能力康复训练等知识。具备为老年人进行生活活动能力、自理能力、家务能力等康复训练的能力。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社区居家智慧康养管理</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掌握社区居家康养模式、智慧技术应用及服务管理流程，理解老龄化对社区服务的影响，熟悉《智慧健康养老产业发展行动计划》等政策，形成“社区</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技术</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政策”融合的康养管理知识体系。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具备需求分析、资源整合与服务质量监控能力，能设计智慧化康养方案，运用物联网设备监测健康数据，协调政企社多方资源，运用沟通技巧提升服务满意度</w:t>
            </w:r>
            <w:r>
              <w:rPr>
                <w:rFonts w:hint="eastAsia" w:ascii="仿宋_GB2312" w:hAnsi="仿宋_GB2312" w:eastAsia="仿宋_GB2312" w:cs="仿宋_GB2312"/>
                <w:spacing w:val="-6"/>
                <w:sz w:val="24"/>
                <w:szCs w:val="24"/>
                <w:highlight w:val="none"/>
              </w:rPr>
              <w:t>，适应社区居家场景需求。</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树立“精准助老”服务理念，恪守职业伦理与数据安全规范，增强社会责任感，关注高龄、独居等弱势群体需求，培养跨学科协作与终身学习能力，形成专业社区康养管理素养。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弘扬邻里互助精神，反思“技术鸿沟”与“服务疏离”问题，结合“基层治理现代化”战略增强使命担当，强化法治思维与人文关怀，鼓励学生探索适老化智能技术，践行“科技惠民”理念。</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社区居家养老服务的内涵、现状、发展趋势、特色化服务实践；社区居家养老服务质量、供应商、志愿者、顾客满意度等管理；社区居家养老基础设施选址与设计、标准化建设、服务设计开发、智慧化管理、风险管理等。</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了解社区居家养老服务的内涵、现状、发展趋势、特色化服务实践。 熟悉社区居家养老服务质量、供应商、志愿者、顾客满意度等管理。 掌握社区居家养老基础设施选址与设计、标准化建设、服务设计开发、 智慧化管理、风险管理等。 具有社区居家智慧化运营管理的基本能力。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75"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养老机构智慧运营与管理</w:t>
            </w:r>
          </w:p>
        </w:tc>
        <w:tc>
          <w:tcPr>
            <w:tcW w:w="4850"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掌握养老机构运营模式、智慧管理系统及服务标准，理解老龄化对机构管理的影响，熟悉《养老机构管理办法》等法规，形成“管理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技术</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法规”融合的智慧运营知识体系。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具备需求分析、资源优化与风险管控能力，能设计智慧化运营方案，运用大数据提升服务效率，协调医护、社工等多方资源，运用沟通技巧提升服务满意度，适应机构多元化运营需求。</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树立“品质养老”服务理念，恪守职业伦理与安全规范，增强社会责任感，关注失能失智等弱势老年群体需求，培养跨学科协作与终身学习能力，形成专业机构管理综合素养。</w:t>
            </w:r>
          </w:p>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老吾老”人文精神，反思机构服务中的“标准化疏离”现象，结合“积极应对老龄化”国家战略增强使命担当，强化法治思维与精细化管理意识，鼓励学生探索适老化智能技术，践行“科技赋能养老”理念。</w:t>
            </w:r>
          </w:p>
        </w:tc>
        <w:tc>
          <w:tcPr>
            <w:tcW w:w="2164"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涵盖养老机构的服务对象、服务特点及类型、民非注册与工商注册的优劣、养老服务模式、养老标准与规范；养老机构的论证、申报审批、 建筑设计、行政管理、后勤管理</w:t>
            </w:r>
            <w:r>
              <w:rPr>
                <w:rFonts w:hint="eastAsia" w:ascii="仿宋_GB2312" w:hAnsi="仿宋_GB2312" w:eastAsia="仿宋_GB2312" w:cs="仿宋_GB2312"/>
                <w:color w:val="auto"/>
                <w:sz w:val="24"/>
                <w:szCs w:val="24"/>
                <w:highlight w:val="none"/>
                <w:lang w:val="en-US" w:eastAsia="zh-CN"/>
              </w:rPr>
              <w:t>与</w:t>
            </w:r>
            <w:r>
              <w:rPr>
                <w:rFonts w:hint="eastAsia" w:ascii="仿宋_GB2312" w:hAnsi="仿宋_GB2312" w:eastAsia="仿宋_GB2312" w:cs="仿宋_GB2312"/>
                <w:color w:val="auto"/>
                <w:sz w:val="24"/>
                <w:szCs w:val="24"/>
                <w:highlight w:val="none"/>
              </w:rPr>
              <w:t>品牌营销、养老机构项目定位的内容与方法；养老机构的照护管理、智慧化管理、风险管理，具有养老机构运营与管理的能力。</w:t>
            </w:r>
          </w:p>
        </w:tc>
        <w:tc>
          <w:tcPr>
            <w:tcW w:w="2185" w:type="dxa"/>
            <w:vAlign w:val="top"/>
          </w:tcPr>
          <w:p>
            <w:pPr>
              <w:keepNext w:val="0"/>
              <w:keepLines w:val="0"/>
              <w:pageBreakBefore w:val="0"/>
              <w:widowControl w:val="0"/>
              <w:kinsoku/>
              <w:wordWrap/>
              <w:topLinePunct w:val="0"/>
              <w:autoSpaceDE/>
              <w:autoSpaceDN/>
              <w:bidi w:val="0"/>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了解养老机构的服务对象、服务特点及类型、民非注册与工商注册的优劣、养老服务模式、养老标准与规范。熟悉养老机构的论证、申报审批、 建筑设计、行政管理、后勤管理品牌营销、养老机构项目定位的内容与方法。掌握养老机构的照护管理、智慧化管理、风险管理，具有养老机构运营与管理的能力。</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bookmarkEnd w:id="6"/>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320" w:firstLineChars="1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智慧健康养老服务与管理行业发展的趋势，依据企业用人需求调研，建立了智慧健康养老服务与管理专业拓展课，并将辅修方向课程纳入其中。由智慧养老技术概论、老龄经济基础、老龄产业市场营销基础、老年消费行为分析、老年运动保健、音乐治疗、适老智能家居规划、养老机构文书拟写与处理、养老机构感染控制管理、社区居家简易急救、社区居家适老化环境设计等课程构成专业拓展课</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W w:w="10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858"/>
        <w:gridCol w:w="4922"/>
        <w:gridCol w:w="2128"/>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92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12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1944"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智慧养老技术概论</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掌握智慧养老技术体系、核心模块（如物联网、AI）及应用场景，理解技术驱动下的养老模式变革，熟悉《智慧健康养老产品及服务推广目录》等政策，形成“技术－产业－政策”融合的知识框架。</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pacing w:val="-6"/>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具备技术选型评估、系统集成与适老化改造能力，能分析老年人需求并匹配智能解决方案</w:t>
            </w:r>
            <w:r>
              <w:rPr>
                <w:rFonts w:hint="eastAsia" w:ascii="仿宋_GB2312" w:hAnsi="仿宋_GB2312" w:eastAsia="仿宋_GB2312" w:cs="仿宋_GB2312"/>
                <w:color w:val="auto"/>
                <w:spacing w:val="-6"/>
                <w:sz w:val="24"/>
                <w:szCs w:val="24"/>
                <w:highlight w:val="none"/>
                <w:lang w:val="en-US" w:eastAsia="zh-CN"/>
              </w:rPr>
              <w:t>，整合硬件、平台与服务资源，运用用户反馈优化技术应用，适应多元养老场景需求。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树立“科技赋能养老”理念，恪守技术伦理与数据安全规范，增强社会责任感，关注农村、失能等弱势老年群体技术可及性，培养跨学科协作与终身学习能力，形成技术人文融合素养。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弘扬“科技为民”价值观，反思“技术至上”与“数字鸿沟”矛盾，结合“新质生产力”战略增强使命担当，强化法治思维与包容性设计意识，鼓励学生探索普惠型智慧养老技术，践行“科技向善惠老”理念。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智慧养老技术概述、智能设备应用、大数据与物联网在养老中的实践、典型案例分析等。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通过演示法、案例分析法进行教学，确保学生能独立完成设备调试，并分析技术应用的伦理边界。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老龄经济基础</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掌握老龄经济内涵、产业分类及市场运行规律，理解人口老龄化对经济结构的影响机制，熟悉养老金融、银发消费等政策工具，形成“宏观</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产业</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政策”融合的老龄经济知识体系。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具备老龄市场分析、产业项目策划与风险评估能力，能设计适老化产品营销方案</w:t>
            </w:r>
            <w:r>
              <w:rPr>
                <w:rFonts w:hint="eastAsia" w:ascii="仿宋_GB2312" w:hAnsi="仿宋_GB2312" w:eastAsia="仿宋_GB2312" w:cs="仿宋_GB2312"/>
                <w:spacing w:val="-6"/>
                <w:sz w:val="24"/>
                <w:szCs w:val="24"/>
                <w:highlight w:val="none"/>
              </w:rPr>
              <w:t>，整合政府、企业、资本资源，运用数据模型预测老龄消费趋势，适应老龄化市场发展需求。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树立“经济赋能养老”理念，恪守商业伦理与社会责任，增强包容性发展意识，关注农村、低收入等弱势老年群体经济权益，培养跨学科协作与终身学习能力，形成老龄经济专业素养。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弘扬“老有所养”经济伦理，反思市场逐利与普惠性的平衡问题，结合“共同富裕”战略增强使命担当，强化法治思维与公平竞争意识，鼓励学生探索可持续老龄经济模式，践行“发展为民”理念。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老龄人口结构分析、老龄产业市场供需、养老金融产品、国内外老龄经济政策等。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通过探究式教学、讨论法进行教学，培养学生通过数据论证产业发展的能力。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老龄产业市场营销基础</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掌握老龄产业市场细分、消费行为特征及营销策略，理解老龄化对市场需求的影响机制，熟悉银发经济政策与适老化产品标准，形成“市场</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消费者</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政策”融合的营销知识体系。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具备市场调研、品牌策划与精准推广能力，能设计适老化产品营销方案，整合线上线下渠道资源，运用情感化沟通提升客户粘性，适应老龄化市场多元化需求。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树立“服务为本”营销理念，恪守商业伦理与适老化设计原则，增强社会责任感，关注农村、失能等弱势老年群体消费权益，培养跨学科协作与终身学习能力，形成专业营销素养。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老吾老以及人之老”的商业伦理，反思营销中的年龄歧视与过度商业化问题，结合“国内国际双循环”战略增强使命担当，强化法治思维与普惠服务意识，鼓励学生探索可持续老龄营销模式，践行“商业向善”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老年市场细分、产品定位、营销策略设计、线上线下推广渠道等。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通过项目驱动法、角色扮演进行教学，培养学生方案设计能力，方案必须通过伦理审查，现场模拟需体现沟通技巧。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老年消费行为分析</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掌握老年消费心理、决策机制及行为特征，理解老龄化对消费结构的影响，熟悉银发市场细分与适老化产品标准，形成“心理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行为</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市场”融合的消费分析知识体系。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具备消费调研、数据解读与策略制定能力，能设计适老化产品定位方案，整合线上线下消费场景资源，运用共情沟通提升服务体验，适应老龄化消费升级需求。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树立“以老为本”服务理念，恪守商业伦理与隐私保护原则，增强社会责任感，关注农村、低收入等弱势老年群体消费公平，培养跨学科协作与终身学习能力，形成专业消费分析能力。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弘扬“代际共融”消费伦理，反思营销中的年龄歧视与过度商业化倾向，结合“扩大内需”战略增强使命担当，强化法治思维与包容性设计意识，鼓励学生探索可持续消费模式，践行“商业惠老”理念。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老年消费心理、购买决策因素、消费行为调研方法、案例研讨等。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通过问答法、翻转课堂进行教学，培养学生调研分析老年消费行为，提出优化建议能力。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老年运动保健</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掌握老年运动生理特点、常见疾病运动禁忌及保健方法，理解老龄化对运动能力的影响机制，熟悉《全民健身指南》等适老化运动规范，形成“生理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病理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运动”融合的保健知识体系。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具备运动风险评估、个性化方案设计与动态调整能力，能运用康复器械指导安全训练，整合医疗、社区运动资源，运用激励技巧提升老年人参与度</w:t>
            </w:r>
            <w:r>
              <w:rPr>
                <w:rFonts w:hint="eastAsia" w:ascii="仿宋_GB2312" w:hAnsi="仿宋_GB2312" w:eastAsia="仿宋_GB2312" w:cs="仿宋_GB2312"/>
                <w:spacing w:val="-6"/>
                <w:sz w:val="24"/>
                <w:szCs w:val="24"/>
                <w:highlight w:val="none"/>
              </w:rPr>
              <w:t>，适应不同健康状态需求。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树立“科学助老”运动理念，恪守职业安全与适老化设计原则，增强社会责任感，关注失能、慢病等弱势老年群体运动权益，培养跨学科协作与终身学习能力，形成专业运动保健素养。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弘扬“生命在于运动”的健康伦理，反思“重治疗轻预防”的观念偏差，结合“健康中国”战略增强使命担当，强化法治思维与无障碍服务意识，鼓励学生探索智能化运动监测技术，践行“运动惠老”理念。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老年生理特点、运动处方设计（如太极拳、瑜伽）、运动风险预防、健康评估等。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通过演示法、案例分析法进行教学，让学生能根据个体差异制定运动计划，强调安全性与科学性。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音乐治疗</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掌握音乐治疗原理、老年心理干预机制及适老化音乐设计方法，理解老龄化对身心健康的影响，熟悉《精神卫生法》等相关法规，形成“音乐</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心理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生理”融合的治疗知识体系。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具备需求评估、个性化音乐方案设计与动态调整能力，能运用乐器、声乐等多元形式开展干预，整合医疗、社区资源构建支持网络，运用沟通技巧提升老年人参与意愿，适应不同健康状态需求。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树立“以乐愈老”人文理念，恪守职业伦理与隐私保护原则，增强社会责任感，关注认知障碍、抑郁等弱势老年群体心理健康，培养跨学科协作与终身学习能力，形成专业音乐治疗素养。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弘扬“乐以忘忧”的传统文化精髓，反思“老年心理问题污名化”现象，结合“健康中国”战略增强使命担当，强化法治思维与人性化服务意识，鼓励学生探索智能音乐辅助技术，践行“艺术惠老”理念。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音乐治疗理论、实操技术（如节奏训练、情绪调节）、老年群体适用性评估等。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通过演示法、项目驱动法进行教学，让学生能设计简单的音乐干预方案，注重情感支持与认知改善。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适老智能家居规划</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掌</w:t>
            </w:r>
            <w:r>
              <w:rPr>
                <w:rFonts w:hint="eastAsia" w:ascii="仿宋_GB2312" w:hAnsi="仿宋_GB2312" w:eastAsia="仿宋_GB2312" w:cs="仿宋_GB2312"/>
                <w:sz w:val="24"/>
                <w:szCs w:val="24"/>
                <w:highlight w:val="none"/>
              </w:rPr>
              <w:t>握适老智能家居设计原则、技术标准及适老化产品类型，理解老龄化对居住环境的需求差异，熟悉《无障碍环境建设条例》等法规，形成“空间</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技术</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法规”融合的规划知识体系。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具备需求分析、功能配置与系统集成能力，能设计安全便捷的智能家居方案，整合硬件、软件及服务资源，运用场景化设计提升用户体验，适应不同健康状态老年群体需求。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树立“科技适老”设计理念，恪守无障碍设计伦理与隐私保护原则，增强社会责任感，关注失能、独居等弱势老年群体居家安全，培养跨学科协作与终身学习能力，形成专业规划素养。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弘扬“居有所安”的人文关怀，反思“技术适老化不足”问题，结合“智慧健康养老”战略增强使命担当，强化法治思维与人性化服务意识，鼓励学生探索普惠型智能家居技术，践行“科技暖老”理念。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适老化设计标准、智能家居设备选配（如跌倒监测、语音控制）、空间布局优化等。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通过项目驱动法、案例分析法进行教学，让学生能结合用户需求完成适老家居方案，注重实用性与成本控制。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养老机构文书拟写与处理</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掌握养老机构文书类型、写作规范及档案管理要求，理解老龄政策对文书工作的指导作用，熟悉《档案法</w:t>
            </w:r>
            <w:r>
              <w:rPr>
                <w:rFonts w:hint="eastAsia" w:ascii="仿宋_GB2312" w:hAnsi="仿宋_GB2312" w:eastAsia="仿宋_GB2312" w:cs="仿宋_GB2312"/>
                <w:sz w:val="24"/>
                <w:szCs w:val="24"/>
                <w:highlight w:val="none"/>
                <w:lang w:eastAsia="zh-CN"/>
              </w:rPr>
              <w:t>中华人民共和国老年人权益保障法</w:t>
            </w:r>
            <w:r>
              <w:rPr>
                <w:rFonts w:hint="eastAsia" w:ascii="仿宋_GB2312" w:hAnsi="仿宋_GB2312" w:eastAsia="仿宋_GB2312" w:cs="仿宋_GB2312"/>
                <w:sz w:val="24"/>
                <w:szCs w:val="24"/>
                <w:highlight w:val="none"/>
              </w:rPr>
              <w:t>》等相关法规，形成“政策</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实务</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法规”融合的文书知识体系。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具备需求评估、规范撰写与高效处理能力，能起草服务协议、风险预案等适老化文书，整合电子化与纸质档案管理资源，运用沟通技巧提升跨部门协作效率，适应养老机构运营需求。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树立“文书惠老”服务理念，恪守职业保密与精准规范原则，增强社会责任感，关注失能、失智等弱势老年群体权益记录，培养跨学科协作与终身学习能力，形成专业文书处理素养。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弘扬“文书载道”的职业精神，反思“重服务轻记录”的管理偏差，结合“积极应对老龄化”战略增强使命担当，强化法治思维与人性化服务意识，鼓励学生探索智慧档案管理技术，践行“数字护老”理念。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护理记录、合同协议、行政公文写作、电子档案管理系统操作等。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通过讲授法、案例分析法进行教学，让学生掌握文书格式规范、书写内容准确，符合行业标准。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养老机构感染控制管理</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掌握养老机构感染传播机制、防控标准及应急预案，理解老龄群体易感特征与感染影响，熟悉《传染病防治法》《养老机构管理办法》等法规，形成“预防</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处置</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法规”融合的感染控制知识体系。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具备风险评估、流程设计与动态监测能力，能制定适老化消毒隔离方案，整合医疗</w:t>
            </w:r>
            <w:r>
              <w:rPr>
                <w:rFonts w:hint="eastAsia" w:ascii="仿宋_GB2312" w:hAnsi="仿宋_GB2312" w:eastAsia="仿宋_GB2312" w:cs="仿宋_GB2312"/>
                <w:spacing w:val="-6"/>
                <w:sz w:val="24"/>
                <w:szCs w:val="24"/>
                <w:highlight w:val="none"/>
              </w:rPr>
              <w:t>、后勤资源构建防控网络，运用沟通技巧提升员工执行效能，适应突发公共卫生事件需求。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树立“生命至上”防控理念，恪守职业安全与隐私保护原则，增强社会责任感，关注失能、认知障碍等弱势老年群体感染防护，培养跨学科协作与终身学习能力，形成专业管理能力。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弘扬“护老安康”的职业精神，反思“重服务轻防控”的认知偏差，结合“健康中国”战略增强使命担当，强化法治思维与科学防控意识，鼓励学生探索智能监测预警技术，践行“科技卫老”理念。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感染源识别、消毒技术、隔离措施、应急预案制定、相关法律法规等。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通过演示法、翻转课堂进行教学，让学生能严格执行感染控制操作，具备基础培训与监督能力。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社区居家简易急救</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掌握社区居家常见急症识别、急救原则及适老化操作规范，理解老龄群体生理特点对急救的影响，熟悉《急救医疗管理条例》等法规，形成“症状</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处置</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法规”融合的急救知识体系。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pacing w:val="-6"/>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具备风险预判、快速响应与规范施救能力，能设计居家急救场景应对方案，整合社区</w:t>
            </w:r>
            <w:r>
              <w:rPr>
                <w:rFonts w:hint="eastAsia" w:ascii="仿宋_GB2312" w:hAnsi="仿宋_GB2312" w:eastAsia="仿宋_GB2312" w:cs="仿宋_GB2312"/>
                <w:spacing w:val="-6"/>
                <w:sz w:val="24"/>
                <w:szCs w:val="24"/>
                <w:highlight w:val="none"/>
              </w:rPr>
              <w:t>、医疗资源构建应急网络，运用沟通技巧安抚患者及家属情绪，适应老龄化社区急救需求。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树立“生命第一”急救理念，恪守职业伦理与隐私保护原则，增强社会责任感，关注独居、失能等弱势老年群体急救权益，培养跨学科协作与终身学习能力，形成专业急救素养。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弘扬“守望相助”的邻里精神，反思“急救知识普及不足”问题，结合“健康中国”战略增强使命担当，强化法治思维与科学施救意识，鼓励学生探索智能急救预警技术，践行“科技护老”理念。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心肺复苏（CPR）、噎食处理、慢性病急性发作应对、急救设备使用（如AED）等。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通过演示法、情境演练进行教学，让学生掌握急救技能，强调操作规范与时效性。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85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社区居家适老化环境设计</w:t>
            </w:r>
          </w:p>
        </w:tc>
        <w:tc>
          <w:tcPr>
            <w:tcW w:w="492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sz w:val="24"/>
                <w:szCs w:val="24"/>
                <w:highlight w:val="none"/>
              </w:rPr>
              <w:t>掌握社区居家适老化设计原则、人体工学标准及无障碍技术规范，理解老龄化对居住空间的功能需求，熟悉《无障碍环境建设条例》等法规，形成“空间</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功能</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法规”融合的设计知识体系。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sz w:val="24"/>
                <w:szCs w:val="24"/>
                <w:highlight w:val="none"/>
              </w:rPr>
              <w:t>具备需求评估、个性化改造方案设计与动态优化能力，能整合建筑、家具、智能设备资源，运用场景化设计提升居家安全性与便利性，适应不同健康状态老年群体需求。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sz w:val="24"/>
                <w:szCs w:val="24"/>
                <w:highlight w:val="none"/>
              </w:rPr>
              <w:t>树立“环境助老”设计理念，恪守职业伦理与适老化细节规范，增强社会责任感，关注失能、独居等弱势老年群体居家环境改善，培养跨学科协作与终身学习能力，形成专业设计素养。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highlight w:val="none"/>
              </w:rPr>
              <w:t>弘扬“安居乐老”的人文精神，反思“适老化设计形式化”问题，结合“积极应对老龄化”战略增强使命担当，强化法治思维与人性化服务意识，鼓励学生探索模块化适老改造技术，践行“设计暖老”理念。</w:t>
            </w:r>
          </w:p>
        </w:tc>
        <w:tc>
          <w:tcPr>
            <w:tcW w:w="212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无障碍设计原则、辅助器具配置（如扶手、防滑地材）、照明与色彩心理学应用等。</w:t>
            </w:r>
          </w:p>
        </w:tc>
        <w:tc>
          <w:tcPr>
            <w:tcW w:w="194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通过项目驱动法、案例分析法进行教学，使学生能会设计改造方案，并注重细节与人文关怀。</w:t>
            </w:r>
          </w:p>
        </w:tc>
      </w:tr>
    </w:tbl>
    <w:p>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 ：</w:t>
      </w:r>
      <w:r>
        <w:rPr>
          <w:rFonts w:hint="eastAsia" w:ascii="仿宋_GB2312" w:hAnsi="仿宋_GB2312" w:eastAsia="仿宋_GB2312" w:cs="仿宋_GB2312"/>
          <w:color w:val="auto"/>
          <w:sz w:val="32"/>
          <w:szCs w:val="32"/>
          <w:highlight w:val="none"/>
          <w:lang w:val="en-US" w:eastAsia="zh-CN"/>
        </w:rPr>
        <w:t>毕业设计、岗位实习。</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836"/>
        <w:gridCol w:w="5582"/>
        <w:gridCol w:w="1693"/>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szCs w:val="24"/>
                <w:highlight w:val="none"/>
              </w:rPr>
            </w:pPr>
            <w:bookmarkStart w:id="7" w:name="OLE_LINK21"/>
            <w:r>
              <w:rPr>
                <w:rFonts w:hint="eastAsia" w:ascii="仿宋_GB2312" w:hAnsi="仿宋_GB2312" w:eastAsia="仿宋_GB2312" w:cs="仿宋_GB2312"/>
                <w:color w:val="auto"/>
                <w:sz w:val="24"/>
                <w:szCs w:val="24"/>
                <w:highlight w:val="none"/>
              </w:rPr>
              <w:t>序号</w:t>
            </w:r>
          </w:p>
        </w:tc>
        <w:tc>
          <w:tcPr>
            <w:tcW w:w="836"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5582"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1693"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1587"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9"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836" w:type="dxa"/>
            <w:vAlign w:val="center"/>
          </w:tcPr>
          <w:p>
            <w:pPr>
              <w:keepNext w:val="0"/>
              <w:keepLines w:val="0"/>
              <w:pageBreakBefore w:val="0"/>
              <w:widowControl w:val="0"/>
              <w:kinsoku/>
              <w:wordWrap/>
              <w:topLinePunct w:val="0"/>
              <w:autoSpaceDE/>
              <w:autoSpaceDN/>
              <w:bidi w:val="0"/>
              <w:spacing w:after="0" w:line="3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毕业设计</w:t>
            </w:r>
          </w:p>
        </w:tc>
        <w:tc>
          <w:tcPr>
            <w:tcW w:w="558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掌握老龄领域前沿理论、研究方法及实践规范，理解老龄化社会多元需求与政策导向，熟悉跨学科知识融合路径，形成“理论－实践－创新”融合的毕业设计知识体系。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具备选题策划、方案设计与成果转化能力，能整合学术、行业资源开展实证研究，运用批判性思维解决复杂老龄问题，适应老龄化社会创新发展需求。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树立“知行合一”的学术理念，恪守学术诚信与伦理规范，增强社会责任感，关注农村、失能等弱势老年群体需求，培养跨学科协作与终身学习能力，形成专业研究素养。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弘扬“经世致用”的治学精神，反思“学术脱离实践”倾向，结合“积极应对老龄化”国家战略增强使命担当，强化法治思维与创新服务意识，鼓励学生探索智慧养老解决方案，践行“研以致老”理念。</w:t>
            </w:r>
          </w:p>
        </w:tc>
        <w:tc>
          <w:tcPr>
            <w:tcW w:w="169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选题和资料收集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分析和计划</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开题报告</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撰写初稿</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修改定稿</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答辩。</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p>
        </w:tc>
        <w:tc>
          <w:tcPr>
            <w:tcW w:w="15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通过导师指导制、阶段性检查与反馈、毕业答辩模拟等教学方法，确保学生高质量完成毕业设计，提升综合应用能力和创新能力。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36"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5582" w:type="dxa"/>
            <w:vAlign w:val="top"/>
          </w:tcPr>
          <w:p>
            <w:pPr>
              <w:keepNext w:val="0"/>
              <w:keepLines w:val="0"/>
              <w:pageBreakBefore w:val="0"/>
              <w:widowControl w:val="0"/>
              <w:kinsoku/>
              <w:wordWrap/>
              <w:topLinePunct w:val="0"/>
              <w:autoSpaceDE/>
              <w:autoSpaceDN/>
              <w:bidi w:val="0"/>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w:t>
            </w:r>
            <w:r>
              <w:rPr>
                <w:rFonts w:hint="eastAsia" w:ascii="仿宋_GB2312" w:hAnsi="仿宋_GB2312" w:eastAsia="仿宋_GB2312" w:cs="仿宋_GB2312"/>
                <w:color w:val="auto"/>
                <w:sz w:val="24"/>
                <w:szCs w:val="24"/>
                <w:highlight w:val="none"/>
                <w:lang w:val="en-US" w:eastAsia="zh-CN"/>
              </w:rPr>
              <w:t>养老</w:t>
            </w:r>
            <w:r>
              <w:rPr>
                <w:rFonts w:hint="eastAsia" w:ascii="仿宋_GB2312" w:hAnsi="仿宋_GB2312" w:eastAsia="仿宋_GB2312" w:cs="仿宋_GB2312"/>
                <w:color w:val="auto"/>
                <w:sz w:val="24"/>
                <w:szCs w:val="24"/>
                <w:highlight w:val="none"/>
              </w:rPr>
              <w:t>服务岗位实务流程、行业标准及应急处理规范，理解老龄化背景下岗位职能动态变化，熟悉养老机构、社区等场景的跨部门协作机制，形成“实践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政策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创新”融合的岗位知识体系。</w:t>
            </w:r>
          </w:p>
          <w:p>
            <w:pPr>
              <w:keepNext w:val="0"/>
              <w:keepLines w:val="0"/>
              <w:pageBreakBefore w:val="0"/>
              <w:widowControl w:val="0"/>
              <w:kinsoku/>
              <w:wordWrap/>
              <w:topLinePunct w:val="0"/>
              <w:autoSpaceDE/>
              <w:autoSpaceDN/>
              <w:bidi w:val="0"/>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具备岗位适应、服务优化与问题解决能力，能整合资源开展个性化服务，运用沟通技巧协调多方需求，通过复盘反思提升专业水平，适应老龄化社会岗位创新发展需求。</w:t>
            </w:r>
          </w:p>
          <w:p>
            <w:pPr>
              <w:keepNext w:val="0"/>
              <w:keepLines w:val="0"/>
              <w:pageBreakBefore w:val="0"/>
              <w:widowControl w:val="0"/>
              <w:kinsoku/>
              <w:wordWrap/>
              <w:topLinePunct w:val="0"/>
              <w:autoSpaceDE/>
              <w:autoSpaceDN/>
              <w:bidi w:val="0"/>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树立“服务为本”的职业理念，恪守岗位责任与伦理规范，增强社会责任感，关注农村、失能等弱势老年群体实际需求，培养团队协作与终身学习能力，形成专业实践素养。</w:t>
            </w:r>
          </w:p>
          <w:p>
            <w:pPr>
              <w:keepNext w:val="0"/>
              <w:keepLines w:val="0"/>
              <w:pageBreakBefore w:val="0"/>
              <w:widowControl w:val="0"/>
              <w:kinsoku/>
              <w:wordWrap/>
              <w:topLinePunct w:val="0"/>
              <w:autoSpaceDE/>
              <w:autoSpaceDN/>
              <w:bidi w:val="0"/>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弘扬“实干兴老”的职业精神，反思“重理论轻实践”倾向，结合“积极应对老龄化”国家战略增强使命担当，强化法治思维与服务创新意识，鼓励学生探索智慧化岗位服务模式，践行“岗以惠老”理念。</w:t>
            </w:r>
          </w:p>
        </w:tc>
        <w:tc>
          <w:tcPr>
            <w:tcW w:w="1693" w:type="dxa"/>
            <w:vAlign w:val="top"/>
          </w:tcPr>
          <w:p>
            <w:pPr>
              <w:keepNext w:val="0"/>
              <w:keepLines w:val="0"/>
              <w:pageBreakBefore w:val="0"/>
              <w:widowControl w:val="0"/>
              <w:kinsoku/>
              <w:wordWrap/>
              <w:topLinePunct w:val="0"/>
              <w:autoSpaceDE/>
              <w:autoSpaceDN/>
              <w:bidi w:val="0"/>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养老护理员岗位实习、失智老年人照护员岗位实习、健康照护师岗位实习、老年人能力评估师岗位实习</w:t>
            </w:r>
          </w:p>
        </w:tc>
        <w:tc>
          <w:tcPr>
            <w:tcW w:w="1587" w:type="dxa"/>
            <w:vAlign w:val="top"/>
          </w:tcPr>
          <w:p>
            <w:pPr>
              <w:keepNext w:val="0"/>
              <w:keepLines w:val="0"/>
              <w:pageBreakBefore w:val="0"/>
              <w:widowControl w:val="0"/>
              <w:kinsoku/>
              <w:wordWrap/>
              <w:topLinePunct w:val="0"/>
              <w:autoSpaceDE/>
              <w:autoSpaceDN/>
              <w:bidi w:val="0"/>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通过校企合作模式、实习导师制、实习日志与报告撰写等教学方法，让学生在真实的工作环境中锻炼技能，积累实践经验。</w:t>
            </w:r>
          </w:p>
        </w:tc>
      </w:tr>
      <w:bookmarkEnd w:id="7"/>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模块</w:t>
            </w:r>
          </w:p>
        </w:tc>
        <w:tc>
          <w:tcPr>
            <w:tcW w:w="3573" w:type="dxa"/>
            <w:vAlign w:val="center"/>
          </w:tcPr>
          <w:p>
            <w:pPr>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80" w:type="dxa"/>
            <w:vAlign w:val="center"/>
          </w:tcPr>
          <w:p>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3"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40"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36"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236" w:type="dxa"/>
            <w:vAlign w:val="center"/>
          </w:tcPr>
          <w:p>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9"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公益劳动 </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highlight w:val="none"/>
              </w:rPr>
            </w:pPr>
          </w:p>
          <w:p>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pPr>
              <w:spacing w:after="0" w:line="240" w:lineRule="auto"/>
              <w:rPr>
                <w:rFonts w:hint="eastAsia" w:ascii="仿宋_GB2312" w:hAnsi="仿宋_GB2312" w:eastAsia="仿宋_GB2312" w:cs="仿宋_GB2312"/>
                <w:color w:val="auto"/>
                <w:sz w:val="24"/>
                <w:szCs w:val="24"/>
                <w:highlight w:val="none"/>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spacing w:after="0" w:line="240" w:lineRule="auto"/>
              <w:rPr>
                <w:rFonts w:hint="eastAsia" w:ascii="仿宋_GB2312" w:hAnsi="仿宋_GB2312" w:eastAsia="仿宋_GB2312" w:cs="仿宋_GB2312"/>
                <w:sz w:val="24"/>
                <w:szCs w:val="24"/>
                <w:highlight w:val="none"/>
              </w:rPr>
            </w:pP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color w:val="auto"/>
          <w:spacing w:val="-2"/>
          <w:sz w:val="32"/>
          <w:szCs w:val="32"/>
          <w:highlight w:val="none"/>
          <w:lang w:val="en-US" w:eastAsia="zh-CN"/>
        </w:rPr>
        <w:t>2666</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color w:val="auto"/>
          <w:spacing w:val="-2"/>
          <w:sz w:val="32"/>
          <w:szCs w:val="32"/>
          <w:highlight w:val="none"/>
          <w:lang w:val="en-US" w:eastAsia="zh-CN"/>
        </w:rPr>
        <w:t>1216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45.61</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color w:val="auto"/>
          <w:spacing w:val="-2"/>
          <w:sz w:val="32"/>
          <w:szCs w:val="32"/>
          <w:highlight w:val="none"/>
          <w:lang w:val="en-US" w:eastAsia="zh-CN"/>
        </w:rPr>
        <w:t>1450</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54.39</w:t>
      </w:r>
      <w:r>
        <w:rPr>
          <w:rFonts w:hint="eastAsia" w:ascii="仿宋_GB2312" w:hAnsi="仿宋_GB2312" w:eastAsia="仿宋_GB2312" w:cs="仿宋_GB2312"/>
          <w:bCs/>
          <w:color w:val="auto"/>
          <w:sz w:val="32"/>
          <w:szCs w:val="32"/>
          <w:highlight w:val="none"/>
        </w:rPr>
        <w:t>%，其中岗位</w:t>
      </w:r>
      <w:r>
        <w:rPr>
          <w:rFonts w:hint="eastAsia" w:ascii="仿宋_GB2312" w:hAnsi="仿宋_GB2312" w:eastAsia="仿宋_GB2312" w:cs="仿宋_GB2312"/>
          <w:color w:val="auto"/>
          <w:spacing w:val="-2"/>
          <w:sz w:val="32"/>
          <w:szCs w:val="32"/>
          <w:highlight w:val="none"/>
          <w:lang w:val="en-US" w:eastAsia="zh-CN"/>
        </w:rPr>
        <w:t>实习时间累计一般为6个月。</w:t>
      </w:r>
      <w:r>
        <w:rPr>
          <w:rFonts w:hint="eastAsia" w:ascii="仿宋_GB2312" w:hAnsi="仿宋_GB2312" w:eastAsia="仿宋_GB2312" w:cs="仿宋_GB2312"/>
          <w:bCs/>
          <w:color w:val="auto"/>
          <w:sz w:val="32"/>
          <w:szCs w:val="32"/>
          <w:highlight w:val="none"/>
        </w:rPr>
        <w:t>公共基础课</w:t>
      </w:r>
      <w:r>
        <w:rPr>
          <w:rFonts w:hint="eastAsia" w:ascii="仿宋_GB2312" w:hAnsi="仿宋_GB2312" w:eastAsia="仿宋_GB2312" w:cs="仿宋_GB2312"/>
          <w:color w:val="auto"/>
          <w:spacing w:val="-2"/>
          <w:sz w:val="32"/>
          <w:szCs w:val="32"/>
          <w:highlight w:val="none"/>
          <w:lang w:val="en-US" w:eastAsia="zh-CN"/>
        </w:rPr>
        <w:t>858</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32.18</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color w:val="auto"/>
          <w:spacing w:val="-2"/>
          <w:sz w:val="32"/>
          <w:szCs w:val="32"/>
          <w:highlight w:val="none"/>
          <w:lang w:val="en-US" w:eastAsia="zh-CN"/>
        </w:rPr>
        <w:t>272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10.20</w:t>
      </w:r>
      <w:r>
        <w:rPr>
          <w:rFonts w:hint="eastAsia" w:ascii="仿宋_GB2312" w:hAnsi="仿宋_GB2312" w:eastAsia="仿宋_GB2312" w:cs="仿宋_GB2312"/>
          <w:bCs/>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7"/>
        <w:tblW w:w="106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5"/>
        <w:gridCol w:w="1803"/>
        <w:gridCol w:w="762"/>
        <w:gridCol w:w="698"/>
        <w:gridCol w:w="1111"/>
        <w:gridCol w:w="762"/>
        <w:gridCol w:w="973"/>
        <w:gridCol w:w="1249"/>
        <w:gridCol w:w="984"/>
        <w:gridCol w:w="13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28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课程类别</w:t>
            </w: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课程性质</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学分</w:t>
            </w:r>
          </w:p>
        </w:tc>
        <w:tc>
          <w:tcPr>
            <w:tcW w:w="11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占专业总学分比例</w:t>
            </w:r>
          </w:p>
        </w:tc>
        <w:tc>
          <w:tcPr>
            <w:tcW w:w="527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jc w:val="center"/>
        </w:trPr>
        <w:tc>
          <w:tcPr>
            <w:tcW w:w="2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20" w:lineRule="exact"/>
              <w:rPr>
                <w:rFonts w:hint="eastAsia" w:ascii="仿宋_GB2312" w:hAnsi="仿宋_GB2312" w:eastAsia="仿宋_GB2312" w:cs="仿宋_GB2312"/>
                <w:i w:val="0"/>
                <w:iCs w:val="0"/>
                <w:color w:val="000000"/>
                <w:sz w:val="24"/>
                <w:szCs w:val="24"/>
                <w:highlight w:val="none"/>
                <w:u w:val="none"/>
              </w:rPr>
            </w:pPr>
          </w:p>
        </w:tc>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合计</w:t>
            </w: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理论教学</w:t>
            </w:r>
          </w:p>
        </w:tc>
        <w:tc>
          <w:tcPr>
            <w:tcW w:w="22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2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20" w:lineRule="exact"/>
              <w:rPr>
                <w:rFonts w:hint="eastAsia" w:ascii="仿宋_GB2312" w:hAnsi="仿宋_GB2312" w:eastAsia="仿宋_GB2312" w:cs="仿宋_GB2312"/>
                <w:i w:val="0"/>
                <w:iCs w:val="0"/>
                <w:color w:val="000000"/>
                <w:sz w:val="24"/>
                <w:szCs w:val="24"/>
                <w:highlight w:val="none"/>
                <w:u w:val="none"/>
              </w:rPr>
            </w:pPr>
          </w:p>
        </w:tc>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20" w:lineRule="exact"/>
              <w:rPr>
                <w:rFonts w:hint="eastAsia" w:ascii="仿宋_GB2312" w:hAnsi="仿宋_GB2312" w:eastAsia="仿宋_GB2312" w:cs="仿宋_GB2312"/>
                <w:i w:val="0"/>
                <w:iCs w:val="0"/>
                <w:color w:val="000000"/>
                <w:sz w:val="24"/>
                <w:szCs w:val="24"/>
                <w:highlight w:val="none"/>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占专业总学时比例（%）</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学时</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28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38</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26.95%</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730</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390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14.63%</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340</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2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8</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5.67%</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128</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80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3.00%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48</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2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46</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32.62%</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858</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470</w:t>
            </w:r>
          </w:p>
        </w:tc>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17.63%</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388</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32</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22.70%</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576</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456</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17.10%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120</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32</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22.70%</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576</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198</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7.43%</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378</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14.18%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4"/>
                <w:szCs w:val="24"/>
                <w:highlight w:val="none"/>
                <w:u w:val="none"/>
              </w:rPr>
            </w:pPr>
          </w:p>
        </w:tc>
        <w:tc>
          <w:tcPr>
            <w:tcW w:w="18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8</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5.67%</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144</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72</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iCs w:val="0"/>
                <w:color w:val="000000"/>
                <w:sz w:val="20"/>
                <w:szCs w:val="20"/>
                <w:highlight w:val="none"/>
                <w:u w:val="none"/>
              </w:rPr>
              <w:t>实践</w:t>
            </w:r>
            <w:r>
              <w:rPr>
                <w:rFonts w:hint="eastAsia" w:ascii="仿宋_GB2312" w:hAnsi="仿宋_GB2312" w:eastAsia="仿宋_GB2312" w:cs="仿宋_GB2312"/>
                <w:i w:val="0"/>
                <w:iCs w:val="0"/>
                <w:color w:val="000000"/>
                <w:sz w:val="20"/>
                <w:szCs w:val="20"/>
                <w:highlight w:val="none"/>
                <w:u w:val="none"/>
                <w:lang w:val="en-US" w:eastAsia="zh-CN"/>
              </w:rPr>
              <w:t>性</w:t>
            </w:r>
            <w:r>
              <w:rPr>
                <w:rFonts w:hint="eastAsia" w:ascii="仿宋_GB2312" w:hAnsi="仿宋_GB2312" w:eastAsia="仿宋_GB2312" w:cs="仿宋_GB2312"/>
                <w:i w:val="0"/>
                <w:iCs w:val="0"/>
                <w:color w:val="000000"/>
                <w:sz w:val="20"/>
                <w:szCs w:val="20"/>
                <w:highlight w:val="none"/>
                <w:u w:val="none"/>
              </w:rPr>
              <w:t>教学环节</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23</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16.31%</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512</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0.75%</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492</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18.45%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055"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p>
        </w:tc>
        <w:tc>
          <w:tcPr>
            <w:tcW w:w="256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95</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67.38%</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1808</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746</w:t>
            </w:r>
          </w:p>
        </w:tc>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27.98%</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1062</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39.83%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36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141</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100.00%</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2666</w:t>
            </w:r>
          </w:p>
        </w:tc>
        <w:tc>
          <w:tcPr>
            <w:tcW w:w="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1216</w:t>
            </w:r>
          </w:p>
        </w:tc>
        <w:tc>
          <w:tcPr>
            <w:tcW w:w="12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45.61%</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1450</w:t>
            </w:r>
          </w:p>
        </w:tc>
        <w:tc>
          <w:tcPr>
            <w:tcW w:w="1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54.39%</w:t>
            </w:r>
          </w:p>
        </w:tc>
      </w:tr>
    </w:tbl>
    <w:p>
      <w:pPr>
        <w:keepNext w:val="0"/>
        <w:keepLines w:val="0"/>
        <w:pageBreakBefore w:val="0"/>
        <w:widowControl w:val="0"/>
        <w:kinsoku/>
        <w:wordWrap/>
        <w:overflowPunct/>
        <w:topLinePunct w:val="0"/>
        <w:autoSpaceDE/>
        <w:autoSpaceDN/>
        <w:bidi w:val="0"/>
        <w:adjustRightInd/>
        <w:snapToGrid/>
        <w:spacing w:after="0" w:line="520" w:lineRule="exact"/>
        <w:ind w:left="638" w:leftChars="304" w:firstLine="0" w:firstLineChars="0"/>
        <w:textAlignment w:val="auto"/>
        <w:rPr>
          <w:rFonts w:hint="eastAsia" w:ascii="楷体" w:hAnsi="楷体" w:eastAsia="楷体" w:cs="楷体"/>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after="0" w:line="520" w:lineRule="exact"/>
        <w:ind w:left="638" w:leftChars="304" w:firstLine="0" w:firstLineChars="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553"/>
        <w:gridCol w:w="1280"/>
        <w:gridCol w:w="1603"/>
        <w:gridCol w:w="857"/>
        <w:gridCol w:w="878"/>
        <w:gridCol w:w="826"/>
        <w:gridCol w:w="853"/>
        <w:gridCol w:w="327"/>
        <w:gridCol w:w="323"/>
        <w:gridCol w:w="298"/>
        <w:gridCol w:w="354"/>
        <w:gridCol w:w="354"/>
        <w:gridCol w:w="1"/>
        <w:gridCol w:w="355"/>
        <w:gridCol w:w="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bookmarkStart w:id="8" w:name="OLE_LINK3"/>
            <w:r>
              <w:rPr>
                <w:rFonts w:hint="eastAsia" w:ascii="仿宋_GB2312" w:hAnsi="仿宋_GB2312" w:eastAsia="仿宋_GB2312" w:cs="仿宋_GB2312"/>
                <w:i w:val="0"/>
                <w:color w:val="auto"/>
                <w:kern w:val="0"/>
                <w:sz w:val="20"/>
                <w:szCs w:val="20"/>
                <w:highlight w:val="none"/>
                <w:u w:val="none"/>
                <w:lang w:val="en-US" w:eastAsia="zh-CN" w:bidi="ar"/>
              </w:rPr>
              <w:t>课程类型</w:t>
            </w:r>
          </w:p>
        </w:tc>
        <w:tc>
          <w:tcPr>
            <w:tcW w:w="5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序号</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课程代码</w:t>
            </w:r>
          </w:p>
        </w:tc>
        <w:tc>
          <w:tcPr>
            <w:tcW w:w="16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课程名称</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学分</w:t>
            </w:r>
          </w:p>
        </w:tc>
        <w:tc>
          <w:tcPr>
            <w:tcW w:w="255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教学学时数</w:t>
            </w:r>
          </w:p>
        </w:tc>
        <w:tc>
          <w:tcPr>
            <w:tcW w:w="2012"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1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55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012"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1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合计</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理论学时</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实践学时</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一</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二</w:t>
            </w: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五</w:t>
            </w: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7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1B410101101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思想道德与法治</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1A410101102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形势与政策</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1A410101103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国家安全教育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1A410101104</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军事理论</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z w:val="20"/>
                <w:szCs w:val="20"/>
                <w:highlight w:val="none"/>
                <w:u w:val="none"/>
                <w:lang w:val="en-US" w:eastAsia="zh-CN"/>
              </w:rPr>
              <w:t>5</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1C410101105</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军训</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112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112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1B410101106</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计算机基础</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64</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1B410101108</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大学英语</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128</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104</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1C410101109</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大学体育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108</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108</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1B410101110</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大学生职业发展与就业指导</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38</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26</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1B410101111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大学生心理健康教育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1C410101112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劳动教育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1B410101113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毛泽东思想和中国特色社会主义理论体系概论</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13</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1B410101114</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创新创业教育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14</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1B410101115</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习近平新时代中国特色社会主义思想概论</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中国民俗剪纸技法</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2012" w:type="dxa"/>
            <w:gridSpan w:val="7"/>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影视与鉴赏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中华优秀传统文化</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1B410101204</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中国共产党简史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1B410101205</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改革开放简史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1B410101206</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中华人民共和国简史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1B410101207</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社会主义发展简史</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1B410101208</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中华民族共同体概论</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3"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9</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1B410101209</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高等数学</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10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1B410101210</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语文</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bidi="ar"/>
              </w:rPr>
              <w:t>11</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1B410101211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物理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5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bidi="ar"/>
              </w:rPr>
              <w:t>12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1B410101212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化学</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32</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2012" w:type="dxa"/>
            <w:gridSpan w:val="7"/>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9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公共必修课程学分、学时小计</w:t>
            </w:r>
          </w:p>
        </w:tc>
        <w:tc>
          <w:tcPr>
            <w:tcW w:w="85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38</w:t>
            </w:r>
          </w:p>
        </w:tc>
        <w:tc>
          <w:tcPr>
            <w:tcW w:w="87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730</w:t>
            </w:r>
          </w:p>
        </w:tc>
        <w:tc>
          <w:tcPr>
            <w:tcW w:w="82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390</w:t>
            </w:r>
          </w:p>
        </w:tc>
        <w:tc>
          <w:tcPr>
            <w:tcW w:w="8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340</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9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公共必修课程学分、学时占比</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26.57%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27.02%</w:t>
            </w:r>
          </w:p>
        </w:tc>
        <w:tc>
          <w:tcPr>
            <w:tcW w:w="82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31.60%</w:t>
            </w:r>
          </w:p>
        </w:tc>
        <w:tc>
          <w:tcPr>
            <w:tcW w:w="8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23.16%</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91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公共选修课程学分、学时小计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87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91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公共选修课程学分、学时占比</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5.59%</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4.74%</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3.27%</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5A590302301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老龄事业与产业发展</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5A590302302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康养政策法规与标准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5B590302303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老年服务礼仪与沟通</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5A590302304</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管理学</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5B590302305</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人力资源管理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5B590302306</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正常人体结构与功能</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60</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5B590302307</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健康养老职业素养与安全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5B590302308</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健康养老大数据应用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60</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老年活动策划与设计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5B590302405</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老年人能力评估实务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3</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老年人生活与基础照护实务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老年心理护理实务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5B590302404</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老年健康照护</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6</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5B590302406</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老年人生活能力康复训练</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54</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7</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5B590302407</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社区居家智慧康养管理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5B590302408</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养老机构智慧运营与管理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48</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rPr>
            </w:pPr>
            <w:r>
              <w:rPr>
                <w:rFonts w:hint="eastAsia" w:ascii="仿宋_GB2312" w:hAnsi="仿宋_GB2312" w:eastAsia="仿宋_GB2312" w:cs="仿宋_GB2312"/>
                <w:i w:val="0"/>
                <w:color w:val="auto"/>
                <w:kern w:val="0"/>
                <w:sz w:val="20"/>
                <w:szCs w:val="20"/>
                <w:highlight w:val="none"/>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选修</w:t>
            </w: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1</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智慧养老技术概论</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专业拓展课最低学分要求为8学分</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2</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老龄经济基础</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3</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老龄产业市场营销基础</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4</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5B590302504</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老年消费行为 分析</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5</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5B590302505</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老年运动保健</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6</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5B590302506</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音乐治疗</w:t>
            </w:r>
          </w:p>
        </w:tc>
        <w:tc>
          <w:tcPr>
            <w:tcW w:w="85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7</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5B590302507</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适老智能家居规划</w:t>
            </w:r>
          </w:p>
        </w:tc>
        <w:tc>
          <w:tcPr>
            <w:tcW w:w="85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8</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5B590302508</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养老机构文书拟写与处理</w:t>
            </w:r>
          </w:p>
        </w:tc>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9</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5B590302509</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养老机构感染控制管理</w:t>
            </w:r>
          </w:p>
        </w:tc>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10</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5B590302510</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社区居家简易急救</w:t>
            </w:r>
          </w:p>
        </w:tc>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11</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5B590302511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社区居家适老化环境设计</w:t>
            </w:r>
          </w:p>
        </w:tc>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87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36</w:t>
            </w:r>
          </w:p>
        </w:tc>
        <w:tc>
          <w:tcPr>
            <w:tcW w:w="82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5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3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710" w:type="dxa"/>
            <w:gridSpan w:val="3"/>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8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必修</w:t>
            </w:r>
          </w:p>
        </w:tc>
        <w:tc>
          <w:tcPr>
            <w:tcW w:w="55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1</w:t>
            </w:r>
          </w:p>
        </w:tc>
        <w:tc>
          <w:tcPr>
            <w:tcW w:w="128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1B410101601</w:t>
            </w:r>
          </w:p>
        </w:tc>
        <w:tc>
          <w:tcPr>
            <w:tcW w:w="160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毕业设计</w:t>
            </w:r>
          </w:p>
        </w:tc>
        <w:tc>
          <w:tcPr>
            <w:tcW w:w="85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w:t>
            </w:r>
          </w:p>
        </w:tc>
        <w:tc>
          <w:tcPr>
            <w:tcW w:w="87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80</w:t>
            </w:r>
          </w:p>
        </w:tc>
        <w:tc>
          <w:tcPr>
            <w:tcW w:w="826"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20</w:t>
            </w:r>
          </w:p>
        </w:tc>
        <w:tc>
          <w:tcPr>
            <w:tcW w:w="853"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60</w:t>
            </w:r>
          </w:p>
        </w:tc>
        <w:tc>
          <w:tcPr>
            <w:tcW w:w="32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20</w:t>
            </w: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82"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iCs w:val="0"/>
                <w:color w:val="auto"/>
                <w:sz w:val="20"/>
                <w:szCs w:val="20"/>
                <w:highlight w:val="none"/>
                <w:u w:val="none"/>
                <w:lang w:val="en-US" w:eastAsia="zh-CN"/>
              </w:rPr>
            </w:pPr>
            <w:r>
              <w:rPr>
                <w:rFonts w:hint="eastAsia" w:ascii="仿宋_GB2312" w:hAnsi="仿宋_GB2312" w:eastAsia="仿宋_GB2312" w:cs="仿宋_GB2312"/>
                <w:i w:val="0"/>
                <w:iCs w:val="0"/>
                <w:color w:val="auto"/>
                <w:sz w:val="20"/>
                <w:szCs w:val="20"/>
                <w:highlight w:val="none"/>
                <w:u w:val="none"/>
                <w:lang w:val="en-US" w:eastAsia="zh-CN"/>
              </w:rPr>
              <w:t>2</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spacing w:val="-11"/>
                <w:kern w:val="0"/>
                <w:sz w:val="20"/>
                <w:szCs w:val="20"/>
                <w:highlight w:val="none"/>
                <w:u w:val="none"/>
                <w:lang w:val="en-US" w:eastAsia="zh-CN" w:bidi="ar"/>
              </w:rPr>
            </w:pPr>
            <w:r>
              <w:rPr>
                <w:rFonts w:hint="eastAsia" w:ascii="仿宋_GB2312" w:hAnsi="仿宋_GB2312" w:eastAsia="仿宋_GB2312" w:cs="仿宋_GB2312"/>
                <w:i w:val="0"/>
                <w:color w:val="auto"/>
                <w:spacing w:val="-11"/>
                <w:kern w:val="0"/>
                <w:sz w:val="20"/>
                <w:szCs w:val="20"/>
                <w:highlight w:val="none"/>
                <w:u w:val="none"/>
                <w:lang w:val="en-US" w:eastAsia="zh-CN" w:bidi="ar"/>
              </w:rPr>
              <w:t>1C410101602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岗位实习</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432</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0</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432</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default"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18</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专业必修课程学分、学时小计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1664</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674</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990</w:t>
            </w:r>
          </w:p>
        </w:tc>
        <w:tc>
          <w:tcPr>
            <w:tcW w:w="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6" w:hRule="atLeast"/>
          <w:jc w:val="center"/>
        </w:trPr>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专业必修课程学分、学时占比</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61.70%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62.42%</w:t>
            </w: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25.28%</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37.13%</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专业拓展课程学分、学时小计</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8</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144</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72</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专业拓展课程学分、学时占比</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5.67%</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5.40%</w:t>
            </w:r>
          </w:p>
        </w:tc>
        <w:tc>
          <w:tcPr>
            <w:tcW w:w="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2.70%</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2.70%</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jc w:val="center"/>
        </w:trPr>
        <w:tc>
          <w:tcPr>
            <w:tcW w:w="462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总学分、学时合计</w:t>
            </w:r>
          </w:p>
        </w:tc>
        <w:tc>
          <w:tcPr>
            <w:tcW w:w="857"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141</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2666</w:t>
            </w:r>
          </w:p>
        </w:tc>
        <w:tc>
          <w:tcPr>
            <w:tcW w:w="826"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1216</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1450</w:t>
            </w:r>
          </w:p>
        </w:tc>
        <w:tc>
          <w:tcPr>
            <w:tcW w:w="3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_GB2312" w:hAnsi="仿宋_GB2312" w:eastAsia="仿宋_GB2312" w:cs="仿宋_GB2312"/>
                <w:i w:val="0"/>
                <w:color w:val="auto"/>
                <w:kern w:val="0"/>
                <w:sz w:val="20"/>
                <w:szCs w:val="20"/>
                <w:highlight w:val="none"/>
                <w:u w:val="none"/>
                <w:lang w:val="en-US" w:eastAsia="zh-CN" w:bidi="ar"/>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_GB2312" w:hAnsi="仿宋_GB2312" w:eastAsia="仿宋_GB2312" w:cs="仿宋_GB2312"/>
                <w:i w:val="0"/>
                <w:iCs w:val="0"/>
                <w:color w:val="auto"/>
                <w:sz w:val="20"/>
                <w:szCs w:val="20"/>
                <w:highlight w:val="none"/>
                <w:u w:val="none"/>
              </w:rPr>
            </w:pPr>
          </w:p>
        </w:tc>
      </w:tr>
      <w:bookmarkEnd w:id="8"/>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6人，获取职称人数为4人。其中副高及以上职称1人，中级职称1人，初级职称2人。具有研究生学位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专业带头人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原则上应具有本专业及相关专业副高及以上职称和较强的实践能力，能广泛联系行业企业，了解国内外智慧健康养老服务行业发展新趋势，准确把握行业企业用人需求，具有组织开展专业建设、教科研工作和企业服务的能力，在本专业改革发展中起引领作用。同时，在此基础上，还应符合“四有好老师”的标准，践行“四个相统一”的要求，并努力成为学生“四个引路人”。</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具有教师资格证书；具有护理学、管理学、社会工作、心理学、健康管理、计算机等相关专业学历；具有一定年限的相应工作经历或者实践经验，达到相应的技术技能水平；具有本 专业理论和实践能力；能够落实课程思政要求，挖掘专业课程中的思政教育元素和资源；能够运用信息技术开展混合式教学等教法改革；能够跟踪新经济、新技术发展前沿，开展社会服务；专业教师每年至少1个月在企业或生产性实训基地锻炼，每5年累计不少于6个月的企业实践经历。在此基础上，教师还应符合“四有好老师”的标准，坚定教育理想信念，坚守高尚道德情操，拥有扎实的专业学识，怀揣对学生的仁爱之心；践行“四个相统一”的要求，将教书与育人紧密结合，以自身言行感染学生，在追求学术真理的同时关注社会现实，严格遵守学术规范；努力成为学生“四个引路人”，在学生的品格塑造、知识学习、创新思维培养以及爱国情怀激发等方面发挥积极的引导作用。</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主要从本专业相关行业企业的高技能人才中聘任，应具有扎实的专业知识和丰富的实际工作经验，一般应具有中级及以上专业技术职务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职称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或高级工及以上职业技能等级，了解教育教学规律，能承担专业课程教学、实习实训指导和学生职业发展规划指导等专业教学任务。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2.校内实训资源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8"/>
        <w:tblW w:w="99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217"/>
        <w:gridCol w:w="2036"/>
        <w:gridCol w:w="3214"/>
        <w:gridCol w:w="1736"/>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217"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实验实训室名称</w:t>
            </w:r>
          </w:p>
        </w:tc>
        <w:tc>
          <w:tcPr>
            <w:tcW w:w="2036"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实训适用课程</w:t>
            </w:r>
          </w:p>
        </w:tc>
        <w:tc>
          <w:tcPr>
            <w:tcW w:w="3214"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实训项目</w:t>
            </w:r>
          </w:p>
        </w:tc>
        <w:tc>
          <w:tcPr>
            <w:tcW w:w="1736"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主</w:t>
            </w:r>
            <w:r>
              <w:rPr>
                <w:rFonts w:hint="eastAsia" w:ascii="仿宋_GB2312" w:hAnsi="仿宋_GB2312" w:eastAsia="仿宋_GB2312" w:cs="仿宋_GB2312"/>
                <w:b w:val="0"/>
                <w:bCs w:val="0"/>
                <w:color w:val="auto"/>
                <w:sz w:val="24"/>
                <w:szCs w:val="24"/>
                <w:highlight w:val="none"/>
                <w:vertAlign w:val="baseline"/>
                <w:lang w:eastAsia="zh-CN"/>
              </w:rPr>
              <w:t>要设备名称及配置数量</w:t>
            </w:r>
          </w:p>
        </w:tc>
        <w:tc>
          <w:tcPr>
            <w:tcW w:w="1017" w:type="dxa"/>
            <w:noWrap w:val="0"/>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1</w:t>
            </w:r>
          </w:p>
        </w:tc>
        <w:tc>
          <w:tcPr>
            <w:tcW w:w="12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机构养老实训室</w:t>
            </w:r>
          </w:p>
        </w:tc>
        <w:tc>
          <w:tcPr>
            <w:tcW w:w="2036"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老年人能力评估实务、老年人生活与基础照护实务、养老机构智慧运营与管理</w:t>
            </w:r>
          </w:p>
        </w:tc>
        <w:tc>
          <w:tcPr>
            <w:tcW w:w="3214"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老年人能力评估操作（如ADL评估、认知功能评估）、基础护理技能训练（如翻身、喂食、清洁护理）、急救技能模拟（如心肺复苏、跌倒应急处理）</w:t>
            </w:r>
          </w:p>
        </w:tc>
        <w:tc>
          <w:tcPr>
            <w:tcW w:w="1736"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护理床、模拟人、护理及急救的医疗设备等20套</w:t>
            </w:r>
          </w:p>
        </w:tc>
        <w:tc>
          <w:tcPr>
            <w:tcW w:w="10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2</w:t>
            </w:r>
          </w:p>
        </w:tc>
        <w:tc>
          <w:tcPr>
            <w:tcW w:w="12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社区养老实训室</w:t>
            </w:r>
          </w:p>
        </w:tc>
        <w:tc>
          <w:tcPr>
            <w:tcW w:w="2036"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老年活动策划与设计、老年人生活能力康复训练、社区居家智慧康养管理</w:t>
            </w:r>
          </w:p>
        </w:tc>
        <w:tc>
          <w:tcPr>
            <w:tcW w:w="3214"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老年文娱活动策划与实施（如手工活动、音乐疗法）、健康体检与慢病管理实操（如血压、血糖监测）、康复器械使用训练（如步行器、平衡训练设备）</w:t>
            </w:r>
          </w:p>
        </w:tc>
        <w:tc>
          <w:tcPr>
            <w:tcW w:w="1736"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文娱设备、健康体检设备、老年产品展示、老年辅助器械、康复器械等20套</w:t>
            </w:r>
          </w:p>
        </w:tc>
        <w:tc>
          <w:tcPr>
            <w:tcW w:w="10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3</w:t>
            </w:r>
          </w:p>
        </w:tc>
        <w:tc>
          <w:tcPr>
            <w:tcW w:w="12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居家养老实训室</w:t>
            </w:r>
          </w:p>
        </w:tc>
        <w:tc>
          <w:tcPr>
            <w:tcW w:w="2036"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老年人生活与基础照护实务、社区居家智慧康养管理</w:t>
            </w:r>
          </w:p>
        </w:tc>
        <w:tc>
          <w:tcPr>
            <w:tcW w:w="3214"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居家适老化环境设计与改造（如无障碍卫生间、厨房布局）、居家照护技能训练（如床上洗头、辅助移动）</w:t>
            </w:r>
          </w:p>
        </w:tc>
        <w:tc>
          <w:tcPr>
            <w:tcW w:w="1736"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老年人居家设备，如卧室、无障碍卫生间、无障碍厨房灯等20套</w:t>
            </w:r>
          </w:p>
        </w:tc>
        <w:tc>
          <w:tcPr>
            <w:tcW w:w="10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4</w:t>
            </w:r>
          </w:p>
        </w:tc>
        <w:tc>
          <w:tcPr>
            <w:tcW w:w="12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中医养生实训室</w:t>
            </w:r>
          </w:p>
        </w:tc>
        <w:tc>
          <w:tcPr>
            <w:tcW w:w="2036"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老年健康照护、老年心理护理实务</w:t>
            </w:r>
          </w:p>
        </w:tc>
        <w:tc>
          <w:tcPr>
            <w:tcW w:w="3214"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中医理疗技术操作（如艾灸、拔罐、推拿）、中草药养生方案设计（如药膳配制）、心理疏导与情志调养（如五行音乐疗法）</w:t>
            </w:r>
          </w:p>
        </w:tc>
        <w:tc>
          <w:tcPr>
            <w:tcW w:w="1736"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中医理疗设备、中草药标本、保健设备等30套</w:t>
            </w:r>
          </w:p>
        </w:tc>
        <w:tc>
          <w:tcPr>
            <w:tcW w:w="10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75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5</w:t>
            </w:r>
          </w:p>
        </w:tc>
        <w:tc>
          <w:tcPr>
            <w:tcW w:w="12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智慧养老实验室</w:t>
            </w:r>
          </w:p>
        </w:tc>
        <w:tc>
          <w:tcPr>
            <w:tcW w:w="2036"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left"/>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养老机构智慧运营与管理、社区居家智慧康养管理</w:t>
            </w:r>
          </w:p>
        </w:tc>
        <w:tc>
          <w:tcPr>
            <w:tcW w:w="3214"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highlight w:val="none"/>
                <w:lang w:val="en-US" w:eastAsia="zh-CN" w:bidi="ar-SA"/>
              </w:rPr>
              <w:t>智慧养老系统操作（如远程健康监测平台）、数据分析与养老服务质量评估、仿真养老场景管理演练</w:t>
            </w:r>
          </w:p>
        </w:tc>
        <w:tc>
          <w:tcPr>
            <w:tcW w:w="1736" w:type="dxa"/>
            <w:shd w:val="clear" w:color="auto" w:fill="auto"/>
            <w:noWrap w:val="0"/>
            <w:vAlign w:val="top"/>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远程教学设备、录播设备等1套</w:t>
            </w:r>
          </w:p>
        </w:tc>
        <w:tc>
          <w:tcPr>
            <w:tcW w:w="1017"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320" w:lineRule="exact"/>
              <w:ind w:left="0" w:leftChars="0" w:firstLine="0" w:firstLineChars="0"/>
              <w:jc w:val="center"/>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50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具有稳定的校外实训基地2个以上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能够开展老年照护、老年评估、养老机构运营管理等实训活动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实训设施齐备，实训岗位、实训指导教师确定，实训管理及实施规章制度齐全。</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（2）学生实习基地基本要求</w:t>
      </w:r>
    </w:p>
    <w:p>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具有稳定的校外实习基地2个以上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能提供老年人身心康复保健服务、老年人能力评估员等相关实习岗位，能涵盖当前相关产业的主流技术，可接纳一定规模的学生实习</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能够配备相应数量的指导教师对学生实习进行指导和管理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有保证实习生日常工作、学习、生活的规章制度，有安全、保险保障。</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10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3075"/>
        <w:gridCol w:w="2560"/>
        <w:gridCol w:w="1232"/>
        <w:gridCol w:w="1318"/>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序号</w:t>
            </w:r>
          </w:p>
        </w:tc>
        <w:tc>
          <w:tcPr>
            <w:tcW w:w="3075"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校外实习基地名称</w:t>
            </w:r>
          </w:p>
        </w:tc>
        <w:tc>
          <w:tcPr>
            <w:tcW w:w="2560"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合作企业名称</w:t>
            </w:r>
          </w:p>
        </w:tc>
        <w:tc>
          <w:tcPr>
            <w:tcW w:w="1232"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用途</w:t>
            </w:r>
          </w:p>
        </w:tc>
        <w:tc>
          <w:tcPr>
            <w:tcW w:w="1318"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合作深度要求</w:t>
            </w:r>
          </w:p>
        </w:tc>
        <w:tc>
          <w:tcPr>
            <w:tcW w:w="1360" w:type="dxa"/>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1</w:t>
            </w:r>
          </w:p>
        </w:tc>
        <w:tc>
          <w:tcPr>
            <w:tcW w:w="3075"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广西工程职业学院智慧健康养老服务与管理专业校外实习基地</w:t>
            </w:r>
          </w:p>
        </w:tc>
        <w:tc>
          <w:tcPr>
            <w:tcW w:w="25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广西平果市亿安康养老服务中心</w:t>
            </w:r>
          </w:p>
        </w:tc>
        <w:tc>
          <w:tcPr>
            <w:tcW w:w="123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岗位实习</w:t>
            </w:r>
          </w:p>
        </w:tc>
        <w:tc>
          <w:tcPr>
            <w:tcW w:w="1318"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深度合作</w:t>
            </w:r>
          </w:p>
        </w:tc>
        <w:tc>
          <w:tcPr>
            <w:tcW w:w="13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2</w:t>
            </w:r>
          </w:p>
        </w:tc>
        <w:tc>
          <w:tcPr>
            <w:tcW w:w="3075"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广西工程职业学院智慧健康养老服务与管理专业校外实习基地</w:t>
            </w:r>
          </w:p>
        </w:tc>
        <w:tc>
          <w:tcPr>
            <w:tcW w:w="25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平果市中医医院</w:t>
            </w:r>
          </w:p>
        </w:tc>
        <w:tc>
          <w:tcPr>
            <w:tcW w:w="123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岗位实习</w:t>
            </w:r>
          </w:p>
        </w:tc>
        <w:tc>
          <w:tcPr>
            <w:tcW w:w="1318"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深度合作</w:t>
            </w:r>
          </w:p>
        </w:tc>
        <w:tc>
          <w:tcPr>
            <w:tcW w:w="13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3</w:t>
            </w:r>
          </w:p>
        </w:tc>
        <w:tc>
          <w:tcPr>
            <w:tcW w:w="3075"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广西工程职业学院智慧健康养老服务与管理专业校外实习基地</w:t>
            </w:r>
          </w:p>
        </w:tc>
        <w:tc>
          <w:tcPr>
            <w:tcW w:w="25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平果市人民医院</w:t>
            </w:r>
          </w:p>
        </w:tc>
        <w:tc>
          <w:tcPr>
            <w:tcW w:w="1232"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岗位实习</w:t>
            </w:r>
          </w:p>
        </w:tc>
        <w:tc>
          <w:tcPr>
            <w:tcW w:w="1318"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深度合作</w:t>
            </w:r>
          </w:p>
        </w:tc>
        <w:tc>
          <w:tcPr>
            <w:tcW w:w="1360" w:type="dxa"/>
            <w:shd w:val="clear" w:color="auto" w:fill="auto"/>
            <w:noWrap w:val="0"/>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60" w:lineRule="exact"/>
              <w:ind w:firstLine="0" w:firstLineChars="0"/>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30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图书文献配备能满足人才培养、专业建设、教科研等工作的需要。专业类图书文献主要包括</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智慧健康养老政策法规与行业标准等。及时配置新经济、新技术、新工艺、新材料、 新管理方式、新服务方式等相关的图书文献。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3.数字教学资源配置基本要求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建设、配备与本专业有关的音视频素材、教学课件、数字化教学案例库、虚拟仿真软件 等专业教学资源库，种类丰富、形式多样、使用便捷、动态更新、满足教学。</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2.教学评价方式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等方面质量标准建设，通过教学实施、过程监控、质量评价和持续改进，达成人才培养规格。</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4.充分利用评价分析结果有效改进专业教学，持续提高人才培养质量。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143学分。其中，必修课125学分，选修课16学分。公共必修课38学分，公共选修课8学分。专业必修课87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highlight w:val="none"/>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经鉴定思想品德符合要求，掌握本专业知识和技术技能，积极参加社会实践活动，具备职业综合素质和行动能力。</w:t>
      </w:r>
    </w:p>
    <w:p>
      <w:pPr>
        <w:rPr>
          <w:color w:val="auto"/>
        </w:rPr>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AE2467-CA69-4158-9CD7-938B0622DD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CDF1593A-98A7-4559-A798-A3528DE8BF5F}"/>
  </w:font>
  <w:font w:name="华文新魏">
    <w:panose1 w:val="02010800040101010101"/>
    <w:charset w:val="86"/>
    <w:family w:val="auto"/>
    <w:pitch w:val="default"/>
    <w:sig w:usb0="00000000" w:usb1="00000000" w:usb2="00000000" w:usb3="00000000" w:csb0="00000000" w:csb1="00000000"/>
    <w:embedRegular r:id="rId3" w:fontKey="{5C320EB6-97EB-407D-A992-3491C7AE300E}"/>
  </w:font>
  <w:font w:name="方正小标宋简体">
    <w:panose1 w:val="03000509000000000000"/>
    <w:charset w:val="86"/>
    <w:family w:val="script"/>
    <w:pitch w:val="default"/>
    <w:sig w:usb0="00000001" w:usb1="080E0000" w:usb2="00000000" w:usb3="00000000" w:csb0="00040000" w:csb1="00000000"/>
    <w:embedRegular r:id="rId4" w:fontKey="{BAD1CC1E-04B6-49BE-8AB8-8C961487BFB8}"/>
  </w:font>
  <w:font w:name="仿宋_GB2312">
    <w:panose1 w:val="02010609030101010101"/>
    <w:charset w:val="86"/>
    <w:family w:val="modern"/>
    <w:pitch w:val="default"/>
    <w:sig w:usb0="00000001" w:usb1="080E0000" w:usb2="00000000" w:usb3="00000000" w:csb0="00040000" w:csb1="00000000"/>
    <w:embedRegular r:id="rId5" w:fontKey="{F34F4C95-EC59-4239-BF9E-06AD0B4EFC08}"/>
  </w:font>
  <w:font w:name="楷体">
    <w:panose1 w:val="02010609060101010101"/>
    <w:charset w:val="86"/>
    <w:family w:val="modern"/>
    <w:pitch w:val="default"/>
    <w:sig w:usb0="800002BF" w:usb1="38CF7CFA" w:usb2="00000016" w:usb3="00000000" w:csb0="00040001" w:csb1="00000000"/>
    <w:embedRegular r:id="rId6" w:fontKey="{3FB7C18B-01D2-4933-9EA9-536A3BA9B0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1C47767"/>
    <w:rsid w:val="01E476C6"/>
    <w:rsid w:val="02661E94"/>
    <w:rsid w:val="02CD5374"/>
    <w:rsid w:val="03304250"/>
    <w:rsid w:val="03A07894"/>
    <w:rsid w:val="048C3708"/>
    <w:rsid w:val="04BC3FEE"/>
    <w:rsid w:val="051223C4"/>
    <w:rsid w:val="062E0F1B"/>
    <w:rsid w:val="06471FDD"/>
    <w:rsid w:val="06C90C44"/>
    <w:rsid w:val="06E10D3D"/>
    <w:rsid w:val="070954E4"/>
    <w:rsid w:val="07322345"/>
    <w:rsid w:val="076D0BC8"/>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8054E"/>
    <w:rsid w:val="0BB93035"/>
    <w:rsid w:val="0C0A3BA0"/>
    <w:rsid w:val="0C777183"/>
    <w:rsid w:val="0CE642FD"/>
    <w:rsid w:val="0D3000CB"/>
    <w:rsid w:val="0DE924A0"/>
    <w:rsid w:val="0E2350DD"/>
    <w:rsid w:val="0E5E6115"/>
    <w:rsid w:val="0ED4462A"/>
    <w:rsid w:val="0F386966"/>
    <w:rsid w:val="0FA47B58"/>
    <w:rsid w:val="0FA67D74"/>
    <w:rsid w:val="0FD20B69"/>
    <w:rsid w:val="0FE4089C"/>
    <w:rsid w:val="10093E5F"/>
    <w:rsid w:val="10152804"/>
    <w:rsid w:val="10234F21"/>
    <w:rsid w:val="10914580"/>
    <w:rsid w:val="10EE36A0"/>
    <w:rsid w:val="116752E1"/>
    <w:rsid w:val="12485112"/>
    <w:rsid w:val="127F665A"/>
    <w:rsid w:val="12DC3AAD"/>
    <w:rsid w:val="12F708E7"/>
    <w:rsid w:val="13203999"/>
    <w:rsid w:val="135C5E82"/>
    <w:rsid w:val="139B5716"/>
    <w:rsid w:val="13C77F07"/>
    <w:rsid w:val="13E218DC"/>
    <w:rsid w:val="13F454F6"/>
    <w:rsid w:val="14A800EA"/>
    <w:rsid w:val="15001CD4"/>
    <w:rsid w:val="150317C5"/>
    <w:rsid w:val="15202377"/>
    <w:rsid w:val="15542020"/>
    <w:rsid w:val="15C46232"/>
    <w:rsid w:val="165F0C7D"/>
    <w:rsid w:val="1699418F"/>
    <w:rsid w:val="16995FBA"/>
    <w:rsid w:val="16A42B33"/>
    <w:rsid w:val="16DC051F"/>
    <w:rsid w:val="170B4961"/>
    <w:rsid w:val="1716615F"/>
    <w:rsid w:val="1740285C"/>
    <w:rsid w:val="1749510D"/>
    <w:rsid w:val="1796247C"/>
    <w:rsid w:val="18CB084B"/>
    <w:rsid w:val="19481E9C"/>
    <w:rsid w:val="19AF3CC9"/>
    <w:rsid w:val="1A262FB5"/>
    <w:rsid w:val="1A8A1C9A"/>
    <w:rsid w:val="1AE45BF4"/>
    <w:rsid w:val="1AF34667"/>
    <w:rsid w:val="1B58259A"/>
    <w:rsid w:val="1BAE7956"/>
    <w:rsid w:val="1BCC19A4"/>
    <w:rsid w:val="1BF93A5C"/>
    <w:rsid w:val="1C27223D"/>
    <w:rsid w:val="1C6F14EE"/>
    <w:rsid w:val="1CA62DC5"/>
    <w:rsid w:val="1CB25FAA"/>
    <w:rsid w:val="1D0377EB"/>
    <w:rsid w:val="1D24677C"/>
    <w:rsid w:val="1DD51824"/>
    <w:rsid w:val="1E4B3DFE"/>
    <w:rsid w:val="1E91399D"/>
    <w:rsid w:val="1EA77665"/>
    <w:rsid w:val="1ECC6B87"/>
    <w:rsid w:val="1F3A7811"/>
    <w:rsid w:val="1F5350F7"/>
    <w:rsid w:val="1FB17C46"/>
    <w:rsid w:val="1FB21E1D"/>
    <w:rsid w:val="1FBC2C9C"/>
    <w:rsid w:val="207417C9"/>
    <w:rsid w:val="20AA343C"/>
    <w:rsid w:val="20AD7038"/>
    <w:rsid w:val="20BE4D41"/>
    <w:rsid w:val="20E56222"/>
    <w:rsid w:val="210E0F0E"/>
    <w:rsid w:val="211F1419"/>
    <w:rsid w:val="2170143C"/>
    <w:rsid w:val="21EB3D26"/>
    <w:rsid w:val="22123047"/>
    <w:rsid w:val="223461B5"/>
    <w:rsid w:val="22967FAA"/>
    <w:rsid w:val="22A00653"/>
    <w:rsid w:val="2338088B"/>
    <w:rsid w:val="236773C3"/>
    <w:rsid w:val="237D0994"/>
    <w:rsid w:val="23954DD6"/>
    <w:rsid w:val="23D42CAA"/>
    <w:rsid w:val="249D12EE"/>
    <w:rsid w:val="24E76143"/>
    <w:rsid w:val="24F353B2"/>
    <w:rsid w:val="267A11BB"/>
    <w:rsid w:val="27075144"/>
    <w:rsid w:val="27441EF5"/>
    <w:rsid w:val="27AE3812"/>
    <w:rsid w:val="27D870BC"/>
    <w:rsid w:val="27F5401D"/>
    <w:rsid w:val="28557849"/>
    <w:rsid w:val="285A12A4"/>
    <w:rsid w:val="289A5B44"/>
    <w:rsid w:val="28BD30CD"/>
    <w:rsid w:val="296E1A2F"/>
    <w:rsid w:val="29B449E4"/>
    <w:rsid w:val="29C72B81"/>
    <w:rsid w:val="29F55728"/>
    <w:rsid w:val="2B0F281A"/>
    <w:rsid w:val="2B8D373E"/>
    <w:rsid w:val="2BF11F1F"/>
    <w:rsid w:val="2C802418"/>
    <w:rsid w:val="2CB341C7"/>
    <w:rsid w:val="2CC66F08"/>
    <w:rsid w:val="2CEB2E12"/>
    <w:rsid w:val="2D14723B"/>
    <w:rsid w:val="2D5704A8"/>
    <w:rsid w:val="2D8165B1"/>
    <w:rsid w:val="2D964B2C"/>
    <w:rsid w:val="2DAC4350"/>
    <w:rsid w:val="2DE47F8D"/>
    <w:rsid w:val="2F083808"/>
    <w:rsid w:val="2F34284F"/>
    <w:rsid w:val="2F436F36"/>
    <w:rsid w:val="2F7A2E0A"/>
    <w:rsid w:val="2F8D1F5F"/>
    <w:rsid w:val="2FA96B3D"/>
    <w:rsid w:val="2FD933F6"/>
    <w:rsid w:val="30A6152A"/>
    <w:rsid w:val="30A77050"/>
    <w:rsid w:val="30DC27D6"/>
    <w:rsid w:val="310154B1"/>
    <w:rsid w:val="3115220C"/>
    <w:rsid w:val="31342FDA"/>
    <w:rsid w:val="318A49A8"/>
    <w:rsid w:val="31A83FF1"/>
    <w:rsid w:val="31AA329C"/>
    <w:rsid w:val="31D2634F"/>
    <w:rsid w:val="321D581C"/>
    <w:rsid w:val="32F32A21"/>
    <w:rsid w:val="32F92E4C"/>
    <w:rsid w:val="32FA3DAF"/>
    <w:rsid w:val="33260700"/>
    <w:rsid w:val="33266952"/>
    <w:rsid w:val="33AE06F6"/>
    <w:rsid w:val="33B93C14"/>
    <w:rsid w:val="348B3F97"/>
    <w:rsid w:val="34B65AB4"/>
    <w:rsid w:val="34C46423"/>
    <w:rsid w:val="34EA50C0"/>
    <w:rsid w:val="357449D1"/>
    <w:rsid w:val="35E93C67"/>
    <w:rsid w:val="364315C9"/>
    <w:rsid w:val="36657792"/>
    <w:rsid w:val="370E7E29"/>
    <w:rsid w:val="375A727B"/>
    <w:rsid w:val="376B0DD8"/>
    <w:rsid w:val="3770165B"/>
    <w:rsid w:val="37960DB8"/>
    <w:rsid w:val="37AD2573"/>
    <w:rsid w:val="381153F4"/>
    <w:rsid w:val="381818CE"/>
    <w:rsid w:val="38481119"/>
    <w:rsid w:val="38740C75"/>
    <w:rsid w:val="38877EE4"/>
    <w:rsid w:val="38C22C79"/>
    <w:rsid w:val="39372651"/>
    <w:rsid w:val="39A700C1"/>
    <w:rsid w:val="3A451367"/>
    <w:rsid w:val="3A60099C"/>
    <w:rsid w:val="3A7A7584"/>
    <w:rsid w:val="3AEA4709"/>
    <w:rsid w:val="3B4007CD"/>
    <w:rsid w:val="3C17152E"/>
    <w:rsid w:val="3D0047E4"/>
    <w:rsid w:val="3D766728"/>
    <w:rsid w:val="3D9F7A2D"/>
    <w:rsid w:val="3E4D7489"/>
    <w:rsid w:val="3E725142"/>
    <w:rsid w:val="3EB92D70"/>
    <w:rsid w:val="3F6A4DBB"/>
    <w:rsid w:val="3F785DC7"/>
    <w:rsid w:val="3FF86C17"/>
    <w:rsid w:val="3FFC1167"/>
    <w:rsid w:val="40077B0C"/>
    <w:rsid w:val="404B5C4A"/>
    <w:rsid w:val="40664832"/>
    <w:rsid w:val="4084115C"/>
    <w:rsid w:val="4099592E"/>
    <w:rsid w:val="40B53BBC"/>
    <w:rsid w:val="40B557B9"/>
    <w:rsid w:val="40C8470D"/>
    <w:rsid w:val="413032A4"/>
    <w:rsid w:val="413D6362"/>
    <w:rsid w:val="41415F7E"/>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602706C"/>
    <w:rsid w:val="46506D61"/>
    <w:rsid w:val="46733805"/>
    <w:rsid w:val="46B856BC"/>
    <w:rsid w:val="46EE10DD"/>
    <w:rsid w:val="46F661E4"/>
    <w:rsid w:val="47103740"/>
    <w:rsid w:val="471C3E9C"/>
    <w:rsid w:val="4803505C"/>
    <w:rsid w:val="480A0199"/>
    <w:rsid w:val="48A57EC2"/>
    <w:rsid w:val="48AE4FC8"/>
    <w:rsid w:val="48BA396D"/>
    <w:rsid w:val="48BD16AF"/>
    <w:rsid w:val="48DF1625"/>
    <w:rsid w:val="48E56510"/>
    <w:rsid w:val="49395702"/>
    <w:rsid w:val="49843F7B"/>
    <w:rsid w:val="49A63EF1"/>
    <w:rsid w:val="4A197E20"/>
    <w:rsid w:val="4A3C6604"/>
    <w:rsid w:val="4AA20B5D"/>
    <w:rsid w:val="4AC138F7"/>
    <w:rsid w:val="4AD8632C"/>
    <w:rsid w:val="4AF15640"/>
    <w:rsid w:val="4AFA62A3"/>
    <w:rsid w:val="4B726781"/>
    <w:rsid w:val="4C0272E2"/>
    <w:rsid w:val="4C0C0983"/>
    <w:rsid w:val="4C1149B8"/>
    <w:rsid w:val="4C675BBA"/>
    <w:rsid w:val="4D135D42"/>
    <w:rsid w:val="4D1473C4"/>
    <w:rsid w:val="4D7E0110"/>
    <w:rsid w:val="4E514358"/>
    <w:rsid w:val="4E5C7274"/>
    <w:rsid w:val="4F585C8E"/>
    <w:rsid w:val="4F6B3C13"/>
    <w:rsid w:val="4F7D56F4"/>
    <w:rsid w:val="509C4C8B"/>
    <w:rsid w:val="5135219E"/>
    <w:rsid w:val="51C30881"/>
    <w:rsid w:val="51D535C6"/>
    <w:rsid w:val="51FE1E87"/>
    <w:rsid w:val="5216762D"/>
    <w:rsid w:val="522105B9"/>
    <w:rsid w:val="5259656B"/>
    <w:rsid w:val="533E24C2"/>
    <w:rsid w:val="535B634F"/>
    <w:rsid w:val="53807561"/>
    <w:rsid w:val="53C71634"/>
    <w:rsid w:val="542919A7"/>
    <w:rsid w:val="55D87B28"/>
    <w:rsid w:val="55D95704"/>
    <w:rsid w:val="56397652"/>
    <w:rsid w:val="565C2507"/>
    <w:rsid w:val="566118CC"/>
    <w:rsid w:val="56A23A63"/>
    <w:rsid w:val="56F95FA8"/>
    <w:rsid w:val="572D5C52"/>
    <w:rsid w:val="58337298"/>
    <w:rsid w:val="58680DC2"/>
    <w:rsid w:val="588673C8"/>
    <w:rsid w:val="58E02A3F"/>
    <w:rsid w:val="5900361E"/>
    <w:rsid w:val="592F7A5F"/>
    <w:rsid w:val="59345076"/>
    <w:rsid w:val="59575208"/>
    <w:rsid w:val="595C12A3"/>
    <w:rsid w:val="5996188C"/>
    <w:rsid w:val="59C77C98"/>
    <w:rsid w:val="59DE1485"/>
    <w:rsid w:val="5A204BF2"/>
    <w:rsid w:val="5A9F0C15"/>
    <w:rsid w:val="5AD36B10"/>
    <w:rsid w:val="5AE64A95"/>
    <w:rsid w:val="5B137EF8"/>
    <w:rsid w:val="5B1F1DFE"/>
    <w:rsid w:val="5B322D65"/>
    <w:rsid w:val="5BBC75A4"/>
    <w:rsid w:val="5BCC4E68"/>
    <w:rsid w:val="5C0E6052"/>
    <w:rsid w:val="5C38700F"/>
    <w:rsid w:val="5C4E644E"/>
    <w:rsid w:val="5C606182"/>
    <w:rsid w:val="5C7B7481"/>
    <w:rsid w:val="5C8C341B"/>
    <w:rsid w:val="5C9B365E"/>
    <w:rsid w:val="5CD1707F"/>
    <w:rsid w:val="5D01298C"/>
    <w:rsid w:val="5D206DB4"/>
    <w:rsid w:val="5D292A17"/>
    <w:rsid w:val="5D357B68"/>
    <w:rsid w:val="5E043D85"/>
    <w:rsid w:val="5E3FB7B3"/>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1F56312"/>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5C4652"/>
    <w:rsid w:val="65FE0EE5"/>
    <w:rsid w:val="66141036"/>
    <w:rsid w:val="663F14FE"/>
    <w:rsid w:val="66707909"/>
    <w:rsid w:val="66B141AA"/>
    <w:rsid w:val="67470A9D"/>
    <w:rsid w:val="6773145F"/>
    <w:rsid w:val="67B90B06"/>
    <w:rsid w:val="67FA56DC"/>
    <w:rsid w:val="681A3FD0"/>
    <w:rsid w:val="6888718C"/>
    <w:rsid w:val="68B25FB7"/>
    <w:rsid w:val="69164798"/>
    <w:rsid w:val="69D837FB"/>
    <w:rsid w:val="6A246A40"/>
    <w:rsid w:val="6A9C6F1F"/>
    <w:rsid w:val="6ABA1153"/>
    <w:rsid w:val="6AF44665"/>
    <w:rsid w:val="6B6B226E"/>
    <w:rsid w:val="6BDB75D3"/>
    <w:rsid w:val="6BF80185"/>
    <w:rsid w:val="6C2B055A"/>
    <w:rsid w:val="6C423AF6"/>
    <w:rsid w:val="6C8A72E3"/>
    <w:rsid w:val="6C923EBF"/>
    <w:rsid w:val="6D1D49F8"/>
    <w:rsid w:val="6D322882"/>
    <w:rsid w:val="6D388A09"/>
    <w:rsid w:val="6D67E9EE"/>
    <w:rsid w:val="6D8F2D6B"/>
    <w:rsid w:val="6E0C43BB"/>
    <w:rsid w:val="6EF07839"/>
    <w:rsid w:val="6F2F65B3"/>
    <w:rsid w:val="6FC4358D"/>
    <w:rsid w:val="6FF128C8"/>
    <w:rsid w:val="6FF60E7F"/>
    <w:rsid w:val="702273D7"/>
    <w:rsid w:val="709A676D"/>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5EF516D"/>
    <w:rsid w:val="76191423"/>
    <w:rsid w:val="76326989"/>
    <w:rsid w:val="76562678"/>
    <w:rsid w:val="7718792D"/>
    <w:rsid w:val="77D965A0"/>
    <w:rsid w:val="77E25FE2"/>
    <w:rsid w:val="77FC484A"/>
    <w:rsid w:val="77FF2939"/>
    <w:rsid w:val="77FF7B00"/>
    <w:rsid w:val="782C5979"/>
    <w:rsid w:val="7847671C"/>
    <w:rsid w:val="789254BD"/>
    <w:rsid w:val="79002D6F"/>
    <w:rsid w:val="791660EE"/>
    <w:rsid w:val="79751DE3"/>
    <w:rsid w:val="7A1E674C"/>
    <w:rsid w:val="7B5E45CE"/>
    <w:rsid w:val="7B821819"/>
    <w:rsid w:val="7BAC4AE8"/>
    <w:rsid w:val="7C9C690A"/>
    <w:rsid w:val="7D1172F8"/>
    <w:rsid w:val="7D7B6E68"/>
    <w:rsid w:val="7DAC0DCF"/>
    <w:rsid w:val="7E372159"/>
    <w:rsid w:val="7EAF501B"/>
    <w:rsid w:val="7F080287"/>
    <w:rsid w:val="7F1255AA"/>
    <w:rsid w:val="7F491DA9"/>
    <w:rsid w:val="7FB623D9"/>
    <w:rsid w:val="7FD7558F"/>
    <w:rsid w:val="7FE707E4"/>
    <w:rsid w:val="7FEB33E6"/>
    <w:rsid w:val="8FFD8637"/>
    <w:rsid w:val="FE5FF50A"/>
    <w:rsid w:val="FF9D0DF7"/>
    <w:rsid w:val="FFFBF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51"/>
    <w:basedOn w:val="9"/>
    <w:qFormat/>
    <w:uiPriority w:val="0"/>
    <w:rPr>
      <w:rFonts w:hint="default" w:ascii="仿宋" w:hAnsi="仿宋" w:eastAsia="仿宋" w:cs="仿宋"/>
      <w:color w:val="000000"/>
      <w:sz w:val="20"/>
      <w:szCs w:val="20"/>
      <w:u w:val="none"/>
    </w:rPr>
  </w:style>
  <w:style w:type="character" w:customStyle="1" w:styleId="14">
    <w:name w:val="font21"/>
    <w:basedOn w:val="9"/>
    <w:qFormat/>
    <w:uiPriority w:val="0"/>
    <w:rPr>
      <w:rFonts w:hint="default" w:ascii="仿宋" w:hAnsi="仿宋" w:eastAsia="仿宋" w:cs="仿宋"/>
      <w:color w:val="000000"/>
      <w:sz w:val="20"/>
      <w:szCs w:val="20"/>
      <w:u w:val="none"/>
    </w:rPr>
  </w:style>
  <w:style w:type="character" w:customStyle="1" w:styleId="15">
    <w:name w:val="font31"/>
    <w:basedOn w:val="9"/>
    <w:qFormat/>
    <w:uiPriority w:val="0"/>
    <w:rPr>
      <w:rFonts w:hint="default"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18223</Words>
  <Characters>18353</Characters>
  <Lines>1850</Lines>
  <Paragraphs>1270</Paragraphs>
  <TotalTime>12</TotalTime>
  <ScaleCrop>false</ScaleCrop>
  <LinksUpToDate>false</LinksUpToDate>
  <CharactersWithSpaces>18392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2024-09-19T08:36:00Z</dcterms:created>
  <dc:creator>Administrator.WIN-GUF7F9D61L7</dc:creator>
  <cp:lastModifiedBy>ll</cp:lastModifiedBy>
  <cp:lastPrinted>2024-09-19T10:55:00Z</cp:lastPrinted>
  <dcterms:modified xsi:type="dcterms:W3CDTF">2025-09-26T09:27:19Z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11BD954E3070ADC9C5D3A76814AAEB0B_43</vt:lpwstr>
  </property>
  <property fmtid="{D5CDD505-2E9C-101B-9397-08002B2CF9AE}" pid="4" name="KSOTemplateDocerSaveRecord">
    <vt:lpwstr>eyJoZGlkIjoiZTlkMGRkODA2ODczM2MyMjE5MDExMmZhMGNiOWRiOTgiLCJ1c2VySWQiOiIyNTQyMjExNzQifQ==</vt:lpwstr>
  </property>
</Properties>
</file>