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highlight w:val="none"/>
        </w:rPr>
      </w:pPr>
      <w:r>
        <w:rPr>
          <w:rFonts w:ascii="宋体" w:hAnsi="宋体" w:eastAsia="宋体" w:cs="宋体"/>
          <w:sz w:val="24"/>
          <w:szCs w:val="24"/>
          <w:highlight w:val="none"/>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rPr>
          <w:rFonts w:hint="eastAsia" w:ascii="华文新魏" w:hAnsi="仿宋" w:eastAsia="华文新魏"/>
          <w:b/>
          <w:color w:val="auto"/>
          <w:sz w:val="100"/>
          <w:szCs w:val="100"/>
          <w:highlight w:val="none"/>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outlineLvl w:val="0"/>
        <w:rPr>
          <w:rFonts w:hint="eastAsia" w:ascii="黑体" w:hAnsi="黑体" w:eastAsia="黑体" w:cs="黑体"/>
          <w:b w:val="0"/>
          <w:bCs/>
          <w:color w:val="auto"/>
          <w:sz w:val="72"/>
          <w:szCs w:val="72"/>
          <w:highlight w:val="none"/>
        </w:rPr>
      </w:pPr>
      <w:r>
        <w:rPr>
          <w:rFonts w:hint="eastAsia" w:ascii="黑体" w:hAnsi="黑体" w:eastAsia="黑体" w:cs="黑体"/>
          <w:b w:val="0"/>
          <w:bCs/>
          <w:color w:val="auto"/>
          <w:sz w:val="72"/>
          <w:szCs w:val="72"/>
          <w:highlight w:val="none"/>
        </w:rPr>
        <w:t>202</w:t>
      </w:r>
      <w:r>
        <w:rPr>
          <w:rFonts w:hint="eastAsia" w:ascii="黑体" w:hAnsi="黑体" w:eastAsia="黑体" w:cs="黑体"/>
          <w:b w:val="0"/>
          <w:bCs/>
          <w:color w:val="auto"/>
          <w:sz w:val="72"/>
          <w:szCs w:val="72"/>
          <w:highlight w:val="none"/>
          <w:lang w:val="en-US" w:eastAsia="zh-CN"/>
        </w:rPr>
        <w:t>5</w:t>
      </w:r>
      <w:r>
        <w:rPr>
          <w:rFonts w:hint="eastAsia" w:ascii="黑体" w:hAnsi="黑体" w:eastAsia="黑体" w:cs="黑体"/>
          <w:b w:val="0"/>
          <w:bCs/>
          <w:color w:val="auto"/>
          <w:sz w:val="72"/>
          <w:szCs w:val="72"/>
          <w:highlight w:val="none"/>
        </w:rPr>
        <w:t>级</w:t>
      </w:r>
      <w:r>
        <w:rPr>
          <w:rFonts w:hint="eastAsia" w:ascii="黑体" w:hAnsi="黑体" w:eastAsia="黑体" w:cs="黑体"/>
          <w:b w:val="0"/>
          <w:bCs/>
          <w:color w:val="auto"/>
          <w:sz w:val="72"/>
          <w:szCs w:val="72"/>
          <w:highlight w:val="none"/>
          <w:lang w:val="en-US" w:eastAsia="zh-CN"/>
        </w:rPr>
        <w:t>大数据与财务管理</w:t>
      </w:r>
      <w:r>
        <w:rPr>
          <w:rFonts w:hint="eastAsia" w:ascii="黑体" w:hAnsi="黑体" w:eastAsia="黑体" w:cs="黑体"/>
          <w:b w:val="0"/>
          <w:bCs/>
          <w:color w:val="auto"/>
          <w:sz w:val="72"/>
          <w:szCs w:val="72"/>
          <w:highlight w:val="none"/>
        </w:rPr>
        <w:t>专业人才培养方案</w:t>
      </w:r>
    </w:p>
    <w:p>
      <w:pPr>
        <w:widowControl/>
        <w:overflowPunct w:val="0"/>
        <w:adjustRightInd w:val="0"/>
        <w:snapToGrid w:val="0"/>
        <w:jc w:val="center"/>
        <w:rPr>
          <w:rFonts w:hint="eastAsia" w:ascii="黑体" w:hAnsi="黑体" w:eastAsia="黑体" w:cs="黑体"/>
          <w:b/>
          <w:bCs/>
          <w:color w:val="auto"/>
          <w:kern w:val="0"/>
          <w:sz w:val="52"/>
          <w:szCs w:val="52"/>
          <w:highlight w:val="none"/>
          <w:lang w:val="en-US" w:eastAsia="zh-CN"/>
        </w:rPr>
      </w:pPr>
    </w:p>
    <w:p>
      <w:pPr>
        <w:widowControl/>
        <w:overflowPunct w:val="0"/>
        <w:adjustRightInd w:val="0"/>
        <w:snapToGrid w:val="0"/>
        <w:jc w:val="center"/>
        <w:outlineLvl w:val="0"/>
        <w:rPr>
          <w:rFonts w:hint="default" w:ascii="黑体" w:hAnsi="黑体" w:eastAsia="黑体" w:cs="黑体"/>
          <w:b/>
          <w:bCs/>
          <w:color w:val="auto"/>
          <w:kern w:val="0"/>
          <w:sz w:val="52"/>
          <w:szCs w:val="52"/>
          <w:highlight w:val="none"/>
          <w:lang w:val="en-US" w:eastAsia="zh-CN"/>
        </w:rPr>
      </w:pPr>
      <w:r>
        <w:rPr>
          <w:rFonts w:hint="eastAsia" w:ascii="黑体" w:hAnsi="黑体" w:eastAsia="黑体" w:cs="黑体"/>
          <w:b/>
          <w:bCs/>
          <w:color w:val="auto"/>
          <w:kern w:val="0"/>
          <w:sz w:val="52"/>
          <w:szCs w:val="52"/>
          <w:highlight w:val="none"/>
          <w:lang w:val="en-US" w:eastAsia="zh-CN"/>
        </w:rPr>
        <w:t>经济管理学院</w:t>
      </w:r>
    </w:p>
    <w:p>
      <w:pPr>
        <w:widowControl/>
        <w:overflowPunct w:val="0"/>
        <w:adjustRightInd w:val="0"/>
        <w:snapToGrid w:val="0"/>
        <w:jc w:val="center"/>
        <w:rPr>
          <w:rFonts w:hint="eastAsia" w:ascii="黑体" w:hAnsi="黑体" w:eastAsia="黑体" w:cs="黑体"/>
          <w:b/>
          <w:bCs/>
          <w:color w:val="auto"/>
          <w:kern w:val="0"/>
          <w:sz w:val="52"/>
          <w:szCs w:val="52"/>
          <w:highlight w:val="none"/>
        </w:rPr>
      </w:pPr>
    </w:p>
    <w:p>
      <w:pPr>
        <w:widowControl/>
        <w:overflowPunct w:val="0"/>
        <w:adjustRightInd w:val="0"/>
        <w:snapToGrid w:val="0"/>
        <w:jc w:val="both"/>
        <w:rPr>
          <w:rFonts w:hint="eastAsia" w:ascii="黑体" w:hAnsi="黑体" w:eastAsia="黑体" w:cs="黑体"/>
          <w:b/>
          <w:bCs/>
          <w:color w:val="auto"/>
          <w:kern w:val="0"/>
          <w:sz w:val="52"/>
          <w:szCs w:val="52"/>
          <w:highlight w:val="none"/>
        </w:rPr>
      </w:pPr>
    </w:p>
    <w:p>
      <w:pPr>
        <w:widowControl/>
        <w:overflowPunct w:val="0"/>
        <w:adjustRightInd w:val="0"/>
        <w:snapToGrid w:val="0"/>
        <w:jc w:val="center"/>
        <w:outlineLvl w:val="0"/>
        <w:rPr>
          <w:rFonts w:hint="default" w:ascii="黑体" w:hAnsi="黑体" w:eastAsia="黑体" w:cs="黑体"/>
          <w:b/>
          <w:bCs/>
          <w:color w:val="auto"/>
          <w:kern w:val="0"/>
          <w:sz w:val="52"/>
          <w:szCs w:val="52"/>
          <w:highlight w:val="none"/>
          <w:lang w:val="en-US" w:eastAsia="zh-CN"/>
        </w:rPr>
      </w:pPr>
      <w:r>
        <w:rPr>
          <w:rFonts w:hint="eastAsia" w:ascii="黑体" w:hAnsi="黑体" w:eastAsia="黑体" w:cs="黑体"/>
          <w:b/>
          <w:bCs/>
          <w:color w:val="auto"/>
          <w:kern w:val="0"/>
          <w:sz w:val="52"/>
          <w:szCs w:val="52"/>
          <w:highlight w:val="none"/>
          <w:lang w:val="en-US" w:eastAsia="zh-CN"/>
        </w:rPr>
        <w:t>2025年4月</w:t>
      </w:r>
    </w:p>
    <w:p>
      <w:pPr>
        <w:widowControl/>
        <w:overflowPunct w:val="0"/>
        <w:adjustRightInd w:val="0"/>
        <w:snapToGrid w:val="0"/>
        <w:jc w:val="center"/>
        <w:rPr>
          <w:rFonts w:hint="eastAsia" w:ascii="黑体" w:hAnsi="黑体" w:eastAsia="黑体" w:cs="黑体"/>
          <w:b/>
          <w:bCs/>
          <w:color w:val="auto"/>
          <w:kern w:val="0"/>
          <w:sz w:val="52"/>
          <w:szCs w:val="52"/>
          <w:highlight w:val="none"/>
        </w:rPr>
        <w:sectPr>
          <w:headerReference r:id="rId3" w:type="default"/>
          <w:pgSz w:w="11906" w:h="16838"/>
          <w:pgMar w:top="1417" w:right="1417" w:bottom="1417" w:left="1984" w:header="851" w:footer="992" w:gutter="0"/>
          <w:pgNumType w:start="1"/>
          <w:cols w:space="425" w:num="1"/>
          <w:docGrid w:type="lines" w:linePitch="312" w:charSpace="0"/>
        </w:sectPr>
      </w:pPr>
    </w:p>
    <w:p>
      <w:pPr>
        <w:widowControl/>
        <w:overflowPunct w:val="0"/>
        <w:adjustRightInd w:val="0"/>
        <w:snapToGrid w:val="0"/>
        <w:jc w:val="center"/>
        <w:rPr>
          <w:rFonts w:hint="eastAsia" w:ascii="黑体" w:hAnsi="黑体" w:eastAsia="黑体" w:cs="黑体"/>
          <w:b/>
          <w:bCs/>
          <w:color w:val="auto"/>
          <w:kern w:val="0"/>
          <w:sz w:val="52"/>
          <w:szCs w:val="52"/>
          <w:highlight w:val="none"/>
        </w:rPr>
      </w:pPr>
    </w:p>
    <w:p>
      <w:pPr>
        <w:widowControl/>
        <w:overflowPunct w:val="0"/>
        <w:adjustRightInd w:val="0"/>
        <w:snapToGrid w:val="0"/>
        <w:jc w:val="center"/>
        <w:rPr>
          <w:rFonts w:hint="eastAsia" w:ascii="黑体" w:hAnsi="黑体" w:eastAsia="黑体" w:cs="黑体"/>
          <w:b/>
          <w:bCs/>
          <w:color w:val="auto"/>
          <w:kern w:val="0"/>
          <w:sz w:val="52"/>
          <w:szCs w:val="52"/>
          <w:highlight w:val="none"/>
        </w:rPr>
        <w:sectPr>
          <w:pgSz w:w="11906" w:h="16838"/>
          <w:pgMar w:top="1417" w:right="1417" w:bottom="1417" w:left="1984"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outlineLvl w:val="0"/>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lang w:val="en-US" w:eastAsia="zh-CN"/>
        </w:rPr>
        <w:t>大数据与财务管理</w:t>
      </w:r>
      <w:r>
        <w:rPr>
          <w:rFonts w:hint="eastAsia" w:ascii="方正小标宋简体" w:hAnsi="方正小标宋简体" w:eastAsia="方正小标宋简体" w:cs="方正小标宋简体"/>
          <w:bCs/>
          <w:color w:val="auto"/>
          <w:sz w:val="44"/>
          <w:szCs w:val="44"/>
          <w:highlight w:val="none"/>
        </w:rPr>
        <w:t>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一、专业名称及代码</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专业名称：</w:t>
      </w:r>
      <w:r>
        <w:rPr>
          <w:rFonts w:hint="eastAsia" w:ascii="仿宋_GB2312" w:hAnsi="仿宋_GB2312" w:eastAsia="仿宋_GB2312" w:cs="仿宋_GB2312"/>
          <w:sz w:val="32"/>
          <w:szCs w:val="32"/>
          <w:highlight w:val="none"/>
        </w:rPr>
        <w:t>大数据与财务管理</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专业代码：</w:t>
      </w:r>
      <w:r>
        <w:rPr>
          <w:rFonts w:hint="eastAsia" w:ascii="仿宋_GB2312" w:hAnsi="仿宋_GB2312" w:eastAsia="仿宋_GB2312" w:cs="仿宋_GB2312"/>
          <w:sz w:val="32"/>
          <w:szCs w:val="32"/>
          <w:highlight w:val="none"/>
        </w:rPr>
        <w:t>530301</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中等职业学校毕业、普通高级中学毕业或具备同等学力</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标准修业年限为3年，弹性学分有效修业年限为2-5年。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职业岗位分析表</w:t>
      </w:r>
    </w:p>
    <w:tbl>
      <w:tblPr>
        <w:tblStyle w:val="8"/>
        <w:tblW w:w="10117"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9"/>
        <w:gridCol w:w="1438"/>
        <w:gridCol w:w="1274"/>
        <w:gridCol w:w="1919"/>
        <w:gridCol w:w="2231"/>
        <w:gridCol w:w="1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34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所属专业大类</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43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27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对应行业（代码）</w:t>
            </w:r>
          </w:p>
        </w:tc>
        <w:tc>
          <w:tcPr>
            <w:tcW w:w="191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主要职业类别（代码）</w:t>
            </w:r>
          </w:p>
        </w:tc>
        <w:tc>
          <w:tcPr>
            <w:tcW w:w="223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主要岗位（群）或技术领域</w:t>
            </w:r>
          </w:p>
        </w:tc>
        <w:tc>
          <w:tcPr>
            <w:tcW w:w="190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7" w:hRule="atLeast"/>
        </w:trPr>
        <w:tc>
          <w:tcPr>
            <w:tcW w:w="134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bookmarkStart w:id="0" w:name="OLE_LINK1" w:colFirst="0" w:colLast="5"/>
            <w:r>
              <w:rPr>
                <w:rFonts w:hint="eastAsia" w:ascii="仿宋" w:hAnsi="仿宋" w:eastAsia="仿宋" w:cs="仿宋"/>
                <w:sz w:val="24"/>
                <w:highlight w:val="none"/>
              </w:rPr>
              <w:t>财经商贸大类（53）</w:t>
            </w:r>
          </w:p>
        </w:tc>
        <w:tc>
          <w:tcPr>
            <w:tcW w:w="143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 w:hAnsi="仿宋" w:eastAsia="仿宋" w:cs="仿宋"/>
                <w:sz w:val="24"/>
                <w:highlight w:val="none"/>
              </w:rPr>
              <w:t>财务会计类（03）</w:t>
            </w:r>
          </w:p>
        </w:tc>
        <w:tc>
          <w:tcPr>
            <w:tcW w:w="1274"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 w:hAnsi="仿宋" w:eastAsia="仿宋" w:cs="仿宋"/>
                <w:sz w:val="24"/>
                <w:highlight w:val="none"/>
              </w:rPr>
              <w:t>会计、审计及税务服务（7241）</w:t>
            </w:r>
          </w:p>
        </w:tc>
        <w:tc>
          <w:tcPr>
            <w:tcW w:w="1919" w:type="dxa"/>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会计专业人员（2-06-03）、</w:t>
            </w:r>
          </w:p>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审计专业人员（2-06-04）、</w:t>
            </w:r>
          </w:p>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highlight w:val="none"/>
              </w:rPr>
            </w:pPr>
            <w:r>
              <w:rPr>
                <w:rFonts w:hint="eastAsia" w:ascii="仿宋" w:hAnsi="仿宋" w:eastAsia="仿宋" w:cs="仿宋"/>
                <w:sz w:val="24"/>
                <w:highlight w:val="none"/>
              </w:rPr>
              <w:t>税务专业人员（2-06-05）</w:t>
            </w:r>
          </w:p>
        </w:tc>
        <w:tc>
          <w:tcPr>
            <w:tcW w:w="223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highlight w:val="none"/>
              </w:rPr>
            </w:pPr>
            <w:r>
              <w:rPr>
                <w:rFonts w:hint="eastAsia" w:ascii="仿宋" w:hAnsi="仿宋" w:eastAsia="仿宋" w:cs="仿宋"/>
                <w:sz w:val="24"/>
                <w:highlight w:val="none"/>
                <w:lang w:eastAsia="zh-CN"/>
              </w:rPr>
              <w:t>财务大数据分析、预算管理、投融资管理、成本管理、税务管理、风险管理、财务机器人应用</w:t>
            </w:r>
          </w:p>
        </w:tc>
        <w:tc>
          <w:tcPr>
            <w:tcW w:w="1906"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highlight w:val="none"/>
              </w:rPr>
            </w:pPr>
            <w:r>
              <w:rPr>
                <w:rFonts w:hint="eastAsia" w:ascii="仿宋" w:hAnsi="仿宋" w:eastAsia="仿宋" w:cs="仿宋"/>
                <w:sz w:val="24"/>
                <w:highlight w:val="none"/>
                <w:lang w:eastAsia="zh-CN"/>
              </w:rPr>
              <w:t>会计专业技术资格、大数据财务分析、智能财税、企业财务与会计机器人应用</w:t>
            </w:r>
          </w:p>
        </w:tc>
      </w:tr>
      <w:bookmarkEnd w:id="0"/>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五、培养目标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sz w:val="32"/>
          <w:szCs w:val="32"/>
          <w:highlight w:val="none"/>
        </w:rPr>
      </w:pPr>
      <w:r>
        <w:rPr>
          <w:rFonts w:hint="eastAsia" w:ascii="楷体" w:hAnsi="楷体" w:eastAsia="楷体" w:cs="楷体"/>
          <w:sz w:val="32"/>
          <w:szCs w:val="32"/>
          <w:highlight w:val="none"/>
        </w:rPr>
        <w:t>（一）培养目标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本专业面向企事业单位、会计与税务中介服务机构、政府机关</w:t>
      </w:r>
      <w:r>
        <w:rPr>
          <w:rFonts w:hint="eastAsia" w:ascii="仿宋_GB2312" w:hAnsi="仿宋_GB2312" w:eastAsia="仿宋_GB2312" w:cs="仿宋_GB2312"/>
          <w:color w:val="auto"/>
          <w:sz w:val="32"/>
          <w:szCs w:val="32"/>
          <w:highlight w:val="none"/>
          <w:lang w:val="en-US" w:eastAsia="zh-CN"/>
        </w:rPr>
        <w:t>及相关部门，面向区域经济发展，服务广西经济发展。培养</w:t>
      </w:r>
      <w:r>
        <w:rPr>
          <w:rFonts w:hint="eastAsia" w:ascii="仿宋_GB2312" w:hAnsi="仿宋_GB2312" w:eastAsia="仿宋_GB2312" w:cs="仿宋_GB2312"/>
          <w:color w:val="auto"/>
          <w:sz w:val="32"/>
          <w:szCs w:val="32"/>
          <w:highlight w:val="none"/>
          <w:lang w:eastAsia="zh-CN"/>
        </w:rPr>
        <w:t>能够践行社会主义核心价值观，德智体美劳</w:t>
      </w:r>
      <w:r>
        <w:rPr>
          <w:rFonts w:hint="eastAsia" w:ascii="仿宋_GB2312" w:hAnsi="仿宋_GB2312" w:eastAsia="仿宋_GB2312" w:cs="仿宋_GB2312"/>
          <w:color w:val="auto"/>
          <w:sz w:val="32"/>
          <w:szCs w:val="32"/>
          <w:highlight w:val="none"/>
          <w:lang w:val="en-US" w:eastAsia="zh-CN"/>
        </w:rPr>
        <w:t>等方面</w:t>
      </w:r>
      <w:r>
        <w:rPr>
          <w:rFonts w:hint="eastAsia" w:ascii="仿宋_GB2312" w:hAnsi="仿宋_GB2312" w:eastAsia="仿宋_GB2312" w:cs="仿宋_GB2312"/>
          <w:color w:val="auto"/>
          <w:sz w:val="32"/>
          <w:szCs w:val="32"/>
          <w:highlight w:val="none"/>
          <w:lang w:eastAsia="zh-CN"/>
        </w:rPr>
        <w:t>全面发展，</w:t>
      </w:r>
      <w:r>
        <w:rPr>
          <w:rFonts w:hint="eastAsia" w:ascii="仿宋_GB2312" w:hAnsi="仿宋_GB2312" w:eastAsia="仿宋_GB2312" w:cs="仿宋_GB2312"/>
          <w:color w:val="auto"/>
          <w:sz w:val="32"/>
          <w:szCs w:val="32"/>
          <w:highlight w:val="none"/>
          <w:lang w:val="en-US" w:eastAsia="zh-CN"/>
        </w:rPr>
        <w:t>适应广西经济建设和发展需求，面向生产、建设、服务和管理第一线岗位需要的具有</w:t>
      </w:r>
      <w:r>
        <w:rPr>
          <w:rFonts w:hint="eastAsia" w:ascii="仿宋_GB2312" w:hAnsi="仿宋_GB2312" w:eastAsia="仿宋_GB2312" w:cs="仿宋_GB2312"/>
          <w:color w:val="auto"/>
          <w:sz w:val="32"/>
          <w:szCs w:val="32"/>
          <w:highlight w:val="none"/>
          <w:lang w:eastAsia="zh-CN"/>
        </w:rPr>
        <w:t>良好的人文素养、科学素养、职业道德、创新意识，爱岗敬业的职业精神和精益求精的工匠精神，较强的就业创业能力和可持续发展能力</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lang w:eastAsia="zh-CN"/>
        </w:rPr>
        <w:t>高技能人才。</w:t>
      </w:r>
      <w:r>
        <w:rPr>
          <w:rFonts w:hint="eastAsia" w:ascii="仿宋_GB2312" w:hAnsi="仿宋_GB2312" w:eastAsia="仿宋_GB2312" w:cs="仿宋_GB2312"/>
          <w:color w:val="auto"/>
          <w:sz w:val="32"/>
          <w:szCs w:val="32"/>
          <w:highlight w:val="none"/>
          <w:lang w:val="en-US" w:eastAsia="zh-CN"/>
        </w:rPr>
        <w:t>通过三年的学习，学生能够</w:t>
      </w:r>
      <w:r>
        <w:rPr>
          <w:rFonts w:hint="eastAsia" w:ascii="仿宋_GB2312" w:hAnsi="仿宋_GB2312" w:eastAsia="仿宋_GB2312" w:cs="仿宋_GB2312"/>
          <w:color w:val="auto"/>
          <w:sz w:val="32"/>
          <w:szCs w:val="32"/>
          <w:highlight w:val="none"/>
          <w:lang w:eastAsia="zh-CN"/>
        </w:rPr>
        <w:t>具备职业综合素质和行动能力，</w:t>
      </w:r>
      <w:r>
        <w:rPr>
          <w:rFonts w:hint="eastAsia" w:ascii="仿宋_GB2312" w:hAnsi="仿宋_GB2312" w:eastAsia="仿宋_GB2312" w:cs="仿宋_GB2312"/>
          <w:color w:val="auto"/>
          <w:sz w:val="32"/>
          <w:szCs w:val="32"/>
          <w:highlight w:val="none"/>
          <w:lang w:val="en-US" w:eastAsia="zh-CN"/>
        </w:rPr>
        <w:t>掌握扎实的科学文化基础和财务管理基本理论和相关经济、金融、会计、管理等基础理论、基础知识和操作技能，具备会计核算、出纳业务操作</w:t>
      </w:r>
      <w:r>
        <w:rPr>
          <w:rFonts w:hint="eastAsia" w:ascii="仿宋_GB2312" w:hAnsi="仿宋_GB2312" w:eastAsia="仿宋_GB2312" w:cs="仿宋_GB2312"/>
          <w:color w:val="auto"/>
          <w:sz w:val="32"/>
          <w:szCs w:val="32"/>
          <w:highlight w:val="none"/>
          <w:lang w:eastAsia="zh-CN"/>
        </w:rPr>
        <w:t>、成本管理、</w:t>
      </w:r>
      <w:r>
        <w:rPr>
          <w:rFonts w:hint="eastAsia" w:ascii="仿宋_GB2312" w:hAnsi="仿宋_GB2312" w:eastAsia="仿宋_GB2312" w:cs="仿宋_GB2312"/>
          <w:color w:val="auto"/>
          <w:sz w:val="32"/>
          <w:szCs w:val="32"/>
          <w:highlight w:val="none"/>
          <w:lang w:val="en-US" w:eastAsia="zh-CN"/>
        </w:rPr>
        <w:t>税费计算与申报、企业内部控制、财务大数据分析等能力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具有会计核算和财务管理操作能力，具有大数据技术应用和会计信息系统应用等实践能力。具有一定科学文化知识、</w:t>
      </w:r>
      <w:r>
        <w:rPr>
          <w:rFonts w:hint="eastAsia" w:ascii="仿宋_GB2312" w:hAnsi="仿宋_GB2312" w:eastAsia="仿宋_GB2312" w:cs="仿宋_GB2312"/>
          <w:color w:val="auto"/>
          <w:sz w:val="32"/>
          <w:szCs w:val="32"/>
          <w:highlight w:val="none"/>
          <w:lang w:eastAsia="zh-CN"/>
        </w:rPr>
        <w:t>人文素养、科学素养、职业道德、创新意识，爱岗敬业的职业精神和精益求精的工匠精神，</w:t>
      </w:r>
      <w:r>
        <w:rPr>
          <w:rFonts w:hint="eastAsia" w:ascii="仿宋_GB2312" w:hAnsi="仿宋_GB2312" w:eastAsia="仿宋_GB2312" w:cs="仿宋_GB2312"/>
          <w:color w:val="auto"/>
          <w:sz w:val="32"/>
          <w:szCs w:val="32"/>
          <w:highlight w:val="none"/>
          <w:lang w:val="en-US" w:eastAsia="zh-CN"/>
        </w:rPr>
        <w:t>能在各级政府、各类企业、事业单位、银行等金融机构从事会计核算和财务管理工作。</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、培养</w:t>
      </w:r>
      <w:r>
        <w:rPr>
          <w:rFonts w:hint="eastAsia" w:ascii="黑体" w:hAnsi="黑体" w:eastAsia="黑体" w:cs="黑体"/>
          <w:color w:val="auto"/>
          <w:sz w:val="32"/>
          <w:szCs w:val="32"/>
          <w:highlight w:val="none"/>
          <w:lang w:val="en-US" w:eastAsia="zh-CN"/>
        </w:rPr>
        <w:t>规格</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本专业</w:t>
      </w:r>
      <w:r>
        <w:rPr>
          <w:rFonts w:hint="eastAsia" w:ascii="仿宋_GB2312" w:hAnsi="仿宋_GB2312" w:eastAsia="仿宋_GB2312" w:cs="仿宋_GB2312"/>
          <w:color w:val="auto"/>
          <w:sz w:val="32"/>
          <w:szCs w:val="32"/>
          <w:highlight w:val="none"/>
          <w:lang w:val="en-US" w:eastAsia="zh-CN"/>
        </w:rPr>
        <w:t>以就业岗位所需知识、能力、素质三维度为起点，按照出纳、财务会计、税务会计、成本会计、风险管理等核心岗位，以胜任岗位工作</w:t>
      </w:r>
      <w:r>
        <w:rPr>
          <w:rFonts w:hint="eastAsia" w:ascii="仿宋_GB2312" w:hAnsi="仿宋_GB2312" w:eastAsia="仿宋_GB2312" w:cs="仿宋_GB2312"/>
          <w:color w:val="auto"/>
          <w:sz w:val="32"/>
          <w:szCs w:val="32"/>
          <w:highlight w:val="none"/>
          <w:lang w:eastAsia="zh-CN"/>
        </w:rPr>
        <w:t>需要的专业核心技术技能，</w:t>
      </w:r>
      <w:r>
        <w:rPr>
          <w:rFonts w:hint="eastAsia" w:ascii="仿宋_GB2312" w:hAnsi="仿宋_GB2312" w:eastAsia="仿宋_GB2312" w:cs="仿宋_GB2312"/>
          <w:color w:val="auto"/>
          <w:sz w:val="32"/>
          <w:szCs w:val="32"/>
          <w:highlight w:val="none"/>
          <w:lang w:val="en-US" w:eastAsia="zh-CN"/>
        </w:rPr>
        <w:t>构建基于工作需求的专业知识结构体系，</w:t>
      </w:r>
      <w:r>
        <w:rPr>
          <w:rFonts w:hint="eastAsia" w:ascii="仿宋_GB2312" w:hAnsi="仿宋_GB2312" w:eastAsia="仿宋_GB2312" w:cs="仿宋_GB2312"/>
          <w:color w:val="auto"/>
          <w:sz w:val="32"/>
          <w:szCs w:val="32"/>
          <w:highlight w:val="none"/>
          <w:lang w:eastAsia="zh-CN"/>
        </w:rPr>
        <w:t>实现德智体美劳全面发展。</w:t>
      </w:r>
      <w:r>
        <w:rPr>
          <w:rFonts w:hint="eastAsia" w:ascii="仿宋_GB2312" w:hAnsi="仿宋_GB2312" w:eastAsia="仿宋_GB2312" w:cs="仿宋_GB2312"/>
          <w:color w:val="auto"/>
          <w:sz w:val="32"/>
          <w:szCs w:val="32"/>
          <w:highlight w:val="none"/>
          <w:lang w:val="en-US" w:eastAsia="zh-CN"/>
        </w:rPr>
        <w:t>专业毕业生</w:t>
      </w:r>
      <w:r>
        <w:rPr>
          <w:rFonts w:hint="eastAsia" w:ascii="仿宋_GB2312" w:hAnsi="仿宋_GB2312" w:eastAsia="仿宋_GB2312" w:cs="仿宋_GB2312"/>
          <w:color w:val="auto"/>
          <w:sz w:val="32"/>
          <w:szCs w:val="32"/>
          <w:highlight w:val="none"/>
          <w:lang w:eastAsia="zh-CN"/>
        </w:rPr>
        <w:t>总体上须达到以下要求：</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rPr>
        <w:t>知识</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掌握支撑本专业学习和可持续发展必备的语文、数学、外语（英语等）、信息技术等文化基础知识，具有良好的人文素养与科学素养，具备职业生涯规划能力；</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具有良好的语言表达能力、文字表达能力、沟通合作能力，具有较强的集体意识和团队合作意识，学习1门外语并结合本专业加以运用；</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掌握会计基础、经济法基础、财政金融基础、统计基础、大数据技术应用基础、经济学原理等方面的专业基础理论知识；</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掌握会计核算、成本核算与智能管理等技术技能，具有独立承担日常经济业务的会计核算工作能力，能够利用财务软件进行会计账务处理；能够利用成本管理的智能工具，科学编制成本计划，高质量开展产品成本核算、成本分析及绩效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掌握投资项目决策、证券投资决策、筹资决策的方法和技能，能够为企业制订信用标准，并进行信用条件决策，能够进行存货采购量经济决策，能够科学制订企业收益分配政策</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rPr>
        <w:t>能力</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能够进行企事业单位税费和个人税费的计算与纳税申报系统的操作，能够独立进行纳税业务的处理；掌握纳税筹划的基本理念和方法，注重绿色低碳税收优惠政策在纳税筹划中的应用；</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掌握管理会计的技术技能，具有独立进行本量利分析、利润预测、产品开发决策、定价决策、全面预算管理等实践能力；</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掌握内部控制与风险管理等技术技能，科学制订企业内部控制制度和控制流程，提升资产管理能力，培养精细化管理能力、风险控制意识、业财融合技能；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掌握大数据财务分析、财务机器人应用等技术技能，具备财务大数据处理与分析能力，掌握E-mail处理、WEB应用、Excel文档自动化处理及财务票据、银</w:t>
      </w:r>
      <w:r>
        <w:rPr>
          <w:rFonts w:hint="eastAsia" w:ascii="仿宋_GB2312" w:hAnsi="仿宋_GB2312" w:eastAsia="仿宋_GB2312" w:cs="仿宋_GB2312"/>
          <w:color w:val="auto"/>
          <w:sz w:val="32"/>
          <w:szCs w:val="32"/>
          <w:highlight w:val="none"/>
          <w:lang w:val="en-US" w:eastAsia="zh-CN"/>
        </w:rPr>
        <w:t>行</w:t>
      </w:r>
      <w:r>
        <w:rPr>
          <w:rFonts w:hint="eastAsia" w:ascii="仿宋_GB2312" w:hAnsi="仿宋_GB2312" w:eastAsia="仿宋_GB2312" w:cs="仿宋_GB2312"/>
          <w:color w:val="auto"/>
          <w:sz w:val="32"/>
          <w:szCs w:val="32"/>
          <w:highlight w:val="none"/>
        </w:rPr>
        <w:t>企业</w:t>
      </w:r>
      <w:r>
        <w:rPr>
          <w:rFonts w:hint="eastAsia" w:ascii="仿宋_GB2312" w:hAnsi="仿宋_GB2312" w:eastAsia="仿宋_GB2312" w:cs="仿宋_GB2312"/>
          <w:color w:val="auto"/>
          <w:sz w:val="32"/>
          <w:szCs w:val="32"/>
          <w:highlight w:val="none"/>
          <w:lang w:val="en-US" w:eastAsia="zh-CN"/>
        </w:rPr>
        <w:t>业</w:t>
      </w:r>
      <w:r>
        <w:rPr>
          <w:rFonts w:hint="eastAsia" w:ascii="仿宋_GB2312" w:hAnsi="仿宋_GB2312" w:eastAsia="仿宋_GB2312" w:cs="仿宋_GB2312"/>
          <w:color w:val="auto"/>
          <w:sz w:val="32"/>
          <w:szCs w:val="32"/>
          <w:highlight w:val="none"/>
        </w:rPr>
        <w:t>务功能的自动化处理、识别或实现，能够进行财务机器人应用流程调试，掌握业务系统交互应用等技能；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掌握信息技术基础知识，具有适应本领域数字化和智能化发展需求的数字技能；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具有探究学习、终身学习和可持续发展的能力，具有整合知识和综合运用知识分析问题和解决问题的能力</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rPr>
        <w:t>素质</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坚定拥护中国共产党领导和我国社会主义制度，在习近平新时代中国特色社会主义思想指引下，践行社会主义核心价值观</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具有深厚的爱国情感和中华民族自豪感</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2.树立社会主义核心价值观，乐于奉献，团队意识强，与时俱进；热爱大数据与财务管理事业，事业心、责任感强，作风纯正，思想素质过硬；</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3.遵纪守法、诚实守信、乐于助人；遵守职业道德、行为规范、爱岗敬业、忠于职守；工作过程规范操作、工作踏实、思维严谨、一丝不苟、勤奋努力</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掌握身体运动的基本知识和至少1项体育运动技能，达到国家大学生体质健康测试合格标准，养成良好的运动习惯、卫生习惯和行为习惯；具备</w:t>
      </w:r>
      <w:r>
        <w:rPr>
          <w:rFonts w:hint="eastAsia" w:ascii="仿宋_GB2312" w:hAnsi="仿宋_GB2312" w:eastAsia="仿宋_GB2312" w:cs="仿宋_GB2312"/>
          <w:color w:val="auto"/>
          <w:sz w:val="32"/>
          <w:szCs w:val="32"/>
          <w:highlight w:val="none"/>
          <w:lang w:val="en-US" w:eastAsia="zh-CN"/>
        </w:rPr>
        <w:t>健全的心理，稳定向上的情感力量，坚强恒久的意志力，鲜明独特的人格。</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、课程设置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主要包括公共基础课程和专业课程。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（一）公共基础课程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pPr>
        <w:keepNext w:val="0"/>
        <w:keepLines w:val="0"/>
        <w:pageBreakBefore w:val="0"/>
        <w:widowControl/>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062"/>
        <w:gridCol w:w="2712"/>
        <w:gridCol w:w="2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highlight w:val="none"/>
              </w:rPr>
            </w:pPr>
            <w:bookmarkStart w:id="2" w:name="_Toc2022"/>
            <w:bookmarkStart w:id="3" w:name="_Toc90734979"/>
            <w:r>
              <w:rPr>
                <w:rFonts w:hint="eastAsia" w:ascii="仿宋_GB2312" w:hAnsi="仿宋_GB2312" w:eastAsia="仿宋_GB2312" w:cs="仿宋_GB2312"/>
                <w:color w:val="auto"/>
                <w:sz w:val="24"/>
                <w:szCs w:val="24"/>
                <w:highlight w:val="none"/>
              </w:rPr>
              <w:t>序号</w:t>
            </w:r>
          </w:p>
        </w:tc>
        <w:tc>
          <w:tcPr>
            <w:tcW w:w="752"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课程名称</w:t>
            </w:r>
          </w:p>
        </w:tc>
        <w:tc>
          <w:tcPr>
            <w:tcW w:w="4062"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712"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740"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06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71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74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740"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06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712"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740" w:type="dxa"/>
            <w:shd w:val="clear" w:color="auto" w:fill="auto"/>
            <w:vAlign w:val="top"/>
          </w:tcPr>
          <w:p>
            <w:pPr>
              <w:pStyle w:val="6"/>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rPr>
                <w:rStyle w:val="10"/>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4062" w:type="dxa"/>
            <w:shd w:val="clear" w:color="auto" w:fill="auto"/>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712"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74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062"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。引导学生树立家国情怀、职业道德和社会责任感，</w:t>
            </w:r>
            <w:r>
              <w:rPr>
                <w:rFonts w:hint="eastAsia" w:ascii="仿宋_GB2312" w:hAnsi="仿宋_GB2312" w:eastAsia="仿宋_GB2312" w:cs="仿宋_GB2312"/>
                <w:b w:val="0"/>
                <w:bCs w:val="0"/>
                <w:color w:val="auto"/>
                <w:spacing w:val="-6"/>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062"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712"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74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center"/>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062"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2712"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74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06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271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74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等方面。通过学习，学生将深入了解中华人民共和国在各个历史阶段的发展变化，认识到中国特色社会主义道路的历史必然性和正确性，增强对国家的热爱和对未来的信心。</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pacing w:val="-6"/>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w:t>
            </w:r>
            <w:r>
              <w:rPr>
                <w:rFonts w:hint="eastAsia" w:ascii="仿宋_GB2312" w:hAnsi="仿宋_GB2312" w:eastAsia="仿宋_GB2312" w:cs="仿宋_GB2312"/>
                <w:color w:val="auto"/>
                <w:spacing w:val="-6"/>
                <w:sz w:val="24"/>
                <w:szCs w:val="24"/>
                <w:highlight w:val="none"/>
                <w:lang w:val="en-US" w:eastAsia="zh-CN"/>
              </w:rPr>
              <w:t>，正确看待历史遗产，在总结和借鉴正反两方面社会主义历史经验的基础上，加深对中国特色社会主义理论体系的理解</w:t>
            </w:r>
            <w:r>
              <w:rPr>
                <w:rFonts w:hint="eastAsia" w:ascii="仿宋_GB2312" w:hAnsi="仿宋_GB2312" w:eastAsia="仿宋_GB2312" w:cs="仿宋_GB2312"/>
                <w:color w:val="auto"/>
                <w:spacing w:val="-6"/>
                <w:sz w:val="24"/>
                <w:szCs w:val="24"/>
                <w:highlight w:val="none"/>
                <w:lang w:val="en-US" w:eastAsia="zh-CN"/>
              </w:rPr>
              <w:t>；有助于大学生划清科学社会主义与非科学社会主义的界线</w:t>
            </w:r>
            <w:r>
              <w:rPr>
                <w:rFonts w:hint="eastAsia" w:ascii="仿宋_GB2312" w:hAnsi="仿宋_GB2312" w:eastAsia="仿宋_GB2312" w:cs="仿宋_GB2312"/>
                <w:color w:val="auto"/>
                <w:spacing w:val="-6"/>
                <w:sz w:val="24"/>
                <w:szCs w:val="24"/>
                <w:highlight w:val="none"/>
                <w:lang w:val="en-US" w:eastAsia="zh-CN"/>
              </w:rPr>
              <w:t>，提高大学生的鉴别、分析和批判能力。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06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712"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74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06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27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7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bookmarkEnd w:id="2"/>
      <w:bookmarkEnd w:id="3"/>
    </w:tbl>
    <w:p>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一般包括专业基础课程、专业核心课程和专业拓展课程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b w:val="0"/>
          <w:bCs w:val="0"/>
          <w:color w:val="auto"/>
          <w:sz w:val="32"/>
          <w:szCs w:val="32"/>
          <w:highlight w:val="none"/>
        </w:rPr>
      </w:pPr>
      <w:bookmarkStart w:id="4" w:name="_Toc90734975"/>
      <w:r>
        <w:rPr>
          <w:rFonts w:hint="eastAsia" w:ascii="仿宋_GB2312" w:hAnsi="仿宋_GB2312" w:eastAsia="仿宋_GB2312" w:cs="仿宋_GB2312"/>
          <w:b w:val="0"/>
          <w:bCs w:val="0"/>
          <w:color w:val="auto"/>
          <w:sz w:val="32"/>
          <w:szCs w:val="32"/>
          <w:highlight w:val="none"/>
        </w:rPr>
        <w:t>1.专业基础课程</w:t>
      </w:r>
      <w:bookmarkEnd w:id="4"/>
    </w:p>
    <w:p>
      <w:pPr>
        <w:keepNext w:val="0"/>
        <w:keepLines w:val="0"/>
        <w:pageBreakBefore w:val="0"/>
        <w:widowControl w:val="0"/>
        <w:kinsoku/>
        <w:wordWrap/>
        <w:overflowPunct w:val="0"/>
        <w:topLinePunct w:val="0"/>
        <w:autoSpaceDE/>
        <w:autoSpaceDN/>
        <w:bidi w:val="0"/>
        <w:adjustRightInd w:val="0"/>
        <w:snapToGrid/>
        <w:spacing w:after="0" w:line="520" w:lineRule="exact"/>
        <w:ind w:firstLine="651"/>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专业基础课是为后续专业课程学习打基础的课程。包括：会计基础、经济学基础、</w:t>
      </w:r>
      <w:bookmarkStart w:id="5" w:name="_Toc90734976"/>
      <w:r>
        <w:rPr>
          <w:rFonts w:hint="eastAsia" w:ascii="仿宋_GB2312" w:hAnsi="仿宋_GB2312" w:eastAsia="仿宋_GB2312" w:cs="仿宋_GB2312"/>
          <w:sz w:val="32"/>
          <w:szCs w:val="32"/>
          <w:highlight w:val="none"/>
        </w:rPr>
        <w:t>经济法原理、企业管理基础、财政金融基础、</w:t>
      </w:r>
      <w:bookmarkEnd w:id="5"/>
      <w:r>
        <w:rPr>
          <w:rFonts w:hint="eastAsia" w:ascii="仿宋_GB2312" w:hAnsi="仿宋_GB2312" w:eastAsia="仿宋_GB2312" w:cs="仿宋_GB2312"/>
          <w:sz w:val="32"/>
          <w:szCs w:val="32"/>
          <w:highlight w:val="none"/>
        </w:rPr>
        <w:t>大数据应用基础、统计基础</w:t>
      </w:r>
      <w:r>
        <w:rPr>
          <w:rFonts w:hint="eastAsia" w:ascii="仿宋_GB2312" w:hAnsi="仿宋_GB2312" w:eastAsia="仿宋_GB2312" w:cs="仿宋_GB2312"/>
          <w:spacing w:val="-4"/>
          <w:sz w:val="32"/>
          <w:szCs w:val="32"/>
          <w:highlight w:val="none"/>
        </w:rPr>
        <w:t>等课程。</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表3</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787"/>
        <w:gridCol w:w="4350"/>
        <w:gridCol w:w="2400"/>
        <w:gridCol w:w="2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467" w:type="dxa"/>
            <w:vAlign w:val="center"/>
          </w:tcPr>
          <w:p>
            <w:pPr>
              <w:spacing w:line="32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highlight w:val="none"/>
              </w:rPr>
              <w:t>序号</w:t>
            </w:r>
          </w:p>
        </w:tc>
        <w:tc>
          <w:tcPr>
            <w:tcW w:w="787" w:type="dxa"/>
            <w:vAlign w:val="center"/>
          </w:tcPr>
          <w:p>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rPr>
              <w:t>课程名称</w:t>
            </w:r>
          </w:p>
        </w:tc>
        <w:tc>
          <w:tcPr>
            <w:tcW w:w="4350" w:type="dxa"/>
            <w:vAlign w:val="center"/>
          </w:tcPr>
          <w:p>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目标</w:t>
            </w:r>
          </w:p>
        </w:tc>
        <w:tc>
          <w:tcPr>
            <w:tcW w:w="2400" w:type="dxa"/>
            <w:vAlign w:val="center"/>
          </w:tcPr>
          <w:p>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lang w:val="en-US" w:eastAsia="zh-CN"/>
              </w:rPr>
              <w:t>主要</w:t>
            </w:r>
            <w:r>
              <w:rPr>
                <w:rFonts w:hint="eastAsia" w:ascii="仿宋_GB2312" w:hAnsi="仿宋_GB2312" w:eastAsia="仿宋_GB2312" w:cs="仿宋_GB2312"/>
                <w:b w:val="0"/>
                <w:bCs w:val="0"/>
                <w:color w:val="auto"/>
                <w:sz w:val="24"/>
                <w:szCs w:val="24"/>
                <w:highlight w:val="none"/>
              </w:rPr>
              <w:t>教学内容</w:t>
            </w:r>
          </w:p>
        </w:tc>
        <w:tc>
          <w:tcPr>
            <w:tcW w:w="2313" w:type="dxa"/>
            <w:vAlign w:val="center"/>
          </w:tcPr>
          <w:p>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46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8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会计基础</w:t>
            </w:r>
          </w:p>
        </w:tc>
        <w:tc>
          <w:tcPr>
            <w:tcW w:w="43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掌握会计要素、借贷记账法等核心知识，理解凭证、账簿、报表的关联逻辑，明晰会计核算的基本流程与规范要求。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能独立完成会计凭证填制、账簿登记，具备初步财务报表编制能力，可运用基础会计方法处理简单经济业务。</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培养严谨细致的工作态度与数据求真意识，树立会计职业规范认知，提升处理会计事务的责任素养。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结合会计诚信案例，强化职业操守教育，引导学生树立“不做假账”理念与服务经济发展的社会责任。</w:t>
            </w:r>
          </w:p>
        </w:tc>
        <w:tc>
          <w:tcPr>
            <w:tcW w:w="24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会计科目与账户、复式记账、主要经济业务的核算、会计账户分类、会计凭证、会计账簿、财产清查、会计核算组织程序、财务会计报告、会计工作组织等。</w:t>
            </w:r>
          </w:p>
        </w:tc>
        <w:tc>
          <w:tcPr>
            <w:tcW w:w="231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多媒体结合教材系统讲解会计基础的基本概念、理论和方法，注重理论与实践相结合。选取具有代表性的经济业务案例，引导学生进行分析讨论，加深对会计理论的理解和应用。其次利用会计实训软件或手工模拟账套，进行会计凭证填制、账簿登记、报表编制等实操训练，提高学生的动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bookmarkStart w:id="6" w:name="_Hlk194587108"/>
            <w:r>
              <w:rPr>
                <w:rFonts w:hint="eastAsia" w:ascii="仿宋_GB2312" w:hAnsi="仿宋_GB2312" w:eastAsia="仿宋_GB2312" w:cs="仿宋_GB2312"/>
                <w:color w:val="auto"/>
                <w:sz w:val="24"/>
                <w:szCs w:val="24"/>
                <w:highlight w:val="none"/>
                <w:lang w:val="en-US" w:eastAsia="zh-CN"/>
              </w:rPr>
              <w:t>2</w:t>
            </w:r>
          </w:p>
        </w:tc>
        <w:tc>
          <w:tcPr>
            <w:tcW w:w="78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经济学原理</w:t>
            </w:r>
          </w:p>
        </w:tc>
        <w:tc>
          <w:tcPr>
            <w:tcW w:w="43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系统掌握供求理论、市场机制等核心知识，理解宏微观经济运行逻辑，明晰经济政策的基本内涵与影响。</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能运用经济学理论分析生活中的经济现象，具备初步数据解读能力，为简单经济决策提供思路。</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培养理性分析、辩证看待经济问题的思维，树立尊重市场规律的意识。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结合我国经济发展实践，厚植家国情怀，引导学生树立正确的财富观与社会责任意识。</w:t>
            </w:r>
          </w:p>
        </w:tc>
        <w:tc>
          <w:tcPr>
            <w:tcW w:w="24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需求、供给和均衡价格决定理论、消费者行为理论、生产者理论、成本理论、市场理论、分配理论、市场失灵和政府、国民收入核算理论、国民收入决定理论等。</w:t>
            </w:r>
          </w:p>
        </w:tc>
        <w:tc>
          <w:tcPr>
            <w:tcW w:w="231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教材结合多媒体教学手段，结合生动具体的经济案例，帮助学生理解抽象的经济理论。教学中组织小组讨论，鼓励学生积极参与，促进思想碰撞，深化对经济学原理的理解。推荐经济学经典读物和前沿研究论文，鼓励学生拓展知识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46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8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经济法基础</w:t>
            </w:r>
          </w:p>
        </w:tc>
        <w:tc>
          <w:tcPr>
            <w:tcW w:w="43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掌握经济法核心范畴、法律体系及关键规则，理解市场监管、财税等领域法律逻辑，明晰法律适用基本前提。</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能运用经济法原理分析实务案例，具备初步法律风险识别能力，可撰写简单法律分析意见。</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培养严谨的法律思维与规则意识，树立依法办事的职业素养，提升问题解决的逻辑性。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结合法治实践案例，强化法治信仰，引导学生树立公平正义理念与社会责任感。</w:t>
            </w:r>
          </w:p>
        </w:tc>
        <w:tc>
          <w:tcPr>
            <w:tcW w:w="24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经济法基础理论、公司企业法律制度、合同法、市场规制法律制度、工业产权法律制度、金融法律制度、劳动法律制度、经济仲裁与诉讼法律制度等。</w:t>
            </w:r>
          </w:p>
        </w:tc>
        <w:tc>
          <w:tcPr>
            <w:tcW w:w="231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教师讲授为主，辅以课堂讨论、案例分析等形式，激发学生学习兴趣，促进师生互动。结合经济生活中的热点问题，引入真实案例进行教学，增强学生的实践应用能力。其次利用多媒体教学资源和网络平台，开展线上预习、复习、测试等环节，提高教学效率和学习效果。最后在学生掌握经济法基础理论知识的基础上模拟法庭与实训 ，组织模拟法庭、法律诊所等活动，让学生在模拟实践中加深对法律条文的理解和应用。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2" w:hRule="atLeast"/>
          <w:jc w:val="center"/>
        </w:trPr>
        <w:tc>
          <w:tcPr>
            <w:tcW w:w="46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8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企业管理基础</w:t>
            </w:r>
          </w:p>
        </w:tc>
        <w:tc>
          <w:tcPr>
            <w:tcW w:w="43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掌握企业组织、战略、运营等核心管理模块知识，理解各职能协同逻辑，明晰管理理论在实践中的基本应用场景。</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能运用基础管理工具分析企业运营问题，具备初步团队协调与决策建议能力，可设计简单管理优化方案。</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：培养系统思维与责任意识，树立效率与创新并重的管理认知，提升应对企业复杂问题的应变素养。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结合优秀企业案例，厚植企业家精神与家国情怀，引导学生树立诚信经营、社会责任优先的价值观。</w:t>
            </w:r>
          </w:p>
        </w:tc>
        <w:tc>
          <w:tcPr>
            <w:tcW w:w="24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企业管理概述（企业类型、管理职能、管理者角色）、管理思想史（泰勒科学管理、法约尔一般管理、德鲁克现代管理理论等）战略管理（愿景/使命、战略制定与实施）、组织设计与人力资源管理（组织结构、招聘/培训/绩效管理）、财务管理（财务报表基础、成本控制）、市场营销（4P理论、市场调研）、运营管理（供应链、质量管理）、数字化转型（大数据与AI在管理中的应用）、企业社会责任（ESG理念）</w:t>
            </w:r>
          </w:p>
        </w:tc>
        <w:tc>
          <w:tcPr>
            <w:tcW w:w="231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理论讲授+案例分析+小组讨论”混合模式，强化互动式学习。利用多媒体工具（如管理类纪录片、企业数据库）辅助教学。鼓励学生参与创新创业项目或商业计划书撰写。平时通过课堂参与度、小组作业（如案例分析报告）、模拟实训等完成企业管理案例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8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财政金融基础</w:t>
            </w:r>
          </w:p>
        </w:tc>
        <w:tc>
          <w:tcPr>
            <w:tcW w:w="43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掌握财政收支、货币信贷等核心知识，理解财政政策与货币政策协同逻辑，明晰金融市场运行基本规则。</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能运用财政金融理论分析经济现象，具备初步金融风险识别能力，可解读基础财政金融数据与政策。</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培养理性看待财政金融问题的思维，树立合规与风险意识，提升经济决策的科学性与严谨性。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结合我国财政金融改革实践，厚植家国情怀，引导学生树立正确金融伦理与服务社会的责任感。</w:t>
            </w:r>
          </w:p>
        </w:tc>
        <w:tc>
          <w:tcPr>
            <w:tcW w:w="24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财政学基础：财政职能与公共产品理论政府收入体系（税收分类、税制设计）政府支出管理（社会保障、转移支付）国债管理与财政赤字</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金融学基础：货币与信用体系、金融市场、金融机构、金融工具。政策与实务专题：财政政策与货币政策的协调、金融监管框架、前沿议题：数字货币（CBDC）、ESG投资、金融科技。</w:t>
            </w:r>
          </w:p>
        </w:tc>
        <w:tc>
          <w:tcPr>
            <w:tcW w:w="231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采用混合式教学：理论讲授（50%）+案例研讨（30%）+模拟实践（20%）。案例驱动：结合国内外财政金融事件（如欧债危机、中国“房住不炒”政策）展开讨论。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数据工具：教授基础数据分析工具（如Excel金融函数、Wind/同花顺数据平台），课堂发言、模拟投资报告、小组案例分析展示。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9" w:hRule="atLeast"/>
          <w:jc w:val="center"/>
        </w:trPr>
        <w:tc>
          <w:tcPr>
            <w:tcW w:w="46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8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大数据应用基础</w:t>
            </w:r>
          </w:p>
        </w:tc>
        <w:tc>
          <w:tcPr>
            <w:tcW w:w="43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掌握大数据采集、清洗、分析的基础流程与工具，理解数据挖掘核心概念，明晰大数据在各行业的典型应用逻辑。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能运用基础工具处理简单数据集，具备初步数据可视化与分析能力，可提炼数据背后的基础信息与趋势。</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培养数据思维与严谨的数据分析态度，树立数据安全与隐私保护意识，提升利用数据解决问题的主动性。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结合大数据赋能国家发展案例，厚植科技自信，引导学生树立数据向善、服务社会的责任与伦理意识。</w:t>
            </w:r>
          </w:p>
        </w:tc>
        <w:tc>
          <w:tcPr>
            <w:tcW w:w="24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大数据定义、特征、技术栈及行业应用场景；分布式计算（MapReduce、Spark）、分布式存储（HDFS）、NoSQL数据库及数据湖仓架构Python编程、Hadoop/Spark集群搭建、SQL与PySpark数据处理；机器学习基础（分类、回归）、数据可视化（Matplotlib、Seaborn）；边缘计算、联邦学习等新兴技术。</w:t>
            </w:r>
          </w:p>
        </w:tc>
        <w:tc>
          <w:tcPr>
            <w:tcW w:w="231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实验课完成数据处理全流程操作，掌握工具配置与调优；以小组形式完成真实数据集的分析任务，提交完整报告与可视化成果；跟踪行业动态，拓展对大数据平台（如Flink、Kafka）的了解；遵循数据隐私保护原则，培养代码可读性与工程化开发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6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8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统计基础</w:t>
            </w:r>
          </w:p>
        </w:tc>
        <w:tc>
          <w:tcPr>
            <w:tcW w:w="435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掌握统计调查、数据整理、分析等核心方法，理解均值、方差等指标含义，明晰统计推断的基本逻辑与适用场景。</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能运用统计工具收集处理数据，具备初步数据分析与报告撰写能力，可通过数据解读简单现实问题。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培养严谨的数据思维与客观求实态度，树立尊重数据、科学分析的意识，提升数据解读的准确性。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结合数据反映的国家发展成就，厚植家国情怀，引导学生树立数据诚信与用数据服务社会的责任感。</w:t>
            </w:r>
          </w:p>
        </w:tc>
        <w:tc>
          <w:tcPr>
            <w:tcW w:w="24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导论、统计设计、统计调查、统计整理、综合指标时间数列、统计指数、抽样推断、相关与回归分析。</w:t>
            </w:r>
          </w:p>
        </w:tc>
        <w:tc>
          <w:tcPr>
            <w:tcW w:w="231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多媒体结合教材系统讲解统计学原理的基础知识，注重理论联系实际。教学中通过实际案例，引导学生运用统计学原理分析问题，加深理解。在课堂上组织小组讨论，促进学生之间的交流与合作，共同解决问题。</w:t>
            </w:r>
          </w:p>
        </w:tc>
      </w:tr>
      <w:bookmarkEnd w:id="6"/>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7" w:name="_Toc90734977"/>
      <w:r>
        <w:rPr>
          <w:rFonts w:hint="eastAsia" w:ascii="仿宋_GB2312" w:hAnsi="仿宋_GB2312" w:eastAsia="仿宋_GB2312" w:cs="仿宋_GB2312"/>
          <w:b w:val="0"/>
          <w:bCs w:val="0"/>
          <w:color w:val="auto"/>
          <w:sz w:val="32"/>
          <w:szCs w:val="32"/>
          <w:highlight w:val="none"/>
        </w:rPr>
        <w:t>2.专业核心课程</w:t>
      </w:r>
      <w:bookmarkEnd w:id="7"/>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专业核心课是面向各类中小微企业、金融机构、行政事业单位的会计专业人员、税务专业人员等岗位（群），结合会计、出纳等就业岗位，建立</w:t>
      </w:r>
      <w:r>
        <w:rPr>
          <w:rFonts w:hint="eastAsia" w:ascii="仿宋_GB2312" w:hAnsi="仿宋_GB2312" w:eastAsia="仿宋_GB2312" w:cs="仿宋_GB2312"/>
          <w:spacing w:val="-2"/>
          <w:sz w:val="32"/>
          <w:szCs w:val="32"/>
          <w:highlight w:val="none"/>
        </w:rPr>
        <w:t>大数据与财务管理</w:t>
      </w:r>
      <w:r>
        <w:rPr>
          <w:rFonts w:hint="eastAsia" w:ascii="仿宋_GB2312" w:hAnsi="仿宋_GB2312" w:eastAsia="仿宋_GB2312" w:cs="仿宋_GB2312"/>
          <w:sz w:val="32"/>
          <w:szCs w:val="32"/>
          <w:highlight w:val="none"/>
        </w:rPr>
        <w:t>专业核心课程，培养学生财务账务处理，成本核算等方面的能力。包括企业财务会计、财务管理实务、智能化成本核算与管理、企业纳税实务、内部控制与风险管理、管理会计、财务大数据分析与可视化、财务机器人应用</w:t>
      </w:r>
      <w:r>
        <w:rPr>
          <w:rFonts w:hint="eastAsia" w:ascii="仿宋_GB2312" w:hAnsi="仿宋_GB2312" w:eastAsia="仿宋_GB2312" w:cs="仿宋_GB2312"/>
          <w:spacing w:val="-4"/>
          <w:sz w:val="32"/>
          <w:szCs w:val="32"/>
          <w:highlight w:val="none"/>
        </w:rPr>
        <w:t>等课程。</w:t>
      </w:r>
    </w:p>
    <w:p>
      <w:pPr>
        <w:keepNext w:val="0"/>
        <w:keepLines w:val="0"/>
        <w:pageBreakBefore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585"/>
        <w:gridCol w:w="2915"/>
        <w:gridCol w:w="2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课程名称</w:t>
            </w:r>
          </w:p>
        </w:tc>
        <w:tc>
          <w:tcPr>
            <w:tcW w:w="3585"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915"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699"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7" w:hRule="atLeast"/>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企业财务会计</w:t>
            </w:r>
          </w:p>
        </w:tc>
        <w:tc>
          <w:tcPr>
            <w:tcW w:w="358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掌握企业资产、负债、权益等核算规范，理解收入费用确认原则，明晰财务报告编制与披露的核心要求。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能独立处理存货、固定资产等实务核算，具备初步财务报表分析能力，可解决简单企业会计实务问题。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培养精准核算的职业素养与财务风险意识，树立遵循会计准则的严谨态度，提升会计处理规范性。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：结合会计诚信案例，强化职业道德教育，引导学生树立合规执业理念与服务企业发展的责任意识。</w:t>
            </w:r>
          </w:p>
        </w:tc>
        <w:tc>
          <w:tcPr>
            <w:tcW w:w="291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务会计概述、财务会计概述，财务会计工作内容；货币资金的核算；应收及预付款项的核算；存货的核算；金融资产的核算；长期股权投资的核算；固定资产的核算；投资性房地产的核算；无形资产的核算；负债的核算；所有者权益的核算；收入、费用、利润；财务报表编报。</w:t>
            </w:r>
          </w:p>
        </w:tc>
        <w:tc>
          <w:tcPr>
            <w:tcW w:w="2699"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系统讲解财务会计基础理论、会计准则及实务操作，培养学生掌握企业经济业务的会计处理方法，熟练编制与分析财务报表（如资产负债表、利润表、现金流量表），理解会计要素确认、计量与披露的核心规则；结合信息化工具（如财务软件、Excel）强化实践能力，注重职业道德与诚信教育，使学生具备独立处理日常账务、解读财务数据及应对复杂会计问题的综合素养，为其适应企业财务岗位和数字化转型需求奠定扎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财务管理实务</w:t>
            </w:r>
          </w:p>
        </w:tc>
        <w:tc>
          <w:tcPr>
            <w:tcW w:w="3585"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掌握资金筹集、投资决策、营运资金管理等核心知识，理解财务分析与风险控制逻辑，明晰财务管理的基本流程与方法。</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能运用财务管理工具进行简单投融资分析，具备初步资金规划与成本控制能力，可撰写基础财务方案。</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培养理性财务思维与风险防控意识，树立效益与合规并重的理念，提升财务决策的科学性与严谨性。</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结合企业财务实践案例，强化诚信理财教育，引导学生树立服务企业发展与社会责任担当的价值观。</w:t>
            </w:r>
          </w:p>
        </w:tc>
        <w:tc>
          <w:tcPr>
            <w:tcW w:w="291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财务管理基础；资金时间价值与风险；筹资管理模块；投资管理；利润分配管理。</w:t>
            </w:r>
          </w:p>
        </w:tc>
        <w:tc>
          <w:tcPr>
            <w:tcW w:w="2699"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多媒体教学手段，结合生活实例和企业案例，深入浅出地讲解理论知识。选取具有代表性的企业财务案例，引导学生分析讨论，增强理论学习的针对性和实用性。同时利用财务管理软件或Excel等工具，进行财务决策模拟实训，提高学生的实践操作能力和问题解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智能化成本核算与管理</w:t>
            </w:r>
          </w:p>
        </w:tc>
        <w:tc>
          <w:tcPr>
            <w:tcW w:w="3585"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掌握智能化工具在成本归集、分配中的应用，理解智能成本核算流程，明晰成本管控与企业决策的关联逻辑。</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能运用智能系统处理成本数据，具备成本差异分析与优化建议能力，可设计简单智能化成本管理方案。</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培养数据驱动的成本思维与创新意识，树立精准高效的成本管控理念，提升应对智能环境的适应素养。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结合智能成本管理实践案例，强化诚信核算意识，引导学生树立降本增效、服务企业高质量发展的责任感。</w:t>
            </w:r>
          </w:p>
        </w:tc>
        <w:tc>
          <w:tcPr>
            <w:tcW w:w="291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智能化成本核算与管理基础；智能化成本核算方法与应用；智能化成本管理工具与实践；智能化成本管理案例分析与项目实践</w:t>
            </w:r>
          </w:p>
        </w:tc>
        <w:tc>
          <w:tcPr>
            <w:tcW w:w="2699"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综合运用多种教学方法，激发学生学习兴趣。采用案例教学法，引入不同行业的实际案例，引导学生分析并解决问题；通过项目驱动教学法，让学生分组完成特定项目，提升团队协作和实践能力；开展小组讨论，鼓励学生分享观点，培养批判性思维。教学中针对热点问题或难点内容组织小组讨论，促进学生之间的交流与合作。同时设计贴近实际的成本核算、成本控制等模拟实训项目，增强学生的动手能力和问题解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企业纳税实务</w:t>
            </w:r>
          </w:p>
        </w:tc>
        <w:tc>
          <w:tcPr>
            <w:tcW w:w="3585"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掌握增值税、企业所得税等核心税种计算与申报知识，理解税收优惠政策，明晰企业纳税申报与筹划的基本规范。</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能独立完成常见税种的计算与申报操作，具备初步税务风险识别能力，可协助企业制定简单税务处理方案。</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培养依法纳税的合规意识与精准计税的职业素养，树立税务筹划的合法边界认知，提升税务处理严谨性。</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结合税收法治案例，强化依法纳税理念，引导学生树立“诚信纳税”意识与维护国家税收秩序的责任感。</w:t>
            </w:r>
          </w:p>
        </w:tc>
        <w:tc>
          <w:tcPr>
            <w:tcW w:w="291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增值税会计、消费税会计、企业所得税会计、个人所得税会计、其他税种会计、纳税会计等。</w:t>
            </w:r>
          </w:p>
        </w:tc>
        <w:tc>
          <w:tcPr>
            <w:tcW w:w="2699"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结合多媒体教学手段，系统讲解税收理论与制度，确保学生掌握基础知识。教学中选取典型税务案例，引导学生分析讨论，加深对知识点的理解和应用。课堂上利用税务实训软件或模拟系统，进行税务登记、税款计算、纳税申报等实际操作训练，提高学生对税务的理解和实际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内部控制与风险管理</w:t>
            </w:r>
          </w:p>
        </w:tc>
        <w:tc>
          <w:tcPr>
            <w:tcW w:w="3585"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掌握内部控制五要素框架、风险识别与评估方法，理解企业各业务环节风控逻辑，明晰风控体系构建的核心规范。</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能运用内控工具分析企业风险点，具备初步风控方案设计能力，可对简单业务的内控有效性进行评估。</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培养风险预判思维与合规意识，树立“全员风控”的责任认知，提升应对复杂风险问题的审慎素养。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结合企业风控合规案例，强化诚信经营理念，引导学生树立守规尽责、维护企业与社会利益的价值观。</w:t>
            </w:r>
          </w:p>
        </w:tc>
        <w:tc>
          <w:tcPr>
            <w:tcW w:w="291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企业内部控制理论、企业内部控制目标与风险管理、企业内部控制环境与风险评估、控制活动与信息传递、内部监督、人员与组织行为风险控制、资金活动与财务风险控制、信息传递与信息风险控制等。</w:t>
            </w:r>
          </w:p>
        </w:tc>
        <w:tc>
          <w:tcPr>
            <w:tcW w:w="2699"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多媒体教学手段，系统讲授内部控制理论知识。教学中采用小组讨论、角色扮演等形式，对典型案例进行分析，促进学生理解与应用。课堂中学生通过内部控制设计、测试与评价等模拟实训项目，增强学生的实践能力。利用网络平台提供丰富的教学资源，支持学生自主学习和互动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管理会计</w:t>
            </w:r>
          </w:p>
        </w:tc>
        <w:tc>
          <w:tcPr>
            <w:tcW w:w="3585"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掌握成本性态分析、预算编制、责任会计等核心内容，理解管理会计为决策服务的逻辑，明晰其在企业管理中的应用规范。</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能力目标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能运用管理会计工具开展成本核算与控制，具备初步经营决策分析能力，可编制简单企业内部管理报告。</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培养面向管理的战略思维与数据洞察素养，树立精准高效的决策支持意识，提升解决企业经营问题的主动性。</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结合管理会计实践案例，强化责任意识教育，引导学生树立合规决策、服务企业可持续发展的价值观。</w:t>
            </w:r>
          </w:p>
        </w:tc>
        <w:tc>
          <w:tcPr>
            <w:tcW w:w="291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成本性态分析、 变动成本法、本量利分析原理、预测分析、短期经营决策、长期投资决策、全面预算、成本控制、责任会计等。</w:t>
            </w:r>
          </w:p>
        </w:tc>
        <w:tc>
          <w:tcPr>
            <w:tcW w:w="2699"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讲授结合PPT系统讲解财务大数据分析与可视化的基本理论和方法，注重理论与实践相结合。通过实际案例的剖析，引导学生运用所学知识进行问题分析和解决，增强实践能力。课堂上组织学生进行小组讨论，促进学生之间的交流与合作，培养其团队协作能力和批判性思维。同时鼓励学生阅读相关书籍、期刊文章，关注财经新闻，拓宽知识面，提升专业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财务大数据分析与可视化</w:t>
            </w:r>
          </w:p>
        </w:tc>
        <w:tc>
          <w:tcPr>
            <w:tcW w:w="3585"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掌握财务大数据采集、清洗方法，理解数据分析模型与可视化工具原理，明晰数据驱动财务决策的核心逻辑。</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能运用工具处理财务数据、搭建分析模型，具备数据可视化呈现能力，可通过数据解读财务问题并提出建议。</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培养数据思维与严谨的分析态度，树立数据安全与隐私保护意识，提升财务数据解读的深度与准确性。</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结合数据反映的经济发展成果，厚植家国情怀，引导学生树立数据诚信与用技术服务实体经济的责任感。</w:t>
            </w:r>
          </w:p>
        </w:tc>
        <w:tc>
          <w:tcPr>
            <w:tcW w:w="291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财务大数据特征、分析方法（如预测建模、风险预警）及可视化原理；Python数据处理（Pandas、NumPy）、Power BI/Tableau可视化设计、SQL数据库操作；财务大数据分析与可视化、成本优化、现金流预测等场景的大数据建模与可视化实现；区块链在财务大数据领域的创新应用。</w:t>
            </w:r>
          </w:p>
        </w:tc>
        <w:tc>
          <w:tcPr>
            <w:tcW w:w="2699"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系统理解财务大数据技术体系，熟悉主流工具的功能逻辑；通过项目实操完成从数据采集到可视化的全流程，独立解决财务分析问题；以小组形式开展财务场景模拟，提出数据驱动的优化方案，强化创新思维；严格遵循财务数据安全法规，确保分析结果的准确性与合规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财务机器人应用</w:t>
            </w:r>
          </w:p>
        </w:tc>
        <w:tc>
          <w:tcPr>
            <w:tcW w:w="3585"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理解财务机器人的运行原理，熟悉开发工具及操作指令，掌握财务流程自动化设计与数据处理的理论知识。</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能运用工具开发财务机器人，完成流程自动化部署与调试，具备分析、优化企业财务流程并解决应用问题的能力。</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培养严谨、细致、负责的职业素养，塑造创新思维与团队协作精神，树立风险防范和数据安全意识。</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结合行业案例，融入职业道德与合规教育，激发学生的创新报国之志，培养其服务社会与企业的担当精神。</w:t>
            </w:r>
          </w:p>
        </w:tc>
        <w:tc>
          <w:tcPr>
            <w:tcW w:w="291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RPA基础：RPA技术原理与发展趋势；财务自动化应用场景RPA与财务数字化转型的关系；流程自动化设计模式；数据抓取与处理技术；RPA与AI融合（智能票据识别、自然语言处理）</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合规与风险管理：财务数据安全规范（权限控制、数据加密）；RPA实施中的内控要点；法律与伦理问题（自动化决策的合规性）</w:t>
            </w:r>
          </w:p>
        </w:tc>
        <w:tc>
          <w:tcPr>
            <w:tcW w:w="2699"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项目驱动教学：以真实财务业务流程为任务，分阶段完成需求分析→流程设计→开发→测试→部署。</w:t>
            </w:r>
            <w:r>
              <w:rPr>
                <w:rFonts w:hint="eastAsia" w:ascii="仿宋_GB2312" w:hAnsi="仿宋_GB2312" w:eastAsia="仿宋_GB2312" w:cs="仿宋_GB2312"/>
                <w:color w:val="auto"/>
                <w:sz w:val="24"/>
                <w:szCs w:val="24"/>
                <w:highlight w:val="none"/>
                <w:lang w:val="en-US" w:eastAsia="zh-CN"/>
              </w:rPr>
              <w:br w:type="textWrapping"/>
            </w:r>
            <w:r>
              <w:rPr>
                <w:rFonts w:hint="eastAsia" w:ascii="仿宋_GB2312" w:hAnsi="仿宋_GB2312" w:eastAsia="仿宋_GB2312" w:cs="仿宋_GB2312"/>
                <w:color w:val="auto"/>
                <w:sz w:val="24"/>
                <w:szCs w:val="24"/>
                <w:highlight w:val="none"/>
                <w:lang w:val="en-US" w:eastAsia="zh-CN"/>
              </w:rPr>
              <w:t>案例教学：引入企业案例（如德勤财务机器人、四大会计师事务所实践）。沙盒环境：提供虚拟财务系统（如模拟ERP环境）供学生实操演练。</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bookmarkStart w:id="8" w:name="_Toc90734991"/>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专业拓展课程</w:t>
      </w:r>
      <w:bookmarkEnd w:id="8"/>
    </w:p>
    <w:p>
      <w:pPr>
        <w:adjustRightInd w:val="0"/>
        <w:snapToGrid w:val="0"/>
        <w:spacing w:line="52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专业拓展课程是按照岗位迁移，根据</w:t>
      </w:r>
      <w:r>
        <w:rPr>
          <w:rFonts w:hint="eastAsia" w:ascii="仿宋_GB2312" w:hAnsi="仿宋_GB2312" w:eastAsia="仿宋_GB2312" w:cs="仿宋_GB2312"/>
          <w:color w:val="auto"/>
          <w:spacing w:val="-2"/>
          <w:sz w:val="32"/>
          <w:szCs w:val="32"/>
          <w:highlight w:val="none"/>
        </w:rPr>
        <w:t>财务会计行业</w:t>
      </w:r>
      <w:r>
        <w:rPr>
          <w:rFonts w:hint="eastAsia" w:ascii="仿宋_GB2312" w:hAnsi="仿宋_GB2312" w:eastAsia="仿宋_GB2312" w:cs="仿宋_GB2312"/>
          <w:color w:val="auto"/>
          <w:sz w:val="32"/>
          <w:szCs w:val="32"/>
          <w:highlight w:val="none"/>
        </w:rPr>
        <w:t>发展的趋势，依据企业用人需求调研，企业对</w:t>
      </w:r>
      <w:r>
        <w:rPr>
          <w:rFonts w:hint="eastAsia" w:ascii="仿宋_GB2312" w:hAnsi="仿宋_GB2312" w:eastAsia="仿宋_GB2312" w:cs="仿宋_GB2312"/>
          <w:color w:val="auto"/>
          <w:spacing w:val="-2"/>
          <w:sz w:val="32"/>
          <w:szCs w:val="32"/>
          <w:highlight w:val="none"/>
        </w:rPr>
        <w:t>大数据处理、会计核算、财务管理</w:t>
      </w:r>
      <w:r>
        <w:rPr>
          <w:rFonts w:hint="eastAsia" w:ascii="仿宋_GB2312" w:hAnsi="仿宋_GB2312" w:eastAsia="仿宋_GB2312" w:cs="仿宋_GB2312"/>
          <w:color w:val="auto"/>
          <w:sz w:val="32"/>
          <w:szCs w:val="32"/>
          <w:highlight w:val="none"/>
        </w:rPr>
        <w:t>等方面日益增加的需求，建立了</w:t>
      </w:r>
      <w:r>
        <w:rPr>
          <w:rFonts w:hint="eastAsia" w:ascii="仿宋_GB2312" w:hAnsi="仿宋_GB2312" w:eastAsia="仿宋_GB2312" w:cs="仿宋_GB2312"/>
          <w:color w:val="auto"/>
          <w:spacing w:val="-2"/>
          <w:sz w:val="32"/>
          <w:szCs w:val="32"/>
          <w:highlight w:val="none"/>
        </w:rPr>
        <w:t>大数据与财务管理</w:t>
      </w:r>
      <w:r>
        <w:rPr>
          <w:rFonts w:hint="eastAsia" w:ascii="仿宋_GB2312" w:hAnsi="仿宋_GB2312" w:eastAsia="仿宋_GB2312" w:cs="仿宋_GB2312"/>
          <w:color w:val="auto"/>
          <w:sz w:val="32"/>
          <w:szCs w:val="32"/>
          <w:highlight w:val="none"/>
        </w:rPr>
        <w:t>专业拓展课，并将辅修方向课程纳入其中。由财务共享实务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财经法规与会计职业道德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企业财务管理案例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ERP沙盘模拟经营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税收筹划</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财务管理综合实训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中国会计文化</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资产评估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企业营运管理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供应链管理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管理学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电子商务等课程构成专业拓展课。</w:t>
      </w:r>
    </w:p>
    <w:p>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5 </w:t>
      </w:r>
      <w:r>
        <w:rPr>
          <w:rFonts w:hint="eastAsia" w:ascii="仿宋_GB2312" w:hAnsi="仿宋_GB2312" w:eastAsia="仿宋_GB2312" w:cs="仿宋_GB2312"/>
          <w:color w:val="auto"/>
          <w:sz w:val="32"/>
          <w:szCs w:val="32"/>
          <w:highlight w:val="none"/>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598"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806"/>
        <w:gridCol w:w="4070"/>
        <w:gridCol w:w="2619"/>
        <w:gridCol w:w="2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806" w:type="dxa"/>
            <w:vAlign w:val="center"/>
          </w:tcPr>
          <w:p>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4070" w:type="dxa"/>
            <w:vAlign w:val="center"/>
          </w:tcPr>
          <w:p>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619" w:type="dxa"/>
            <w:vAlign w:val="center"/>
          </w:tcPr>
          <w:p>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487" w:type="dxa"/>
            <w:vAlign w:val="center"/>
          </w:tcPr>
          <w:p>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overflowPunct w:val="0"/>
              <w:adjustRightInd w:val="0"/>
              <w:spacing w:line="360" w:lineRule="exact"/>
              <w:jc w:val="cente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zh-CN" w:eastAsia="zh-CN"/>
              </w:rPr>
              <w:t>财务共享实务</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掌握财务共享中心架构与流程，理解业财融合逻辑，能辨识共享模式下核心财务业务节点。熟知财务共享系统操作规范，明晰数据安全与合规要求，掌握财务数据处理关键方法。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能独立完成共享中心费用报销、资金结算等实操，具备财务数据核对与异常问题处理能力。能运用财务共享工具分析业务数据，具备提出优化财务流程建议的初步能力。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养成严谨细致的财务工作态度，具备团队协作意识，能高效配合完成共享财务任务。树立持续学习意识，适应财务数字化转型，具备应对共享财务新挑战的应变素质。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w:t>
            </w:r>
            <w:r>
              <w:rPr>
                <w:rFonts w:hint="eastAsia" w:ascii="仿宋_GB2312" w:hAnsi="仿宋_GB2312" w:eastAsia="仿宋_GB2312" w:cs="仿宋_GB2312"/>
                <w:b/>
                <w:bCs/>
                <w:color w:val="auto"/>
                <w:sz w:val="24"/>
                <w:szCs w:val="24"/>
                <w:highlight w:val="none"/>
                <w:lang w:val="en-US" w:eastAsia="zh-CN"/>
              </w:rPr>
              <w:t>程思政育人目标：</w:t>
            </w:r>
            <w:r>
              <w:rPr>
                <w:rFonts w:hint="eastAsia" w:ascii="仿宋_GB2312" w:hAnsi="仿宋_GB2312" w:eastAsia="仿宋_GB2312" w:cs="仿宋_GB2312"/>
                <w:color w:val="auto"/>
                <w:sz w:val="24"/>
                <w:szCs w:val="24"/>
                <w:highlight w:val="none"/>
                <w:lang w:val="en-US" w:eastAsia="zh-CN"/>
              </w:rPr>
              <w:t>强化诚信执业与廉洁从业意识，坚守财务职业道德底线，树立正确的财经法治观念。</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zh-CN"/>
              </w:rPr>
              <w:t>财务共享的起源、价值定位及与企业战略的协同；核心业务流程：采购到付款</w:t>
            </w:r>
            <w:r>
              <w:rPr>
                <w:rFonts w:hint="eastAsia" w:ascii="仿宋_GB2312" w:hAnsi="仿宋_GB2312" w:eastAsia="仿宋_GB2312" w:cs="仿宋_GB2312"/>
                <w:color w:val="auto"/>
                <w:sz w:val="24"/>
                <w:szCs w:val="24"/>
                <w:highlight w:val="none"/>
                <w:lang w:val="zh-CN" w:eastAsia="zh-CN"/>
              </w:rPr>
              <w:t>（P2P）、销售到收款（O2C）等标准化流程设计；ERP系统操作、RPA自动化技术及财务大数据平台搭建；税务管理、内部</w:t>
            </w:r>
            <w:r>
              <w:rPr>
                <w:rFonts w:hint="eastAsia" w:ascii="仿宋_GB2312" w:hAnsi="仿宋_GB2312" w:eastAsia="仿宋_GB2312" w:cs="仿宋_GB2312"/>
                <w:color w:val="auto"/>
                <w:sz w:val="24"/>
                <w:szCs w:val="24"/>
                <w:highlight w:val="none"/>
                <w:lang w:val="zh-CN"/>
              </w:rPr>
              <w:t>审计及数据安全策略。</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采用“双轨制”教学，线上依托财务共享模拟平台开展流程实操，线下结合企业专家讲座深化行业认知；要求学生完成全流程业务处理、自动化方案设计及跨部门协同项目，强化数字化工具应用与批判性思维；关注智能财务发展</w:t>
            </w:r>
            <w:r>
              <w:rPr>
                <w:rFonts w:hint="eastAsia" w:ascii="仿宋_GB2312" w:hAnsi="仿宋_GB2312" w:eastAsia="仿宋_GB2312" w:cs="仿宋_GB2312"/>
                <w:color w:val="auto"/>
                <w:sz w:val="24"/>
                <w:szCs w:val="24"/>
                <w:highlight w:val="none"/>
                <w:lang w:val="zh-CN" w:eastAsia="zh-CN"/>
              </w:rPr>
              <w:t>趋势，鼓励学生探索AI、区块链在财务共享中的创新应用场景。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财经法规与会计职业道德</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全面掌握会计法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税收征管法等法规，明晰会计法律体系、支付结算、税收与财政法规，熟知会计职业道德规范。</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精准运用财经法规处理会计核算、监督、结算等工作，熟练计算纳税金额并申报，能分析解决复杂财经法律问题。</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培育严谨细致、廉洁奉公的职业素养，形成自觉守法、诚信自律的职业习惯，增强团队协作与沟通交流能力。</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将社会主义核心价值观融入教学，培养学生爱国守法、敬业奉献精神，引导树立正确职业观与价值观。</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会计法律制度、支付结算法律制度、税收法律制度、财政法规制度、会计职业道德等。</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通过教师系统讲授，使学生掌握基础知识和理论框架。在教学过程中选取典型财经案例，引导学生分析讨论，增强实践应用能力。组织学生分组讨论，促进思想碰撞，培养团队合作</w:t>
            </w:r>
            <w:r>
              <w:rPr>
                <w:rFonts w:hint="eastAsia" w:ascii="仿宋_GB2312" w:hAnsi="仿宋_GB2312" w:eastAsia="仿宋_GB2312" w:cs="仿宋_GB2312"/>
                <w:color w:val="auto"/>
                <w:sz w:val="24"/>
                <w:szCs w:val="24"/>
                <w:highlight w:val="none"/>
                <w:lang w:val="en-US" w:eastAsia="zh-CN"/>
              </w:rPr>
              <w:t>精神</w:t>
            </w:r>
            <w:r>
              <w:rPr>
                <w:rFonts w:hint="eastAsia" w:ascii="仿宋_GB2312" w:hAnsi="仿宋_GB2312" w:eastAsia="仿宋_GB2312" w:cs="仿宋_GB2312"/>
                <w:color w:val="auto"/>
                <w:sz w:val="24"/>
                <w:szCs w:val="24"/>
                <w:highlight w:val="none"/>
              </w:rPr>
              <w:t>。模拟会计工作中的实际场景，让学生在角色扮演中体验法律与道德的冲突与抉择。利用网络平台提供丰富的教学资料、视频讲座、在线测试等，拓宽学习渠道。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企业财务管理案例</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掌握企业资金筹集、投资决策、营运资金管理、利润分配等财务管理核心知识，熟悉财务分析方法与工具。</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能够运用所学知识对企业财务数据进行精准分析，制定科学合理的筹资、投资与运营方案，解决财务管理实际问题。</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培养严谨细致、诚实守信、风险防范的职业素养，提升团队协作、沟通表达以及自主学习和解决复杂问题的能力。</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将社会主义核心价值观融入教学，树立学生诚信守法、服务社会的职业理念，激发学生为经济发展贡献力量的责任感。</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阐述财务管理的基础理论，财务管理的目标、原则、职能等，为后续案例分析提供理论支撑。筹资管理案例，投资管理案例，资金日常管理案例，成本管理案例，利润分配管理案例，企业综合分析案例，分析企业并购重组案例。</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能够运用所学的财务管理理论和方法，对给定的案例进行深入分析，提出自己的观点和见解，并能撰写规范的案例分析报告。将所学知识应用于实际案例中，通过案例分析和模拟决策等活动，提高解决实际问题的能力，同时培养学生的创新意识和实践能力，使其能够在不同的企业情境下做出合理的财务管理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ERP沙盘模拟经营</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掌握企业战略、营销等核心逻辑与ERP沙盘规则，明晰模块联动及市场、研发原理，筑牢模拟经营知识根基。</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能依市场数据定经营战略、调资源、控风险，借数据复盘提方案，提升ERP模拟经营效益。</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培育团队协作与沟通力，</w:t>
            </w:r>
            <w:r>
              <w:rPr>
                <w:rFonts w:hint="eastAsia" w:ascii="仿宋_GB2312" w:hAnsi="仿宋_GB2312" w:eastAsia="仿宋_GB2312" w:cs="仿宋_GB2312"/>
                <w:color w:val="auto"/>
                <w:sz w:val="24"/>
                <w:szCs w:val="24"/>
                <w:highlight w:val="none"/>
                <w:lang w:eastAsia="zh-CN"/>
              </w:rPr>
              <w:t>树立</w:t>
            </w:r>
            <w:r>
              <w:rPr>
                <w:rFonts w:hint="eastAsia" w:ascii="仿宋_GB2312" w:hAnsi="仿宋_GB2312" w:eastAsia="仿宋_GB2312" w:cs="仿宋_GB2312"/>
                <w:color w:val="auto"/>
                <w:sz w:val="24"/>
                <w:szCs w:val="24"/>
                <w:highlight w:val="none"/>
              </w:rPr>
              <w:t>前瞻应变意识</w:t>
            </w:r>
            <w:r>
              <w:rPr>
                <w:rFonts w:hint="eastAsia" w:ascii="仿宋_GB2312" w:hAnsi="仿宋_GB2312" w:eastAsia="仿宋_GB2312" w:cs="仿宋_GB2312"/>
                <w:color w:val="auto"/>
                <w:sz w:val="24"/>
                <w:szCs w:val="24"/>
                <w:highlight w:val="none"/>
                <w:lang w:eastAsia="zh-CN"/>
              </w:rPr>
              <w:t>，培</w:t>
            </w:r>
            <w:r>
              <w:rPr>
                <w:rFonts w:hint="eastAsia" w:ascii="仿宋_GB2312" w:hAnsi="仿宋_GB2312" w:eastAsia="仿宋_GB2312" w:cs="仿宋_GB2312"/>
                <w:color w:val="auto"/>
                <w:sz w:val="24"/>
                <w:szCs w:val="24"/>
                <w:highlight w:val="none"/>
              </w:rPr>
              <w:t>养负责态度，提升职业责任感、担当与创新思维。</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融诚信道德，渗家国意识，传社会责任，助学生树兼顾经济与社会效益的经营观。</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ERP系统原理、企业价值链与业务流程重组（BPR）；市场竞争模拟、产品研发、生产排程、资金筹措与现金流管理；ERP软件操作、财务分析模型及数据可视化技术。</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采用“分组对抗+软件模拟+复盘研讨”模式，结合企业真实经营场景提升沉浸感；要求学生完成多周期经营决策，提交战略分析报告并进行跨组辩论，强化批判性思维与快速响应能力；鼓励学生探索ERP系统与AI、大数据的融合应用，关注智能决策技术在企业运营中的创新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税收筹划</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掌握各税种法规、计税方法及税收筹划原理，熟知筹划常用技术与风险防控要点，明晰筹划与税法遵从的边界。</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能结合企业经营场景，运用筹划技术设计合法方案，精准测算节税效果，并规避税务风险。</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培育严谨的税法遵从意识与专业判断力，养成主动研究税收政策、高效解决税务问题的素养。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融依法纳税理念，树家国情怀，引导学生以合规筹划助力企业发展，践行社会责任。</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税法要素解析、税收筹划逻辑框架与法律边界；利用税收优惠、组织架构调整、交易模式设计等工具进行筹划；房地产、高新技术企业等特殊领域的税务筹划方案设计；税务稽查应对、反避税规则及跨境税收筹划合规要点。</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采用“税法解读+案例研讨+模拟实训”模式，运用税务筹划软件进行企业全生命周期税务模拟；要求学生独立完成企业税务诊断报告与筹划方案设计，强化逻辑分析与创新思维；鼓励学生探索数字经济下跨境税收筹划的创新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财务综合模拟实训</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掌握企业全流程账务处理、报表编制、税务申报核心知识，明晰财务内控要点，筑牢财务综合实操的理论基础。</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能独立完成凭证处理、账簿登记、报表出具与纳税申报，具备财务数据分析及解决实操问题的能力。</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培育严谨细致的财务职业态度，提升团队协作与沟通效率，养成主动学习、合规操作的职业素养。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融诚信守法、廉洁自律理念，引导学生坚守财务职业底线，树立服务企业与社会的责任意识。</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企业建账</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zh-CN"/>
              </w:rPr>
              <w:t>编制审核原始凭证</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zh-CN"/>
              </w:rPr>
              <w:t>编制记账凭证及汇总</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zh-CN"/>
              </w:rPr>
              <w:t>登记各类会计账簿</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zh-CN"/>
              </w:rPr>
              <w:t>对账结账及错账更正，编制会计报表</w:t>
            </w:r>
            <w:r>
              <w:rPr>
                <w:rFonts w:hint="eastAsia" w:ascii="仿宋_GB2312" w:hAnsi="仿宋_GB2312" w:eastAsia="仿宋_GB2312" w:cs="仿宋_GB2312"/>
                <w:color w:val="auto"/>
                <w:sz w:val="24"/>
                <w:szCs w:val="24"/>
                <w:highlight w:val="none"/>
              </w:rPr>
              <w:t>。</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案例模拟真实企业经济环境，增强学生的实践感知和操作能力。选取典型会计案例，引导学生分析讨论，提升问题解决能力。同时课堂上促进学生之间的交流与协作，共同解决实训中遇到的问题。鼓励学生课前预习相关理论知识，课堂上更多地进行实践操作和讨论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中国会计文化</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掌握中国会计文化发展脉络、核心思想及不同历史时期特征，明晰其与会计制度、实践的关联，筑牢文化认知基础。</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能分析中国会计文化的当代价值，运用其理念解读会计实践，具备挖掘、传播优秀传统会计文化的能力。</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培育对中国会计文化的认同感与自豪感，养成以文化理念规范职业行为的习惯，提升文化素养与职业修养。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传承中华优秀会计文化中的诚信、守正理念，厚植家国情怀，引导学生树立符合中国文化的会计职业价值观。</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从《周礼》“司会”到当代会计准则的文化基因演变；思想内核：儒家“义利观”、道家“节制”思想与会计诚信建设； 制度实践：红色会计的战时经验与现代启示；数字技术冲击下会计文化的传承与重构案例分析。</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采用“文献研读+田野调查+跨学科研讨”模式，组织学生访谈老会计、参观会计博物馆；要求学生完成会计文化基因解码报告，结合企业案例分析文化冲突解决方案；鼓励学生参与“会计文化口述史”项目，关注ESG理念与传统文化的协同创新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资产评估</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掌握资产评估基本理论、方法及各类资产评估流程，熟知评估准则与法规，明晰评估报告编制要点，筑牢专业知识基础。</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能运用评估方法对资产价值测算分析，规范编制评估报告，应对评估中的常见问题，提升实操应用能力。</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培育严谨细致的职业态度与独立思考能力，树立合规意识，增强团队协作与沟通素养，养成专业责任感。</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融诚信公正理念，渗法治意识与社会责任，引导学生坚守评估伦理，助力树立服务经济发展的专业价值观。</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资产评估基本假设、价值类型及与会计、审计的协同关系；市场法、收益法、成本法的应用逻辑；企业价值评估中的EVA模型、无形资产评估的超额收益法、不动产评估的路线价法。</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采用“双轨教学”，理论讲授结合资产评估模拟软件实操，组织行业专家分享典型评估案例；要求学生完成完整评估项目（从现场勘查、数据采集到报告编制），强化Excel建模与PPT可视化能力；关注国际评估准则（IVS）与中国评估实践差异，鼓励学生参与“全国大学生资产评估知识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企业营运管理</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掌握企业生产计划、质量管控、供应链管理等核心内容，明晰运营优化逻辑，为企业高效运营奠定理论基础。</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能制定基础生产计划、分析运营瓶颈，运用工具优化流程，提升企业资源利用与运营效率。</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培育系统思维与问题解决能力，树立高效务实意识，养成严谨负责的职业态度与团队协作素养。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融诚信经营与社会责任理念，渗家国情怀，引导学生以合规运营助力企业与国家经济发展。</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运营管理的目标、战略定位及与市场营销、财务的协同关系；需求预测、生产排程、库存管理及服务交付的标准化设计；ERP系统应用、六西格玛质量管理、TOC约束理论及数字化建模方法。</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采用“双阶驱动”模式，理论教学结合运营模拟软件（如OptQuest）开展实战演练要求学生完成全周期运营方案设计、成本效益</w:t>
            </w:r>
            <w:r>
              <w:rPr>
                <w:rFonts w:hint="eastAsia" w:ascii="仿宋_GB2312" w:hAnsi="仿宋_GB2312" w:eastAsia="仿宋_GB2312" w:cs="仿宋_GB2312"/>
                <w:color w:val="auto"/>
                <w:sz w:val="24"/>
                <w:szCs w:val="24"/>
                <w:highlight w:val="none"/>
                <w:lang w:val="zh-CN"/>
              </w:rPr>
              <w:t>分析报告及突发危机应对预案；鼓励学生探索</w:t>
            </w:r>
            <w:r>
              <w:rPr>
                <w:rFonts w:hint="eastAsia" w:ascii="仿宋_GB2312" w:hAnsi="仿宋_GB2312" w:eastAsia="仿宋_GB2312" w:cs="仿宋_GB2312"/>
                <w:color w:val="auto"/>
                <w:sz w:val="24"/>
                <w:szCs w:val="24"/>
                <w:highlight w:val="none"/>
              </w:rPr>
              <w:t>ESG理念在供应链管理中的实践创新。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供应链管理</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掌握供应链规划、采购、仓储、物流等核心知识，明晰链上企业协同逻辑与风险管理要点，筑牢供应链管理理论基础。</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能运用工具优化供应链流程，协调链上资源，分析并应对供应链风险，提升供应链运营效率与韧性。</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培育全局思维与跨主体协作素养，养成严谨细致的工作态度，增强供应链管理中的责任意识与创新意识。</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融诚信协作理念，渗家国情怀，引导学生关注供应链安全，树立兼顾经济与社会责任的供应链管理观。</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供应链基础概念与理论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供应链战略与规划</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市场需求预测的方法和技术，如定性预测方法和定量预测方法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采购与供应管理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生产与运营管理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物流与配送管理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库存管理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供应链绩效评估与风险管理</w:t>
            </w:r>
            <w:r>
              <w:rPr>
                <w:rFonts w:hint="eastAsia" w:ascii="仿宋_GB2312" w:hAnsi="仿宋_GB2312" w:eastAsia="仿宋_GB2312" w:cs="仿宋_GB2312"/>
                <w:color w:val="auto"/>
                <w:sz w:val="24"/>
                <w:szCs w:val="24"/>
                <w:highlight w:val="none"/>
                <w:lang w:eastAsia="zh-CN"/>
              </w:rPr>
              <w:t>。</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通过实际案例分析</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，让学生了解供应链管理在企业中的应用和实践经验，提高学生的应用能力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学生应具备较强的逻辑思维能力、分析问题和解决问题的能力，能够运用所学知识对供应链管理中的实际问题进行分析和决策。具有良好的沟通能力、团队协作能力和组织协调能力，能够在跨部门、跨企业的供应链环境中有效地开展工作。掌握一定的信息技术应用能力，提高工作效率和管理水平。鼓励学生参加各类相关竞赛、科研项目和社会实践活动，拓宽视野，增强创新意识和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管理学</w:t>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掌握管理职能、经典理论及组织运营核心逻辑，明晰决策、计划、领导等模块要点，筑牢管理学认知基础。</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能运用管理理论分析实际问题，制定可行方案，协调团队资源，提升解决组织管理问题的实操能力。</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培育系统思维与责任意识，树立科学管理理念，提升团队协作与高效沟通素养，适配管理岗位需求。</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融社会主义核心价值观，渗家国情怀与责任担当，引导学生以科学管理助力社会经济高质量发展。</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管理与管理学、 管理理论的演化、组织的概论、计划工作概述、 决策在管理中的战略、领导艺术、激励等。</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教材结合多媒体教学手段，系统讲解管理学理论知识。选取典型案例，组织学生进行分析讨论，增强学生对理论知识的理解和应用能力。其次围绕特定主题或问题，分组进行讨论，促进学生之间的交流与合作，培养团队协作能力。在掌握基本理论知识基础上通过角色扮演、管理游戏等方式，模拟真实管理情境，让学生在实践中学习和掌握管理技能。</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电子商务</w:t>
            </w:r>
            <w:r>
              <w:rPr>
                <w:rFonts w:hint="eastAsia" w:ascii="仿宋_GB2312" w:hAnsi="仿宋_GB2312" w:eastAsia="仿宋_GB2312" w:cs="仿宋_GB2312"/>
                <w:color w:val="auto"/>
                <w:sz w:val="24"/>
                <w:szCs w:val="24"/>
                <w:highlight w:val="none"/>
                <w:lang w:val="en-US" w:eastAsia="zh-CN"/>
              </w:rPr>
              <w:br w:type="textWrapping"/>
            </w:r>
          </w:p>
        </w:tc>
        <w:tc>
          <w:tcPr>
            <w:tcW w:w="407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掌握电商运营、网络营销、电子支付等核心知识，明晰电商平台规则与供应链管理逻辑，筑牢电商业务开展的理论基础。</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能搭建电商店铺、策划营销活动、分析运营数据，解决订单处理与客户服务问题，具备独立开展电商业务的能力。</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培育数字化思维与创新意识</w:t>
            </w:r>
            <w:r>
              <w:rPr>
                <w:rFonts w:hint="eastAsia" w:ascii="仿宋_GB2312" w:hAnsi="仿宋_GB2312" w:eastAsia="仿宋_GB2312" w:cs="仿宋_GB2312"/>
                <w:color w:val="auto"/>
                <w:spacing w:val="-6"/>
                <w:sz w:val="24"/>
                <w:szCs w:val="24"/>
                <w:highlight w:val="none"/>
              </w:rPr>
              <w:t>，养成严谨细致的工作态度，提升跨团队协作与应对电商市场变化的能力。</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融诚信经营与合规理念，渗家国情怀，引导学生践行电商社会责任，树立健康可持续的电商发展观。</w:t>
            </w:r>
          </w:p>
        </w:tc>
        <w:tc>
          <w:tcPr>
            <w:tcW w:w="2619"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电子商务概述、电子商务技术基础，电子商务商业模式、电子商务支付、电子商务物流、网络营销、电子商务涉及的法律法规等。</w:t>
            </w:r>
          </w:p>
        </w:tc>
        <w:tc>
          <w:tcPr>
            <w:tcW w:w="248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课程采用多种教学方法，如案例分析、项目实训、小组讨论、模拟演练等，以提高学生的实际操作能力和理</w:t>
            </w:r>
            <w:r>
              <w:rPr>
                <w:rFonts w:hint="eastAsia" w:ascii="仿宋_GB2312" w:hAnsi="仿宋_GB2312" w:eastAsia="仿宋_GB2312" w:cs="仿宋_GB2312"/>
                <w:color w:val="auto"/>
                <w:sz w:val="24"/>
                <w:szCs w:val="24"/>
                <w:highlight w:val="none"/>
                <w:lang w:eastAsia="zh-CN"/>
              </w:rPr>
              <w:t>解能</w:t>
            </w:r>
            <w:r>
              <w:rPr>
                <w:rFonts w:hint="eastAsia" w:ascii="仿宋_GB2312" w:hAnsi="仿宋_GB2312" w:eastAsia="仿宋_GB2312" w:cs="仿宋_GB2312"/>
                <w:color w:val="auto"/>
                <w:sz w:val="24"/>
                <w:szCs w:val="24"/>
                <w:highlight w:val="none"/>
              </w:rPr>
              <w:t>力。使学生掌握电子商务的基本概念、框架结构、运行环境、技术内容、交易手段与管理方法，以及电子商务应用的现实框架等内容。</w:t>
            </w:r>
          </w:p>
        </w:tc>
      </w:tr>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教学环节：毕业设计、岗位实习。</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17"/>
        <w:gridCol w:w="4312"/>
        <w:gridCol w:w="1833"/>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0" w:type="dxa"/>
            <w:vAlign w:val="center"/>
          </w:tcPr>
          <w:p>
            <w:pPr>
              <w:overflowPunct w:val="0"/>
              <w:adjustRightInd w:val="0"/>
              <w:spacing w:line="360" w:lineRule="exact"/>
              <w:jc w:val="center"/>
              <w:rPr>
                <w:rFonts w:hint="eastAsia" w:ascii="仿宋_GB2312" w:hAnsi="仿宋_GB2312" w:eastAsia="仿宋_GB2312" w:cs="仿宋_GB2312"/>
                <w:color w:val="auto"/>
                <w:sz w:val="24"/>
                <w:highlight w:val="none"/>
              </w:rPr>
            </w:pPr>
            <w:bookmarkStart w:id="9" w:name="OLE_LINK21"/>
            <w:r>
              <w:rPr>
                <w:rFonts w:hint="eastAsia" w:ascii="仿宋_GB2312" w:hAnsi="仿宋_GB2312" w:eastAsia="仿宋_GB2312" w:cs="仿宋_GB2312"/>
                <w:color w:val="auto"/>
                <w:sz w:val="24"/>
                <w:highlight w:val="none"/>
              </w:rPr>
              <w:t>序号</w:t>
            </w:r>
          </w:p>
        </w:tc>
        <w:tc>
          <w:tcPr>
            <w:tcW w:w="717" w:type="dxa"/>
            <w:vAlign w:val="center"/>
          </w:tcPr>
          <w:p>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4312" w:type="dxa"/>
            <w:vAlign w:val="center"/>
          </w:tcPr>
          <w:p>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1833" w:type="dxa"/>
            <w:vAlign w:val="center"/>
          </w:tcPr>
          <w:p>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977" w:type="dxa"/>
            <w:vAlign w:val="center"/>
          </w:tcPr>
          <w:p>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0"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1</w:t>
            </w:r>
          </w:p>
        </w:tc>
        <w:tc>
          <w:tcPr>
            <w:tcW w:w="717"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毕业设计</w:t>
            </w:r>
          </w:p>
        </w:tc>
        <w:tc>
          <w:tcPr>
            <w:tcW w:w="4312"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整合专业核心知识，掌握课题研究方法与学术规范，明晰行业前沿动态，构建系统的专业知识应用体系。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能独立开展课题调研、数据分析与方案设计，熟练撰写论文，提升解决专业实际问题的综合能力。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培育严谨治学态度与创新思维，增强责任担当，提升自主学习、团队协作及成果展示素养。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融入学术诚信与职业精神，引导学生立足行业需求，树立服务社会、助力产业发展的价值导向。</w:t>
            </w:r>
          </w:p>
        </w:tc>
        <w:tc>
          <w:tcPr>
            <w:tcW w:w="1833"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选题和资料收集；分析和计划；开题报告；撰写初稿；修改定稿；答辩。</w:t>
            </w:r>
          </w:p>
        </w:tc>
        <w:tc>
          <w:tcPr>
            <w:tcW w:w="297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指导教师根据学生的能力水平和兴趣特长，进行针对性及个别指导。同时全程跟踪学生的研究进展，及时解决学生遇到的问题；对学生在选题、研究过程、论文撰写及答辩等各个环节均提出明确要求；鼓励学生在研究中勇于探索未知领域，提出新观点、新方法，培养学生的创新意识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zh-CN"/>
              </w:rPr>
              <w:t>2</w:t>
            </w:r>
          </w:p>
        </w:tc>
        <w:tc>
          <w:tcPr>
            <w:tcW w:w="717" w:type="dxa"/>
            <w:vAlign w:val="center"/>
          </w:tcPr>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none"/>
                <w:lang w:val="zh-CN"/>
              </w:rPr>
            </w:pPr>
          </w:p>
          <w:p>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岗位实习</w:t>
            </w:r>
          </w:p>
        </w:tc>
        <w:tc>
          <w:tcPr>
            <w:tcW w:w="4312"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掌握岗位所需专业理论与实操规范，明晰行业政策及企业规章制度，理解岗位工作与其他环节的衔接逻辑。</w:t>
            </w:r>
          </w:p>
          <w:p>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能独立完成岗位核心任务，熟练运用专业工具解决实际问题，具备职场沟通协调与任务复盘优化能力。</w:t>
            </w:r>
          </w:p>
          <w:p>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养成严谨负责的工作态度与高效执行力，培育职业适应性与团队协作素养，树立终身学习意识。</w:t>
            </w:r>
          </w:p>
          <w:p>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融敬业奉献精神，守职业伦理底线，渗家国情怀，引导学生以岗位实践助力行业与社会发展。</w:t>
            </w:r>
          </w:p>
        </w:tc>
        <w:tc>
          <w:tcPr>
            <w:tcW w:w="1833"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会计岗位、出纳岗位实训</w:t>
            </w:r>
          </w:p>
        </w:tc>
        <w:tc>
          <w:tcPr>
            <w:tcW w:w="2977"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通过校企合作模式、实习导师制、实习日志与报告撰写等教学方法，让学生在真实的工作环境中锻炼技能，积累实践经验。</w:t>
            </w:r>
          </w:p>
        </w:tc>
      </w:tr>
      <w:bookmarkEnd w:id="9"/>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r>
        <w:rPr>
          <w:rFonts w:hint="eastAsia" w:ascii="楷体" w:hAnsi="楷体" w:eastAsia="楷体" w:cs="楷体"/>
          <w:color w:val="auto"/>
          <w:sz w:val="32"/>
          <w:szCs w:val="32"/>
          <w:highlight w:val="none"/>
          <w:lang w:val="en-US" w:eastAsia="zh-CN"/>
        </w:rPr>
        <w:t>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08" w:firstLineChars="200"/>
        <w:textAlignment w:val="auto"/>
        <w:outlineLvl w:val="0"/>
        <w:rPr>
          <w:rFonts w:hint="eastAsia" w:ascii="仿宋_GB2312" w:hAnsi="仿宋_GB2312" w:eastAsia="仿宋_GB2312" w:cs="仿宋_GB2312"/>
          <w:color w:val="auto"/>
          <w:spacing w:val="0"/>
          <w:w w:val="95"/>
          <w:sz w:val="32"/>
          <w:szCs w:val="32"/>
          <w:highlight w:val="none"/>
        </w:rPr>
      </w:pPr>
      <w:r>
        <w:rPr>
          <w:rFonts w:hint="eastAsia" w:ascii="仿宋_GB2312" w:hAnsi="仿宋_GB2312" w:eastAsia="仿宋_GB2312" w:cs="仿宋_GB2312"/>
          <w:color w:val="auto"/>
          <w:spacing w:val="0"/>
          <w:w w:val="95"/>
          <w:sz w:val="32"/>
          <w:szCs w:val="32"/>
          <w:highlight w:val="none"/>
        </w:rPr>
        <w:t>第二课堂</w:t>
      </w:r>
      <w:r>
        <w:rPr>
          <w:rFonts w:hint="eastAsia" w:ascii="仿宋_GB2312" w:hAnsi="仿宋_GB2312" w:eastAsia="仿宋_GB2312" w:cs="仿宋_GB2312"/>
          <w:color w:val="auto"/>
          <w:spacing w:val="0"/>
          <w:w w:val="95"/>
          <w:sz w:val="32"/>
          <w:szCs w:val="32"/>
          <w:highlight w:val="none"/>
          <w:lang w:val="en-US" w:eastAsia="zh-CN"/>
        </w:rPr>
        <w:t>素质教育课</w:t>
      </w:r>
      <w:r>
        <w:rPr>
          <w:rFonts w:hint="eastAsia" w:ascii="仿宋_GB2312" w:hAnsi="仿宋_GB2312" w:eastAsia="仿宋_GB2312" w:cs="仿宋_GB2312"/>
          <w:color w:val="auto"/>
          <w:spacing w:val="0"/>
          <w:w w:val="95"/>
          <w:sz w:val="32"/>
          <w:szCs w:val="32"/>
          <w:highlight w:val="none"/>
        </w:rPr>
        <w:t>包括思想成长、</w:t>
      </w:r>
      <w:r>
        <w:rPr>
          <w:rFonts w:hint="eastAsia" w:ascii="仿宋_GB2312" w:hAnsi="仿宋_GB2312" w:eastAsia="仿宋_GB2312" w:cs="仿宋_GB2312"/>
          <w:color w:val="auto"/>
          <w:spacing w:val="0"/>
          <w:w w:val="95"/>
          <w:sz w:val="32"/>
          <w:szCs w:val="32"/>
          <w:highlight w:val="none"/>
          <w:lang w:val="en-US" w:eastAsia="zh-CN"/>
        </w:rPr>
        <w:t>实践实习</w:t>
      </w:r>
      <w:r>
        <w:rPr>
          <w:rFonts w:hint="eastAsia" w:ascii="仿宋_GB2312" w:hAnsi="仿宋_GB2312" w:eastAsia="仿宋_GB2312" w:cs="仿宋_GB2312"/>
          <w:color w:val="auto"/>
          <w:spacing w:val="0"/>
          <w:w w:val="95"/>
          <w:sz w:val="32"/>
          <w:szCs w:val="32"/>
          <w:highlight w:val="none"/>
        </w:rPr>
        <w:t>、创新创业、</w:t>
      </w:r>
      <w:r>
        <w:rPr>
          <w:rFonts w:hint="eastAsia" w:ascii="仿宋_GB2312" w:hAnsi="仿宋_GB2312" w:eastAsia="仿宋_GB2312" w:cs="仿宋_GB2312"/>
          <w:color w:val="auto"/>
          <w:spacing w:val="0"/>
          <w:w w:val="95"/>
          <w:sz w:val="32"/>
          <w:szCs w:val="32"/>
          <w:highlight w:val="none"/>
          <w:lang w:val="en-US" w:eastAsia="zh-CN"/>
        </w:rPr>
        <w:t>志愿公益、</w:t>
      </w:r>
      <w:r>
        <w:rPr>
          <w:rFonts w:hint="eastAsia" w:ascii="仿宋_GB2312" w:hAnsi="仿宋_GB2312" w:eastAsia="仿宋_GB2312" w:cs="仿宋_GB2312"/>
          <w:color w:val="auto"/>
          <w:spacing w:val="0"/>
          <w:w w:val="95"/>
          <w:sz w:val="32"/>
          <w:szCs w:val="32"/>
          <w:highlight w:val="none"/>
        </w:rPr>
        <w:t>文体</w:t>
      </w:r>
      <w:r>
        <w:rPr>
          <w:rFonts w:hint="eastAsia" w:ascii="仿宋_GB2312" w:hAnsi="仿宋_GB2312" w:eastAsia="仿宋_GB2312" w:cs="仿宋_GB2312"/>
          <w:color w:val="auto"/>
          <w:spacing w:val="0"/>
          <w:w w:val="95"/>
          <w:sz w:val="32"/>
          <w:szCs w:val="32"/>
          <w:highlight w:val="none"/>
          <w:lang w:val="en-US" w:eastAsia="zh-CN"/>
        </w:rPr>
        <w:t>活动</w:t>
      </w:r>
      <w:r>
        <w:rPr>
          <w:rFonts w:hint="eastAsia" w:ascii="仿宋_GB2312" w:hAnsi="仿宋_GB2312" w:eastAsia="仿宋_GB2312" w:cs="仿宋_GB2312"/>
          <w:color w:val="auto"/>
          <w:spacing w:val="0"/>
          <w:w w:val="95"/>
          <w:sz w:val="32"/>
          <w:szCs w:val="32"/>
          <w:highlight w:val="none"/>
        </w:rPr>
        <w:t>、工作履历</w:t>
      </w:r>
      <w:r>
        <w:rPr>
          <w:rFonts w:hint="eastAsia" w:ascii="仿宋_GB2312" w:hAnsi="仿宋_GB2312" w:eastAsia="仿宋_GB2312" w:cs="仿宋_GB2312"/>
          <w:color w:val="auto"/>
          <w:spacing w:val="0"/>
          <w:w w:val="95"/>
          <w:sz w:val="32"/>
          <w:szCs w:val="32"/>
          <w:highlight w:val="none"/>
          <w:lang w:eastAsia="zh-CN"/>
        </w:rPr>
        <w:t>、</w:t>
      </w:r>
      <w:r>
        <w:rPr>
          <w:rFonts w:hint="eastAsia" w:ascii="仿宋_GB2312" w:hAnsi="仿宋_GB2312" w:eastAsia="仿宋_GB2312" w:cs="仿宋_GB2312"/>
          <w:color w:val="auto"/>
          <w:spacing w:val="0"/>
          <w:w w:val="95"/>
          <w:sz w:val="32"/>
          <w:szCs w:val="32"/>
          <w:highlight w:val="none"/>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第二课堂素质教育课安排表</w:t>
      </w:r>
    </w:p>
    <w:tbl>
      <w:tblPr>
        <w:tblStyle w:val="8"/>
        <w:tblW w:w="104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3571"/>
        <w:gridCol w:w="879"/>
        <w:gridCol w:w="1012"/>
        <w:gridCol w:w="1039"/>
        <w:gridCol w:w="1235"/>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4" w:type="dxa"/>
            <w:vAlign w:val="center"/>
          </w:tcPr>
          <w:p>
            <w:pPr>
              <w:overflowPunct w:val="0"/>
              <w:adjustRightInd w:val="0"/>
              <w:spacing w:line="36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模块</w:t>
            </w:r>
          </w:p>
        </w:tc>
        <w:tc>
          <w:tcPr>
            <w:tcW w:w="3571" w:type="dxa"/>
            <w:vAlign w:val="center"/>
          </w:tcPr>
          <w:p>
            <w:pPr>
              <w:spacing w:line="36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szCs w:val="24"/>
                <w:highlight w:val="none"/>
                <w:lang w:val="en-US" w:eastAsia="zh-CN"/>
              </w:rPr>
              <w:t>内容</w:t>
            </w:r>
          </w:p>
        </w:tc>
        <w:tc>
          <w:tcPr>
            <w:tcW w:w="879" w:type="dxa"/>
            <w:vAlign w:val="center"/>
          </w:tcPr>
          <w:p>
            <w:pPr>
              <w:spacing w:line="360" w:lineRule="exact"/>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性质</w:t>
            </w:r>
          </w:p>
        </w:tc>
        <w:tc>
          <w:tcPr>
            <w:tcW w:w="1012" w:type="dxa"/>
            <w:vAlign w:val="center"/>
          </w:tcPr>
          <w:p>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组织者</w:t>
            </w:r>
          </w:p>
        </w:tc>
        <w:tc>
          <w:tcPr>
            <w:tcW w:w="1039" w:type="dxa"/>
            <w:vAlign w:val="center"/>
          </w:tcPr>
          <w:p>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认定者</w:t>
            </w:r>
          </w:p>
        </w:tc>
        <w:tc>
          <w:tcPr>
            <w:tcW w:w="1235" w:type="dxa"/>
            <w:vAlign w:val="center"/>
          </w:tcPr>
          <w:p>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计分标准</w:t>
            </w:r>
          </w:p>
        </w:tc>
        <w:tc>
          <w:tcPr>
            <w:tcW w:w="1416" w:type="dxa"/>
            <w:vAlign w:val="center"/>
          </w:tcPr>
          <w:p>
            <w:pPr>
              <w:spacing w:line="360" w:lineRule="exact"/>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思想成长</w:t>
            </w:r>
          </w:p>
        </w:tc>
        <w:tc>
          <w:tcPr>
            <w:tcW w:w="3571"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1.思想政治教育</w:t>
            </w:r>
            <w:r>
              <w:rPr>
                <w:rFonts w:hint="eastAsia" w:ascii="仿宋_GB2312" w:hAnsi="仿宋_GB2312" w:eastAsia="仿宋_GB2312" w:cs="仿宋_GB2312"/>
                <w:b w:val="0"/>
                <w:bCs w:val="0"/>
                <w:color w:val="000000"/>
                <w:sz w:val="24"/>
                <w:szCs w:val="24"/>
                <w:highlight w:val="none"/>
              </w:rPr>
              <w:t>主题</w:t>
            </w:r>
            <w:r>
              <w:rPr>
                <w:rFonts w:hint="eastAsia" w:ascii="仿宋_GB2312" w:hAnsi="仿宋_GB2312" w:eastAsia="仿宋_GB2312" w:cs="仿宋_GB2312"/>
                <w:b w:val="0"/>
                <w:bCs w:val="0"/>
                <w:color w:val="000000"/>
                <w:sz w:val="24"/>
                <w:szCs w:val="24"/>
                <w:highlight w:val="none"/>
                <w:lang w:val="en-US" w:eastAsia="zh-CN"/>
              </w:rPr>
              <w:t>讲</w:t>
            </w:r>
            <w:r>
              <w:rPr>
                <w:rFonts w:hint="eastAsia" w:ascii="仿宋_GB2312" w:hAnsi="仿宋_GB2312" w:eastAsia="仿宋_GB2312" w:cs="仿宋_GB2312"/>
                <w:b w:val="0"/>
                <w:bCs w:val="0"/>
                <w:color w:val="000000"/>
                <w:sz w:val="24"/>
                <w:szCs w:val="24"/>
                <w:highlight w:val="none"/>
              </w:rPr>
              <w:t>座、形势与政策报告会</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爱国主义教育活动</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党团组织生活</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党团培训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青年大学习</w:t>
            </w:r>
          </w:p>
        </w:tc>
        <w:tc>
          <w:tcPr>
            <w:tcW w:w="87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2"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校团委</w:t>
            </w:r>
          </w:p>
        </w:tc>
        <w:tc>
          <w:tcPr>
            <w:tcW w:w="123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416"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第二课堂成绩</w:t>
            </w:r>
            <w:r>
              <w:rPr>
                <w:rFonts w:hint="eastAsia" w:ascii="仿宋_GB2312" w:hAnsi="仿宋_GB2312" w:eastAsia="仿宋_GB2312" w:cs="仿宋_GB2312"/>
                <w:b w:val="0"/>
                <w:bCs w:val="0"/>
                <w:color w:val="000000"/>
                <w:sz w:val="24"/>
                <w:szCs w:val="24"/>
                <w:highlight w:val="none"/>
                <w:lang w:val="en-US" w:eastAsia="zh-CN"/>
              </w:rPr>
              <w:t>由</w:t>
            </w:r>
            <w:r>
              <w:rPr>
                <w:rFonts w:hint="eastAsia" w:ascii="仿宋_GB2312" w:hAnsi="仿宋_GB2312" w:eastAsia="仿宋_GB2312" w:cs="仿宋_GB2312"/>
                <w:b w:val="0"/>
                <w:bCs w:val="0"/>
                <w:color w:val="000000"/>
                <w:sz w:val="24"/>
                <w:szCs w:val="24"/>
                <w:highlight w:val="none"/>
              </w:rPr>
              <w:t xml:space="preserve">网络管理系 统（到梦 空间）实 时记录，学生在大一、 </w:t>
            </w:r>
            <w:r>
              <w:rPr>
                <w:rFonts w:hint="eastAsia" w:ascii="仿宋_GB2312" w:hAnsi="仿宋_GB2312" w:eastAsia="仿宋_GB2312" w:cs="仿宋_GB2312"/>
                <w:b w:val="0"/>
                <w:bCs w:val="0"/>
                <w:color w:val="000000"/>
                <w:sz w:val="24"/>
                <w:szCs w:val="24"/>
                <w:highlight w:val="none"/>
                <w:lang w:val="en-US" w:eastAsia="zh-CN"/>
              </w:rPr>
              <w:t>大</w:t>
            </w:r>
            <w:r>
              <w:rPr>
                <w:rFonts w:hint="eastAsia" w:ascii="仿宋_GB2312" w:hAnsi="仿宋_GB2312" w:eastAsia="仿宋_GB2312" w:cs="仿宋_GB2312"/>
                <w:b w:val="0"/>
                <w:bCs w:val="0"/>
                <w:color w:val="000000"/>
                <w:sz w:val="24"/>
                <w:szCs w:val="24"/>
                <w:highlight w:val="none"/>
              </w:rPr>
              <w:t>二期间</w:t>
            </w:r>
            <w:r>
              <w:rPr>
                <w:rFonts w:hint="eastAsia" w:ascii="仿宋_GB2312" w:hAnsi="仿宋_GB2312" w:eastAsia="仿宋_GB2312" w:cs="仿宋_GB2312"/>
                <w:b w:val="0"/>
                <w:bCs w:val="0"/>
                <w:color w:val="000000"/>
                <w:sz w:val="24"/>
                <w:szCs w:val="24"/>
                <w:highlight w:val="none"/>
                <w:lang w:val="en-US" w:eastAsia="zh-CN"/>
              </w:rPr>
              <w:t>积分达60分及以上，可获4</w:t>
            </w:r>
            <w:r>
              <w:rPr>
                <w:rFonts w:hint="eastAsia" w:ascii="仿宋_GB2312" w:hAnsi="仿宋_GB2312" w:eastAsia="仿宋_GB2312" w:cs="仿宋_GB2312"/>
                <w:b w:val="0"/>
                <w:bCs w:val="0"/>
                <w:color w:val="000000"/>
                <w:sz w:val="24"/>
                <w:szCs w:val="24"/>
                <w:highlight w:val="none"/>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实践</w:t>
            </w:r>
            <w:r>
              <w:rPr>
                <w:rFonts w:hint="eastAsia" w:ascii="仿宋_GB2312" w:hAnsi="仿宋_GB2312" w:eastAsia="仿宋_GB2312" w:cs="仿宋_GB2312"/>
                <w:color w:val="auto"/>
                <w:sz w:val="24"/>
                <w:szCs w:val="24"/>
                <w:highlight w:val="none"/>
                <w:lang w:val="en-US" w:eastAsia="zh-CN"/>
              </w:rPr>
              <w:t>实习</w:t>
            </w:r>
          </w:p>
        </w:tc>
        <w:tc>
          <w:tcPr>
            <w:tcW w:w="3571"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w:t>
            </w:r>
            <w:r>
              <w:rPr>
                <w:rFonts w:hint="eastAsia" w:ascii="仿宋_GB2312" w:hAnsi="仿宋_GB2312" w:eastAsia="仿宋_GB2312" w:cs="仿宋_GB2312"/>
                <w:b w:val="0"/>
                <w:bCs w:val="0"/>
                <w:color w:val="000000"/>
                <w:sz w:val="24"/>
                <w:szCs w:val="24"/>
                <w:highlight w:val="none"/>
              </w:rPr>
              <w:t xml:space="preserve">暑期“三下乡”社会实践活动 </w:t>
            </w: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 xml:space="preserve">寒暑假“返家乡”实践活动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 xml:space="preserve">企业见习实践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 xml:space="preserve">上级、校院交予专项工作项目实践活动含兼挂职锻炼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新闻宣传报道被学校、学院采用或转发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7</w:t>
            </w:r>
            <w:r>
              <w:rPr>
                <w:rFonts w:hint="eastAsia" w:ascii="仿宋_GB2312" w:hAnsi="仿宋_GB2312" w:eastAsia="仿宋_GB2312" w:cs="仿宋_GB2312"/>
                <w:b w:val="0"/>
                <w:bCs w:val="0"/>
                <w:color w:val="000000"/>
                <w:sz w:val="24"/>
                <w:szCs w:val="24"/>
                <w:highlight w:val="none"/>
              </w:rPr>
              <w:t xml:space="preserve">.劳动精神、劳模精神、工匠精神专题教育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8.</w:t>
            </w:r>
            <w:r>
              <w:rPr>
                <w:rFonts w:hint="eastAsia" w:ascii="仿宋_GB2312" w:hAnsi="仿宋_GB2312" w:eastAsia="仿宋_GB2312" w:cs="仿宋_GB2312"/>
                <w:b w:val="0"/>
                <w:bCs w:val="0"/>
                <w:color w:val="000000"/>
                <w:sz w:val="24"/>
                <w:szCs w:val="24"/>
                <w:highlight w:val="none"/>
              </w:rPr>
              <w:t>实践活动的相关荣誉</w:t>
            </w:r>
          </w:p>
        </w:tc>
        <w:tc>
          <w:tcPr>
            <w:tcW w:w="87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2"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41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创新创业</w:t>
            </w:r>
          </w:p>
        </w:tc>
        <w:tc>
          <w:tcPr>
            <w:tcW w:w="3571"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 xml:space="preserve">发表文章、出版专著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 xml:space="preserve">发明专利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 xml:space="preserve">创新创业项目竞赛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 xml:space="preserve">创新创业项目培训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 xml:space="preserve">创新创业课程、讲座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自主创业</w:t>
            </w:r>
          </w:p>
        </w:tc>
        <w:tc>
          <w:tcPr>
            <w:tcW w:w="87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2"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41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志愿公益</w:t>
            </w:r>
          </w:p>
        </w:tc>
        <w:tc>
          <w:tcPr>
            <w:tcW w:w="3571"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1.校级、学院、社团、班级等学生组织开展的志愿服务活动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2.无偿献血活动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3.捐献造血干细胞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 xml:space="preserve">公益劳动 </w:t>
            </w:r>
          </w:p>
        </w:tc>
        <w:tc>
          <w:tcPr>
            <w:tcW w:w="87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2"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41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4"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 xml:space="preserve">文体活动 </w:t>
            </w:r>
          </w:p>
        </w:tc>
        <w:tc>
          <w:tcPr>
            <w:tcW w:w="3571"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1.文艺竞赛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2.体育竞赛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3.文艺演出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4.体育活动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5.文体讲座</w:t>
            </w:r>
          </w:p>
        </w:tc>
        <w:tc>
          <w:tcPr>
            <w:tcW w:w="87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2"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41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4"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 xml:space="preserve">工作履历 </w:t>
            </w:r>
          </w:p>
        </w:tc>
        <w:tc>
          <w:tcPr>
            <w:tcW w:w="3571"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4.社会任职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5.退伍军人</w:t>
            </w:r>
          </w:p>
        </w:tc>
        <w:tc>
          <w:tcPr>
            <w:tcW w:w="87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2"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41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4"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技能特长 </w:t>
            </w:r>
          </w:p>
        </w:tc>
        <w:tc>
          <w:tcPr>
            <w:tcW w:w="3571"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1.职业资格证书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2.职业技能证书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4.从业人员上岗资格证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5.技能比赛获奖</w:t>
            </w:r>
          </w:p>
        </w:tc>
        <w:tc>
          <w:tcPr>
            <w:tcW w:w="87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2"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41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4"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其他</w:t>
            </w:r>
          </w:p>
        </w:tc>
        <w:tc>
          <w:tcPr>
            <w:tcW w:w="3571"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1.其他证书（社会职业类证书）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2.校内各单位其他类型活动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3.升旗仪式工作人员</w:t>
            </w:r>
          </w:p>
        </w:tc>
        <w:tc>
          <w:tcPr>
            <w:tcW w:w="87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2"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39"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41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ascii="黑体" w:hAnsi="黑体" w:eastAsia="黑体"/>
          <w:color w:val="auto"/>
          <w:sz w:val="32"/>
          <w:szCs w:val="32"/>
          <w:highlight w:val="none"/>
        </w:rPr>
        <w:t>、教学进程总体安排</w:t>
      </w: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 xml:space="preserve">（一）教学环节分配表 </w:t>
      </w:r>
    </w:p>
    <w:p>
      <w:pPr>
        <w:keepNext w:val="0"/>
        <w:keepLines w:val="0"/>
        <w:pageBreakBefore w:val="0"/>
        <w:widowControl w:val="0"/>
        <w:kinsoku/>
        <w:wordWrap/>
        <w:topLinePunct w:val="0"/>
        <w:autoSpaceDE/>
        <w:autoSpaceDN/>
        <w:bidi w:val="0"/>
        <w:snapToGrid/>
        <w:spacing w:after="0" w:line="52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教学周数分配表每学期总周数合计应为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周，各学期教学周数应与教学计划进程表一致，军训、入学教育、考试环节、实习开展、毕业设计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社会实践及毕业教育</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学期合计周数</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20周。</w:t>
      </w: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8 </w:t>
      </w:r>
      <w:r>
        <w:rPr>
          <w:rFonts w:hint="eastAsia" w:ascii="仿宋_GB2312" w:hAnsi="仿宋_GB2312" w:eastAsia="仿宋_GB2312" w:cs="仿宋_GB2312"/>
          <w:color w:val="auto"/>
          <w:sz w:val="32"/>
          <w:szCs w:val="32"/>
          <w:highlight w:val="none"/>
        </w:rPr>
        <w:t>教育活动时间分配表（单位：周）</w:t>
      </w:r>
    </w:p>
    <w:tbl>
      <w:tblPr>
        <w:tblStyle w:val="8"/>
        <w:tblW w:w="5551" w:type="pct"/>
        <w:tblInd w:w="-5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1"/>
        <w:gridCol w:w="1230"/>
        <w:gridCol w:w="1108"/>
        <w:gridCol w:w="1108"/>
        <w:gridCol w:w="1108"/>
        <w:gridCol w:w="1108"/>
        <w:gridCol w:w="1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51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spacing w:after="0" w:line="240" w:lineRule="auto"/>
              <w:rPr>
                <w:rFonts w:hint="eastAsia" w:ascii="仿宋_GB2312" w:hAnsi="仿宋_GB2312" w:eastAsia="仿宋_GB2312" w:cs="仿宋_GB2312"/>
                <w:color w:val="auto"/>
                <w:sz w:val="24"/>
                <w:szCs w:val="24"/>
                <w:highlight w:val="none"/>
              </w:rPr>
            </w:pPr>
          </w:p>
          <w:p>
            <w:pPr>
              <w:spacing w:after="0" w:line="240" w:lineRule="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pPr>
              <w:spacing w:after="0" w:line="24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pPr>
              <w:spacing w:after="0" w:line="240" w:lineRule="auto"/>
              <w:rPr>
                <w:rFonts w:hint="eastAsia" w:ascii="仿宋_GB2312" w:hAnsi="仿宋_GB2312" w:eastAsia="仿宋_GB2312" w:cs="仿宋_GB2312"/>
                <w:color w:val="auto"/>
                <w:sz w:val="24"/>
                <w:szCs w:val="24"/>
                <w:highlight w:val="none"/>
                <w:lang w:val="en-US" w:eastAsia="zh-CN"/>
              </w:rPr>
            </w:pP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pPr>
              <w:spacing w:after="0" w:line="240" w:lineRule="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133" w:type="pct"/>
            <w:gridSpan w:val="2"/>
            <w:vAlign w:val="center"/>
          </w:tcPr>
          <w:p>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074" w:type="pct"/>
            <w:gridSpan w:val="2"/>
            <w:vAlign w:val="center"/>
          </w:tcPr>
          <w:p>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274" w:type="pct"/>
            <w:gridSpan w:val="2"/>
            <w:vAlign w:val="center"/>
          </w:tcPr>
          <w:p>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17" w:type="pct"/>
            <w:vMerge w:val="continue"/>
          </w:tcPr>
          <w:p>
            <w:pPr>
              <w:spacing w:after="0" w:line="240" w:lineRule="auto"/>
              <w:rPr>
                <w:rFonts w:hint="eastAsia" w:ascii="仿宋_GB2312" w:hAnsi="仿宋_GB2312" w:eastAsia="仿宋_GB2312" w:cs="仿宋_GB2312"/>
                <w:sz w:val="24"/>
                <w:szCs w:val="24"/>
                <w:highlight w:val="none"/>
              </w:rPr>
            </w:pPr>
          </w:p>
        </w:tc>
        <w:tc>
          <w:tcPr>
            <w:tcW w:w="59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3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517"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课堂教学</w:t>
            </w:r>
          </w:p>
        </w:tc>
        <w:tc>
          <w:tcPr>
            <w:tcW w:w="59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1-18</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736"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17"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考试</w:t>
            </w:r>
          </w:p>
        </w:tc>
        <w:tc>
          <w:tcPr>
            <w:tcW w:w="59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19-20</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736"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17"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军训</w:t>
            </w:r>
          </w:p>
        </w:tc>
        <w:tc>
          <w:tcPr>
            <w:tcW w:w="59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736"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1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入学教育</w:t>
            </w:r>
          </w:p>
        </w:tc>
        <w:tc>
          <w:tcPr>
            <w:tcW w:w="59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736"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1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毕业设计</w:t>
            </w:r>
          </w:p>
        </w:tc>
        <w:tc>
          <w:tcPr>
            <w:tcW w:w="59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736"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17"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岗位实习</w:t>
            </w:r>
          </w:p>
        </w:tc>
        <w:tc>
          <w:tcPr>
            <w:tcW w:w="596" w:type="pct"/>
            <w:vAlign w:val="center"/>
          </w:tcPr>
          <w:p>
            <w:pPr>
              <w:spacing w:after="0" w:line="240" w:lineRule="auto"/>
              <w:jc w:val="center"/>
              <w:rPr>
                <w:rFonts w:hint="eastAsia" w:ascii="仿宋_GB2312" w:hAnsi="仿宋_GB2312" w:eastAsia="仿宋_GB2312" w:cs="仿宋_GB2312"/>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73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1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596"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73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17" w:type="pct"/>
            <w:vAlign w:val="center"/>
          </w:tcPr>
          <w:p>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毕业教育</w:t>
            </w:r>
          </w:p>
        </w:tc>
        <w:tc>
          <w:tcPr>
            <w:tcW w:w="596" w:type="pct"/>
            <w:vAlign w:val="center"/>
          </w:tcPr>
          <w:p>
            <w:pPr>
              <w:spacing w:after="0" w:line="240" w:lineRule="auto"/>
              <w:jc w:val="center"/>
              <w:rPr>
                <w:rFonts w:hint="eastAsia" w:ascii="仿宋_GB2312" w:hAnsi="仿宋_GB2312" w:eastAsia="仿宋_GB2312" w:cs="仿宋_GB2312"/>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73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517" w:type="pct"/>
            <w:vAlign w:val="center"/>
          </w:tcPr>
          <w:p>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学期教学总周数</w:t>
            </w:r>
          </w:p>
        </w:tc>
        <w:tc>
          <w:tcPr>
            <w:tcW w:w="596" w:type="pct"/>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37"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73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outlineLvl w:val="1"/>
        <w:rPr>
          <w:rFonts w:hint="eastAsia" w:ascii="楷体" w:hAnsi="楷体" w:eastAsia="楷体" w:cs="楷体"/>
          <w:bCs/>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bCs/>
          <w:color w:val="auto"/>
          <w:sz w:val="32"/>
          <w:szCs w:val="32"/>
          <w:highlight w:val="none"/>
        </w:rPr>
        <w:t>课程结构与学时、学分分配</w:t>
      </w: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本专业教学总学时为</w:t>
      </w:r>
      <w:r>
        <w:rPr>
          <w:rFonts w:hint="eastAsia" w:ascii="仿宋_GB2312" w:hAnsi="仿宋_GB2312" w:eastAsia="仿宋_GB2312" w:cs="仿宋_GB2312"/>
          <w:bCs/>
          <w:color w:val="auto"/>
          <w:sz w:val="32"/>
          <w:szCs w:val="32"/>
          <w:highlight w:val="none"/>
          <w:lang w:val="en-US" w:eastAsia="zh-CN"/>
        </w:rPr>
        <w:t>2658</w:t>
      </w:r>
      <w:r>
        <w:rPr>
          <w:rFonts w:hint="eastAsia" w:ascii="仿宋_GB2312" w:hAnsi="仿宋_GB2312" w:eastAsia="仿宋_GB2312" w:cs="仿宋_GB2312"/>
          <w:bCs/>
          <w:color w:val="auto"/>
          <w:sz w:val="32"/>
          <w:szCs w:val="32"/>
          <w:highlight w:val="none"/>
        </w:rPr>
        <w:t>学时。其中理论教学</w:t>
      </w:r>
      <w:r>
        <w:rPr>
          <w:rFonts w:hint="eastAsia" w:ascii="仿宋_GB2312" w:hAnsi="仿宋_GB2312" w:eastAsia="仿宋_GB2312" w:cs="仿宋_GB2312"/>
          <w:bCs/>
          <w:color w:val="auto"/>
          <w:sz w:val="32"/>
          <w:szCs w:val="32"/>
          <w:highlight w:val="none"/>
          <w:lang w:val="en-US" w:eastAsia="zh-CN"/>
        </w:rPr>
        <w:t>1322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49.74</w:t>
      </w:r>
      <w:r>
        <w:rPr>
          <w:rFonts w:hint="eastAsia" w:ascii="仿宋_GB2312" w:hAnsi="仿宋_GB2312" w:eastAsia="仿宋_GB2312" w:cs="仿宋_GB2312"/>
          <w:bCs/>
          <w:color w:val="auto"/>
          <w:sz w:val="32"/>
          <w:szCs w:val="32"/>
          <w:highlight w:val="none"/>
        </w:rPr>
        <w:t>%；实践教学</w:t>
      </w:r>
      <w:r>
        <w:rPr>
          <w:rFonts w:hint="eastAsia" w:ascii="仿宋_GB2312" w:hAnsi="仿宋_GB2312" w:eastAsia="仿宋_GB2312" w:cs="仿宋_GB2312"/>
          <w:bCs/>
          <w:color w:val="auto"/>
          <w:sz w:val="32"/>
          <w:szCs w:val="32"/>
          <w:highlight w:val="none"/>
          <w:lang w:val="en-US" w:eastAsia="zh-CN"/>
        </w:rPr>
        <w:t>1336</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50.26</w:t>
      </w:r>
      <w:r>
        <w:rPr>
          <w:rFonts w:hint="eastAsia" w:ascii="仿宋_GB2312" w:hAnsi="仿宋_GB2312" w:eastAsia="仿宋_GB2312" w:cs="仿宋_GB2312"/>
          <w:bCs/>
          <w:color w:val="auto"/>
          <w:sz w:val="32"/>
          <w:szCs w:val="32"/>
          <w:highlight w:val="none"/>
        </w:rPr>
        <w:t>%，其中岗位实习累计时间6个月。公共基础课</w:t>
      </w:r>
      <w:r>
        <w:rPr>
          <w:rFonts w:hint="eastAsia" w:ascii="仿宋_GB2312" w:hAnsi="仿宋_GB2312" w:eastAsia="仿宋_GB2312" w:cs="仿宋_GB2312"/>
          <w:bCs/>
          <w:color w:val="auto"/>
          <w:sz w:val="32"/>
          <w:szCs w:val="32"/>
          <w:highlight w:val="none"/>
          <w:lang w:val="en-US" w:eastAsia="zh-CN"/>
        </w:rPr>
        <w:t>922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34.69</w:t>
      </w:r>
      <w:r>
        <w:rPr>
          <w:rFonts w:hint="eastAsia" w:ascii="仿宋_GB2312" w:hAnsi="仿宋_GB2312" w:eastAsia="仿宋_GB2312" w:cs="仿宋_GB2312"/>
          <w:bCs/>
          <w:color w:val="auto"/>
          <w:sz w:val="32"/>
          <w:szCs w:val="32"/>
          <w:highlight w:val="none"/>
        </w:rPr>
        <w:t>%；选修课</w:t>
      </w:r>
      <w:r>
        <w:rPr>
          <w:rFonts w:hint="eastAsia" w:ascii="仿宋_GB2312" w:hAnsi="仿宋_GB2312" w:eastAsia="仿宋_GB2312" w:cs="仿宋_GB2312"/>
          <w:bCs/>
          <w:color w:val="auto"/>
          <w:sz w:val="32"/>
          <w:szCs w:val="32"/>
          <w:highlight w:val="none"/>
          <w:lang w:val="en-US" w:eastAsia="zh-CN"/>
        </w:rPr>
        <w:t>272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10.23</w:t>
      </w:r>
      <w:r>
        <w:rPr>
          <w:rFonts w:hint="eastAsia" w:ascii="仿宋_GB2312" w:hAnsi="仿宋_GB2312" w:eastAsia="仿宋_GB2312" w:cs="仿宋_GB2312"/>
          <w:bCs/>
          <w:color w:val="auto"/>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9 </w:t>
      </w:r>
      <w:r>
        <w:rPr>
          <w:rFonts w:hint="eastAsia" w:ascii="仿宋_GB2312" w:hAnsi="仿宋_GB2312" w:eastAsia="仿宋_GB2312" w:cs="仿宋_GB2312"/>
          <w:color w:val="auto"/>
          <w:spacing w:val="-2"/>
          <w:sz w:val="32"/>
          <w:szCs w:val="32"/>
          <w:highlight w:val="none"/>
        </w:rPr>
        <w:t>课程学时、学分分配表</w:t>
      </w:r>
    </w:p>
    <w:tbl>
      <w:tblPr>
        <w:tblStyle w:val="7"/>
        <w:tblW w:w="103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5"/>
        <w:gridCol w:w="1699"/>
        <w:gridCol w:w="1276"/>
        <w:gridCol w:w="715"/>
        <w:gridCol w:w="1115"/>
        <w:gridCol w:w="892"/>
        <w:gridCol w:w="838"/>
        <w:gridCol w:w="1122"/>
        <w:gridCol w:w="735"/>
        <w:gridCol w:w="9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 w:hRule="atLeast"/>
          <w:jc w:val="center"/>
        </w:trPr>
        <w:tc>
          <w:tcPr>
            <w:tcW w:w="26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iCs w:val="0"/>
                <w:color w:val="000000"/>
                <w:kern w:val="0"/>
                <w:sz w:val="20"/>
                <w:szCs w:val="20"/>
                <w:highlight w:val="none"/>
                <w:u w:val="none"/>
                <w:lang w:val="en-US" w:eastAsia="zh-CN" w:bidi="ar"/>
              </w:rPr>
              <w:t>课程类别</w:t>
            </w: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iCs w:val="0"/>
                <w:color w:val="000000"/>
                <w:kern w:val="0"/>
                <w:sz w:val="20"/>
                <w:szCs w:val="20"/>
                <w:highlight w:val="none"/>
                <w:u w:val="none"/>
                <w:lang w:val="en-US" w:eastAsia="zh-CN" w:bidi="ar"/>
              </w:rPr>
              <w:t>课程性质</w:t>
            </w: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学分</w:t>
            </w:r>
          </w:p>
        </w:tc>
        <w:tc>
          <w:tcPr>
            <w:tcW w:w="11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占专业总学分比例</w:t>
            </w:r>
          </w:p>
        </w:tc>
        <w:tc>
          <w:tcPr>
            <w:tcW w:w="455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 w:hRule="atLeast"/>
          <w:jc w:val="center"/>
        </w:trPr>
        <w:tc>
          <w:tcPr>
            <w:tcW w:w="26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8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合计</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理论教学</w:t>
            </w:r>
          </w:p>
        </w:tc>
        <w:tc>
          <w:tcPr>
            <w:tcW w:w="17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26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11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8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学时</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占专业总学时比例（%）</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学时</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 w:hRule="atLeast"/>
          <w:jc w:val="center"/>
        </w:trPr>
        <w:tc>
          <w:tcPr>
            <w:tcW w:w="26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公共基础课</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42</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29.79%</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794</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454</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17.08%</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340</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26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sz w:val="24"/>
                <w:szCs w:val="24"/>
                <w:highlight w:val="none"/>
                <w:lang w:val="en-US" w:eastAsia="zh-CN"/>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5.67%</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128</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80</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3.01%</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48</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 w:hRule="atLeast"/>
          <w:jc w:val="center"/>
        </w:trPr>
        <w:tc>
          <w:tcPr>
            <w:tcW w:w="26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sz w:val="24"/>
                <w:szCs w:val="24"/>
                <w:highlight w:val="none"/>
                <w:lang w:val="en-US" w:eastAsia="zh-CN"/>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50</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35.46%</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922</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534</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20.09%</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388</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14.60%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 w:hRule="atLeast"/>
          <w:jc w:val="center"/>
        </w:trPr>
        <w:tc>
          <w:tcPr>
            <w:tcW w:w="99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专业课</w:t>
            </w: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专业基础课</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26</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18.44%</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468</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384</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14.45%</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84</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 w:hRule="atLeast"/>
          <w:jc w:val="center"/>
        </w:trPr>
        <w:tc>
          <w:tcPr>
            <w:tcW w:w="99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sz w:val="24"/>
                <w:szCs w:val="24"/>
                <w:highlight w:val="none"/>
                <w:lang w:val="en-US" w:eastAsia="zh-CN"/>
              </w:rPr>
            </w:pP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专业核心课</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34</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24.11%</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612</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312</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11.74%</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300</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99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sz w:val="24"/>
                <w:szCs w:val="24"/>
                <w:highlight w:val="none"/>
                <w:lang w:val="en-US" w:eastAsia="zh-CN"/>
              </w:rPr>
            </w:pP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专业拓展课</w:t>
            </w: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5.67%</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144</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72</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2.71%</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72</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99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p>
        </w:tc>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iCs w:val="0"/>
                <w:color w:val="000000"/>
                <w:sz w:val="20"/>
                <w:szCs w:val="20"/>
                <w:highlight w:val="none"/>
                <w:u w:val="none"/>
              </w:rPr>
              <w:t>实践</w:t>
            </w:r>
            <w:r>
              <w:rPr>
                <w:rFonts w:hint="eastAsia" w:ascii="仿宋_GB2312" w:hAnsi="仿宋_GB2312" w:eastAsia="仿宋_GB2312" w:cs="仿宋_GB2312"/>
                <w:i w:val="0"/>
                <w:iCs w:val="0"/>
                <w:color w:val="000000"/>
                <w:sz w:val="20"/>
                <w:szCs w:val="20"/>
                <w:highlight w:val="none"/>
                <w:u w:val="none"/>
                <w:lang w:val="en-US" w:eastAsia="zh-CN"/>
              </w:rPr>
              <w:t>性</w:t>
            </w:r>
            <w:r>
              <w:rPr>
                <w:rFonts w:hint="eastAsia" w:ascii="仿宋_GB2312" w:hAnsi="仿宋_GB2312" w:eastAsia="仿宋_GB2312" w:cs="仿宋_GB2312"/>
                <w:i w:val="0"/>
                <w:iCs w:val="0"/>
                <w:color w:val="000000"/>
                <w:sz w:val="20"/>
                <w:szCs w:val="20"/>
                <w:highlight w:val="none"/>
                <w:u w:val="none"/>
              </w:rPr>
              <w:t>教学环节</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23</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16.31%</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512</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0.75%</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492</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18.51%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99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p>
        </w:tc>
        <w:tc>
          <w:tcPr>
            <w:tcW w:w="2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91</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64.54%</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1736</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788</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29.65%</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948</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35.67%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97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合计</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141</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100.00%</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2658</w:t>
            </w:r>
          </w:p>
        </w:tc>
        <w:tc>
          <w:tcPr>
            <w:tcW w:w="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1322</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49.74%</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1336</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50.26%</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教学计划进程</w:t>
      </w:r>
    </w:p>
    <w:p>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10 </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7"/>
        <w:tblW w:w="578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382"/>
        <w:gridCol w:w="480"/>
        <w:gridCol w:w="485"/>
        <w:gridCol w:w="1350"/>
        <w:gridCol w:w="1639"/>
        <w:gridCol w:w="750"/>
        <w:gridCol w:w="1012"/>
        <w:gridCol w:w="812"/>
        <w:gridCol w:w="802"/>
        <w:gridCol w:w="402"/>
        <w:gridCol w:w="324"/>
        <w:gridCol w:w="325"/>
        <w:gridCol w:w="337"/>
        <w:gridCol w:w="347"/>
        <w:gridCol w:w="292"/>
        <w:gridCol w:w="6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bookmarkStart w:id="10" w:name="OLE_LINK3"/>
            <w:r>
              <w:rPr>
                <w:rFonts w:hint="eastAsia" w:ascii="仿宋_GB2312" w:hAnsi="仿宋_GB2312" w:eastAsia="仿宋_GB2312" w:cs="仿宋_GB2312"/>
                <w:sz w:val="20"/>
                <w:szCs w:val="20"/>
                <w:highlight w:val="none"/>
                <w:lang w:val="en-US" w:eastAsia="zh-CN"/>
              </w:rPr>
              <w:t>课程类型</w:t>
            </w:r>
          </w:p>
        </w:tc>
        <w:tc>
          <w:tcPr>
            <w:tcW w:w="4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序号</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课程代码</w:t>
            </w:r>
          </w:p>
        </w:tc>
        <w:tc>
          <w:tcPr>
            <w:tcW w:w="16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课程名称</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学分</w:t>
            </w:r>
          </w:p>
        </w:tc>
        <w:tc>
          <w:tcPr>
            <w:tcW w:w="262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教学学时数</w:t>
            </w:r>
          </w:p>
        </w:tc>
        <w:tc>
          <w:tcPr>
            <w:tcW w:w="202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开课学期和周学时</w:t>
            </w:r>
          </w:p>
        </w:tc>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考核类型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1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6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0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1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合计</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理论学时</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实践学时</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一</w:t>
            </w: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二</w:t>
            </w: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三</w:t>
            </w: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四</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五</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六</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必修</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1B410101101</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思想道德与法治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1A410101102</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形势与政策</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1到4学期开课，每学期8学时。</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1A410101103</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国家安全教育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1A410101104</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军事理论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1C410101105</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军训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112</w:t>
            </w:r>
          </w:p>
        </w:tc>
        <w:tc>
          <w:tcPr>
            <w:tcW w:w="20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第1学期，实际训练时间不少于14天</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1B410101106</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计算机基础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64</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1B410101107</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高等数学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64</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64</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1B410101108</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大学英语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128</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104</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1C410101109</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大学体育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1B410101110</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大学生职业发展与就业指导</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38</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1B410101111</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大学生心理健康教育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1C410101112</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劳动教育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nil"/>
              <w:left w:val="nil"/>
              <w:bottom w:val="nil"/>
              <w:right w:val="nil"/>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1B410101113</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毛泽东思想和中国特色社会主义理论体系概论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1B410101114</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创新创业教育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nil"/>
              <w:left w:val="nil"/>
              <w:bottom w:val="nil"/>
              <w:right w:val="nil"/>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1B410101115</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习近平新时代中国特色社会主义思想概论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选修</w:t>
            </w:r>
          </w:p>
        </w:tc>
        <w:tc>
          <w:tcPr>
            <w:tcW w:w="485" w:type="dxa"/>
            <w:tcBorders>
              <w:top w:val="single" w:color="000000" w:sz="4" w:space="0"/>
              <w:left w:val="nil"/>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1B410101201</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中国民俗剪纸技法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202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公共选修课最低学分要求为 8学分，其中要求2个学分为思政选修课学分。</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nil"/>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1B410101202</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影视与鉴赏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20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nil"/>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1B410101203</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中华优秀传统文化</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nil"/>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1B410101204</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中国共产党简史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nil"/>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1B410101205</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改革开放简史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nil"/>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1B410101206</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中华人民共和国简史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nil"/>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1B410101207</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社会主义发展简史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nil"/>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1B410101208</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中华民族共同体概论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nil"/>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1B410101210</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语文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2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公共必修课程学分、学时小计</w:t>
            </w:r>
          </w:p>
        </w:tc>
        <w:tc>
          <w:tcPr>
            <w:tcW w:w="750" w:type="dxa"/>
            <w:tcBorders>
              <w:top w:val="nil"/>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42</w:t>
            </w:r>
          </w:p>
        </w:tc>
        <w:tc>
          <w:tcPr>
            <w:tcW w:w="1012" w:type="dxa"/>
            <w:tcBorders>
              <w:top w:val="nil"/>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794</w:t>
            </w:r>
          </w:p>
        </w:tc>
        <w:tc>
          <w:tcPr>
            <w:tcW w:w="812" w:type="dxa"/>
            <w:tcBorders>
              <w:top w:val="nil"/>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454</w:t>
            </w:r>
          </w:p>
        </w:tc>
        <w:tc>
          <w:tcPr>
            <w:tcW w:w="802" w:type="dxa"/>
            <w:tcBorders>
              <w:top w:val="nil"/>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340</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公共必修课程学分、学时占比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84%</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86%</w:t>
            </w:r>
          </w:p>
        </w:tc>
        <w:tc>
          <w:tcPr>
            <w:tcW w:w="812" w:type="dxa"/>
            <w:tcBorders>
              <w:top w:val="single" w:color="000000" w:sz="4" w:space="0"/>
              <w:left w:val="single" w:color="000000" w:sz="4" w:space="0"/>
              <w:bottom w:val="nil"/>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85%</w:t>
            </w:r>
          </w:p>
        </w:tc>
        <w:tc>
          <w:tcPr>
            <w:tcW w:w="802" w:type="dxa"/>
            <w:tcBorders>
              <w:top w:val="single" w:color="000000" w:sz="4" w:space="0"/>
              <w:left w:val="single" w:color="000000" w:sz="4" w:space="0"/>
              <w:bottom w:val="nil"/>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88%</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公共选修课程学分、学时小计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012" w:type="dxa"/>
            <w:tcBorders>
              <w:top w:val="single" w:color="000000" w:sz="4" w:space="0"/>
              <w:left w:val="single" w:color="000000" w:sz="4" w:space="0"/>
              <w:bottom w:val="single" w:color="000000" w:sz="4" w:space="0"/>
              <w:right w:val="nil"/>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128</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95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公共选修课程学分、学时占比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23"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专业课</w:t>
            </w:r>
          </w:p>
        </w:tc>
        <w:tc>
          <w:tcPr>
            <w:tcW w:w="382" w:type="dxa"/>
            <w:vMerge w:val="restart"/>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专业基础课</w:t>
            </w:r>
          </w:p>
        </w:tc>
        <w:tc>
          <w:tcPr>
            <w:tcW w:w="480"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必修</w:t>
            </w: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5A530302301</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会计基础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5A530302302</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经济法基础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5A530302303</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经济学原理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5A530302304</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企业管理基础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5A530301306</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财政金融基础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5B530302305</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大数据技术应用基础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5B530302307</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统计基础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必修</w:t>
            </w: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5B530302402</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企业财务会计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5B530301401</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财务管理实务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5B530302405</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智能化成本核算与管理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5B530301403</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企业纳税实务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5B530301404</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内部控制与风险管理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5A530301406</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管理会计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5B530301407</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财务大数据分析与可视化</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5B530301408</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财务机器人应用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专业拓展课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选修</w:t>
            </w: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5B530301501</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财务共享实务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restart"/>
            <w:tcBorders>
              <w:top w:val="single" w:color="000000" w:sz="4" w:space="0"/>
              <w:left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p>
            <w:pPr>
              <w:spacing w:after="0" w:line="240" w:lineRule="auto"/>
              <w:jc w:val="center"/>
              <w:rPr>
                <w:rFonts w:hint="eastAsia" w:ascii="仿宋_GB2312" w:hAnsi="仿宋_GB2312" w:eastAsia="仿宋_GB2312" w:cs="仿宋_GB2312"/>
                <w:sz w:val="20"/>
                <w:szCs w:val="20"/>
                <w:highlight w:val="none"/>
                <w:lang w:val="en-US" w:eastAsia="zh-CN"/>
              </w:rPr>
            </w:pPr>
          </w:p>
          <w:p>
            <w:pPr>
              <w:spacing w:after="0" w:line="240" w:lineRule="auto"/>
              <w:jc w:val="center"/>
              <w:rPr>
                <w:rFonts w:hint="eastAsia" w:ascii="仿宋_GB2312" w:hAnsi="仿宋_GB2312" w:eastAsia="仿宋_GB2312" w:cs="仿宋_GB2312"/>
                <w:sz w:val="20"/>
                <w:szCs w:val="20"/>
                <w:highlight w:val="none"/>
                <w:lang w:val="en-US" w:eastAsia="zh-CN"/>
              </w:rPr>
            </w:pPr>
          </w:p>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专业拓展课最低学分要求为8学分</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left w:val="single" w:color="auto"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left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5B530302509</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财经法规与会计职业道德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left w:val="single" w:color="auto"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left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5B530301503</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企业财务管理案例</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left w:val="single" w:color="auto"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left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5B530301504</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ERP沙盘模拟经营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left w:val="single" w:color="auto"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left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5B530301505</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税收筹划</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left w:val="single" w:color="auto"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left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5B530301506</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财务管理综合实训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left w:val="single" w:color="auto"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left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5B530302503</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中国会计文化</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5B530301508</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资产评估</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5B530301509</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企业营运管理</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5B530301510</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供应链管理</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5B530302510</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管理学</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both"/>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5B530302511</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电子商务</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812"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0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40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39" w:type="dxa"/>
            <w:gridSpan w:val="2"/>
            <w:vMerge w:val="continue"/>
            <w:tcBorders>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8"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p>
        </w:tc>
        <w:tc>
          <w:tcPr>
            <w:tcW w:w="38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highlight w:val="none"/>
              </w:rPr>
            </w:pPr>
            <w:r>
              <w:rPr>
                <w:rFonts w:hint="eastAsia" w:ascii="仿宋_GB2312" w:hAnsi="仿宋_GB2312" w:eastAsia="仿宋_GB2312" w:cs="仿宋_GB2312"/>
                <w:i w:val="0"/>
                <w:color w:val="000000" w:themeColor="text1"/>
                <w:kern w:val="0"/>
                <w:sz w:val="20"/>
                <w:szCs w:val="20"/>
                <w:highlight w:val="none"/>
                <w:u w:val="none"/>
                <w:lang w:val="en-US" w:eastAsia="zh-CN" w:bidi="ar"/>
                <w14:textFill>
                  <w14:solidFill>
                    <w14:schemeClr w14:val="tx1"/>
                  </w14:solidFill>
                </w14:textFill>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i w:val="0"/>
                <w:iCs w:val="0"/>
                <w:color w:val="000000" w:themeColor="text1"/>
                <w:sz w:val="20"/>
                <w:szCs w:val="20"/>
                <w:highlight w:val="none"/>
                <w:u w:val="none"/>
                <w:lang w:val="en-US" w:eastAsia="zh-CN"/>
                <w14:textFill>
                  <w14:solidFill>
                    <w14:schemeClr w14:val="tx1"/>
                  </w14:solidFill>
                </w14:textFill>
              </w:rPr>
              <w:t>必修</w:t>
            </w:r>
          </w:p>
        </w:tc>
        <w:tc>
          <w:tcPr>
            <w:tcW w:w="48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35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1B410101601</w:t>
            </w:r>
          </w:p>
        </w:tc>
        <w:tc>
          <w:tcPr>
            <w:tcW w:w="1639"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毕业设计</w:t>
            </w:r>
          </w:p>
        </w:tc>
        <w:tc>
          <w:tcPr>
            <w:tcW w:w="75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01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80</w:t>
            </w:r>
          </w:p>
        </w:tc>
        <w:tc>
          <w:tcPr>
            <w:tcW w:w="81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w:t>
            </w:r>
          </w:p>
        </w:tc>
        <w:tc>
          <w:tcPr>
            <w:tcW w:w="80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w:t>
            </w:r>
          </w:p>
        </w:tc>
        <w:tc>
          <w:tcPr>
            <w:tcW w:w="40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w:t>
            </w:r>
          </w:p>
        </w:tc>
        <w:tc>
          <w:tcPr>
            <w:tcW w:w="292"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82" w:type="dxa"/>
            <w:vMerge w:val="continue"/>
            <w:tcBorders>
              <w:left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1C410101602</w:t>
            </w:r>
          </w:p>
        </w:tc>
        <w:tc>
          <w:tcPr>
            <w:tcW w:w="1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岗位实习</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432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432</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专业必修课程学分、学时小计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83</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1592</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716</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876</w:t>
            </w:r>
          </w:p>
        </w:tc>
        <w:tc>
          <w:tcPr>
            <w:tcW w:w="4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专业必修课程学分、学时占比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pacing w:val="-20"/>
                <w:sz w:val="20"/>
                <w:szCs w:val="20"/>
                <w:highlight w:val="none"/>
                <w:lang w:val="en-US" w:eastAsia="zh-CN"/>
              </w:rPr>
            </w:pPr>
            <w:r>
              <w:rPr>
                <w:rFonts w:hint="eastAsia" w:ascii="仿宋_GB2312" w:hAnsi="仿宋_GB2312" w:eastAsia="仿宋_GB2312" w:cs="仿宋_GB2312"/>
                <w:spacing w:val="-20"/>
                <w:sz w:val="20"/>
                <w:szCs w:val="20"/>
                <w:highlight w:val="none"/>
                <w:lang w:val="en-US" w:eastAsia="zh-CN"/>
              </w:rPr>
              <w:t>58.87%</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pacing w:val="-20"/>
                <w:sz w:val="20"/>
                <w:szCs w:val="20"/>
                <w:highlight w:val="none"/>
                <w:lang w:val="en-US" w:eastAsia="zh-CN"/>
              </w:rPr>
            </w:pPr>
            <w:r>
              <w:rPr>
                <w:rFonts w:hint="eastAsia" w:ascii="仿宋_GB2312" w:hAnsi="仿宋_GB2312" w:eastAsia="仿宋_GB2312" w:cs="仿宋_GB2312"/>
                <w:spacing w:val="-20"/>
                <w:sz w:val="20"/>
                <w:szCs w:val="20"/>
                <w:highlight w:val="none"/>
                <w:lang w:val="en-US" w:eastAsia="zh-CN"/>
              </w:rPr>
              <w:t>59.89%</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pacing w:val="-20"/>
                <w:sz w:val="20"/>
                <w:szCs w:val="20"/>
                <w:highlight w:val="none"/>
                <w:lang w:val="en-US" w:eastAsia="zh-CN"/>
              </w:rPr>
            </w:pPr>
            <w:r>
              <w:rPr>
                <w:rFonts w:hint="eastAsia" w:ascii="仿宋_GB2312" w:hAnsi="仿宋_GB2312" w:eastAsia="仿宋_GB2312" w:cs="仿宋_GB2312"/>
                <w:spacing w:val="-20"/>
                <w:sz w:val="20"/>
                <w:szCs w:val="20"/>
                <w:highlight w:val="none"/>
                <w:lang w:val="en-US" w:eastAsia="zh-CN"/>
              </w:rPr>
              <w:t>54.16%</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pacing w:val="-20"/>
                <w:sz w:val="20"/>
                <w:szCs w:val="20"/>
                <w:highlight w:val="none"/>
                <w:lang w:val="en-US" w:eastAsia="zh-CN"/>
              </w:rPr>
            </w:pPr>
            <w:r>
              <w:rPr>
                <w:rFonts w:hint="eastAsia" w:ascii="仿宋_GB2312" w:hAnsi="仿宋_GB2312" w:eastAsia="仿宋_GB2312" w:cs="仿宋_GB2312"/>
                <w:spacing w:val="-20"/>
                <w:sz w:val="20"/>
                <w:szCs w:val="20"/>
                <w:highlight w:val="none"/>
                <w:lang w:val="en-US" w:eastAsia="zh-CN"/>
              </w:rPr>
              <w:t>65.57%</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专业拓展课程学分、学时小计</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144</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专业拓展课程学分、学时占比</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5.67%</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5.42%</w:t>
            </w:r>
          </w:p>
        </w:tc>
        <w:tc>
          <w:tcPr>
            <w:tcW w:w="8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5.45%</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5.39%</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jc w:val="center"/>
        </w:trPr>
        <w:tc>
          <w:tcPr>
            <w:tcW w:w="46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总学分、学时合计</w:t>
            </w:r>
          </w:p>
        </w:tc>
        <w:tc>
          <w:tcPr>
            <w:tcW w:w="750" w:type="dxa"/>
            <w:tcBorders>
              <w:top w:val="single" w:color="000000" w:sz="4" w:space="0"/>
              <w:left w:val="single" w:color="000000" w:sz="4" w:space="0"/>
              <w:bottom w:val="single" w:color="000000" w:sz="4" w:space="0"/>
              <w:right w:val="nil"/>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141</w:t>
            </w:r>
          </w:p>
        </w:tc>
        <w:tc>
          <w:tcPr>
            <w:tcW w:w="1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2658</w:t>
            </w:r>
          </w:p>
        </w:tc>
        <w:tc>
          <w:tcPr>
            <w:tcW w:w="812" w:type="dxa"/>
            <w:tcBorders>
              <w:top w:val="single" w:color="000000" w:sz="4" w:space="0"/>
              <w:left w:val="nil"/>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1322</w:t>
            </w: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1336</w:t>
            </w:r>
          </w:p>
        </w:tc>
        <w:tc>
          <w:tcPr>
            <w:tcW w:w="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0" w:line="240" w:lineRule="auto"/>
              <w:jc w:val="center"/>
              <w:rPr>
                <w:rFonts w:hint="eastAsia" w:ascii="仿宋_GB2312" w:hAnsi="仿宋_GB2312" w:eastAsia="仿宋_GB2312" w:cs="仿宋_GB2312"/>
                <w:sz w:val="20"/>
                <w:szCs w:val="20"/>
                <w:highlight w:val="none"/>
                <w:lang w:val="en-US" w:eastAsia="zh-CN"/>
              </w:rPr>
            </w:pPr>
          </w:p>
        </w:tc>
      </w:tr>
      <w:bookmarkEnd w:id="10"/>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outlineLvl w:val="1"/>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大数据与财务管理专业教师团队现有专任教师13人，获取职称人数为10人。其中副高及以上职称1人，中级职称4人，初级职称5人。双师型专任教师5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16" w:firstLineChars="200"/>
        <w:textAlignment w:val="auto"/>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color w:val="auto"/>
          <w:spacing w:val="-6"/>
          <w:sz w:val="32"/>
          <w:szCs w:val="32"/>
          <w:highlight w:val="none"/>
        </w:rPr>
        <w:t xml:space="preserve"> 专业带头人应具有副高及以上职称，能够较好地把握国内外财务行业、专业发展，能广泛联系行业企业，了解行业企业对本专业人才的需求实际，教学设计、专业研究能力强，组织开展教科研工作能力强，在本区域或本领域具有一定的专业影响力。本专业带头人为耿艳敏，副高级职称，负责本专业的规划与建设、主持专业人才培养方案、课程标准的制定与修订、教材、专业教学标准、专业认证体系的建设工作、负责本专业教学改革和实践技能培养方案的制定等工作</w:t>
      </w: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b w:val="0"/>
          <w:bCs w:val="0"/>
          <w:color w:val="auto"/>
          <w:spacing w:val="-6"/>
          <w:sz w:val="32"/>
          <w:szCs w:val="32"/>
          <w:highlight w:val="none"/>
          <w:lang w:val="en-US" w:eastAsia="zh-CN"/>
        </w:rPr>
        <w:t>坚持教书和育人相统一，坚持言传和身教相统一，坚持潜心问道和关注社会相统一，坚持学术自由和学术规范相统一。</w:t>
      </w:r>
      <w:r>
        <w:rPr>
          <w:rFonts w:hint="eastAsia" w:ascii="楷体" w:hAnsi="楷体" w:eastAsia="楷体" w:cs="楷体"/>
          <w:color w:val="auto"/>
          <w:spacing w:val="-6"/>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专任教师</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64" w:firstLineChars="200"/>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color w:val="auto"/>
          <w:spacing w:val="6"/>
          <w:sz w:val="32"/>
          <w:szCs w:val="32"/>
          <w:highlight w:val="none"/>
        </w:rPr>
        <w:t>专任教师应具有高校教师资格；有理想信念、有道德情操、有扎实学识、有仁爱之心；</w:t>
      </w:r>
      <w:r>
        <w:rPr>
          <w:rFonts w:hint="eastAsia" w:ascii="仿宋_GB2312" w:hAnsi="仿宋_GB2312" w:eastAsia="仿宋_GB2312" w:cs="仿宋_GB2312"/>
          <w:color w:val="auto"/>
          <w:spacing w:val="6"/>
          <w:sz w:val="32"/>
          <w:szCs w:val="32"/>
          <w:highlight w:val="none"/>
          <w:lang w:val="en-US" w:eastAsia="zh-CN"/>
        </w:rPr>
        <w:t>做学生锤炼品格的引路人，做学生学习知识的引路人，做学生创新思维的引路人，做学生奉献祖国的引路人；</w:t>
      </w:r>
      <w:r>
        <w:rPr>
          <w:rFonts w:hint="eastAsia" w:ascii="仿宋_GB2312" w:hAnsi="仿宋_GB2312" w:eastAsia="仿宋_GB2312" w:cs="仿宋_GB2312"/>
          <w:color w:val="auto"/>
          <w:spacing w:val="6"/>
          <w:sz w:val="32"/>
          <w:szCs w:val="32"/>
          <w:highlight w:val="none"/>
        </w:rPr>
        <w:t>具有大数据与财务管理等相关专业本科及以上学历；具有扎实的本专业相关理论功底和实践能力；具有较强信息化教学能力，能够开展课程教学改革和科学研究；有每5年累计不少于6个月的企业实践经历。</w:t>
      </w:r>
      <w:r>
        <w:rPr>
          <w:rFonts w:hint="eastAsia" w:ascii="仿宋_GB2312" w:hAnsi="仿宋_GB2312" w:eastAsia="仿宋_GB2312" w:cs="仿宋_GB2312"/>
          <w:color w:val="auto"/>
          <w:spacing w:val="6"/>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兼职教师</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outlineLvl w:val="2"/>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6"/>
          <w:sz w:val="32"/>
          <w:szCs w:val="32"/>
          <w:highlight w:val="none"/>
        </w:rPr>
        <w:t>配有黑（白）板、多媒体计算机、投影设备、音响设备，安装应急照明装置并保持良好状态，符合紧急疏散要求，标志明显，逃生通道畅通无阻。</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2.校内实训资源</w:t>
      </w:r>
    </w:p>
    <w:p>
      <w:pPr>
        <w:overflowPunct w:val="0"/>
        <w:adjustRightInd w:val="0"/>
        <w:spacing w:line="520" w:lineRule="exact"/>
        <w:ind w:firstLine="640" w:firstLineChars="20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 xml:space="preserve"> 大数据与财务管理</w:t>
      </w:r>
      <w:r>
        <w:rPr>
          <w:rFonts w:hint="eastAsia" w:ascii="仿宋_GB2312" w:hAnsi="仿宋_GB2312" w:eastAsia="仿宋_GB2312" w:cs="仿宋_GB2312"/>
          <w:color w:val="auto"/>
          <w:kern w:val="0"/>
          <w:sz w:val="32"/>
          <w:szCs w:val="32"/>
          <w:highlight w:val="none"/>
        </w:rPr>
        <w:t>专业校内实训资源列表</w:t>
      </w:r>
    </w:p>
    <w:tbl>
      <w:tblPr>
        <w:tblStyle w:val="8"/>
        <w:tblW w:w="1007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
        <w:gridCol w:w="1470"/>
        <w:gridCol w:w="1622"/>
        <w:gridCol w:w="3793"/>
        <w:gridCol w:w="1740"/>
        <w:gridCol w:w="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49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147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实验实训室名称</w:t>
            </w:r>
          </w:p>
        </w:tc>
        <w:tc>
          <w:tcPr>
            <w:tcW w:w="162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实训适用</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w:t>
            </w:r>
          </w:p>
        </w:tc>
        <w:tc>
          <w:tcPr>
            <w:tcW w:w="379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实训项目</w:t>
            </w:r>
          </w:p>
        </w:tc>
        <w:tc>
          <w:tcPr>
            <w:tcW w:w="174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主要设备名称及配置数量</w:t>
            </w:r>
          </w:p>
        </w:tc>
        <w:tc>
          <w:tcPr>
            <w:tcW w:w="95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49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147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会计师事务所</w:t>
            </w:r>
          </w:p>
        </w:tc>
        <w:tc>
          <w:tcPr>
            <w:tcW w:w="162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财务大数据分析与可视化</w:t>
            </w:r>
          </w:p>
        </w:tc>
        <w:tc>
          <w:tcPr>
            <w:tcW w:w="3793" w:type="dxa"/>
            <w:vAlign w:val="top"/>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审查企业会计报表，出具审计报告；验证企业资本，出具验资报告；办理企业合并、分立、清算事宜中的审计业务，出具有关报告；办理法律、行政法规规定的其他审计业务</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设计财务会计制度</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担任会计顾问，提供会计、财务、税务和其他经济管理</w:t>
            </w:r>
            <w:r>
              <w:rPr>
                <w:rFonts w:hint="eastAsia" w:ascii="仿宋_GB2312" w:hAnsi="仿宋_GB2312" w:eastAsia="仿宋_GB2312" w:cs="仿宋_GB2312"/>
                <w:color w:val="auto"/>
                <w:sz w:val="24"/>
                <w:highlight w:val="none"/>
                <w:lang w:val="en-US" w:eastAsia="zh-CN"/>
              </w:rPr>
              <w:t>咨询</w:t>
            </w:r>
            <w:r>
              <w:rPr>
                <w:rFonts w:hint="eastAsia" w:ascii="仿宋_GB2312" w:hAnsi="仿宋_GB2312" w:eastAsia="仿宋_GB2312" w:cs="仿宋_GB2312"/>
                <w:color w:val="auto"/>
                <w:sz w:val="24"/>
                <w:highlight w:val="none"/>
              </w:rPr>
              <w:t>。</w:t>
            </w:r>
          </w:p>
        </w:tc>
        <w:tc>
          <w:tcPr>
            <w:tcW w:w="1740"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模拟事务台15台</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tc>
        <w:tc>
          <w:tcPr>
            <w:tcW w:w="95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trPr>
        <w:tc>
          <w:tcPr>
            <w:tcW w:w="49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147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财会综合实训室</w:t>
            </w:r>
          </w:p>
        </w:tc>
        <w:tc>
          <w:tcPr>
            <w:tcW w:w="162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财务综合模拟实训</w:t>
            </w:r>
          </w:p>
        </w:tc>
        <w:tc>
          <w:tcPr>
            <w:tcW w:w="3793" w:type="dxa"/>
            <w:vAlign w:val="top"/>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rPr>
              <w:t>建立新账套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审核财务单据</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填制会计凭证</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对相关凭证进行审核记账</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登记各种账</w:t>
            </w:r>
            <w:r>
              <w:rPr>
                <w:rFonts w:hint="eastAsia" w:ascii="仿宋_GB2312" w:hAnsi="仿宋_GB2312" w:eastAsia="仿宋_GB2312" w:cs="仿宋_GB2312"/>
                <w:color w:val="auto"/>
                <w:sz w:val="24"/>
                <w:highlight w:val="none"/>
                <w:lang w:val="en-US" w:eastAsia="zh-CN"/>
              </w:rPr>
              <w:t>簿</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编制财务报表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装订凭证</w:t>
            </w:r>
            <w:r>
              <w:rPr>
                <w:rFonts w:hint="eastAsia" w:ascii="仿宋_GB2312" w:hAnsi="仿宋_GB2312" w:eastAsia="仿宋_GB2312" w:cs="仿宋_GB2312"/>
                <w:color w:val="auto"/>
                <w:sz w:val="24"/>
                <w:highlight w:val="none"/>
                <w:lang w:eastAsia="zh-CN"/>
              </w:rPr>
              <w:t>。</w:t>
            </w:r>
          </w:p>
        </w:tc>
        <w:tc>
          <w:tcPr>
            <w:tcW w:w="1740"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凭证装订机10台</w:t>
            </w:r>
          </w:p>
        </w:tc>
        <w:tc>
          <w:tcPr>
            <w:tcW w:w="95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49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3</w:t>
            </w:r>
          </w:p>
        </w:tc>
        <w:tc>
          <w:tcPr>
            <w:tcW w:w="147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财会实训资料室</w:t>
            </w:r>
          </w:p>
        </w:tc>
        <w:tc>
          <w:tcPr>
            <w:tcW w:w="162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财务综合模拟实训</w:t>
            </w:r>
          </w:p>
        </w:tc>
        <w:tc>
          <w:tcPr>
            <w:tcW w:w="3793" w:type="dxa"/>
            <w:vAlign w:val="top"/>
          </w:tcPr>
          <w:p>
            <w:pPr>
              <w:keepNext w:val="0"/>
              <w:keepLines w:val="0"/>
              <w:pageBreakBefore w:val="0"/>
              <w:widowControl w:val="0"/>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专业相关实训资料、会计资料档案保管。</w:t>
            </w:r>
          </w:p>
        </w:tc>
        <w:tc>
          <w:tcPr>
            <w:tcW w:w="174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资料箱、资料柜6个</w:t>
            </w:r>
          </w:p>
        </w:tc>
        <w:tc>
          <w:tcPr>
            <w:tcW w:w="95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49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4</w:t>
            </w:r>
          </w:p>
        </w:tc>
        <w:tc>
          <w:tcPr>
            <w:tcW w:w="147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模拟教学公司</w:t>
            </w:r>
          </w:p>
        </w:tc>
        <w:tc>
          <w:tcPr>
            <w:tcW w:w="162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会计基础</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highlight w:val="none"/>
                <w:lang w:eastAsia="zh-CN"/>
              </w:rPr>
              <w:t>智能化成本核算与管理</w:t>
            </w:r>
            <w:r>
              <w:rPr>
                <w:rFonts w:hint="eastAsia" w:ascii="仿宋_GB2312" w:hAnsi="仿宋_GB2312" w:eastAsia="仿宋_GB2312" w:cs="仿宋_GB2312"/>
                <w:color w:val="auto"/>
                <w:sz w:val="24"/>
                <w:highlight w:val="none"/>
              </w:rPr>
              <w:t>、财务管理</w:t>
            </w:r>
            <w:r>
              <w:rPr>
                <w:rFonts w:hint="eastAsia" w:ascii="仿宋_GB2312" w:hAnsi="仿宋_GB2312" w:eastAsia="仿宋_GB2312" w:cs="仿宋_GB2312"/>
                <w:color w:val="auto"/>
                <w:sz w:val="24"/>
                <w:highlight w:val="none"/>
                <w:lang w:val="en-US" w:eastAsia="zh-CN"/>
              </w:rPr>
              <w:t>实务</w:t>
            </w:r>
          </w:p>
        </w:tc>
        <w:tc>
          <w:tcPr>
            <w:tcW w:w="3793" w:type="dxa"/>
            <w:vAlign w:val="top"/>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适应企业特点，熟悉会计核算原理和操作</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成本核算及成本费用计算表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财务费用核算以及资金筹集、投资、营运规划与选择</w:t>
            </w:r>
          </w:p>
        </w:tc>
        <w:tc>
          <w:tcPr>
            <w:tcW w:w="174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课桌椅90套，成本核算资料4套、财务方案6套模拟事务台15台</w:t>
            </w:r>
          </w:p>
        </w:tc>
        <w:tc>
          <w:tcPr>
            <w:tcW w:w="95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3" w:hRule="atLeast"/>
        </w:trPr>
        <w:tc>
          <w:tcPr>
            <w:tcW w:w="49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5</w:t>
            </w:r>
          </w:p>
        </w:tc>
        <w:tc>
          <w:tcPr>
            <w:tcW w:w="147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综合实</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训室</w:t>
            </w:r>
          </w:p>
        </w:tc>
        <w:tc>
          <w:tcPr>
            <w:tcW w:w="1622"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会计基础</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highlight w:val="none"/>
                <w:lang w:eastAsia="zh-CN"/>
              </w:rPr>
              <w:t>财务大数据分析与可视化</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highlight w:val="none"/>
                <w:lang w:eastAsia="zh-CN"/>
              </w:rPr>
              <w:t>智能化成本核算与管理</w:t>
            </w:r>
            <w:r>
              <w:rPr>
                <w:rFonts w:hint="eastAsia" w:ascii="仿宋_GB2312" w:hAnsi="仿宋_GB2312" w:eastAsia="仿宋_GB2312" w:cs="仿宋_GB2312"/>
                <w:color w:val="auto"/>
                <w:sz w:val="24"/>
                <w:highlight w:val="none"/>
              </w:rPr>
              <w:t>、财务管理</w:t>
            </w:r>
            <w:r>
              <w:rPr>
                <w:rFonts w:hint="eastAsia" w:ascii="仿宋_GB2312" w:hAnsi="仿宋_GB2312" w:eastAsia="仿宋_GB2312" w:cs="仿宋_GB2312"/>
                <w:color w:val="auto"/>
                <w:sz w:val="24"/>
                <w:highlight w:val="none"/>
                <w:lang w:val="en-US" w:eastAsia="zh-CN"/>
              </w:rPr>
              <w:t>实务</w:t>
            </w:r>
          </w:p>
        </w:tc>
        <w:tc>
          <w:tcPr>
            <w:tcW w:w="3793" w:type="dxa"/>
            <w:vAlign w:val="top"/>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适应企业特点，熟悉会计核算原理和操作</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设计财务会计制度</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担任会计顾问，提供会计、财务、税务和其他经济管理</w:t>
            </w:r>
            <w:r>
              <w:rPr>
                <w:rFonts w:hint="eastAsia" w:ascii="仿宋_GB2312" w:hAnsi="仿宋_GB2312" w:eastAsia="仿宋_GB2312" w:cs="仿宋_GB2312"/>
                <w:color w:val="auto"/>
                <w:sz w:val="24"/>
                <w:highlight w:val="none"/>
                <w:lang w:val="en-US" w:eastAsia="zh-CN"/>
              </w:rPr>
              <w:t>咨询</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成本核算及成本费用计算表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财务费用核算以及资金筹集、投资、营运规划与选择</w:t>
            </w:r>
          </w:p>
        </w:tc>
        <w:tc>
          <w:tcPr>
            <w:tcW w:w="174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课桌椅90套，成本核算资料4套、财务方案6套模拟事务台15台</w:t>
            </w:r>
          </w:p>
        </w:tc>
        <w:tc>
          <w:tcPr>
            <w:tcW w:w="959"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90</w:t>
            </w:r>
          </w:p>
        </w:tc>
      </w:tr>
    </w:tbl>
    <w:p>
      <w:pPr>
        <w:pStyle w:val="2"/>
        <w:keepNext/>
        <w:keepLines/>
        <w:pageBreakBefore w:val="0"/>
        <w:widowControl w:val="0"/>
        <w:kinsoku/>
        <w:wordWrap/>
        <w:overflowPunct/>
        <w:topLinePunct w:val="0"/>
        <w:autoSpaceDE/>
        <w:autoSpaceDN/>
        <w:bidi w:val="0"/>
        <w:adjustRightInd/>
        <w:snapToGrid/>
        <w:spacing w:before="0" w:after="0" w:line="520" w:lineRule="exact"/>
        <w:ind w:firstLine="640" w:firstLineChars="200"/>
        <w:textAlignment w:val="auto"/>
        <w:rPr>
          <w:rFonts w:hint="eastAsia"/>
          <w:highlight w:val="none"/>
        </w:rPr>
      </w:pPr>
      <w:r>
        <w:rPr>
          <w:rFonts w:hint="eastAsia" w:ascii="仿宋_GB2312" w:hAnsi="仿宋_GB2312" w:eastAsia="仿宋_GB2312" w:cs="仿宋_GB2312"/>
          <w:color w:val="auto"/>
          <w:sz w:val="32"/>
          <w:szCs w:val="32"/>
          <w:highlight w:val="none"/>
        </w:rPr>
        <w:t>3.校外实训资源</w:t>
      </w:r>
    </w:p>
    <w:p>
      <w:pPr>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（1）校外实训基地基本要求</w:t>
      </w:r>
    </w:p>
    <w:p>
      <w:pPr>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具有稳定的校外实训基地2个以上；能够开展会计核算、成本核算、全盘账等实训活动；实训设施齐备，实训岗位、实训指导教师确定，实训管理及实施规章制度齐全。</w:t>
      </w:r>
    </w:p>
    <w:p>
      <w:pPr>
        <w:pageBreakBefore w:val="0"/>
        <w:numPr>
          <w:ilvl w:val="0"/>
          <w:numId w:val="3"/>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学生实习基地基本要求</w:t>
      </w:r>
    </w:p>
    <w:p>
      <w:pPr>
        <w:overflowPunct w:val="0"/>
        <w:adjustRightInd w:val="0"/>
        <w:spacing w:line="52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具有稳定的校外实习基地2个以上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能提供实习会计、 会计助理、出纳等相关实习岗位，能涵盖当前相关产业的主流技术，可接纳一定规模的学生实习</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能够配备相应数量的指导教师对学生实习进行指导和管理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有保证实习生日常工作、学习、生活的规章制度，有安全、保险保障。</w:t>
      </w:r>
    </w:p>
    <w:p>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p>
    <w:p>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p>
    <w:p>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 校外实习基地一览表</w:t>
      </w:r>
    </w:p>
    <w:tbl>
      <w:tblPr>
        <w:tblStyle w:val="8"/>
        <w:tblW w:w="10077"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3255"/>
        <w:gridCol w:w="2201"/>
        <w:gridCol w:w="1277"/>
        <w:gridCol w:w="1291"/>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70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325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校外实习基地名称</w:t>
            </w:r>
          </w:p>
        </w:tc>
        <w:tc>
          <w:tcPr>
            <w:tcW w:w="220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合作企业名称</w:t>
            </w:r>
          </w:p>
        </w:tc>
        <w:tc>
          <w:tcPr>
            <w:tcW w:w="127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用途</w:t>
            </w:r>
          </w:p>
        </w:tc>
        <w:tc>
          <w:tcPr>
            <w:tcW w:w="129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合作深</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度要求</w:t>
            </w:r>
          </w:p>
        </w:tc>
        <w:tc>
          <w:tcPr>
            <w:tcW w:w="135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trPr>
        <w:tc>
          <w:tcPr>
            <w:tcW w:w="70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325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广西工程职业学院大数据与财务管理专业校外实习基地</w:t>
            </w:r>
          </w:p>
        </w:tc>
        <w:tc>
          <w:tcPr>
            <w:tcW w:w="220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平果海翔财务咨询有限公司</w:t>
            </w:r>
          </w:p>
        </w:tc>
        <w:tc>
          <w:tcPr>
            <w:tcW w:w="127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9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35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70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325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广西工程职业学院大数据与财务管理专业校外实习基地</w:t>
            </w:r>
          </w:p>
        </w:tc>
        <w:tc>
          <w:tcPr>
            <w:tcW w:w="220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中国工商银行平果支行</w:t>
            </w:r>
          </w:p>
        </w:tc>
        <w:tc>
          <w:tcPr>
            <w:tcW w:w="127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9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35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0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3</w:t>
            </w:r>
          </w:p>
        </w:tc>
        <w:tc>
          <w:tcPr>
            <w:tcW w:w="325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广西工程职业学院大数据与财务管理专业校外实习基地</w:t>
            </w:r>
          </w:p>
        </w:tc>
        <w:tc>
          <w:tcPr>
            <w:tcW w:w="220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广西平果农村合作银行</w:t>
            </w:r>
          </w:p>
        </w:tc>
        <w:tc>
          <w:tcPr>
            <w:tcW w:w="127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9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35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70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4</w:t>
            </w:r>
          </w:p>
        </w:tc>
        <w:tc>
          <w:tcPr>
            <w:tcW w:w="325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广西工程职业学院大数据与财务管理专业校外实习基地</w:t>
            </w:r>
          </w:p>
        </w:tc>
        <w:tc>
          <w:tcPr>
            <w:tcW w:w="220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中国邮政储蓄银行平果市支行</w:t>
            </w:r>
          </w:p>
        </w:tc>
        <w:tc>
          <w:tcPr>
            <w:tcW w:w="127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9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35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70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w:t>
            </w:r>
          </w:p>
        </w:tc>
        <w:tc>
          <w:tcPr>
            <w:tcW w:w="3255"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广西工程职业学院大数据与财务管理专业校外实习基地</w:t>
            </w:r>
          </w:p>
        </w:tc>
        <w:tc>
          <w:tcPr>
            <w:tcW w:w="220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广西平果市中兴恒联投资有限公司</w:t>
            </w:r>
          </w:p>
        </w:tc>
        <w:tc>
          <w:tcPr>
            <w:tcW w:w="1277"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9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35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1.教材选用基本要求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图书文献配备基本要求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图书文献配备能满足人才培养、专业建设、教科研等工作的需要，方便师生查询、借阅。专业类文献主要包括：财务会计相关行业政策法规、行业标准、技术规范以及财务会计从业人员素养要求等与服务相关专业类图书和实务案例类图书。专业图书资料（含电子图书）不低于500册，5 种以上财务会计类专业学术期刊，并能保持每年更新。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数字教学资源配置基本要求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16"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根据不同课程的性质</w:t>
      </w:r>
      <w:r>
        <w:rPr>
          <w:rFonts w:hint="eastAsia" w:ascii="仿宋_GB2312" w:hAnsi="仿宋_GB2312" w:eastAsia="仿宋_GB2312" w:cs="仿宋_GB2312"/>
          <w:color w:val="auto"/>
          <w:sz w:val="32"/>
          <w:szCs w:val="32"/>
          <w:highlight w:val="none"/>
        </w:rPr>
        <w:t>特点</w:t>
      </w:r>
      <w:r>
        <w:rPr>
          <w:rFonts w:ascii="仿宋_GB2312" w:hAnsi="仿宋_GB2312" w:eastAsia="仿宋_GB2312" w:cs="仿宋_GB2312"/>
          <w:color w:val="auto"/>
          <w:sz w:val="32"/>
          <w:szCs w:val="32"/>
          <w:highlight w:val="none"/>
        </w:rPr>
        <w:t>，在保留传统讲授法、演示法、讨论法、问答法、案例分析法等的基础上</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w:t>
      </w:r>
      <w:r>
        <w:rPr>
          <w:rFonts w:hint="eastAsia" w:ascii="仿宋_GB2312" w:hAnsi="仿宋_GB2312" w:eastAsia="仿宋_GB2312" w:cs="仿宋_GB2312"/>
          <w:color w:val="auto"/>
          <w:sz w:val="32"/>
          <w:szCs w:val="32"/>
          <w:highlight w:val="none"/>
          <w:lang w:val="en-US" w:eastAsia="zh-CN"/>
        </w:rPr>
        <w:t>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教学评价方式</w:t>
      </w:r>
    </w:p>
    <w:p>
      <w:pPr>
        <w:keepNext w:val="0"/>
        <w:keepLines w:val="0"/>
        <w:pageBreakBefore w:val="0"/>
        <w:widowControl w:val="0"/>
        <w:kinsoku/>
        <w:wordWrap/>
        <w:overflowPunct w:val="0"/>
        <w:topLinePunct w:val="0"/>
        <w:autoSpaceDE/>
        <w:autoSpaceDN/>
        <w:bidi w:val="0"/>
        <w:adjustRightInd w:val="0"/>
        <w:snapToGrid/>
        <w:spacing w:after="0" w:line="500" w:lineRule="exact"/>
        <w:ind w:firstLine="640"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w:t>
      </w:r>
      <w:r>
        <w:rPr>
          <w:rFonts w:hint="eastAsia" w:ascii="仿宋_GB2312" w:hAnsi="仿宋_GB2312" w:eastAsia="仿宋_GB2312" w:cs="仿宋_GB2312"/>
          <w:color w:val="auto"/>
          <w:spacing w:val="-6"/>
          <w:sz w:val="32"/>
          <w:szCs w:val="32"/>
          <w:highlight w:val="none"/>
        </w:rPr>
        <w:t>改变到以岗位能力为核心的轨道上来。本着为行业企业服务的原则，努力缩小或消除学校评价与企业评价之间的差异。</w:t>
      </w:r>
    </w:p>
    <w:p>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建立专业建设和教学质量诊断与改进机制，健全专业 教学质量监控管理制度，完善课堂教学、教学评价、实习实训、毕业设计以及专业调研、人才培养方案更新、资源建设等方面质量标准建设，通过教学实施、过程监控、质量评价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充分利用评价分析结果有效改进专业教学，持续提高 才培养质量。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5"/>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学分要求</w:t>
      </w:r>
      <w:bookmarkStart w:id="11" w:name="_GoBack"/>
      <w:bookmarkEnd w:id="11"/>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141学分。其中，必修课125学分，选修课16学分。公共必修课42学分，公共选修课8学分。专业必修课83学分，专业选修课8学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（二）综合素质要求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color w:val="auto"/>
          <w:highlight w:val="none"/>
        </w:rPr>
      </w:pPr>
      <w:r>
        <w:rPr>
          <w:rFonts w:hint="eastAsia" w:ascii="仿宋_GB2312" w:hAnsi="仿宋_GB2312" w:eastAsia="仿宋_GB2312" w:cs="仿宋_GB2312"/>
          <w:color w:val="auto"/>
          <w:kern w:val="2"/>
          <w:sz w:val="32"/>
          <w:szCs w:val="32"/>
          <w:highlight w:val="none"/>
          <w:lang w:val="en-US" w:eastAsia="zh-CN" w:bidi="ar-SA"/>
        </w:rPr>
        <w:t>经鉴定思想品德符合要求，掌握本专业知识和技术技能，积极参加社会实践活动，具备职业综合素质和行动能力。</w:t>
      </w:r>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DC7602-09EE-4DD3-A80F-08D34945A5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048B5422-4818-47E7-B71E-F84E1A80B0B3}"/>
  </w:font>
  <w:font w:name="华文新魏">
    <w:panose1 w:val="02010800040101010101"/>
    <w:charset w:val="86"/>
    <w:family w:val="auto"/>
    <w:pitch w:val="default"/>
    <w:sig w:usb0="00000000" w:usb1="00000000" w:usb2="00000000" w:usb3="00000000" w:csb0="00000000" w:csb1="00000000"/>
    <w:embedRegular r:id="rId3" w:fontKey="{1DAAF91C-8A70-4437-958E-87C1D5B009DB}"/>
  </w:font>
  <w:font w:name="方正小标宋简体">
    <w:panose1 w:val="03000509000000000000"/>
    <w:charset w:val="86"/>
    <w:family w:val="script"/>
    <w:pitch w:val="default"/>
    <w:sig w:usb0="00000001" w:usb1="080E0000" w:usb2="00000000" w:usb3="00000000" w:csb0="00040000" w:csb1="00000000"/>
    <w:embedRegular r:id="rId4" w:fontKey="{633A1429-1989-4C4F-8822-E88A74A9561C}"/>
  </w:font>
  <w:font w:name="仿宋_GB2312">
    <w:panose1 w:val="02010609030101010101"/>
    <w:charset w:val="86"/>
    <w:family w:val="modern"/>
    <w:pitch w:val="default"/>
    <w:sig w:usb0="00000001" w:usb1="080E0000" w:usb2="00000000" w:usb3="00000000" w:csb0="00040000" w:csb1="00000000"/>
    <w:embedRegular r:id="rId5" w:fontKey="{0B1B68F9-9BD5-4273-8DB3-5DFAA3F4C718}"/>
  </w:font>
  <w:font w:name="楷体">
    <w:panose1 w:val="02010609060101010101"/>
    <w:charset w:val="86"/>
    <w:family w:val="modern"/>
    <w:pitch w:val="default"/>
    <w:sig w:usb0="800002BF" w:usb1="38CF7CFA" w:usb2="00000016" w:usb3="00000000" w:csb0="00040001" w:csb1="00000000"/>
    <w:embedRegular r:id="rId6" w:fontKey="{4E7D23F9-E513-4397-8F91-F9D4F6FE06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33F7B"/>
    <w:multiLevelType w:val="singleLevel"/>
    <w:tmpl w:val="A3B33F7B"/>
    <w:lvl w:ilvl="0" w:tentative="0">
      <w:start w:val="11"/>
      <w:numFmt w:val="chineseCounting"/>
      <w:suff w:val="nothing"/>
      <w:lvlText w:val="%1、"/>
      <w:lvlJc w:val="left"/>
      <w:rPr>
        <w:rFonts w:hint="eastAsia"/>
      </w:rPr>
    </w:lvl>
  </w:abstractNum>
  <w:abstractNum w:abstractNumId="1">
    <w:nsid w:val="EB2D466B"/>
    <w:multiLevelType w:val="singleLevel"/>
    <w:tmpl w:val="EB2D466B"/>
    <w:lvl w:ilvl="0" w:tentative="0">
      <w:start w:val="1"/>
      <w:numFmt w:val="chineseCounting"/>
      <w:suff w:val="nothing"/>
      <w:lvlText w:val="（%1）"/>
      <w:lvlJc w:val="left"/>
      <w:rPr>
        <w:rFonts w:hint="eastAsia"/>
      </w:rPr>
    </w:lvl>
  </w:abstractNum>
  <w:abstractNum w:abstractNumId="2">
    <w:nsid w:val="F87CB573"/>
    <w:multiLevelType w:val="singleLevel"/>
    <w:tmpl w:val="F87CB573"/>
    <w:lvl w:ilvl="0" w:tentative="0">
      <w:start w:val="1"/>
      <w:numFmt w:val="chineseCounting"/>
      <w:suff w:val="nothing"/>
      <w:lvlText w:val="（%1）"/>
      <w:lvlJc w:val="left"/>
      <w:rPr>
        <w:rFonts w:hint="eastAsia"/>
      </w:rPr>
    </w:lvl>
  </w:abstractNum>
  <w:abstractNum w:abstractNumId="3">
    <w:nsid w:val="FFD2B22F"/>
    <w:multiLevelType w:val="singleLevel"/>
    <w:tmpl w:val="FFD2B22F"/>
    <w:lvl w:ilvl="0" w:tentative="0">
      <w:start w:val="2"/>
      <w:numFmt w:val="decimal"/>
      <w:suff w:val="nothing"/>
      <w:lvlText w:val="（%1）"/>
      <w:lvlJc w:val="left"/>
    </w:lvl>
  </w:abstractNum>
  <w:abstractNum w:abstractNumId="4">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2661E94"/>
    <w:rsid w:val="02CD5374"/>
    <w:rsid w:val="03304250"/>
    <w:rsid w:val="03A07894"/>
    <w:rsid w:val="03F42D5F"/>
    <w:rsid w:val="048C3708"/>
    <w:rsid w:val="04BC3FEE"/>
    <w:rsid w:val="051223C4"/>
    <w:rsid w:val="062E0F1B"/>
    <w:rsid w:val="06471FDD"/>
    <w:rsid w:val="06893BEA"/>
    <w:rsid w:val="06C90C44"/>
    <w:rsid w:val="070954E4"/>
    <w:rsid w:val="07322345"/>
    <w:rsid w:val="082F2519"/>
    <w:rsid w:val="084C7436"/>
    <w:rsid w:val="08DA7138"/>
    <w:rsid w:val="08F70DAF"/>
    <w:rsid w:val="09075A53"/>
    <w:rsid w:val="094D790A"/>
    <w:rsid w:val="095347F5"/>
    <w:rsid w:val="095D4071"/>
    <w:rsid w:val="09CB082F"/>
    <w:rsid w:val="09D45935"/>
    <w:rsid w:val="0A1E4E03"/>
    <w:rsid w:val="0A634F0B"/>
    <w:rsid w:val="0AC91212"/>
    <w:rsid w:val="0AFF69E2"/>
    <w:rsid w:val="0B64718D"/>
    <w:rsid w:val="0B893815"/>
    <w:rsid w:val="0B9E269F"/>
    <w:rsid w:val="0BB93035"/>
    <w:rsid w:val="0C0A3BA0"/>
    <w:rsid w:val="0CE642FD"/>
    <w:rsid w:val="0D3000CB"/>
    <w:rsid w:val="0DE924A0"/>
    <w:rsid w:val="0E2350DD"/>
    <w:rsid w:val="0E5E6115"/>
    <w:rsid w:val="0E854AF5"/>
    <w:rsid w:val="0ED4462A"/>
    <w:rsid w:val="0F03477B"/>
    <w:rsid w:val="0F086688"/>
    <w:rsid w:val="0F386966"/>
    <w:rsid w:val="0FA47B58"/>
    <w:rsid w:val="0FA67D74"/>
    <w:rsid w:val="0FD20B69"/>
    <w:rsid w:val="0FE4089C"/>
    <w:rsid w:val="10093E5F"/>
    <w:rsid w:val="10152804"/>
    <w:rsid w:val="10234F21"/>
    <w:rsid w:val="10515368"/>
    <w:rsid w:val="10914580"/>
    <w:rsid w:val="10EE36A0"/>
    <w:rsid w:val="116752E1"/>
    <w:rsid w:val="12485112"/>
    <w:rsid w:val="127F665A"/>
    <w:rsid w:val="12DC3AAD"/>
    <w:rsid w:val="12F708E7"/>
    <w:rsid w:val="13203999"/>
    <w:rsid w:val="135C5E82"/>
    <w:rsid w:val="139B5716"/>
    <w:rsid w:val="13C77F07"/>
    <w:rsid w:val="13F454F6"/>
    <w:rsid w:val="14A800EA"/>
    <w:rsid w:val="15001CD4"/>
    <w:rsid w:val="150317C5"/>
    <w:rsid w:val="15202377"/>
    <w:rsid w:val="15542020"/>
    <w:rsid w:val="165F0C7D"/>
    <w:rsid w:val="1699418F"/>
    <w:rsid w:val="16995FBA"/>
    <w:rsid w:val="16A42B33"/>
    <w:rsid w:val="16DC051F"/>
    <w:rsid w:val="170B4961"/>
    <w:rsid w:val="1740285C"/>
    <w:rsid w:val="17464A19"/>
    <w:rsid w:val="1749510D"/>
    <w:rsid w:val="1796247C"/>
    <w:rsid w:val="18752B95"/>
    <w:rsid w:val="18CB084B"/>
    <w:rsid w:val="19481E9C"/>
    <w:rsid w:val="19AF3CC9"/>
    <w:rsid w:val="1A262FB5"/>
    <w:rsid w:val="1AE45BF4"/>
    <w:rsid w:val="1B2F316B"/>
    <w:rsid w:val="1BAE7956"/>
    <w:rsid w:val="1BCC19A4"/>
    <w:rsid w:val="1BF93A5C"/>
    <w:rsid w:val="1C27223D"/>
    <w:rsid w:val="1C6F14EE"/>
    <w:rsid w:val="1CB25FAA"/>
    <w:rsid w:val="1D0377EB"/>
    <w:rsid w:val="1D24677C"/>
    <w:rsid w:val="1D410B5C"/>
    <w:rsid w:val="1DD51824"/>
    <w:rsid w:val="1E4B3DFE"/>
    <w:rsid w:val="1E91399D"/>
    <w:rsid w:val="1EA77665"/>
    <w:rsid w:val="1ECC6B87"/>
    <w:rsid w:val="1F3A7811"/>
    <w:rsid w:val="1F5350F7"/>
    <w:rsid w:val="1FB17C46"/>
    <w:rsid w:val="1FB21E1D"/>
    <w:rsid w:val="1FBC2C9C"/>
    <w:rsid w:val="207417C9"/>
    <w:rsid w:val="20AA343C"/>
    <w:rsid w:val="20AD7038"/>
    <w:rsid w:val="20BE4D41"/>
    <w:rsid w:val="20E56222"/>
    <w:rsid w:val="20F540D8"/>
    <w:rsid w:val="210E0F0E"/>
    <w:rsid w:val="214A48F7"/>
    <w:rsid w:val="215569CD"/>
    <w:rsid w:val="2170143C"/>
    <w:rsid w:val="21EB3D26"/>
    <w:rsid w:val="2200714D"/>
    <w:rsid w:val="22123047"/>
    <w:rsid w:val="223461B5"/>
    <w:rsid w:val="22967FAA"/>
    <w:rsid w:val="22A00653"/>
    <w:rsid w:val="2338088B"/>
    <w:rsid w:val="236773C3"/>
    <w:rsid w:val="237D0994"/>
    <w:rsid w:val="23954DD6"/>
    <w:rsid w:val="23D42CAA"/>
    <w:rsid w:val="23DB6B3B"/>
    <w:rsid w:val="249D12EE"/>
    <w:rsid w:val="24E76143"/>
    <w:rsid w:val="24F353B2"/>
    <w:rsid w:val="25033D4B"/>
    <w:rsid w:val="267A11BB"/>
    <w:rsid w:val="27075144"/>
    <w:rsid w:val="27441EF5"/>
    <w:rsid w:val="27861A1B"/>
    <w:rsid w:val="27AE3812"/>
    <w:rsid w:val="27CB2BD2"/>
    <w:rsid w:val="27F5401D"/>
    <w:rsid w:val="28557849"/>
    <w:rsid w:val="285A12A4"/>
    <w:rsid w:val="289A5B44"/>
    <w:rsid w:val="28BD30CD"/>
    <w:rsid w:val="296E1A2F"/>
    <w:rsid w:val="29B449E4"/>
    <w:rsid w:val="29C72B81"/>
    <w:rsid w:val="29F55728"/>
    <w:rsid w:val="2AEF2865"/>
    <w:rsid w:val="2B0F281A"/>
    <w:rsid w:val="2B8D373E"/>
    <w:rsid w:val="2BF11F1F"/>
    <w:rsid w:val="2C6B0C0C"/>
    <w:rsid w:val="2C802418"/>
    <w:rsid w:val="2CB341C7"/>
    <w:rsid w:val="2CC66F08"/>
    <w:rsid w:val="2CEB2E12"/>
    <w:rsid w:val="2D5704A8"/>
    <w:rsid w:val="2D8165B1"/>
    <w:rsid w:val="2D964B2C"/>
    <w:rsid w:val="2DAC4350"/>
    <w:rsid w:val="2DE47F8D"/>
    <w:rsid w:val="2F083808"/>
    <w:rsid w:val="2F34284F"/>
    <w:rsid w:val="2F436F36"/>
    <w:rsid w:val="2F7A2E0A"/>
    <w:rsid w:val="2F8D1F5F"/>
    <w:rsid w:val="2FA96B3D"/>
    <w:rsid w:val="2FD933F6"/>
    <w:rsid w:val="30A6152A"/>
    <w:rsid w:val="30A77050"/>
    <w:rsid w:val="30AA565F"/>
    <w:rsid w:val="30DC27D6"/>
    <w:rsid w:val="3115220C"/>
    <w:rsid w:val="31342FDA"/>
    <w:rsid w:val="31502E9F"/>
    <w:rsid w:val="318A49A8"/>
    <w:rsid w:val="31A83FF1"/>
    <w:rsid w:val="31AA329C"/>
    <w:rsid w:val="31D2634F"/>
    <w:rsid w:val="321D581C"/>
    <w:rsid w:val="32F32A21"/>
    <w:rsid w:val="32F92E4C"/>
    <w:rsid w:val="32FA3DAF"/>
    <w:rsid w:val="33260700"/>
    <w:rsid w:val="33266952"/>
    <w:rsid w:val="33AE06F6"/>
    <w:rsid w:val="33B93C14"/>
    <w:rsid w:val="33BD2F15"/>
    <w:rsid w:val="348B3F97"/>
    <w:rsid w:val="34B65AB4"/>
    <w:rsid w:val="34C46423"/>
    <w:rsid w:val="34EA50C0"/>
    <w:rsid w:val="357449D1"/>
    <w:rsid w:val="35E47E90"/>
    <w:rsid w:val="35E93C67"/>
    <w:rsid w:val="364315C9"/>
    <w:rsid w:val="36657792"/>
    <w:rsid w:val="370E7E29"/>
    <w:rsid w:val="371464B8"/>
    <w:rsid w:val="376B0DD8"/>
    <w:rsid w:val="3770165B"/>
    <w:rsid w:val="37960DB8"/>
    <w:rsid w:val="37AD2573"/>
    <w:rsid w:val="37D75EFC"/>
    <w:rsid w:val="381153F4"/>
    <w:rsid w:val="38481119"/>
    <w:rsid w:val="38877EE4"/>
    <w:rsid w:val="38C22C79"/>
    <w:rsid w:val="39372651"/>
    <w:rsid w:val="39A700C1"/>
    <w:rsid w:val="3A451367"/>
    <w:rsid w:val="3A60099C"/>
    <w:rsid w:val="3A7A7584"/>
    <w:rsid w:val="3AEA4709"/>
    <w:rsid w:val="3B4007CD"/>
    <w:rsid w:val="3BC455C5"/>
    <w:rsid w:val="3C17152E"/>
    <w:rsid w:val="3D0047E4"/>
    <w:rsid w:val="3D766728"/>
    <w:rsid w:val="3D9F7A2D"/>
    <w:rsid w:val="3E4D7489"/>
    <w:rsid w:val="3E725142"/>
    <w:rsid w:val="3EB92D70"/>
    <w:rsid w:val="3F6A4DBB"/>
    <w:rsid w:val="3F785DC7"/>
    <w:rsid w:val="3FF86C17"/>
    <w:rsid w:val="3FFC1167"/>
    <w:rsid w:val="40077B0C"/>
    <w:rsid w:val="404B5C4A"/>
    <w:rsid w:val="40664832"/>
    <w:rsid w:val="4084115C"/>
    <w:rsid w:val="4099592E"/>
    <w:rsid w:val="40B53BBC"/>
    <w:rsid w:val="40B557B9"/>
    <w:rsid w:val="40C15F0C"/>
    <w:rsid w:val="40C8470D"/>
    <w:rsid w:val="413D6362"/>
    <w:rsid w:val="41540B2E"/>
    <w:rsid w:val="415648A7"/>
    <w:rsid w:val="41727207"/>
    <w:rsid w:val="41A42FA1"/>
    <w:rsid w:val="41BB6E00"/>
    <w:rsid w:val="41CF62FB"/>
    <w:rsid w:val="41DE5079"/>
    <w:rsid w:val="422A57D8"/>
    <w:rsid w:val="42817701"/>
    <w:rsid w:val="428611BC"/>
    <w:rsid w:val="42B86E9B"/>
    <w:rsid w:val="43105F3B"/>
    <w:rsid w:val="436463B1"/>
    <w:rsid w:val="43713C1A"/>
    <w:rsid w:val="43792ACE"/>
    <w:rsid w:val="43A538C3"/>
    <w:rsid w:val="43C755E8"/>
    <w:rsid w:val="43E75FBF"/>
    <w:rsid w:val="44380293"/>
    <w:rsid w:val="447D65EE"/>
    <w:rsid w:val="44A43B7B"/>
    <w:rsid w:val="44B71B00"/>
    <w:rsid w:val="44B862E9"/>
    <w:rsid w:val="44E37E88"/>
    <w:rsid w:val="455530C7"/>
    <w:rsid w:val="4602706C"/>
    <w:rsid w:val="46733805"/>
    <w:rsid w:val="46B856BC"/>
    <w:rsid w:val="46EE10DD"/>
    <w:rsid w:val="46F661E4"/>
    <w:rsid w:val="47103740"/>
    <w:rsid w:val="471C3E9C"/>
    <w:rsid w:val="478C72CD"/>
    <w:rsid w:val="4803505C"/>
    <w:rsid w:val="480A0199"/>
    <w:rsid w:val="48A57EC2"/>
    <w:rsid w:val="48AE4FC8"/>
    <w:rsid w:val="48BA396D"/>
    <w:rsid w:val="48BD16AF"/>
    <w:rsid w:val="48DF1625"/>
    <w:rsid w:val="48E56510"/>
    <w:rsid w:val="49395702"/>
    <w:rsid w:val="49843F7B"/>
    <w:rsid w:val="49A63EF1"/>
    <w:rsid w:val="4A3C6604"/>
    <w:rsid w:val="4AA20B5D"/>
    <w:rsid w:val="4AD8632C"/>
    <w:rsid w:val="4AF15640"/>
    <w:rsid w:val="4AFA62A3"/>
    <w:rsid w:val="4B726781"/>
    <w:rsid w:val="4C0272E2"/>
    <w:rsid w:val="4C0C0983"/>
    <w:rsid w:val="4C1149B8"/>
    <w:rsid w:val="4C675BBA"/>
    <w:rsid w:val="4D135D42"/>
    <w:rsid w:val="4D1473C4"/>
    <w:rsid w:val="4E514358"/>
    <w:rsid w:val="4E5C7274"/>
    <w:rsid w:val="4F585C8E"/>
    <w:rsid w:val="4F6B3C13"/>
    <w:rsid w:val="4F7D56F4"/>
    <w:rsid w:val="509C4C8B"/>
    <w:rsid w:val="50BE21C0"/>
    <w:rsid w:val="5135219E"/>
    <w:rsid w:val="518B3775"/>
    <w:rsid w:val="51C30881"/>
    <w:rsid w:val="51D535C6"/>
    <w:rsid w:val="51DB3CD7"/>
    <w:rsid w:val="51FE1E87"/>
    <w:rsid w:val="51FF2A86"/>
    <w:rsid w:val="522105B9"/>
    <w:rsid w:val="5259656B"/>
    <w:rsid w:val="535B634F"/>
    <w:rsid w:val="53807561"/>
    <w:rsid w:val="53C71634"/>
    <w:rsid w:val="542919A7"/>
    <w:rsid w:val="552F24A2"/>
    <w:rsid w:val="55D87B28"/>
    <w:rsid w:val="56397652"/>
    <w:rsid w:val="565C2507"/>
    <w:rsid w:val="566118CC"/>
    <w:rsid w:val="56A23A63"/>
    <w:rsid w:val="56F95FA8"/>
    <w:rsid w:val="572D5C52"/>
    <w:rsid w:val="58337298"/>
    <w:rsid w:val="58680DC2"/>
    <w:rsid w:val="588673C8"/>
    <w:rsid w:val="58E02A3F"/>
    <w:rsid w:val="5900361E"/>
    <w:rsid w:val="592F7A5F"/>
    <w:rsid w:val="59345076"/>
    <w:rsid w:val="59575208"/>
    <w:rsid w:val="595C12A3"/>
    <w:rsid w:val="5996188C"/>
    <w:rsid w:val="59C77C98"/>
    <w:rsid w:val="59DE1485"/>
    <w:rsid w:val="5A9F0C15"/>
    <w:rsid w:val="5AD36B10"/>
    <w:rsid w:val="5AE64A95"/>
    <w:rsid w:val="5B137EF8"/>
    <w:rsid w:val="5B1F1DFE"/>
    <w:rsid w:val="5B322D65"/>
    <w:rsid w:val="5BBC75A4"/>
    <w:rsid w:val="5BCC4E68"/>
    <w:rsid w:val="5C0E6052"/>
    <w:rsid w:val="5C38700F"/>
    <w:rsid w:val="5C4E644E"/>
    <w:rsid w:val="5C606182"/>
    <w:rsid w:val="5C8C341B"/>
    <w:rsid w:val="5C9B365E"/>
    <w:rsid w:val="5CD1707F"/>
    <w:rsid w:val="5D01298C"/>
    <w:rsid w:val="5D206DB4"/>
    <w:rsid w:val="5D292A17"/>
    <w:rsid w:val="5E043D85"/>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11D2893"/>
    <w:rsid w:val="613D1187"/>
    <w:rsid w:val="614442C4"/>
    <w:rsid w:val="61750921"/>
    <w:rsid w:val="617A5F38"/>
    <w:rsid w:val="61926DDD"/>
    <w:rsid w:val="62386256"/>
    <w:rsid w:val="62D11B87"/>
    <w:rsid w:val="62E80EC0"/>
    <w:rsid w:val="631D301E"/>
    <w:rsid w:val="631F49AF"/>
    <w:rsid w:val="632717A7"/>
    <w:rsid w:val="6384309D"/>
    <w:rsid w:val="638D0589"/>
    <w:rsid w:val="63CE39A4"/>
    <w:rsid w:val="63D27965"/>
    <w:rsid w:val="63F46E44"/>
    <w:rsid w:val="64025D70"/>
    <w:rsid w:val="643017E4"/>
    <w:rsid w:val="644840CB"/>
    <w:rsid w:val="64966BE4"/>
    <w:rsid w:val="65165F77"/>
    <w:rsid w:val="65397D57"/>
    <w:rsid w:val="65FE0EE5"/>
    <w:rsid w:val="660B744C"/>
    <w:rsid w:val="663F14FE"/>
    <w:rsid w:val="66707909"/>
    <w:rsid w:val="66B141AA"/>
    <w:rsid w:val="66B84AB3"/>
    <w:rsid w:val="67470A9D"/>
    <w:rsid w:val="6773145F"/>
    <w:rsid w:val="67B90B06"/>
    <w:rsid w:val="67FA56DC"/>
    <w:rsid w:val="681A3FD0"/>
    <w:rsid w:val="6888718C"/>
    <w:rsid w:val="68B25FB7"/>
    <w:rsid w:val="69164798"/>
    <w:rsid w:val="69D837FB"/>
    <w:rsid w:val="6A246A40"/>
    <w:rsid w:val="6A9C6F1F"/>
    <w:rsid w:val="6ABA1153"/>
    <w:rsid w:val="6AF44665"/>
    <w:rsid w:val="6BDB75D3"/>
    <w:rsid w:val="6BF80185"/>
    <w:rsid w:val="6C2B055A"/>
    <w:rsid w:val="6C423AF6"/>
    <w:rsid w:val="6C8A72E3"/>
    <w:rsid w:val="6C923EBF"/>
    <w:rsid w:val="6D1D49F8"/>
    <w:rsid w:val="6D8F2D6B"/>
    <w:rsid w:val="6E0C43BB"/>
    <w:rsid w:val="6EBC05CD"/>
    <w:rsid w:val="6EF07839"/>
    <w:rsid w:val="6F2F65B3"/>
    <w:rsid w:val="6FC4358D"/>
    <w:rsid w:val="6FF128C8"/>
    <w:rsid w:val="6FF60E7F"/>
    <w:rsid w:val="713C6D66"/>
    <w:rsid w:val="71DD2CB4"/>
    <w:rsid w:val="72011973"/>
    <w:rsid w:val="72563E57"/>
    <w:rsid w:val="72DA6836"/>
    <w:rsid w:val="72F21DD2"/>
    <w:rsid w:val="72FF629D"/>
    <w:rsid w:val="730022F6"/>
    <w:rsid w:val="73133AF5"/>
    <w:rsid w:val="732301DD"/>
    <w:rsid w:val="732950C8"/>
    <w:rsid w:val="735E76C4"/>
    <w:rsid w:val="73C60B68"/>
    <w:rsid w:val="73FD2CDB"/>
    <w:rsid w:val="74024296"/>
    <w:rsid w:val="74185868"/>
    <w:rsid w:val="742510D0"/>
    <w:rsid w:val="74257F85"/>
    <w:rsid w:val="744F0B5E"/>
    <w:rsid w:val="749A44CF"/>
    <w:rsid w:val="74F55BA9"/>
    <w:rsid w:val="74F6722B"/>
    <w:rsid w:val="751A53DD"/>
    <w:rsid w:val="75504B8E"/>
    <w:rsid w:val="76191423"/>
    <w:rsid w:val="76326989"/>
    <w:rsid w:val="764F06D1"/>
    <w:rsid w:val="765418F4"/>
    <w:rsid w:val="76562678"/>
    <w:rsid w:val="7718792D"/>
    <w:rsid w:val="77351703"/>
    <w:rsid w:val="77C32D85"/>
    <w:rsid w:val="77D965A0"/>
    <w:rsid w:val="77FC484A"/>
    <w:rsid w:val="782C5979"/>
    <w:rsid w:val="7847671C"/>
    <w:rsid w:val="789254BD"/>
    <w:rsid w:val="78D839F7"/>
    <w:rsid w:val="79002D6F"/>
    <w:rsid w:val="791660EE"/>
    <w:rsid w:val="79751DE3"/>
    <w:rsid w:val="7A1E674C"/>
    <w:rsid w:val="7B821819"/>
    <w:rsid w:val="7BAC4AE8"/>
    <w:rsid w:val="7C9C690A"/>
    <w:rsid w:val="7D1172F8"/>
    <w:rsid w:val="7D7B6E68"/>
    <w:rsid w:val="7DAC0DCF"/>
    <w:rsid w:val="7E372159"/>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20698</Words>
  <Characters>20907</Characters>
  <Lines>1850</Lines>
  <Paragraphs>1270</Paragraphs>
  <TotalTime>11</TotalTime>
  <ScaleCrop>false</ScaleCrop>
  <LinksUpToDate>false</LinksUpToDate>
  <CharactersWithSpaces>20934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2025-09-26T08:40:23Z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0DAC74E1EFE5487690866511387BAA3D_13</vt:lpwstr>
  </property>
  <property fmtid="{D5CDD505-2E9C-101B-9397-08002B2CF9AE}" pid="4" name="KSOTemplateDocerSaveRecord">
    <vt:lpwstr>eyJoZGlkIjoiZTlkMGRkODA2ODczM2MyMjE5MDExMmZhMGNiOWRiOTgiLCJ1c2VySWQiOiIyNTQyMjExNzQifQ==</vt:lpwstr>
  </property>
</Properties>
</file>