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val="0"/>
        <w:topLinePunct w:val="0"/>
        <w:autoSpaceDE/>
        <w:autoSpaceDN/>
        <w:bidi w:val="0"/>
        <w:adjustRightInd w:val="0"/>
        <w:snapToGrid w:val="0"/>
        <w:spacing w:after="0"/>
        <w:ind w:left="0"/>
        <w:jc w:val="both"/>
        <w:rPr>
          <w:rFonts w:hint="eastAsia" w:ascii="仿宋" w:hAnsi="仿宋" w:eastAsia="仿宋"/>
          <w:color w:val="auto"/>
          <w:szCs w:val="32"/>
        </w:rPr>
      </w:pPr>
      <w:r>
        <w:rPr>
          <w:rFonts w:ascii="宋体" w:hAnsi="宋体" w:eastAsia="宋体" w:cs="宋体"/>
          <w:sz w:val="24"/>
          <w:szCs w:val="24"/>
        </w:rPr>
        <w:drawing>
          <wp:anchor distT="0" distB="0" distL="114300" distR="114300" simplePos="0" relativeHeight="251659264" behindDoc="1" locked="0" layoutInCell="1" allowOverlap="1">
            <wp:simplePos x="0" y="0"/>
            <wp:positionH relativeFrom="column">
              <wp:posOffset>-116205</wp:posOffset>
            </wp:positionH>
            <wp:positionV relativeFrom="paragraph">
              <wp:posOffset>771525</wp:posOffset>
            </wp:positionV>
            <wp:extent cx="5114925" cy="1130935"/>
            <wp:effectExtent l="0" t="0" r="5715" b="12065"/>
            <wp:wrapNone/>
            <wp:docPr id="2" name="图片 2" descr="774cab3c599d63778141cb733ecde9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774cab3c599d63778141cb733ecde9bc"/>
                    <pic:cNvPicPr>
                      <a:picLocks noChangeAspect="1"/>
                    </pic:cNvPicPr>
                  </pic:nvPicPr>
                  <pic:blipFill>
                    <a:blip r:embed="rId6"/>
                    <a:stretch>
                      <a:fillRect/>
                    </a:stretch>
                  </pic:blipFill>
                  <pic:spPr>
                    <a:xfrm>
                      <a:off x="0" y="0"/>
                      <a:ext cx="5114925" cy="1130935"/>
                    </a:xfrm>
                    <a:prstGeom prst="rect">
                      <a:avLst/>
                    </a:prstGeom>
                    <a:noFill/>
                    <a:ln>
                      <a:noFill/>
                    </a:ln>
                  </pic:spPr>
                </pic:pic>
              </a:graphicData>
            </a:graphic>
          </wp:anchor>
        </w:drawing>
      </w:r>
    </w:p>
    <w:p>
      <w:pPr>
        <w:pageBreakBefore w:val="0"/>
        <w:kinsoku/>
        <w:wordWrap/>
        <w:overflowPunct w:val="0"/>
        <w:topLinePunct w:val="0"/>
        <w:autoSpaceDE/>
        <w:autoSpaceDN/>
        <w:bidi w:val="0"/>
        <w:adjustRightInd w:val="0"/>
        <w:snapToGrid w:val="0"/>
        <w:spacing w:after="0"/>
        <w:ind w:left="0"/>
        <w:jc w:val="center"/>
        <w:rPr>
          <w:rFonts w:hint="eastAsia" w:ascii="仿宋" w:hAnsi="仿宋" w:eastAsia="仿宋"/>
          <w:color w:val="auto"/>
          <w:szCs w:val="32"/>
        </w:rPr>
      </w:pPr>
    </w:p>
    <w:p>
      <w:pPr>
        <w:pageBreakBefore w:val="0"/>
        <w:kinsoku/>
        <w:wordWrap/>
        <w:overflowPunct w:val="0"/>
        <w:topLinePunct w:val="0"/>
        <w:autoSpaceDE/>
        <w:autoSpaceDN/>
        <w:bidi w:val="0"/>
        <w:adjustRightInd w:val="0"/>
        <w:snapToGrid w:val="0"/>
        <w:spacing w:after="0"/>
        <w:ind w:left="0"/>
        <w:jc w:val="center"/>
        <w:rPr>
          <w:rFonts w:hint="eastAsia" w:ascii="仿宋" w:hAnsi="仿宋" w:eastAsia="仿宋"/>
          <w:color w:val="auto"/>
          <w:szCs w:val="32"/>
        </w:rPr>
      </w:pPr>
    </w:p>
    <w:p>
      <w:pPr>
        <w:pageBreakBefore w:val="0"/>
        <w:kinsoku/>
        <w:wordWrap/>
        <w:overflowPunct w:val="0"/>
        <w:topLinePunct w:val="0"/>
        <w:autoSpaceDE/>
        <w:autoSpaceDN/>
        <w:bidi w:val="0"/>
        <w:adjustRightInd w:val="0"/>
        <w:snapToGrid w:val="0"/>
        <w:spacing w:after="0"/>
        <w:ind w:left="0"/>
        <w:jc w:val="center"/>
        <w:rPr>
          <w:rFonts w:hint="eastAsia" w:ascii="仿宋" w:hAnsi="仿宋" w:eastAsia="仿宋"/>
          <w:color w:val="auto"/>
          <w:szCs w:val="32"/>
        </w:rPr>
      </w:pPr>
    </w:p>
    <w:p>
      <w:pPr>
        <w:pageBreakBefore w:val="0"/>
        <w:kinsoku/>
        <w:wordWrap/>
        <w:overflowPunct w:val="0"/>
        <w:topLinePunct w:val="0"/>
        <w:autoSpaceDE/>
        <w:autoSpaceDN/>
        <w:bidi w:val="0"/>
        <w:adjustRightInd w:val="0"/>
        <w:snapToGrid w:val="0"/>
        <w:spacing w:after="0"/>
        <w:ind w:left="0"/>
        <w:jc w:val="center"/>
        <w:rPr>
          <w:rFonts w:hint="eastAsia" w:ascii="仿宋" w:hAnsi="仿宋" w:eastAsia="仿宋"/>
          <w:color w:val="auto"/>
          <w:szCs w:val="32"/>
        </w:rPr>
      </w:pPr>
    </w:p>
    <w:p>
      <w:pPr>
        <w:pageBreakBefore w:val="0"/>
        <w:kinsoku/>
        <w:wordWrap/>
        <w:overflowPunct w:val="0"/>
        <w:topLinePunct w:val="0"/>
        <w:autoSpaceDE/>
        <w:autoSpaceDN/>
        <w:bidi w:val="0"/>
        <w:adjustRightInd w:val="0"/>
        <w:snapToGrid w:val="0"/>
        <w:spacing w:after="0"/>
        <w:ind w:left="0"/>
        <w:jc w:val="center"/>
        <w:rPr>
          <w:rFonts w:hint="eastAsia" w:ascii="仿宋" w:hAnsi="仿宋" w:eastAsia="仿宋"/>
          <w:color w:val="auto"/>
          <w:szCs w:val="32"/>
        </w:rPr>
      </w:pPr>
    </w:p>
    <w:p>
      <w:pPr>
        <w:pageBreakBefore w:val="0"/>
        <w:kinsoku/>
        <w:wordWrap/>
        <w:overflowPunct w:val="0"/>
        <w:topLinePunct w:val="0"/>
        <w:autoSpaceDE/>
        <w:autoSpaceDN/>
        <w:bidi w:val="0"/>
        <w:adjustRightInd w:val="0"/>
        <w:snapToGrid w:val="0"/>
        <w:spacing w:after="0"/>
        <w:ind w:left="0"/>
        <w:jc w:val="center"/>
        <w:rPr>
          <w:rFonts w:hint="eastAsia" w:ascii="仿宋" w:hAnsi="仿宋" w:eastAsia="仿宋"/>
          <w:color w:val="auto"/>
          <w:szCs w:val="32"/>
        </w:rPr>
      </w:pPr>
    </w:p>
    <w:p>
      <w:pPr>
        <w:pageBreakBefore w:val="0"/>
        <w:kinsoku/>
        <w:wordWrap/>
        <w:overflowPunct w:val="0"/>
        <w:topLinePunct w:val="0"/>
        <w:autoSpaceDE/>
        <w:autoSpaceDN/>
        <w:bidi w:val="0"/>
        <w:adjustRightInd w:val="0"/>
        <w:snapToGrid w:val="0"/>
        <w:spacing w:after="0"/>
        <w:ind w:left="0"/>
        <w:rPr>
          <w:rFonts w:hint="eastAsia" w:ascii="华文新魏" w:hAnsi="仿宋" w:eastAsia="华文新魏"/>
          <w:b/>
          <w:color w:val="auto"/>
          <w:sz w:val="100"/>
          <w:szCs w:val="100"/>
        </w:rPr>
      </w:pPr>
    </w:p>
    <w:p>
      <w:pPr>
        <w:keepNext w:val="0"/>
        <w:keepLines w:val="0"/>
        <w:pageBreakBefore w:val="0"/>
        <w:widowControl w:val="0"/>
        <w:kinsoku/>
        <w:wordWrap/>
        <w:overflowPunct w:val="0"/>
        <w:topLinePunct w:val="0"/>
        <w:autoSpaceDE/>
        <w:autoSpaceDN/>
        <w:bidi w:val="0"/>
        <w:adjustRightInd w:val="0"/>
        <w:snapToGrid w:val="0"/>
        <w:spacing w:after="0" w:line="900" w:lineRule="exact"/>
        <w:ind w:left="0"/>
        <w:jc w:val="center"/>
        <w:textAlignment w:val="auto"/>
        <w:rPr>
          <w:rFonts w:hint="eastAsia" w:ascii="黑体" w:hAnsi="黑体" w:eastAsia="黑体" w:cs="黑体"/>
          <w:b w:val="0"/>
          <w:bCs/>
          <w:color w:val="auto"/>
          <w:sz w:val="72"/>
          <w:szCs w:val="72"/>
        </w:rPr>
      </w:pPr>
      <w:r>
        <w:rPr>
          <w:rFonts w:hint="eastAsia" w:ascii="黑体" w:hAnsi="黑体" w:eastAsia="黑体" w:cs="黑体"/>
          <w:b w:val="0"/>
          <w:bCs/>
          <w:color w:val="auto"/>
          <w:sz w:val="72"/>
          <w:szCs w:val="72"/>
        </w:rPr>
        <w:t>202</w:t>
      </w:r>
      <w:r>
        <w:rPr>
          <w:rFonts w:hint="eastAsia" w:ascii="黑体" w:hAnsi="黑体" w:eastAsia="黑体" w:cs="黑体"/>
          <w:b w:val="0"/>
          <w:bCs/>
          <w:color w:val="auto"/>
          <w:sz w:val="72"/>
          <w:szCs w:val="72"/>
          <w:lang w:val="en-US" w:eastAsia="zh-CN"/>
        </w:rPr>
        <w:t>5</w:t>
      </w:r>
      <w:r>
        <w:rPr>
          <w:rFonts w:hint="eastAsia" w:ascii="黑体" w:hAnsi="黑体" w:eastAsia="黑体" w:cs="黑体"/>
          <w:b w:val="0"/>
          <w:bCs/>
          <w:color w:val="auto"/>
          <w:sz w:val="72"/>
          <w:szCs w:val="72"/>
        </w:rPr>
        <w:t>级</w:t>
      </w:r>
      <w:r>
        <w:rPr>
          <w:rFonts w:hint="eastAsia" w:ascii="黑体" w:hAnsi="黑体" w:eastAsia="黑体" w:cs="黑体"/>
          <w:b w:val="0"/>
          <w:bCs/>
          <w:color w:val="auto"/>
          <w:sz w:val="72"/>
          <w:szCs w:val="72"/>
          <w:lang w:val="en-US" w:eastAsia="zh-CN"/>
        </w:rPr>
        <w:t>现代物业管理</w:t>
      </w:r>
      <w:r>
        <w:rPr>
          <w:rFonts w:hint="eastAsia" w:ascii="黑体" w:hAnsi="黑体" w:eastAsia="黑体" w:cs="黑体"/>
          <w:b w:val="0"/>
          <w:bCs/>
          <w:color w:val="auto"/>
          <w:sz w:val="72"/>
          <w:szCs w:val="72"/>
        </w:rPr>
        <w:t>专业</w:t>
      </w:r>
    </w:p>
    <w:p>
      <w:pPr>
        <w:keepNext w:val="0"/>
        <w:keepLines w:val="0"/>
        <w:pageBreakBefore w:val="0"/>
        <w:widowControl w:val="0"/>
        <w:kinsoku/>
        <w:wordWrap/>
        <w:overflowPunct w:val="0"/>
        <w:topLinePunct w:val="0"/>
        <w:autoSpaceDE/>
        <w:autoSpaceDN/>
        <w:bidi w:val="0"/>
        <w:adjustRightInd w:val="0"/>
        <w:snapToGrid w:val="0"/>
        <w:spacing w:after="0" w:line="900" w:lineRule="exact"/>
        <w:ind w:left="0"/>
        <w:jc w:val="center"/>
        <w:textAlignment w:val="auto"/>
        <w:rPr>
          <w:rFonts w:hint="eastAsia" w:ascii="黑体" w:hAnsi="黑体" w:eastAsia="黑体" w:cs="黑体"/>
          <w:b w:val="0"/>
          <w:bCs/>
          <w:color w:val="auto"/>
          <w:sz w:val="72"/>
          <w:szCs w:val="72"/>
        </w:rPr>
      </w:pPr>
      <w:r>
        <w:rPr>
          <w:rFonts w:hint="eastAsia" w:ascii="黑体" w:hAnsi="黑体" w:eastAsia="黑体" w:cs="黑体"/>
          <w:b w:val="0"/>
          <w:bCs/>
          <w:color w:val="auto"/>
          <w:sz w:val="72"/>
          <w:szCs w:val="72"/>
        </w:rPr>
        <w:t>人才培养方案</w:t>
      </w:r>
    </w:p>
    <w:p>
      <w:pPr>
        <w:pageBreakBefore w:val="0"/>
        <w:widowControl/>
        <w:kinsoku/>
        <w:wordWrap/>
        <w:overflowPunct w:val="0"/>
        <w:topLinePunct w:val="0"/>
        <w:autoSpaceDE/>
        <w:autoSpaceDN/>
        <w:bidi w:val="0"/>
        <w:adjustRightInd w:val="0"/>
        <w:snapToGrid w:val="0"/>
        <w:spacing w:after="0"/>
        <w:ind w:left="0"/>
        <w:jc w:val="center"/>
        <w:rPr>
          <w:rFonts w:hint="eastAsia" w:ascii="黑体" w:hAnsi="黑体" w:eastAsia="黑体" w:cs="黑体"/>
          <w:b/>
          <w:bCs/>
          <w:color w:val="auto"/>
          <w:kern w:val="0"/>
          <w:sz w:val="52"/>
          <w:szCs w:val="52"/>
          <w:lang w:val="en-US" w:eastAsia="zh-CN"/>
        </w:rPr>
      </w:pPr>
    </w:p>
    <w:p>
      <w:pPr>
        <w:pageBreakBefore w:val="0"/>
        <w:widowControl/>
        <w:kinsoku/>
        <w:wordWrap/>
        <w:overflowPunct w:val="0"/>
        <w:topLinePunct w:val="0"/>
        <w:autoSpaceDE/>
        <w:autoSpaceDN/>
        <w:bidi w:val="0"/>
        <w:adjustRightInd w:val="0"/>
        <w:snapToGrid w:val="0"/>
        <w:spacing w:after="0"/>
        <w:ind w:left="0"/>
        <w:jc w:val="center"/>
        <w:rPr>
          <w:rFonts w:hint="default" w:ascii="黑体" w:hAnsi="黑体" w:eastAsia="黑体" w:cs="黑体"/>
          <w:b/>
          <w:bCs/>
          <w:color w:val="auto"/>
          <w:kern w:val="0"/>
          <w:sz w:val="52"/>
          <w:szCs w:val="52"/>
          <w:lang w:val="en-US" w:eastAsia="zh-CN"/>
        </w:rPr>
      </w:pPr>
      <w:r>
        <w:rPr>
          <w:rFonts w:hint="eastAsia" w:ascii="黑体" w:hAnsi="黑体" w:eastAsia="黑体" w:cs="黑体"/>
          <w:b/>
          <w:bCs/>
          <w:color w:val="auto"/>
          <w:kern w:val="0"/>
          <w:sz w:val="52"/>
          <w:szCs w:val="52"/>
          <w:lang w:val="en-US" w:eastAsia="zh-CN"/>
        </w:rPr>
        <w:t>经济管理学院</w:t>
      </w:r>
    </w:p>
    <w:p>
      <w:pPr>
        <w:pageBreakBefore w:val="0"/>
        <w:widowControl/>
        <w:kinsoku/>
        <w:wordWrap/>
        <w:overflowPunct w:val="0"/>
        <w:topLinePunct w:val="0"/>
        <w:autoSpaceDE/>
        <w:autoSpaceDN/>
        <w:bidi w:val="0"/>
        <w:adjustRightInd w:val="0"/>
        <w:snapToGrid w:val="0"/>
        <w:spacing w:after="0"/>
        <w:ind w:left="0"/>
        <w:jc w:val="center"/>
        <w:rPr>
          <w:rFonts w:hint="eastAsia" w:ascii="黑体" w:hAnsi="黑体" w:eastAsia="黑体" w:cs="黑体"/>
          <w:b/>
          <w:bCs/>
          <w:color w:val="auto"/>
          <w:kern w:val="0"/>
          <w:sz w:val="52"/>
          <w:szCs w:val="52"/>
        </w:rPr>
      </w:pPr>
    </w:p>
    <w:p>
      <w:pPr>
        <w:pageBreakBefore w:val="0"/>
        <w:widowControl/>
        <w:kinsoku/>
        <w:wordWrap/>
        <w:overflowPunct w:val="0"/>
        <w:topLinePunct w:val="0"/>
        <w:autoSpaceDE/>
        <w:autoSpaceDN/>
        <w:bidi w:val="0"/>
        <w:adjustRightInd w:val="0"/>
        <w:snapToGrid w:val="0"/>
        <w:spacing w:after="0"/>
        <w:ind w:left="0"/>
        <w:jc w:val="center"/>
        <w:rPr>
          <w:rFonts w:hint="eastAsia" w:ascii="黑体" w:hAnsi="黑体" w:eastAsia="黑体" w:cs="黑体"/>
          <w:b/>
          <w:bCs/>
          <w:color w:val="auto"/>
          <w:kern w:val="0"/>
          <w:sz w:val="52"/>
          <w:szCs w:val="52"/>
        </w:rPr>
      </w:pPr>
    </w:p>
    <w:p>
      <w:pPr>
        <w:pageBreakBefore w:val="0"/>
        <w:widowControl/>
        <w:kinsoku/>
        <w:wordWrap/>
        <w:overflowPunct w:val="0"/>
        <w:topLinePunct w:val="0"/>
        <w:autoSpaceDE/>
        <w:autoSpaceDN/>
        <w:bidi w:val="0"/>
        <w:adjustRightInd w:val="0"/>
        <w:snapToGrid w:val="0"/>
        <w:spacing w:after="0"/>
        <w:ind w:left="0"/>
        <w:jc w:val="both"/>
        <w:rPr>
          <w:rFonts w:hint="eastAsia" w:ascii="黑体" w:hAnsi="黑体" w:eastAsia="黑体" w:cs="黑体"/>
          <w:b/>
          <w:bCs/>
          <w:color w:val="auto"/>
          <w:kern w:val="0"/>
          <w:sz w:val="52"/>
          <w:szCs w:val="52"/>
        </w:rPr>
      </w:pPr>
    </w:p>
    <w:p>
      <w:pPr>
        <w:pageBreakBefore w:val="0"/>
        <w:widowControl/>
        <w:kinsoku/>
        <w:wordWrap/>
        <w:overflowPunct w:val="0"/>
        <w:topLinePunct w:val="0"/>
        <w:autoSpaceDE/>
        <w:autoSpaceDN/>
        <w:bidi w:val="0"/>
        <w:adjustRightInd w:val="0"/>
        <w:snapToGrid w:val="0"/>
        <w:spacing w:after="0"/>
        <w:ind w:left="0"/>
        <w:jc w:val="center"/>
        <w:rPr>
          <w:rFonts w:hint="default" w:ascii="黑体" w:hAnsi="黑体" w:eastAsia="黑体" w:cs="黑体"/>
          <w:b/>
          <w:bCs/>
          <w:color w:val="auto"/>
          <w:kern w:val="0"/>
          <w:sz w:val="52"/>
          <w:szCs w:val="52"/>
          <w:lang w:val="en-US" w:eastAsia="zh-CN"/>
        </w:rPr>
      </w:pPr>
      <w:r>
        <w:rPr>
          <w:rFonts w:hint="eastAsia" w:ascii="黑体" w:hAnsi="黑体" w:eastAsia="黑体" w:cs="黑体"/>
          <w:b/>
          <w:bCs/>
          <w:color w:val="auto"/>
          <w:kern w:val="0"/>
          <w:sz w:val="52"/>
          <w:szCs w:val="52"/>
          <w:lang w:val="en-US" w:eastAsia="zh-CN"/>
        </w:rPr>
        <w:t>2025年4月</w:t>
      </w:r>
    </w:p>
    <w:p>
      <w:pPr>
        <w:pageBreakBefore w:val="0"/>
        <w:widowControl/>
        <w:kinsoku/>
        <w:wordWrap/>
        <w:overflowPunct w:val="0"/>
        <w:topLinePunct w:val="0"/>
        <w:autoSpaceDE/>
        <w:autoSpaceDN/>
        <w:bidi w:val="0"/>
        <w:adjustRightInd w:val="0"/>
        <w:snapToGrid w:val="0"/>
        <w:spacing w:after="0"/>
        <w:ind w:left="0"/>
        <w:jc w:val="center"/>
        <w:rPr>
          <w:rFonts w:hint="eastAsia" w:ascii="黑体" w:hAnsi="黑体" w:eastAsia="黑体" w:cs="黑体"/>
          <w:b/>
          <w:bCs/>
          <w:color w:val="auto"/>
          <w:kern w:val="0"/>
          <w:sz w:val="52"/>
          <w:szCs w:val="52"/>
        </w:rPr>
      </w:pPr>
    </w:p>
    <w:p>
      <w:pPr>
        <w:pageBreakBefore w:val="0"/>
        <w:widowControl/>
        <w:kinsoku/>
        <w:wordWrap/>
        <w:overflowPunct w:val="0"/>
        <w:topLinePunct w:val="0"/>
        <w:autoSpaceDE/>
        <w:autoSpaceDN/>
        <w:bidi w:val="0"/>
        <w:adjustRightInd w:val="0"/>
        <w:snapToGrid w:val="0"/>
        <w:spacing w:after="0"/>
        <w:ind w:left="0"/>
        <w:jc w:val="center"/>
        <w:rPr>
          <w:rFonts w:hint="eastAsia" w:ascii="黑体" w:hAnsi="黑体" w:eastAsia="黑体" w:cs="黑体"/>
          <w:b/>
          <w:bCs/>
          <w:color w:val="auto"/>
          <w:kern w:val="0"/>
          <w:sz w:val="52"/>
          <w:szCs w:val="52"/>
        </w:rPr>
      </w:pPr>
    </w:p>
    <w:p>
      <w:pPr>
        <w:pageBreakBefore w:val="0"/>
        <w:widowControl/>
        <w:kinsoku/>
        <w:wordWrap/>
        <w:overflowPunct w:val="0"/>
        <w:topLinePunct w:val="0"/>
        <w:autoSpaceDE/>
        <w:autoSpaceDN/>
        <w:bidi w:val="0"/>
        <w:adjustRightInd w:val="0"/>
        <w:snapToGrid w:val="0"/>
        <w:spacing w:after="0"/>
        <w:ind w:left="0"/>
        <w:jc w:val="center"/>
        <w:rPr>
          <w:rFonts w:hint="eastAsia" w:ascii="黑体" w:hAnsi="黑体" w:eastAsia="黑体" w:cs="黑体"/>
          <w:b/>
          <w:bCs/>
          <w:color w:val="auto"/>
          <w:kern w:val="0"/>
          <w:sz w:val="52"/>
          <w:szCs w:val="52"/>
        </w:rPr>
      </w:pPr>
    </w:p>
    <w:p>
      <w:pPr>
        <w:pageBreakBefore w:val="0"/>
        <w:widowControl/>
        <w:kinsoku/>
        <w:wordWrap/>
        <w:overflowPunct w:val="0"/>
        <w:topLinePunct w:val="0"/>
        <w:autoSpaceDE/>
        <w:autoSpaceDN/>
        <w:bidi w:val="0"/>
        <w:adjustRightInd w:val="0"/>
        <w:snapToGrid w:val="0"/>
        <w:spacing w:after="0"/>
        <w:ind w:left="0"/>
        <w:jc w:val="center"/>
        <w:rPr>
          <w:rFonts w:hint="eastAsia" w:ascii="黑体" w:hAnsi="黑体" w:eastAsia="黑体" w:cs="黑体"/>
          <w:b/>
          <w:bCs/>
          <w:color w:val="auto"/>
          <w:kern w:val="0"/>
          <w:sz w:val="52"/>
          <w:szCs w:val="52"/>
        </w:rPr>
      </w:pPr>
    </w:p>
    <w:p>
      <w:pPr>
        <w:pageBreakBefore w:val="0"/>
        <w:widowControl/>
        <w:kinsoku/>
        <w:wordWrap/>
        <w:overflowPunct w:val="0"/>
        <w:topLinePunct w:val="0"/>
        <w:autoSpaceDE/>
        <w:autoSpaceDN/>
        <w:bidi w:val="0"/>
        <w:adjustRightInd w:val="0"/>
        <w:snapToGrid w:val="0"/>
        <w:spacing w:after="0"/>
        <w:ind w:left="0"/>
        <w:jc w:val="center"/>
        <w:rPr>
          <w:rFonts w:hint="eastAsia" w:ascii="黑体" w:hAnsi="黑体" w:eastAsia="黑体" w:cs="黑体"/>
          <w:b/>
          <w:bCs/>
          <w:color w:val="auto"/>
          <w:kern w:val="0"/>
          <w:sz w:val="52"/>
          <w:szCs w:val="52"/>
        </w:rPr>
      </w:pPr>
    </w:p>
    <w:p>
      <w:pPr>
        <w:pageBreakBefore w:val="0"/>
        <w:widowControl/>
        <w:kinsoku/>
        <w:wordWrap/>
        <w:overflowPunct w:val="0"/>
        <w:topLinePunct w:val="0"/>
        <w:autoSpaceDE/>
        <w:autoSpaceDN/>
        <w:bidi w:val="0"/>
        <w:adjustRightInd w:val="0"/>
        <w:snapToGrid w:val="0"/>
        <w:spacing w:after="0"/>
        <w:ind w:left="0"/>
        <w:jc w:val="center"/>
        <w:rPr>
          <w:rFonts w:hint="eastAsia" w:ascii="黑体" w:hAnsi="黑体" w:eastAsia="黑体" w:cs="黑体"/>
          <w:b/>
          <w:bCs/>
          <w:color w:val="auto"/>
          <w:kern w:val="0"/>
          <w:sz w:val="52"/>
          <w:szCs w:val="52"/>
        </w:rPr>
      </w:pPr>
    </w:p>
    <w:p>
      <w:pPr>
        <w:pageBreakBefore w:val="0"/>
        <w:widowControl/>
        <w:kinsoku/>
        <w:wordWrap/>
        <w:overflowPunct w:val="0"/>
        <w:topLinePunct w:val="0"/>
        <w:autoSpaceDE/>
        <w:autoSpaceDN/>
        <w:bidi w:val="0"/>
        <w:adjustRightInd w:val="0"/>
        <w:snapToGrid w:val="0"/>
        <w:spacing w:after="0"/>
        <w:ind w:left="0"/>
        <w:jc w:val="center"/>
        <w:rPr>
          <w:rFonts w:hint="eastAsia" w:ascii="黑体" w:hAnsi="黑体" w:eastAsia="黑体" w:cs="黑体"/>
          <w:b/>
          <w:bCs/>
          <w:color w:val="auto"/>
          <w:kern w:val="0"/>
          <w:sz w:val="52"/>
          <w:szCs w:val="52"/>
        </w:rPr>
        <w:sectPr>
          <w:headerReference r:id="rId3" w:type="default"/>
          <w:pgSz w:w="11906" w:h="16838"/>
          <w:pgMar w:top="1417" w:right="1417" w:bottom="1417" w:left="1984" w:header="851" w:footer="992" w:gutter="0"/>
          <w:pgNumType w:start="1"/>
          <w:cols w:space="425" w:num="1"/>
          <w:docGrid w:type="lines" w:linePitch="312" w:charSpace="0"/>
        </w:sectPr>
      </w:pPr>
    </w:p>
    <w:p>
      <w:pPr>
        <w:keepNext w:val="0"/>
        <w:keepLines w:val="0"/>
        <w:pageBreakBefore w:val="0"/>
        <w:widowControl w:val="0"/>
        <w:kinsoku/>
        <w:wordWrap/>
        <w:overflowPunct w:val="0"/>
        <w:topLinePunct w:val="0"/>
        <w:autoSpaceDE/>
        <w:autoSpaceDN/>
        <w:bidi w:val="0"/>
        <w:adjustRightInd w:val="0"/>
        <w:snapToGrid w:val="0"/>
        <w:spacing w:after="0" w:line="520" w:lineRule="exact"/>
        <w:ind w:left="0"/>
        <w:jc w:val="center"/>
        <w:textAlignment w:val="auto"/>
        <w:rPr>
          <w:rFonts w:hint="eastAsia"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lang w:val="en-US" w:eastAsia="zh-CN"/>
        </w:rPr>
        <w:t>现代物业管理</w:t>
      </w:r>
      <w:r>
        <w:rPr>
          <w:rFonts w:hint="eastAsia" w:ascii="方正小标宋简体" w:hAnsi="方正小标宋简体" w:eastAsia="方正小标宋简体" w:cs="方正小标宋简体"/>
          <w:bCs/>
          <w:color w:val="auto"/>
          <w:sz w:val="44"/>
          <w:szCs w:val="44"/>
        </w:rPr>
        <w:t>专业人才培养方案</w:t>
      </w:r>
    </w:p>
    <w:p>
      <w:pPr>
        <w:keepNext w:val="0"/>
        <w:keepLines w:val="0"/>
        <w:pageBreakBefore w:val="0"/>
        <w:widowControl w:val="0"/>
        <w:kinsoku/>
        <w:wordWrap/>
        <w:overflowPunct w:val="0"/>
        <w:topLinePunct w:val="0"/>
        <w:autoSpaceDE/>
        <w:autoSpaceDN/>
        <w:bidi w:val="0"/>
        <w:adjustRightInd w:val="0"/>
        <w:snapToGrid w:val="0"/>
        <w:spacing w:after="0" w:line="520" w:lineRule="exact"/>
        <w:ind w:left="0"/>
        <w:jc w:val="center"/>
        <w:textAlignment w:val="auto"/>
        <w:rPr>
          <w:rFonts w:hint="eastAsia" w:ascii="方正小标宋简体" w:hAnsi="方正小标宋简体" w:eastAsia="方正小标宋简体" w:cs="方正小标宋简体"/>
          <w:bCs/>
          <w:color w:val="auto"/>
          <w:sz w:val="44"/>
          <w:szCs w:val="44"/>
        </w:rPr>
      </w:pPr>
    </w:p>
    <w:p>
      <w:pPr>
        <w:keepNext w:val="0"/>
        <w:keepLines w:val="0"/>
        <w:pageBreakBefore w:val="0"/>
        <w:widowControl w:val="0"/>
        <w:kinsoku/>
        <w:wordWrap/>
        <w:overflowPunct w:val="0"/>
        <w:topLinePunct w:val="0"/>
        <w:autoSpaceDE/>
        <w:autoSpaceDN/>
        <w:bidi w:val="0"/>
        <w:adjustRightInd w:val="0"/>
        <w:snapToGrid w:val="0"/>
        <w:spacing w:after="0" w:line="520" w:lineRule="exact"/>
        <w:ind w:left="0"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一、专业名称及代码</w:t>
      </w:r>
    </w:p>
    <w:p>
      <w:pPr>
        <w:keepNext w:val="0"/>
        <w:keepLines w:val="0"/>
        <w:pageBreakBefore w:val="0"/>
        <w:widowControl w:val="0"/>
        <w:kinsoku/>
        <w:wordWrap/>
        <w:overflowPunct w:val="0"/>
        <w:topLinePunct w:val="0"/>
        <w:autoSpaceDE/>
        <w:autoSpaceDN/>
        <w:bidi w:val="0"/>
        <w:adjustRightInd w:val="0"/>
        <w:spacing w:after="0" w:line="520" w:lineRule="exact"/>
        <w:ind w:lef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专业名称：</w:t>
      </w:r>
      <w:r>
        <w:rPr>
          <w:rFonts w:hint="eastAsia" w:ascii="仿宋_GB2312" w:hAnsi="仿宋_GB2312" w:eastAsia="仿宋_GB2312" w:cs="仿宋_GB2312"/>
          <w:color w:val="auto"/>
          <w:sz w:val="32"/>
          <w:szCs w:val="32"/>
          <w:lang w:val="en-US" w:eastAsia="zh-CN"/>
        </w:rPr>
        <w:t>现代物业管理</w:t>
      </w:r>
    </w:p>
    <w:p>
      <w:pPr>
        <w:keepNext w:val="0"/>
        <w:keepLines w:val="0"/>
        <w:pageBreakBefore w:val="0"/>
        <w:widowControl w:val="0"/>
        <w:kinsoku/>
        <w:wordWrap/>
        <w:overflowPunct w:val="0"/>
        <w:topLinePunct w:val="0"/>
        <w:autoSpaceDE/>
        <w:autoSpaceDN/>
        <w:bidi w:val="0"/>
        <w:adjustRightInd w:val="0"/>
        <w:spacing w:after="0" w:line="520" w:lineRule="exact"/>
        <w:ind w:lef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专业代码：</w:t>
      </w:r>
      <w:r>
        <w:rPr>
          <w:rFonts w:hint="eastAsia" w:ascii="仿宋_GB2312" w:hAnsi="仿宋_GB2312" w:eastAsia="仿宋_GB2312" w:cs="仿宋_GB2312"/>
          <w:b w:val="0"/>
          <w:bCs w:val="0"/>
          <w:color w:val="auto"/>
          <w:sz w:val="32"/>
          <w:szCs w:val="32"/>
          <w:highlight w:val="none"/>
        </w:rPr>
        <w:t>440703</w:t>
      </w:r>
      <w:r>
        <w:rPr>
          <w:rFonts w:hint="eastAsia" w:ascii="仿宋_GB2312" w:hAnsi="仿宋_GB2312" w:eastAsia="仿宋_GB2312" w:cs="仿宋_GB2312"/>
          <w:color w:val="auto"/>
          <w:sz w:val="32"/>
          <w:szCs w:val="32"/>
          <w:lang w:val="en-US" w:eastAsia="zh-CN"/>
        </w:rPr>
        <w:t xml:space="preserve"> </w:t>
      </w:r>
    </w:p>
    <w:p>
      <w:pPr>
        <w:keepNext w:val="0"/>
        <w:keepLines w:val="0"/>
        <w:pageBreakBefore w:val="0"/>
        <w:widowControl w:val="0"/>
        <w:kinsoku/>
        <w:wordWrap/>
        <w:overflowPunct w:val="0"/>
        <w:topLinePunct w:val="0"/>
        <w:autoSpaceDE/>
        <w:autoSpaceDN/>
        <w:bidi w:val="0"/>
        <w:adjustRightInd w:val="0"/>
        <w:snapToGrid w:val="0"/>
        <w:spacing w:after="0" w:line="520" w:lineRule="exact"/>
        <w:ind w:left="0"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二、入学要求</w:t>
      </w:r>
    </w:p>
    <w:p>
      <w:pPr>
        <w:keepNext w:val="0"/>
        <w:keepLines w:val="0"/>
        <w:pageBreakBefore w:val="0"/>
        <w:widowControl w:val="0"/>
        <w:kinsoku/>
        <w:wordWrap/>
        <w:overflowPunct w:val="0"/>
        <w:topLinePunct w:val="0"/>
        <w:autoSpaceDE/>
        <w:autoSpaceDN/>
        <w:bidi w:val="0"/>
        <w:adjustRightInd w:val="0"/>
        <w:spacing w:after="0" w:line="520" w:lineRule="exact"/>
        <w:ind w:lef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中等职业学校毕业、普通高级中学毕业或具备同等学力</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val="0"/>
        <w:topLinePunct w:val="0"/>
        <w:autoSpaceDE/>
        <w:autoSpaceDN/>
        <w:bidi w:val="0"/>
        <w:adjustRightInd w:val="0"/>
        <w:snapToGrid w:val="0"/>
        <w:spacing w:after="0" w:line="520" w:lineRule="exact"/>
        <w:ind w:left="0"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三、</w:t>
      </w:r>
      <w:r>
        <w:rPr>
          <w:rFonts w:hint="eastAsia" w:ascii="黑体" w:hAnsi="黑体" w:eastAsia="黑体" w:cs="黑体"/>
          <w:color w:val="auto"/>
          <w:sz w:val="32"/>
          <w:szCs w:val="32"/>
          <w:highlight w:val="none"/>
          <w:lang w:val="en-US" w:eastAsia="zh-CN"/>
        </w:rPr>
        <w:t>基本</w:t>
      </w:r>
      <w:r>
        <w:rPr>
          <w:rFonts w:hint="eastAsia" w:ascii="黑体" w:hAnsi="黑体" w:eastAsia="黑体" w:cs="黑体"/>
          <w:color w:val="auto"/>
          <w:sz w:val="32"/>
          <w:szCs w:val="32"/>
          <w:highlight w:val="none"/>
        </w:rPr>
        <w:t>修业年限</w:t>
      </w:r>
    </w:p>
    <w:p>
      <w:pPr>
        <w:keepNext w:val="0"/>
        <w:keepLines w:val="0"/>
        <w:pageBreakBefore w:val="0"/>
        <w:widowControl w:val="0"/>
        <w:kinsoku/>
        <w:wordWrap/>
        <w:overflowPunct w:val="0"/>
        <w:topLinePunct w:val="0"/>
        <w:autoSpaceDE/>
        <w:autoSpaceDN/>
        <w:bidi w:val="0"/>
        <w:adjustRightInd w:val="0"/>
        <w:spacing w:after="0" w:line="520" w:lineRule="exact"/>
        <w:ind w:left="0"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标准修业年限为3年，弹性学分有效修业年限为2</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5年。</w:t>
      </w:r>
    </w:p>
    <w:p>
      <w:pPr>
        <w:keepNext w:val="0"/>
        <w:keepLines w:val="0"/>
        <w:pageBreakBefore w:val="0"/>
        <w:widowControl w:val="0"/>
        <w:kinsoku/>
        <w:wordWrap/>
        <w:overflowPunct w:val="0"/>
        <w:topLinePunct w:val="0"/>
        <w:autoSpaceDE/>
        <w:autoSpaceDN/>
        <w:bidi w:val="0"/>
        <w:adjustRightInd w:val="0"/>
        <w:snapToGrid w:val="0"/>
        <w:spacing w:after="0" w:line="520" w:lineRule="exact"/>
        <w:ind w:left="0"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四、职业面向</w:t>
      </w:r>
    </w:p>
    <w:p>
      <w:pPr>
        <w:keepNext w:val="0"/>
        <w:keepLines w:val="0"/>
        <w:pageBreakBefore w:val="0"/>
        <w:widowControl w:val="0"/>
        <w:kinsoku/>
        <w:wordWrap/>
        <w:overflowPunct w:val="0"/>
        <w:topLinePunct w:val="0"/>
        <w:autoSpaceDE/>
        <w:autoSpaceDN/>
        <w:bidi w:val="0"/>
        <w:adjustRightInd w:val="0"/>
        <w:spacing w:after="0" w:line="520" w:lineRule="exact"/>
        <w:ind w:left="0" w:firstLine="640" w:firstLineChars="200"/>
        <w:jc w:val="center"/>
        <w:textAlignment w:val="auto"/>
        <w:rPr>
          <w:rFonts w:hint="eastAsia" w:ascii="仿宋" w:hAnsi="仿宋" w:eastAsia="仿宋"/>
          <w:color w:val="auto"/>
          <w:sz w:val="32"/>
          <w:szCs w:val="32"/>
        </w:rPr>
      </w:pPr>
      <w:r>
        <w:rPr>
          <w:rFonts w:hint="eastAsia" w:ascii="仿宋_GB2312" w:hAnsi="仿宋_GB2312" w:eastAsia="仿宋_GB2312" w:cs="仿宋_GB2312"/>
          <w:color w:val="auto"/>
          <w:sz w:val="32"/>
          <w:szCs w:val="32"/>
        </w:rPr>
        <w:t>表1</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职业岗位分析表</w:t>
      </w:r>
    </w:p>
    <w:tbl>
      <w:tblPr>
        <w:tblStyle w:val="10"/>
        <w:tblW w:w="9906"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1"/>
        <w:gridCol w:w="1523"/>
        <w:gridCol w:w="1284"/>
        <w:gridCol w:w="2335"/>
        <w:gridCol w:w="1905"/>
        <w:gridCol w:w="1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321"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所属专业大类</w:t>
            </w:r>
          </w:p>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（代码）</w:t>
            </w:r>
          </w:p>
        </w:tc>
        <w:tc>
          <w:tcPr>
            <w:tcW w:w="1523"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所属专业类</w:t>
            </w:r>
          </w:p>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（代码）</w:t>
            </w:r>
          </w:p>
        </w:tc>
        <w:tc>
          <w:tcPr>
            <w:tcW w:w="1284"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对应行业（代码）</w:t>
            </w:r>
          </w:p>
        </w:tc>
        <w:tc>
          <w:tcPr>
            <w:tcW w:w="2335"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主要职业类别</w:t>
            </w:r>
          </w:p>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（代码）</w:t>
            </w:r>
          </w:p>
        </w:tc>
        <w:tc>
          <w:tcPr>
            <w:tcW w:w="1905"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主要岗位（群）或技术领域</w:t>
            </w:r>
          </w:p>
        </w:tc>
        <w:tc>
          <w:tcPr>
            <w:tcW w:w="1538"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职业类证书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321"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auto"/>
                <w:sz w:val="24"/>
                <w:szCs w:val="24"/>
                <w:lang w:val="en-US" w:eastAsia="zh-CN"/>
              </w:rPr>
            </w:pPr>
            <w:bookmarkStart w:id="0" w:name="OLE_LINK1" w:colFirst="0" w:colLast="5"/>
            <w:r>
              <w:rPr>
                <w:rFonts w:hint="eastAsia" w:ascii="仿宋_GB2312" w:hAnsi="仿宋_GB2312" w:eastAsia="仿宋_GB2312" w:cs="仿宋_GB2312"/>
                <w:color w:val="auto"/>
                <w:sz w:val="24"/>
                <w:szCs w:val="24"/>
                <w:lang w:val="en-US" w:eastAsia="zh-CN"/>
              </w:rPr>
              <w:t>土木建筑类（44）</w:t>
            </w:r>
          </w:p>
        </w:tc>
        <w:tc>
          <w:tcPr>
            <w:tcW w:w="1523"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房地产类</w:t>
            </w:r>
          </w:p>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color w:val="auto"/>
                <w:sz w:val="24"/>
                <w:szCs w:val="24"/>
                <w:lang w:val="en-US" w:eastAsia="zh-CN"/>
              </w:rPr>
              <w:t>4407</w:t>
            </w:r>
            <w:r>
              <w:rPr>
                <w:rFonts w:hint="eastAsia" w:ascii="仿宋_GB2312" w:hAnsi="仿宋_GB2312" w:eastAsia="仿宋_GB2312" w:cs="仿宋_GB2312"/>
                <w:color w:val="auto"/>
                <w:sz w:val="24"/>
                <w:szCs w:val="24"/>
                <w:highlight w:val="none"/>
                <w:lang w:val="en-US" w:eastAsia="zh-CN"/>
              </w:rPr>
              <w:t>)</w:t>
            </w:r>
          </w:p>
        </w:tc>
        <w:tc>
          <w:tcPr>
            <w:tcW w:w="1284"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物业管理（702）</w:t>
            </w:r>
          </w:p>
        </w:tc>
        <w:tc>
          <w:tcPr>
            <w:tcW w:w="2335"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物业管理员（4-06-01-01）；</w:t>
            </w:r>
          </w:p>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物业经营管理专业人员（2-06-07-10）；</w:t>
            </w:r>
          </w:p>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客户服务管理员（4-07-02-03）；</w:t>
            </w:r>
          </w:p>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auto"/>
                <w:sz w:val="24"/>
                <w:szCs w:val="24"/>
                <w:highlight w:val="yellow"/>
                <w:lang w:val="en-US" w:eastAsia="zh-CN"/>
              </w:rPr>
            </w:pPr>
            <w:r>
              <w:rPr>
                <w:rFonts w:hint="eastAsia" w:ascii="仿宋_GB2312" w:hAnsi="仿宋_GB2312" w:eastAsia="仿宋_GB2312" w:cs="仿宋_GB2312"/>
                <w:color w:val="auto"/>
                <w:sz w:val="24"/>
                <w:szCs w:val="24"/>
                <w:lang w:val="en-US" w:eastAsia="zh-CN"/>
              </w:rPr>
              <w:t>智能楼宇管理员（4-06-01-04）</w:t>
            </w:r>
            <w:r>
              <w:rPr>
                <w:rFonts w:hint="eastAsia" w:ascii="仿宋_GB2312" w:hAnsi="仿宋_GB2312" w:eastAsia="仿宋_GB2312" w:cs="仿宋_GB2312"/>
                <w:color w:val="auto"/>
                <w:sz w:val="24"/>
                <w:szCs w:val="24"/>
                <w:highlight w:val="none"/>
                <w:lang w:val="en-US" w:eastAsia="zh-CN"/>
              </w:rPr>
              <w:t>；</w:t>
            </w:r>
          </w:p>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理咨询专业人员（2-06-07-08）</w:t>
            </w:r>
          </w:p>
        </w:tc>
        <w:tc>
          <w:tcPr>
            <w:tcW w:w="1905"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客户服务、空间营造管理、设备设施管理、经营管理、数字化管理</w:t>
            </w:r>
          </w:p>
        </w:tc>
        <w:tc>
          <w:tcPr>
            <w:tcW w:w="1538"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物联网智能家居系统集成和应用、建筑信息模型（BIM）、新居住数字化经纪服务</w:t>
            </w:r>
          </w:p>
        </w:tc>
      </w:tr>
      <w:bookmarkEnd w:id="0"/>
    </w:tbl>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五、培养目标</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color w:val="auto"/>
          <w:sz w:val="32"/>
          <w:szCs w:val="32"/>
        </w:rPr>
        <w:t>本专业培养</w:t>
      </w:r>
      <w:r>
        <w:rPr>
          <w:rFonts w:hint="eastAsia" w:ascii="仿宋_GB2312" w:hAnsi="仿宋_GB2312" w:eastAsia="仿宋_GB2312" w:cs="仿宋_GB2312"/>
          <w:b w:val="0"/>
          <w:bCs w:val="0"/>
          <w:color w:val="auto"/>
          <w:sz w:val="32"/>
          <w:szCs w:val="32"/>
          <w:highlight w:val="none"/>
        </w:rPr>
        <w:t>能够践行社会主义核心价值观，传承技能文明，德智体美劳全面发展的高技能人才。广西房地产市场持续</w:t>
      </w:r>
      <w:r>
        <w:rPr>
          <w:rFonts w:hint="eastAsia" w:ascii="仿宋_GB2312" w:hAnsi="仿宋_GB2312" w:eastAsia="仿宋_GB2312" w:cs="仿宋_GB2312"/>
          <w:b w:val="0"/>
          <w:bCs w:val="0"/>
          <w:color w:val="auto"/>
          <w:sz w:val="32"/>
          <w:szCs w:val="32"/>
          <w:highlight w:val="none"/>
          <w:lang w:val="en-US" w:eastAsia="zh-CN"/>
        </w:rPr>
        <w:t>发展</w:t>
      </w:r>
      <w:r>
        <w:rPr>
          <w:rFonts w:hint="eastAsia" w:ascii="仿宋_GB2312" w:hAnsi="仿宋_GB2312" w:eastAsia="仿宋_GB2312" w:cs="仿宋_GB2312"/>
          <w:b w:val="0"/>
          <w:bCs w:val="0"/>
          <w:color w:val="auto"/>
          <w:sz w:val="32"/>
          <w:szCs w:val="32"/>
          <w:highlight w:val="none"/>
        </w:rPr>
        <w:t>，且有着丰富多元的业态，如特色旅游地产、民族文化街区物业等</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在此背景下，学生不仅需具备一定的科学文化水平，良好的人文素养、科学素养、数字素养、职业道德、创新意识，爱岗敬业的职业精神和精益求精的工匠精神，还得深入了解广西当地物业相关政策法规细则。</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rPr>
        <w:t>学生要掌握本专业知识和技术技能，具备职业综合素质和行动能力，熟练运用所学处理不同业态物业的实际问题。未来能面向物业管理行业的物业管理员、物业经营管理专业人员、客户服务管理员、智能楼宇管理员、管理咨询专业人员等职业，在广西各类物业场景中，从事现代建筑智慧管理、不动产服务咨询、物业空间营造与维护、客户服务与管理、物业资产经营等工作，为广西物业行业发展贡献力量</w:t>
      </w:r>
      <w:r>
        <w:rPr>
          <w:rFonts w:hint="eastAsia" w:ascii="仿宋_GB2312" w:hAnsi="仿宋_GB2312" w:eastAsia="仿宋_GB2312" w:cs="仿宋_GB2312"/>
          <w:b w:val="0"/>
          <w:bCs w:val="0"/>
          <w:color w:val="auto"/>
          <w:sz w:val="32"/>
          <w:szCs w:val="32"/>
          <w:highlight w:val="none"/>
          <w:lang w:eastAsia="zh-CN"/>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黑体" w:hAnsi="黑体" w:eastAsia="黑体" w:cs="黑体"/>
          <w:color w:val="auto"/>
          <w:sz w:val="32"/>
          <w:szCs w:val="32"/>
          <w:highlight w:val="none"/>
          <w:lang w:eastAsia="zh-CN"/>
        </w:rPr>
      </w:pPr>
      <w:r>
        <w:rPr>
          <w:rFonts w:hint="eastAsia" w:ascii="黑体" w:hAnsi="黑体" w:eastAsia="黑体" w:cs="黑体"/>
          <w:color w:val="auto"/>
          <w:sz w:val="32"/>
          <w:szCs w:val="32"/>
          <w:highlight w:val="none"/>
          <w:lang w:val="en-US" w:eastAsia="zh-CN"/>
        </w:rPr>
        <w:t>六</w:t>
      </w:r>
      <w:r>
        <w:rPr>
          <w:rFonts w:hint="eastAsia" w:ascii="黑体" w:hAnsi="黑体" w:eastAsia="黑体" w:cs="黑体"/>
          <w:color w:val="auto"/>
          <w:sz w:val="32"/>
          <w:szCs w:val="32"/>
          <w:highlight w:val="none"/>
        </w:rPr>
        <w:t>、培养</w:t>
      </w:r>
      <w:r>
        <w:rPr>
          <w:rFonts w:hint="eastAsia" w:ascii="黑体" w:hAnsi="黑体" w:eastAsia="黑体" w:cs="黑体"/>
          <w:color w:val="auto"/>
          <w:sz w:val="32"/>
          <w:szCs w:val="32"/>
          <w:highlight w:val="none"/>
          <w:lang w:val="en-US" w:eastAsia="zh-CN"/>
        </w:rPr>
        <w:t>规格</w:t>
      </w:r>
    </w:p>
    <w:p>
      <w:pPr>
        <w:pStyle w:val="5"/>
        <w:keepNext w:val="0"/>
        <w:keepLines w:val="0"/>
        <w:pageBreakBefore w:val="0"/>
        <w:widowControl w:val="0"/>
        <w:kinsoku/>
        <w:wordWrap/>
        <w:topLinePunct w:val="0"/>
        <w:autoSpaceDE/>
        <w:autoSpaceDN/>
        <w:bidi w:val="0"/>
        <w:snapToGrid/>
        <w:spacing w:after="0" w:line="520" w:lineRule="exact"/>
        <w:ind w:left="0" w:right="0"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本专业</w:t>
      </w:r>
      <w:r>
        <w:rPr>
          <w:rFonts w:hint="eastAsia" w:ascii="仿宋_GB2312" w:hAnsi="仿宋_GB2312" w:eastAsia="仿宋_GB2312" w:cs="仿宋_GB2312"/>
          <w:color w:val="auto"/>
          <w:sz w:val="32"/>
          <w:szCs w:val="32"/>
          <w:highlight w:val="none"/>
          <w:lang w:val="en-US" w:eastAsia="zh-CN"/>
        </w:rPr>
        <w:t>学</w:t>
      </w:r>
      <w:r>
        <w:rPr>
          <w:rFonts w:hint="eastAsia" w:ascii="仿宋_GB2312" w:hAnsi="仿宋_GB2312" w:eastAsia="仿宋_GB2312" w:cs="仿宋_GB2312"/>
          <w:color w:val="auto"/>
          <w:sz w:val="32"/>
          <w:szCs w:val="32"/>
          <w:highlight w:val="none"/>
          <w:lang w:eastAsia="zh-CN"/>
        </w:rPr>
        <w:t>生</w:t>
      </w:r>
      <w:r>
        <w:rPr>
          <w:rFonts w:hint="eastAsia" w:ascii="仿宋_GB2312" w:hAnsi="仿宋_GB2312" w:eastAsia="仿宋_GB2312" w:cs="仿宋_GB2312"/>
          <w:b w:val="0"/>
          <w:bCs w:val="0"/>
          <w:color w:val="auto"/>
          <w:sz w:val="32"/>
          <w:szCs w:val="32"/>
          <w:highlight w:val="none"/>
        </w:rPr>
        <w:t>应在系统学习专业知识并完成有关实习实训基础上，全面提升知识、能力、素质，掌握并实际运用岗位（群）需要的专业核心技术技能，实现德智体美劳全面发展</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eastAsia="zh-CN"/>
        </w:rPr>
        <w:t>总体上须达到以下要求：</w:t>
      </w:r>
    </w:p>
    <w:p>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left="0" w:right="0" w:rightChars="0" w:firstLine="640" w:firstLineChars="200"/>
        <w:textAlignment w:val="auto"/>
        <w:outlineLvl w:val="0"/>
        <w:rPr>
          <w:rFonts w:hint="eastAsia" w:ascii="楷体" w:hAnsi="楷体" w:eastAsia="楷体" w:cs="楷体"/>
          <w:color w:val="auto"/>
          <w:sz w:val="32"/>
          <w:szCs w:val="32"/>
          <w:highlight w:val="none"/>
          <w:lang w:val="en-US" w:eastAsia="zh-CN"/>
        </w:rPr>
      </w:pPr>
      <w:r>
        <w:rPr>
          <w:rFonts w:hint="eastAsia" w:ascii="楷体" w:hAnsi="楷体" w:eastAsia="楷体" w:cs="楷体"/>
          <w:color w:val="auto"/>
          <w:sz w:val="32"/>
          <w:szCs w:val="32"/>
          <w:highlight w:val="none"/>
        </w:rPr>
        <w:t>知识</w:t>
      </w:r>
      <w:r>
        <w:rPr>
          <w:rFonts w:hint="eastAsia" w:ascii="楷体" w:hAnsi="楷体" w:eastAsia="楷体" w:cs="楷体"/>
          <w:color w:val="auto"/>
          <w:sz w:val="32"/>
          <w:szCs w:val="32"/>
          <w:highlight w:val="none"/>
          <w:lang w:val="en-US" w:eastAsia="zh-CN"/>
        </w:rPr>
        <w:t>目标</w:t>
      </w:r>
    </w:p>
    <w:p>
      <w:pPr>
        <w:keepNext w:val="0"/>
        <w:keepLines w:val="0"/>
        <w:pageBreakBefore w:val="0"/>
        <w:widowControl w:val="0"/>
        <w:numPr>
          <w:ilvl w:val="0"/>
          <w:numId w:val="2"/>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default"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掌握与本专业对应职业活动相关的国家法律、行业规定，掌握绿色生产、环境保护、安全防护、质量管理等相关知识与技能</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了解相关行业文化，具有爱岗敬业的职业精神，遵 守职业道德准则和行为规范，具备社会责任感和担当精神；</w:t>
      </w:r>
      <w:r>
        <w:rPr>
          <w:rFonts w:hint="default" w:ascii="仿宋_GB2312" w:hAnsi="仿宋_GB2312" w:eastAsia="仿宋_GB2312" w:cs="仿宋_GB2312"/>
          <w:b w:val="0"/>
          <w:bCs w:val="0"/>
          <w:color w:val="auto"/>
          <w:sz w:val="32"/>
          <w:szCs w:val="32"/>
          <w:highlight w:val="none"/>
        </w:rPr>
        <w:t xml:space="preserve"> </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default"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rPr>
        <w:t>掌握支撑本专业学习和可持续发展必备的语文、数学、外语（英语等）、信息技术等文化基础知识，具有良好的人文素养与科学素养，具备职业生涯规划能力；</w:t>
      </w:r>
      <w:r>
        <w:rPr>
          <w:rFonts w:hint="default" w:ascii="仿宋_GB2312" w:hAnsi="仿宋_GB2312" w:eastAsia="仿宋_GB2312" w:cs="仿宋_GB2312"/>
          <w:b w:val="0"/>
          <w:bCs w:val="0"/>
          <w:color w:val="auto"/>
          <w:sz w:val="32"/>
          <w:szCs w:val="32"/>
          <w:highlight w:val="none"/>
        </w:rPr>
        <w:t xml:space="preserve"> </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default"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3.</w:t>
      </w:r>
      <w:r>
        <w:rPr>
          <w:rFonts w:hint="eastAsia" w:ascii="仿宋_GB2312" w:hAnsi="仿宋_GB2312" w:eastAsia="仿宋_GB2312" w:cs="仿宋_GB2312"/>
          <w:b w:val="0"/>
          <w:bCs w:val="0"/>
          <w:color w:val="auto"/>
          <w:sz w:val="32"/>
          <w:szCs w:val="32"/>
          <w:highlight w:val="none"/>
        </w:rPr>
        <w:t>具有良好的语言表达能力、文字表达能力、沟通合作能力，具有较强的集体意识和 团队合作意识，学习</w:t>
      </w:r>
      <w:r>
        <w:rPr>
          <w:rFonts w:hint="default" w:ascii="仿宋_GB2312" w:hAnsi="仿宋_GB2312" w:eastAsia="仿宋_GB2312" w:cs="仿宋_GB2312"/>
          <w:b w:val="0"/>
          <w:bCs w:val="0"/>
          <w:color w:val="auto"/>
          <w:sz w:val="32"/>
          <w:szCs w:val="32"/>
          <w:highlight w:val="none"/>
        </w:rPr>
        <w:t xml:space="preserve">1 </w:t>
      </w:r>
      <w:r>
        <w:rPr>
          <w:rFonts w:hint="eastAsia" w:ascii="仿宋_GB2312" w:hAnsi="仿宋_GB2312" w:eastAsia="仿宋_GB2312" w:cs="仿宋_GB2312"/>
          <w:b w:val="0"/>
          <w:bCs w:val="0"/>
          <w:color w:val="auto"/>
          <w:sz w:val="32"/>
          <w:szCs w:val="32"/>
          <w:highlight w:val="none"/>
        </w:rPr>
        <w:t>门外语并结合本专业加以运用；</w:t>
      </w:r>
      <w:r>
        <w:rPr>
          <w:rFonts w:hint="default" w:ascii="仿宋_GB2312" w:hAnsi="仿宋_GB2312" w:eastAsia="仿宋_GB2312" w:cs="仿宋_GB2312"/>
          <w:b w:val="0"/>
          <w:bCs w:val="0"/>
          <w:color w:val="auto"/>
          <w:sz w:val="32"/>
          <w:szCs w:val="32"/>
          <w:highlight w:val="none"/>
        </w:rPr>
        <w:t xml:space="preserve"> </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default"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4.</w:t>
      </w:r>
      <w:r>
        <w:rPr>
          <w:rFonts w:hint="eastAsia" w:ascii="仿宋_GB2312" w:hAnsi="仿宋_GB2312" w:eastAsia="仿宋_GB2312" w:cs="仿宋_GB2312"/>
          <w:b w:val="0"/>
          <w:bCs w:val="0"/>
          <w:color w:val="auto"/>
          <w:sz w:val="32"/>
          <w:szCs w:val="32"/>
          <w:highlight w:val="none"/>
        </w:rPr>
        <w:t>掌握现代物业项目管理基础、项目组织管理、项目选择与项目确定、项目融资管理、项目启动与项目计划、项目监控、项目综合管理、项目收尾、验收与项目后评价等基础理论知识；</w:t>
      </w:r>
      <w:r>
        <w:rPr>
          <w:rFonts w:hint="default" w:ascii="仿宋_GB2312" w:hAnsi="仿宋_GB2312" w:eastAsia="仿宋_GB2312" w:cs="仿宋_GB2312"/>
          <w:b w:val="0"/>
          <w:bCs w:val="0"/>
          <w:color w:val="auto"/>
          <w:sz w:val="32"/>
          <w:szCs w:val="32"/>
          <w:highlight w:val="none"/>
        </w:rPr>
        <w:t xml:space="preserve"> </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default"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5.</w:t>
      </w:r>
      <w:r>
        <w:rPr>
          <w:rFonts w:hint="eastAsia" w:ascii="仿宋_GB2312" w:hAnsi="仿宋_GB2312" w:eastAsia="仿宋_GB2312" w:cs="仿宋_GB2312"/>
          <w:b w:val="0"/>
          <w:bCs w:val="0"/>
          <w:color w:val="auto"/>
          <w:sz w:val="32"/>
          <w:szCs w:val="32"/>
          <w:highlight w:val="none"/>
        </w:rPr>
        <w:t>掌握物业数据搜集、物业数据有效整理与展示、物业领域数据定量分析的基础知识和基本方法；</w:t>
      </w:r>
      <w:r>
        <w:rPr>
          <w:rFonts w:hint="default" w:ascii="仿宋_GB2312" w:hAnsi="仿宋_GB2312" w:eastAsia="仿宋_GB2312" w:cs="仿宋_GB2312"/>
          <w:b w:val="0"/>
          <w:bCs w:val="0"/>
          <w:color w:val="auto"/>
          <w:sz w:val="32"/>
          <w:szCs w:val="32"/>
          <w:highlight w:val="none"/>
        </w:rPr>
        <w:t xml:space="preserve"> </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default"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6.</w:t>
      </w:r>
      <w:r>
        <w:rPr>
          <w:rFonts w:hint="eastAsia" w:ascii="仿宋_GB2312" w:hAnsi="仿宋_GB2312" w:eastAsia="仿宋_GB2312" w:cs="仿宋_GB2312"/>
          <w:b w:val="0"/>
          <w:bCs w:val="0"/>
          <w:color w:val="auto"/>
          <w:sz w:val="32"/>
          <w:szCs w:val="32"/>
          <w:highlight w:val="none"/>
        </w:rPr>
        <w:t>掌握物业管理中的法律关系、法律责任、物业使用和维护的法律规定、物业服务收费的法律规定，《中华人民共和国民法典》中物业管理相关的法律规定、物业管理法律责任 及纠纷的处理等基础理论知识；</w:t>
      </w:r>
      <w:r>
        <w:rPr>
          <w:rFonts w:hint="default" w:ascii="仿宋_GB2312" w:hAnsi="仿宋_GB2312" w:eastAsia="仿宋_GB2312" w:cs="仿宋_GB2312"/>
          <w:b w:val="0"/>
          <w:bCs w:val="0"/>
          <w:color w:val="auto"/>
          <w:sz w:val="32"/>
          <w:szCs w:val="32"/>
          <w:highlight w:val="none"/>
        </w:rPr>
        <w:t xml:space="preserve"> </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default"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7.</w:t>
      </w:r>
      <w:r>
        <w:rPr>
          <w:rFonts w:hint="eastAsia" w:ascii="仿宋_GB2312" w:hAnsi="仿宋_GB2312" w:eastAsia="仿宋_GB2312" w:cs="仿宋_GB2312"/>
          <w:b w:val="0"/>
          <w:bCs w:val="0"/>
          <w:color w:val="auto"/>
          <w:sz w:val="32"/>
          <w:szCs w:val="32"/>
          <w:highlight w:val="none"/>
        </w:rPr>
        <w:t>掌握民用建筑构造的基本常识，地基与基础、楼地层、楼梯电梯、门窗、阳台与雨篷、屋顶等房屋建筑方面的基础理论知识；</w:t>
      </w:r>
      <w:r>
        <w:rPr>
          <w:rFonts w:hint="default" w:ascii="仿宋_GB2312" w:hAnsi="仿宋_GB2312" w:eastAsia="仿宋_GB2312" w:cs="仿宋_GB2312"/>
          <w:b w:val="0"/>
          <w:bCs w:val="0"/>
          <w:color w:val="auto"/>
          <w:sz w:val="32"/>
          <w:szCs w:val="32"/>
          <w:highlight w:val="none"/>
        </w:rPr>
        <w:t xml:space="preserve"> </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8.</w:t>
      </w:r>
      <w:r>
        <w:rPr>
          <w:rFonts w:hint="eastAsia" w:ascii="仿宋_GB2312" w:hAnsi="仿宋_GB2312" w:eastAsia="仿宋_GB2312" w:cs="仿宋_GB2312"/>
          <w:b w:val="0"/>
          <w:bCs w:val="0"/>
          <w:color w:val="auto"/>
          <w:sz w:val="32"/>
          <w:szCs w:val="32"/>
          <w:highlight w:val="none"/>
        </w:rPr>
        <w:t>掌握财务管理的概念、目标、原则、环节和环境，财务管理的基本价值观念，资金筹集管理和资金结构决策，项目投资管理、营运资金管理、利润分配管理、企业财务分析的基本知识</w:t>
      </w:r>
      <w:r>
        <w:rPr>
          <w:rFonts w:hint="eastAsia" w:ascii="仿宋_GB2312" w:hAnsi="仿宋_GB2312" w:eastAsia="仿宋_GB2312" w:cs="仿宋_GB2312"/>
          <w:b w:val="0"/>
          <w:bCs w:val="0"/>
          <w:color w:val="auto"/>
          <w:sz w:val="32"/>
          <w:szCs w:val="32"/>
          <w:highlight w:val="none"/>
          <w:lang w:eastAsia="zh-CN"/>
        </w:rPr>
        <w:t>。</w:t>
      </w:r>
      <w:r>
        <w:rPr>
          <w:rFonts w:hint="default" w:ascii="仿宋_GB2312" w:hAnsi="仿宋_GB2312" w:eastAsia="仿宋_GB2312" w:cs="仿宋_GB2312"/>
          <w:b w:val="0"/>
          <w:bCs w:val="0"/>
          <w:color w:val="auto"/>
          <w:sz w:val="32"/>
          <w:szCs w:val="32"/>
          <w:highlight w:val="none"/>
        </w:rPr>
        <w:t xml:space="preserve"> </w:t>
      </w:r>
    </w:p>
    <w:p>
      <w:pPr>
        <w:keepNext w:val="0"/>
        <w:keepLines w:val="0"/>
        <w:pageBreakBefore w:val="0"/>
        <w:widowControl w:val="0"/>
        <w:kinsoku/>
        <w:wordWrap/>
        <w:overflowPunct w:val="0"/>
        <w:topLinePunct w:val="0"/>
        <w:autoSpaceDE/>
        <w:autoSpaceDN/>
        <w:bidi w:val="0"/>
        <w:adjustRightInd w:val="0"/>
        <w:snapToGrid/>
        <w:spacing w:after="0" w:line="520" w:lineRule="exact"/>
        <w:ind w:left="0" w:right="0" w:firstLine="640" w:firstLineChars="200"/>
        <w:textAlignment w:val="auto"/>
        <w:outlineLvl w:val="0"/>
        <w:rPr>
          <w:rFonts w:hint="eastAsia" w:ascii="楷体" w:hAnsi="楷体" w:eastAsia="楷体" w:cs="楷体"/>
          <w:color w:val="auto"/>
          <w:sz w:val="32"/>
          <w:szCs w:val="32"/>
          <w:highlight w:val="none"/>
          <w:lang w:val="en-US" w:eastAsia="zh-CN"/>
        </w:rPr>
      </w:pP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二</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rPr>
        <w:t>能力</w:t>
      </w:r>
      <w:r>
        <w:rPr>
          <w:rFonts w:hint="eastAsia" w:ascii="楷体" w:hAnsi="楷体" w:eastAsia="楷体" w:cs="楷体"/>
          <w:color w:val="auto"/>
          <w:sz w:val="32"/>
          <w:szCs w:val="32"/>
          <w:highlight w:val="none"/>
          <w:lang w:val="en-US" w:eastAsia="zh-CN"/>
        </w:rPr>
        <w:t>目标</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default"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1.</w:t>
      </w:r>
      <w:r>
        <w:rPr>
          <w:rFonts w:hint="eastAsia" w:ascii="仿宋_GB2312" w:hAnsi="仿宋_GB2312" w:eastAsia="仿宋_GB2312" w:cs="仿宋_GB2312"/>
          <w:b w:val="0"/>
          <w:bCs w:val="0"/>
          <w:color w:val="auto"/>
          <w:sz w:val="32"/>
          <w:szCs w:val="32"/>
          <w:highlight w:val="none"/>
        </w:rPr>
        <w:t>掌握物业项目管理权获取的基本方法，能够开展物业管理招投标资料整理、协助文件编制和组织实施等工作；</w:t>
      </w:r>
      <w:r>
        <w:rPr>
          <w:rFonts w:hint="default" w:ascii="仿宋_GB2312" w:hAnsi="仿宋_GB2312" w:eastAsia="仿宋_GB2312" w:cs="仿宋_GB2312"/>
          <w:b w:val="0"/>
          <w:bCs w:val="0"/>
          <w:color w:val="auto"/>
          <w:sz w:val="32"/>
          <w:szCs w:val="32"/>
          <w:highlight w:val="none"/>
        </w:rPr>
        <w:t xml:space="preserve"> </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default"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rPr>
        <w:t>掌握物业项目承接查验方法，熟悉操作流程，能够协助制订查验方案，完成物业项 目承接查验工作；</w:t>
      </w:r>
      <w:r>
        <w:rPr>
          <w:rFonts w:hint="default" w:ascii="仿宋_GB2312" w:hAnsi="仿宋_GB2312" w:eastAsia="仿宋_GB2312" w:cs="仿宋_GB2312"/>
          <w:b w:val="0"/>
          <w:bCs w:val="0"/>
          <w:color w:val="auto"/>
          <w:sz w:val="32"/>
          <w:szCs w:val="32"/>
          <w:highlight w:val="none"/>
        </w:rPr>
        <w:t xml:space="preserve"> </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default"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3.</w:t>
      </w:r>
      <w:r>
        <w:rPr>
          <w:rFonts w:hint="eastAsia" w:ascii="仿宋_GB2312" w:hAnsi="仿宋_GB2312" w:eastAsia="仿宋_GB2312" w:cs="仿宋_GB2312"/>
          <w:b w:val="0"/>
          <w:bCs w:val="0"/>
          <w:color w:val="auto"/>
          <w:sz w:val="32"/>
          <w:szCs w:val="32"/>
          <w:highlight w:val="none"/>
        </w:rPr>
        <w:t>掌握客户服务内容、沟通方法与相关流程、现代信息技术在物业管理中的应用；具备有效开展客户服务与管理能力，能够开展现代物业管理的信息化建设、优化以及物业管理信息系统的运营、维护与常规管理；</w:t>
      </w:r>
      <w:r>
        <w:rPr>
          <w:rFonts w:hint="default" w:ascii="仿宋_GB2312" w:hAnsi="仿宋_GB2312" w:eastAsia="仿宋_GB2312" w:cs="仿宋_GB2312"/>
          <w:b w:val="0"/>
          <w:bCs w:val="0"/>
          <w:color w:val="auto"/>
          <w:sz w:val="32"/>
          <w:szCs w:val="32"/>
          <w:highlight w:val="none"/>
        </w:rPr>
        <w:t xml:space="preserve"> </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default"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4.</w:t>
      </w:r>
      <w:r>
        <w:rPr>
          <w:rFonts w:hint="eastAsia" w:ascii="仿宋_GB2312" w:hAnsi="仿宋_GB2312" w:eastAsia="仿宋_GB2312" w:cs="仿宋_GB2312"/>
          <w:b w:val="0"/>
          <w:bCs w:val="0"/>
          <w:color w:val="auto"/>
          <w:sz w:val="32"/>
          <w:szCs w:val="32"/>
          <w:highlight w:val="none"/>
        </w:rPr>
        <w:t>能够熟悉建筑设施智慧运维管理的内容，监控建筑运维情况并及时反馈，能收集、整理、分析各类能耗数据，协助制订中大修计划及项目的施工方案及预算；</w:t>
      </w:r>
      <w:r>
        <w:rPr>
          <w:rFonts w:hint="default" w:ascii="仿宋_GB2312" w:hAnsi="仿宋_GB2312" w:eastAsia="仿宋_GB2312" w:cs="仿宋_GB2312"/>
          <w:b w:val="0"/>
          <w:bCs w:val="0"/>
          <w:color w:val="auto"/>
          <w:sz w:val="32"/>
          <w:szCs w:val="32"/>
          <w:highlight w:val="none"/>
        </w:rPr>
        <w:t xml:space="preserve"> </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default"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5.</w:t>
      </w:r>
      <w:r>
        <w:rPr>
          <w:rFonts w:hint="eastAsia" w:ascii="仿宋_GB2312" w:hAnsi="仿宋_GB2312" w:eastAsia="仿宋_GB2312" w:cs="仿宋_GB2312"/>
          <w:b w:val="0"/>
          <w:bCs w:val="0"/>
          <w:color w:val="auto"/>
          <w:sz w:val="32"/>
          <w:szCs w:val="32"/>
          <w:highlight w:val="none"/>
        </w:rPr>
        <w:t>能够熟悉物业清洁卫生管理、绿化管理的主要内容、标准、方法，能规范监管清洁、绿化工作，协助做好方案编制、供应商服务监管等工作；</w:t>
      </w:r>
      <w:r>
        <w:rPr>
          <w:rFonts w:hint="default" w:ascii="仿宋_GB2312" w:hAnsi="仿宋_GB2312" w:eastAsia="仿宋_GB2312" w:cs="仿宋_GB2312"/>
          <w:b w:val="0"/>
          <w:bCs w:val="0"/>
          <w:color w:val="auto"/>
          <w:sz w:val="32"/>
          <w:szCs w:val="32"/>
          <w:highlight w:val="none"/>
        </w:rPr>
        <w:t xml:space="preserve"> </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default"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6.</w:t>
      </w:r>
      <w:r>
        <w:rPr>
          <w:rFonts w:hint="eastAsia" w:ascii="仿宋_GB2312" w:hAnsi="仿宋_GB2312" w:eastAsia="仿宋_GB2312" w:cs="仿宋_GB2312"/>
          <w:b w:val="0"/>
          <w:bCs w:val="0"/>
          <w:color w:val="auto"/>
          <w:sz w:val="32"/>
          <w:szCs w:val="32"/>
          <w:highlight w:val="none"/>
        </w:rPr>
        <w:t>能够熟悉居住类、零售商业、写字楼、产业园区、专用物业等多业态物业经营管理 内容、模式，开展物业项目的多种经营、增值服务、资产管理、社区运营、城市公共管理与 服务等工作；</w:t>
      </w:r>
      <w:r>
        <w:rPr>
          <w:rFonts w:hint="default" w:ascii="仿宋_GB2312" w:hAnsi="仿宋_GB2312" w:eastAsia="仿宋_GB2312" w:cs="仿宋_GB2312"/>
          <w:b w:val="0"/>
          <w:bCs w:val="0"/>
          <w:color w:val="auto"/>
          <w:sz w:val="32"/>
          <w:szCs w:val="32"/>
          <w:highlight w:val="none"/>
        </w:rPr>
        <w:t xml:space="preserve"> </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default"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7.</w:t>
      </w:r>
      <w:r>
        <w:rPr>
          <w:rFonts w:hint="eastAsia" w:ascii="仿宋_GB2312" w:hAnsi="仿宋_GB2312" w:eastAsia="仿宋_GB2312" w:cs="仿宋_GB2312"/>
          <w:b w:val="0"/>
          <w:bCs w:val="0"/>
          <w:color w:val="auto"/>
          <w:sz w:val="32"/>
          <w:szCs w:val="32"/>
          <w:highlight w:val="none"/>
        </w:rPr>
        <w:t>能够理解和掌握现代安全与防护技术在物业管理中的应用，开展现代物业项目的安全与防护建设，能掌握一定的消防检查能力，能制订突发公共安全事件的物业管理应急 方案；</w:t>
      </w:r>
      <w:r>
        <w:rPr>
          <w:rFonts w:hint="default" w:ascii="仿宋_GB2312" w:hAnsi="仿宋_GB2312" w:eastAsia="仿宋_GB2312" w:cs="仿宋_GB2312"/>
          <w:b w:val="0"/>
          <w:bCs w:val="0"/>
          <w:color w:val="auto"/>
          <w:sz w:val="32"/>
          <w:szCs w:val="32"/>
          <w:highlight w:val="none"/>
        </w:rPr>
        <w:t xml:space="preserve"> </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default"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8.</w:t>
      </w:r>
      <w:r>
        <w:rPr>
          <w:rFonts w:hint="eastAsia" w:ascii="仿宋_GB2312" w:hAnsi="仿宋_GB2312" w:eastAsia="仿宋_GB2312" w:cs="仿宋_GB2312"/>
          <w:b w:val="0"/>
          <w:bCs w:val="0"/>
          <w:color w:val="auto"/>
          <w:sz w:val="32"/>
          <w:szCs w:val="32"/>
          <w:highlight w:val="none"/>
        </w:rPr>
        <w:t>掌握信息技术基础知识，具有适应本行业数字化和智能化发展需求的数字技能；</w:t>
      </w:r>
      <w:r>
        <w:rPr>
          <w:rFonts w:hint="default" w:ascii="仿宋_GB2312" w:hAnsi="仿宋_GB2312" w:eastAsia="仿宋_GB2312" w:cs="仿宋_GB2312"/>
          <w:b w:val="0"/>
          <w:bCs w:val="0"/>
          <w:color w:val="auto"/>
          <w:sz w:val="32"/>
          <w:szCs w:val="32"/>
          <w:highlight w:val="none"/>
        </w:rPr>
        <w:t xml:space="preserve"> </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default"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9.</w:t>
      </w:r>
      <w:r>
        <w:rPr>
          <w:rFonts w:hint="eastAsia" w:ascii="仿宋_GB2312" w:hAnsi="仿宋_GB2312" w:eastAsia="仿宋_GB2312" w:cs="仿宋_GB2312"/>
          <w:b w:val="0"/>
          <w:bCs w:val="0"/>
          <w:color w:val="auto"/>
          <w:sz w:val="32"/>
          <w:szCs w:val="32"/>
          <w:highlight w:val="none"/>
        </w:rPr>
        <w:t>具有探究学习、终身学习和可持续发展的能力，具有整合知识和综合运用知识分析问题和解决问题的能力</w:t>
      </w:r>
      <w:r>
        <w:rPr>
          <w:rFonts w:hint="eastAsia" w:ascii="仿宋_GB2312" w:hAnsi="仿宋_GB2312" w:eastAsia="仿宋_GB2312" w:cs="仿宋_GB2312"/>
          <w:b w:val="0"/>
          <w:bCs w:val="0"/>
          <w:color w:val="auto"/>
          <w:sz w:val="32"/>
          <w:szCs w:val="32"/>
          <w:highlight w:val="none"/>
          <w:lang w:eastAsia="zh-CN"/>
        </w:rPr>
        <w:t>。</w:t>
      </w:r>
      <w:r>
        <w:rPr>
          <w:rFonts w:hint="default" w:ascii="仿宋_GB2312" w:hAnsi="仿宋_GB2312" w:eastAsia="仿宋_GB2312" w:cs="仿宋_GB2312"/>
          <w:b w:val="0"/>
          <w:bCs w:val="0"/>
          <w:color w:val="auto"/>
          <w:sz w:val="32"/>
          <w:szCs w:val="32"/>
          <w:highlight w:val="none"/>
        </w:rPr>
        <w:t xml:space="preserve"> </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楷体" w:hAnsi="楷体" w:eastAsia="楷体" w:cs="楷体"/>
          <w:color w:val="auto"/>
          <w:sz w:val="32"/>
          <w:szCs w:val="32"/>
          <w:highlight w:val="none"/>
          <w:lang w:val="en-US" w:eastAsia="zh-CN"/>
        </w:rPr>
      </w:pP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三</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rPr>
        <w:t>素质</w:t>
      </w:r>
      <w:r>
        <w:rPr>
          <w:rFonts w:hint="eastAsia" w:ascii="楷体" w:hAnsi="楷体" w:eastAsia="楷体" w:cs="楷体"/>
          <w:color w:val="auto"/>
          <w:sz w:val="32"/>
          <w:szCs w:val="32"/>
          <w:highlight w:val="none"/>
          <w:lang w:val="en-US" w:eastAsia="zh-CN"/>
        </w:rPr>
        <w:t>目标</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w:t>
      </w:r>
      <w:r>
        <w:rPr>
          <w:rFonts w:hint="eastAsia" w:ascii="仿宋_GB2312" w:hAnsi="仿宋_GB2312" w:eastAsia="仿宋_GB2312" w:cs="仿宋_GB2312"/>
          <w:b w:val="0"/>
          <w:bCs w:val="0"/>
          <w:color w:val="auto"/>
          <w:sz w:val="32"/>
          <w:szCs w:val="32"/>
          <w:highlight w:val="none"/>
        </w:rPr>
        <w:t>坚定拥护中国共产党领导和中国特色社会主义制度，以习近平新时代中国特色社会主义思想为指导，践行社会主义核心价值观，具有坚定的理想信念、深厚的爱国情感和中华 民族自豪感；</w:t>
      </w:r>
      <w:r>
        <w:rPr>
          <w:rFonts w:hint="default" w:ascii="仿宋_GB2312" w:hAnsi="仿宋_GB2312" w:eastAsia="仿宋_GB2312" w:cs="仿宋_GB2312"/>
          <w:b w:val="0"/>
          <w:bCs w:val="0"/>
          <w:color w:val="auto"/>
          <w:sz w:val="32"/>
          <w:szCs w:val="32"/>
          <w:highlight w:val="none"/>
        </w:rPr>
        <w:t xml:space="preserve"> </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default"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rPr>
        <w:t>掌握身体运动的基本知识和至少</w:t>
      </w:r>
      <w:r>
        <w:rPr>
          <w:rFonts w:hint="default" w:ascii="仿宋_GB2312" w:hAnsi="仿宋_GB2312" w:eastAsia="仿宋_GB2312" w:cs="仿宋_GB2312"/>
          <w:b w:val="0"/>
          <w:bCs w:val="0"/>
          <w:color w:val="auto"/>
          <w:sz w:val="32"/>
          <w:szCs w:val="32"/>
          <w:highlight w:val="none"/>
        </w:rPr>
        <w:t>1</w:t>
      </w:r>
      <w:r>
        <w:rPr>
          <w:rFonts w:hint="eastAsia" w:ascii="仿宋_GB2312" w:hAnsi="仿宋_GB2312" w:eastAsia="仿宋_GB2312" w:cs="仿宋_GB2312"/>
          <w:b w:val="0"/>
          <w:bCs w:val="0"/>
          <w:color w:val="auto"/>
          <w:sz w:val="32"/>
          <w:szCs w:val="32"/>
          <w:highlight w:val="none"/>
        </w:rPr>
        <w:t>项体育运动技能，达到国家大学生体质健康测试合格标准，养成良好的运动习惯、卫生习惯和行为习惯；具备一定的心理调适能力；</w:t>
      </w:r>
      <w:r>
        <w:rPr>
          <w:rFonts w:hint="default" w:ascii="仿宋_GB2312" w:hAnsi="仿宋_GB2312" w:eastAsia="仿宋_GB2312" w:cs="仿宋_GB2312"/>
          <w:b w:val="0"/>
          <w:bCs w:val="0"/>
          <w:color w:val="auto"/>
          <w:sz w:val="32"/>
          <w:szCs w:val="32"/>
          <w:highlight w:val="none"/>
        </w:rPr>
        <w:t xml:space="preserve"> </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default"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3.</w:t>
      </w:r>
      <w:r>
        <w:rPr>
          <w:rFonts w:hint="eastAsia" w:ascii="仿宋_GB2312" w:hAnsi="仿宋_GB2312" w:eastAsia="仿宋_GB2312" w:cs="仿宋_GB2312"/>
          <w:b w:val="0"/>
          <w:bCs w:val="0"/>
          <w:color w:val="auto"/>
          <w:sz w:val="32"/>
          <w:szCs w:val="32"/>
          <w:highlight w:val="none"/>
        </w:rPr>
        <w:t>掌握必备的美育知识，具有一定的文化修养、审美能力，形成至少</w:t>
      </w:r>
      <w:r>
        <w:rPr>
          <w:rFonts w:hint="default" w:ascii="仿宋_GB2312" w:hAnsi="仿宋_GB2312" w:eastAsia="仿宋_GB2312" w:cs="仿宋_GB2312"/>
          <w:b w:val="0"/>
          <w:bCs w:val="0"/>
          <w:color w:val="auto"/>
          <w:sz w:val="32"/>
          <w:szCs w:val="32"/>
          <w:highlight w:val="none"/>
        </w:rPr>
        <w:t>1</w:t>
      </w:r>
      <w:r>
        <w:rPr>
          <w:rFonts w:hint="eastAsia" w:ascii="仿宋_GB2312" w:hAnsi="仿宋_GB2312" w:eastAsia="仿宋_GB2312" w:cs="仿宋_GB2312"/>
          <w:b w:val="0"/>
          <w:bCs w:val="0"/>
          <w:color w:val="auto"/>
          <w:sz w:val="32"/>
          <w:szCs w:val="32"/>
          <w:highlight w:val="none"/>
        </w:rPr>
        <w:t>项艺术特长或爱好；</w:t>
      </w:r>
      <w:r>
        <w:rPr>
          <w:rFonts w:hint="default" w:ascii="仿宋_GB2312" w:hAnsi="仿宋_GB2312" w:eastAsia="仿宋_GB2312" w:cs="仿宋_GB2312"/>
          <w:b w:val="0"/>
          <w:bCs w:val="0"/>
          <w:color w:val="auto"/>
          <w:sz w:val="32"/>
          <w:szCs w:val="32"/>
          <w:highlight w:val="none"/>
        </w:rPr>
        <w:t xml:space="preserve"> </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楷体" w:hAnsi="楷体" w:eastAsia="楷体" w:cs="楷体"/>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4.</w:t>
      </w:r>
      <w:r>
        <w:rPr>
          <w:rFonts w:hint="eastAsia" w:ascii="仿宋_GB2312" w:hAnsi="仿宋_GB2312" w:eastAsia="仿宋_GB2312" w:cs="仿宋_GB2312"/>
          <w:b w:val="0"/>
          <w:bCs w:val="0"/>
          <w:color w:val="auto"/>
          <w:sz w:val="32"/>
          <w:szCs w:val="32"/>
          <w:highlight w:val="none"/>
        </w:rPr>
        <w:t>树立正确的劳动观，尊重劳动，热爱劳动，具备与本专业职业发展相适应的劳动素养，弘扬劳模精神、劳动精神、工匠精神，弘扬劳动光荣、技能宝贵、创造伟大的时代风尚。</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520" w:lineRule="exact"/>
        <w:ind w:left="0" w:right="0" w:firstLine="640" w:firstLineChars="200"/>
        <w:jc w:val="both"/>
        <w:textAlignment w:val="auto"/>
        <w:rPr>
          <w:highlight w:val="none"/>
        </w:rPr>
      </w:pPr>
      <w:r>
        <w:rPr>
          <w:rFonts w:ascii="黑体" w:hAnsi="宋体" w:eastAsia="黑体" w:cs="黑体"/>
          <w:b w:val="0"/>
          <w:i w:val="0"/>
          <w:color w:val="000000"/>
          <w:spacing w:val="0"/>
          <w:w w:val="100"/>
          <w:sz w:val="32"/>
          <w:szCs w:val="32"/>
          <w:highlight w:val="none"/>
          <w:vertAlign w:val="baseline"/>
        </w:rPr>
        <w:t>七</w:t>
      </w:r>
      <w:r>
        <w:rPr>
          <w:rFonts w:hint="eastAsia" w:ascii="黑体" w:hAnsi="宋体" w:eastAsia="黑体" w:cs="黑体"/>
          <w:b w:val="0"/>
          <w:i w:val="0"/>
          <w:color w:val="000000"/>
          <w:spacing w:val="0"/>
          <w:w w:val="100"/>
          <w:sz w:val="32"/>
          <w:szCs w:val="32"/>
          <w:highlight w:val="none"/>
          <w:vertAlign w:val="baseline"/>
        </w:rPr>
        <w:t>、课程设置</w:t>
      </w:r>
    </w:p>
    <w:p>
      <w:pPr>
        <w:pStyle w:val="2"/>
        <w:keepNext w:val="0"/>
        <w:keepLines w:val="0"/>
        <w:pageBreakBefore w:val="0"/>
        <w:widowControl/>
        <w:suppressLineNumbers w:val="0"/>
        <w:kinsoku/>
        <w:wordWrap/>
        <w:topLinePunct w:val="0"/>
        <w:autoSpaceDE/>
        <w:autoSpaceDN/>
        <w:bidi w:val="0"/>
        <w:snapToGrid/>
        <w:spacing w:before="0" w:beforeAutospacing="0" w:after="0" w:afterAutospacing="0" w:line="520" w:lineRule="exact"/>
        <w:ind w:left="0" w:right="0" w:firstLine="640" w:firstLineChars="200"/>
        <w:jc w:val="both"/>
        <w:textAlignment w:val="auto"/>
        <w:rPr>
          <w:highlight w:val="none"/>
        </w:rPr>
      </w:pPr>
      <w:r>
        <w:rPr>
          <w:rFonts w:ascii="仿宋_GB2312" w:eastAsia="仿宋_GB2312" w:cs="仿宋_GB2312"/>
          <w:b w:val="0"/>
          <w:i w:val="0"/>
          <w:color w:val="000000"/>
          <w:spacing w:val="0"/>
          <w:w w:val="100"/>
          <w:sz w:val="32"/>
          <w:szCs w:val="32"/>
          <w:highlight w:val="none"/>
          <w:vertAlign w:val="baseline"/>
        </w:rPr>
        <w:t>主要包括公共基础课程和专业课程。</w:t>
      </w:r>
    </w:p>
    <w:p>
      <w:pPr>
        <w:pStyle w:val="2"/>
        <w:keepNext w:val="0"/>
        <w:keepLines w:val="0"/>
        <w:pageBreakBefore w:val="0"/>
        <w:widowControl/>
        <w:suppressLineNumbers w:val="0"/>
        <w:kinsoku/>
        <w:wordWrap/>
        <w:topLinePunct w:val="0"/>
        <w:autoSpaceDE/>
        <w:autoSpaceDN/>
        <w:bidi w:val="0"/>
        <w:snapToGrid/>
        <w:spacing w:before="0" w:beforeAutospacing="0" w:after="0" w:afterAutospacing="0" w:line="520" w:lineRule="exact"/>
        <w:ind w:left="0" w:right="0" w:firstLine="640" w:firstLineChars="200"/>
        <w:jc w:val="both"/>
        <w:textAlignment w:val="auto"/>
        <w:rPr>
          <w:highlight w:val="none"/>
        </w:rPr>
      </w:pPr>
      <w:r>
        <w:rPr>
          <w:rFonts w:ascii="楷体" w:hAnsi="楷体" w:eastAsia="楷体" w:cs="楷体"/>
          <w:b w:val="0"/>
          <w:i w:val="0"/>
          <w:color w:val="000000"/>
          <w:spacing w:val="0"/>
          <w:w w:val="100"/>
          <w:sz w:val="32"/>
          <w:szCs w:val="32"/>
          <w:highlight w:val="none"/>
          <w:vertAlign w:val="baseline"/>
        </w:rPr>
        <w:t>（一）公共基础课程</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640" w:firstLineChars="200"/>
        <w:jc w:val="both"/>
        <w:textAlignment w:val="auto"/>
        <w:rPr>
          <w:highlight w:val="none"/>
        </w:rPr>
      </w:pPr>
      <w:r>
        <w:rPr>
          <w:rFonts w:hint="eastAsia" w:ascii="仿宋_GB2312" w:eastAsia="仿宋_GB2312" w:cs="仿宋_GB2312"/>
          <w:b w:val="0"/>
          <w:i w:val="0"/>
          <w:color w:val="000000"/>
          <w:spacing w:val="0"/>
          <w:w w:val="100"/>
          <w:sz w:val="32"/>
          <w:szCs w:val="32"/>
          <w:highlight w:val="none"/>
          <w:vertAlign w:val="baseline"/>
        </w:rPr>
        <w:t>分为公共必修课和公共选修课。</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640" w:firstLineChars="200"/>
        <w:jc w:val="both"/>
        <w:textAlignment w:val="auto"/>
        <w:rPr>
          <w:color w:val="auto"/>
          <w:highlight w:val="none"/>
        </w:rPr>
      </w:pPr>
      <w:r>
        <w:rPr>
          <w:rFonts w:hint="eastAsia" w:ascii="仿宋_GB2312" w:eastAsia="仿宋_GB2312" w:cs="仿宋_GB2312"/>
          <w:b w:val="0"/>
          <w:i w:val="0"/>
          <w:color w:val="000000"/>
          <w:spacing w:val="0"/>
          <w:w w:val="100"/>
          <w:sz w:val="32"/>
          <w:szCs w:val="32"/>
          <w:highlight w:val="none"/>
          <w:vertAlign w:val="baseline"/>
        </w:rPr>
        <w:t>必修课程包括：思想道德与法治、形势与政策、国家安全教育、</w:t>
      </w:r>
      <w:r>
        <w:rPr>
          <w:rFonts w:hint="eastAsia" w:ascii="仿宋_GB2312" w:eastAsia="仿宋_GB2312" w:cs="仿宋_GB2312"/>
          <w:b w:val="0"/>
          <w:i w:val="0"/>
          <w:color w:val="auto"/>
          <w:spacing w:val="0"/>
          <w:w w:val="100"/>
          <w:sz w:val="32"/>
          <w:szCs w:val="32"/>
          <w:highlight w:val="none"/>
          <w:vertAlign w:val="baseline"/>
        </w:rPr>
        <w:t>军事理论</w:t>
      </w:r>
      <w:r>
        <w:rPr>
          <w:rFonts w:hint="eastAsia" w:ascii="仿宋_GB2312" w:eastAsia="仿宋_GB2312" w:cs="仿宋_GB2312"/>
          <w:b w:val="0"/>
          <w:i w:val="0"/>
          <w:color w:val="auto"/>
          <w:spacing w:val="0"/>
          <w:w w:val="100"/>
          <w:sz w:val="32"/>
          <w:szCs w:val="32"/>
          <w:highlight w:val="none"/>
          <w:vertAlign w:val="baseline"/>
          <w:lang w:eastAsia="zh-CN"/>
        </w:rPr>
        <w:t>、</w:t>
      </w:r>
      <w:r>
        <w:rPr>
          <w:rFonts w:hint="eastAsia" w:ascii="仿宋_GB2312" w:eastAsia="仿宋_GB2312" w:cs="仿宋_GB2312"/>
          <w:b w:val="0"/>
          <w:i w:val="0"/>
          <w:color w:val="auto"/>
          <w:spacing w:val="0"/>
          <w:w w:val="100"/>
          <w:sz w:val="32"/>
          <w:szCs w:val="32"/>
          <w:highlight w:val="none"/>
          <w:vertAlign w:val="baseline"/>
        </w:rPr>
        <w:t>军训、计算机基础、高等数学、大学英语、大学体育、大学生职业发展与就业指导、大学生心理健康教育、劳动教育、毛泽东思想和中国特色社会主义理论体系概论、创新创业教育、习近平新时代中国特色社会主义思想概论。</w:t>
      </w:r>
    </w:p>
    <w:p>
      <w:pPr>
        <w:keepNext w:val="0"/>
        <w:keepLines w:val="0"/>
        <w:pageBreakBefore w:val="0"/>
        <w:widowControl w:val="0"/>
        <w:numPr>
          <w:ilvl w:val="0"/>
          <w:numId w:val="0"/>
        </w:numPr>
        <w:kinsoku/>
        <w:wordWrap/>
        <w:overflowPunct/>
        <w:topLinePunct w:val="0"/>
        <w:autoSpaceDE/>
        <w:autoSpaceDN/>
        <w:bidi w:val="0"/>
        <w:adjustRightInd/>
        <w:snapToGrid/>
        <w:spacing w:after="0" w:line="520" w:lineRule="exact"/>
        <w:ind w:leftChars="0" w:firstLine="640" w:firstLineChars="200"/>
        <w:textAlignment w:val="auto"/>
        <w:rPr>
          <w:rFonts w:hint="eastAsia" w:ascii="仿宋_GB2312" w:eastAsia="仿宋_GB2312" w:cs="仿宋_GB2312"/>
          <w:b w:val="0"/>
          <w:i w:val="0"/>
          <w:color w:val="auto"/>
          <w:spacing w:val="0"/>
          <w:w w:val="100"/>
          <w:sz w:val="32"/>
          <w:szCs w:val="32"/>
          <w:highlight w:val="none"/>
          <w:vertAlign w:val="baseline"/>
        </w:rPr>
      </w:pPr>
      <w:r>
        <w:rPr>
          <w:rFonts w:hint="eastAsia" w:ascii="仿宋_GB2312" w:eastAsia="仿宋_GB2312" w:cs="仿宋_GB2312"/>
          <w:b w:val="0"/>
          <w:i w:val="0"/>
          <w:color w:val="auto"/>
          <w:spacing w:val="0"/>
          <w:w w:val="100"/>
          <w:sz w:val="32"/>
          <w:szCs w:val="32"/>
          <w:highlight w:val="none"/>
          <w:vertAlign w:val="baseline"/>
        </w:rPr>
        <w:t>选修课程包括：中国民俗剪纸技法、影视与鉴赏、中国共产党简史、中华人民共和国简史、改革开放简史、社会主义发展简史、中华优秀传统文化、中华民族共同体概论、语文</w:t>
      </w:r>
      <w:r>
        <w:rPr>
          <w:rFonts w:hint="eastAsia" w:ascii="仿宋_GB2312" w:eastAsia="仿宋_GB2312" w:cs="仿宋_GB2312"/>
          <w:b w:val="0"/>
          <w:i w:val="0"/>
          <w:color w:val="auto"/>
          <w:spacing w:val="0"/>
          <w:w w:val="100"/>
          <w:sz w:val="32"/>
          <w:szCs w:val="32"/>
          <w:highlight w:val="none"/>
          <w:vertAlign w:val="baseline"/>
          <w:lang w:eastAsia="zh-CN"/>
        </w:rPr>
        <w:t>、</w:t>
      </w:r>
      <w:r>
        <w:rPr>
          <w:rFonts w:hint="eastAsia" w:ascii="仿宋_GB2312" w:eastAsia="仿宋_GB2312" w:cs="仿宋_GB2312"/>
          <w:b w:val="0"/>
          <w:i w:val="0"/>
          <w:color w:val="auto"/>
          <w:spacing w:val="0"/>
          <w:w w:val="100"/>
          <w:sz w:val="32"/>
          <w:szCs w:val="32"/>
          <w:highlight w:val="none"/>
          <w:vertAlign w:val="baseline"/>
          <w:lang w:val="en-US" w:eastAsia="zh-CN"/>
        </w:rPr>
        <w:t>物理、化学、</w:t>
      </w:r>
      <w:r>
        <w:rPr>
          <w:rFonts w:hint="default" w:ascii="仿宋_GB2312" w:eastAsia="仿宋_GB2312" w:cs="仿宋_GB2312"/>
          <w:b w:val="0"/>
          <w:i w:val="0"/>
          <w:color w:val="auto"/>
          <w:spacing w:val="0"/>
          <w:w w:val="100"/>
          <w:sz w:val="32"/>
          <w:szCs w:val="32"/>
          <w:highlight w:val="none"/>
          <w:vertAlign w:val="baseline"/>
          <w:lang w:val="en-US" w:eastAsia="zh-CN"/>
        </w:rPr>
        <w:t>职业素养</w:t>
      </w:r>
      <w:r>
        <w:rPr>
          <w:rFonts w:hint="eastAsia" w:ascii="仿宋_GB2312" w:eastAsia="仿宋_GB2312" w:cs="仿宋_GB2312"/>
          <w:b w:val="0"/>
          <w:i w:val="0"/>
          <w:color w:val="auto"/>
          <w:spacing w:val="0"/>
          <w:w w:val="100"/>
          <w:sz w:val="32"/>
          <w:szCs w:val="32"/>
          <w:highlight w:val="none"/>
          <w:vertAlign w:val="baseline"/>
        </w:rPr>
        <w:t>。</w:t>
      </w:r>
    </w:p>
    <w:p>
      <w:pPr>
        <w:pageBreakBefore w:val="0"/>
        <w:kinsoku/>
        <w:wordWrap/>
        <w:overflowPunct w:val="0"/>
        <w:topLinePunct w:val="0"/>
        <w:autoSpaceDE/>
        <w:autoSpaceDN/>
        <w:bidi w:val="0"/>
        <w:adjustRightInd w:val="0"/>
        <w:spacing w:after="0" w:line="520" w:lineRule="exact"/>
        <w:ind w:left="0" w:firstLine="640" w:firstLineChars="200"/>
        <w:jc w:val="center"/>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表2</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公共基础课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9"/>
        <w:tblW w:w="5608"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703"/>
        <w:gridCol w:w="776"/>
        <w:gridCol w:w="4395"/>
        <w:gridCol w:w="2430"/>
        <w:gridCol w:w="203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3" w:hRule="atLeast"/>
          <w:jc w:val="center"/>
        </w:trPr>
        <w:tc>
          <w:tcPr>
            <w:tcW w:w="340"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序号</w:t>
            </w:r>
          </w:p>
        </w:tc>
        <w:tc>
          <w:tcPr>
            <w:tcW w:w="37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课程名称</w:t>
            </w:r>
          </w:p>
        </w:tc>
        <w:tc>
          <w:tcPr>
            <w:tcW w:w="212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课程目标</w:t>
            </w:r>
          </w:p>
        </w:tc>
        <w:tc>
          <w:tcPr>
            <w:tcW w:w="117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主要教学内容</w:t>
            </w:r>
          </w:p>
        </w:tc>
        <w:tc>
          <w:tcPr>
            <w:tcW w:w="983"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教学要求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3" w:hRule="atLeast"/>
          <w:jc w:val="center"/>
        </w:trPr>
        <w:tc>
          <w:tcPr>
            <w:tcW w:w="340"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37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思想道德与法治</w:t>
            </w:r>
          </w:p>
        </w:tc>
        <w:tc>
          <w:tcPr>
            <w:tcW w:w="212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i w:val="0"/>
                <w:color w:val="auto"/>
                <w:spacing w:val="0"/>
                <w:w w:val="100"/>
                <w:sz w:val="24"/>
                <w:szCs w:val="24"/>
                <w:highlight w:val="none"/>
                <w:vertAlign w:val="baseline"/>
              </w:rPr>
              <w:t>知识目标：</w:t>
            </w:r>
            <w:r>
              <w:rPr>
                <w:rFonts w:hint="eastAsia" w:ascii="仿宋_GB2312" w:hAnsi="仿宋_GB2312" w:eastAsia="仿宋_GB2312" w:cs="仿宋_GB2312"/>
                <w:b w:val="0"/>
                <w:i w:val="0"/>
                <w:color w:val="auto"/>
                <w:spacing w:val="0"/>
                <w:w w:val="100"/>
                <w:sz w:val="24"/>
                <w:szCs w:val="24"/>
                <w:highlight w:val="none"/>
                <w:vertAlign w:val="baseline"/>
              </w:rPr>
              <w:t>系统掌握本课程的基本原理和理论，了解新时代、人生观、远大理想、中国精神、社会主义核心价值观、道德规范、法治等相关内容，构建起个人与国家、社会，个人与职业、婚姻家庭之间命运共同体内在关联的 科学认知体系。</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i w:val="0"/>
                <w:color w:val="auto"/>
                <w:spacing w:val="0"/>
                <w:w w:val="100"/>
                <w:sz w:val="24"/>
                <w:szCs w:val="24"/>
                <w:highlight w:val="none"/>
                <w:vertAlign w:val="baseline"/>
              </w:rPr>
              <w:t>能力目标</w:t>
            </w:r>
            <w:r>
              <w:rPr>
                <w:rFonts w:hint="eastAsia" w:ascii="仿宋_GB2312" w:hAnsi="仿宋_GB2312" w:eastAsia="仿宋_GB2312" w:cs="仿宋_GB2312"/>
                <w:b w:val="0"/>
                <w:i w:val="0"/>
                <w:color w:val="auto"/>
                <w:spacing w:val="0"/>
                <w:w w:val="100"/>
                <w:sz w:val="24"/>
                <w:szCs w:val="24"/>
                <w:highlight w:val="none"/>
                <w:vertAlign w:val="baseline"/>
              </w:rPr>
              <w:t>：能够运用基本原理和理论分析判断是非、明辨善恶；认真审视和正视自身言行举止，弃“恶”扬善，从“我”做起、从日常小事做起、从现在做起，逐渐养成自觉践行社会主义核心价值观的习惯。</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b w:val="0"/>
                <w:bCs w:val="0"/>
                <w:i w:val="0"/>
                <w:iCs w:val="0"/>
                <w:color w:val="auto"/>
                <w:spacing w:val="0"/>
                <w:w w:val="100"/>
                <w:sz w:val="24"/>
                <w:szCs w:val="24"/>
                <w:highlight w:val="none"/>
                <w:vertAlign w:val="baseline"/>
              </w:rPr>
            </w:pPr>
            <w:r>
              <w:rPr>
                <w:rFonts w:hint="eastAsia" w:ascii="仿宋_GB2312" w:hAnsi="仿宋_GB2312" w:eastAsia="仿宋_GB2312" w:cs="仿宋_GB2312"/>
                <w:b/>
                <w:i w:val="0"/>
                <w:color w:val="auto"/>
                <w:spacing w:val="0"/>
                <w:w w:val="100"/>
                <w:sz w:val="24"/>
                <w:szCs w:val="24"/>
                <w:highlight w:val="none"/>
                <w:vertAlign w:val="baseline"/>
              </w:rPr>
              <w:t>素质目标：</w:t>
            </w:r>
            <w:r>
              <w:rPr>
                <w:rFonts w:hint="eastAsia" w:ascii="仿宋_GB2312" w:hAnsi="仿宋_GB2312" w:eastAsia="仿宋_GB2312" w:cs="仿宋_GB2312"/>
                <w:b w:val="0"/>
                <w:i w:val="0"/>
                <w:color w:val="auto"/>
                <w:spacing w:val="0"/>
                <w:w w:val="100"/>
                <w:sz w:val="24"/>
                <w:szCs w:val="24"/>
                <w:highlight w:val="none"/>
                <w:vertAlign w:val="baseline"/>
              </w:rPr>
              <w:t>以习近平新时代中国特色社会主义思想为指导，以引导大学生成长为担当民族复兴大任的时代新人为着眼点，以新时代对青年大学生的新要求为切入点，以人生选择、理想信念、价值观念、道德觉悟、法治素养等为主体内容，以提升大学生思想道德素养和法治素养为目标，教育和激励大学生立大志、明大德、成大才、担大任，在实现中国梦的生动实践中放飞青春梦想，成为自觉担当民族复兴大任的时代新人。</w:t>
            </w:r>
          </w:p>
        </w:tc>
        <w:tc>
          <w:tcPr>
            <w:tcW w:w="117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本课程包括三大知识模块：一是思想政治教育，包括绪论、第一至四章，旨在引导帮助大学生树立正确的人生观，确立科学的理想信念，弘扬以爱国主义为核心的民族精神和以改革创新为核心的时代精神，积极培育和践行社会主义核心价值观。二是道德教育，包括第五章，旨在帮助大学生理解道德的本质和作用，继承中华民族优秀美德和中国革命道德，遵循社会主义道德核心和原则，遵守道德规范，提升个人品德。三是法治教育，包括第六章，主要帮助大学生了解法律特别是社会主义法律的特征和运行，掌握以宪法为核心的中国特色社会主义法律体系的基本内容，领会坚持走中国特色社会主义法治道路的基本原则，引导大学生积极培养法治思维，合理行使法律规定的权利和义务。</w:t>
            </w:r>
          </w:p>
        </w:tc>
        <w:tc>
          <w:tcPr>
            <w:tcW w:w="983"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3" w:hRule="atLeast"/>
          <w:jc w:val="center"/>
        </w:trPr>
        <w:tc>
          <w:tcPr>
            <w:tcW w:w="340"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37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形势与政策</w:t>
            </w:r>
          </w:p>
        </w:tc>
        <w:tc>
          <w:tcPr>
            <w:tcW w:w="212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i w:val="0"/>
                <w:color w:val="auto"/>
                <w:spacing w:val="0"/>
                <w:w w:val="100"/>
                <w:sz w:val="24"/>
                <w:szCs w:val="24"/>
                <w:highlight w:val="none"/>
                <w:vertAlign w:val="baseline"/>
              </w:rPr>
              <w:t>知识目标</w:t>
            </w:r>
            <w:r>
              <w:rPr>
                <w:rFonts w:hint="eastAsia" w:ascii="仿宋_GB2312" w:hAnsi="仿宋_GB2312" w:eastAsia="仿宋_GB2312" w:cs="仿宋_GB2312"/>
                <w:b w:val="0"/>
                <w:i w:val="0"/>
                <w:color w:val="auto"/>
                <w:spacing w:val="0"/>
                <w:w w:val="100"/>
                <w:sz w:val="24"/>
                <w:szCs w:val="24"/>
                <w:highlight w:val="none"/>
                <w:vertAlign w:val="baseline"/>
              </w:rPr>
              <w:t>：引导和帮助学生掌握认识形势与政策问题的基本理论和基础知识，包括科学分析形势与政策的方法论、形势发展变化的规律、政策的产生和发展、政策的本质和特征等基础知识；了解国内外重大事件和热点、难点问题，紧跟时代脉搏，融入变革潮流；重点是了解党的二十大以来形成的一系列政策体系，理解党的路线、方针、政策的正确性。</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i w:val="0"/>
                <w:color w:val="auto"/>
                <w:spacing w:val="0"/>
                <w:w w:val="100"/>
                <w:sz w:val="24"/>
                <w:szCs w:val="24"/>
                <w:highlight w:val="none"/>
                <w:vertAlign w:val="baseline"/>
              </w:rPr>
              <w:t>能力目标：</w:t>
            </w:r>
            <w:r>
              <w:rPr>
                <w:rFonts w:hint="eastAsia" w:ascii="仿宋_GB2312" w:hAnsi="仿宋_GB2312" w:eastAsia="仿宋_GB2312" w:cs="仿宋_GB2312"/>
                <w:b w:val="0"/>
                <w:i w:val="0"/>
                <w:color w:val="auto"/>
                <w:spacing w:val="0"/>
                <w:w w:val="100"/>
                <w:sz w:val="24"/>
                <w:szCs w:val="24"/>
                <w:highlight w:val="none"/>
                <w:vertAlign w:val="baseline"/>
              </w:rPr>
              <w:t>培养学生掌握正确分析形势和理解政策的能力，特别是对国内外重大事件、敏感问题、社会热点、难点、疑点问题的思考、分析和判断能力。</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b/>
                <w:bCs/>
                <w:i w:val="0"/>
                <w:iCs w:val="0"/>
                <w:color w:val="auto"/>
                <w:spacing w:val="0"/>
                <w:w w:val="100"/>
                <w:sz w:val="24"/>
                <w:szCs w:val="24"/>
                <w:highlight w:val="none"/>
                <w:vertAlign w:val="baseline"/>
              </w:rPr>
            </w:pPr>
            <w:r>
              <w:rPr>
                <w:rFonts w:hint="eastAsia" w:ascii="仿宋_GB2312" w:hAnsi="仿宋_GB2312" w:eastAsia="仿宋_GB2312" w:cs="仿宋_GB2312"/>
                <w:b/>
                <w:i w:val="0"/>
                <w:color w:val="auto"/>
                <w:spacing w:val="0"/>
                <w:w w:val="100"/>
                <w:sz w:val="24"/>
                <w:szCs w:val="24"/>
                <w:highlight w:val="none"/>
                <w:vertAlign w:val="baseline"/>
              </w:rPr>
              <w:t>素质目标：</w:t>
            </w:r>
            <w:r>
              <w:rPr>
                <w:rFonts w:hint="eastAsia" w:ascii="仿宋_GB2312" w:hAnsi="仿宋_GB2312" w:eastAsia="仿宋_GB2312" w:cs="仿宋_GB2312"/>
                <w:b w:val="0"/>
                <w:i w:val="0"/>
                <w:color w:val="auto"/>
                <w:spacing w:val="0"/>
                <w:w w:val="100"/>
                <w:sz w:val="24"/>
                <w:szCs w:val="24"/>
                <w:highlight w:val="none"/>
                <w:vertAlign w:val="baseline"/>
              </w:rPr>
              <w:t>使学生感知国情民意，体会党的路线方针政策的正确，把对形势与政策的认识统一到党和国家的科学判断上和正确决策上，不断增强“四个意识”、坚定“四个自信”、做到“两个维护”，为实现中华民族伟大复兴而发奋学习。</w:t>
            </w:r>
          </w:p>
        </w:tc>
        <w:tc>
          <w:tcPr>
            <w:tcW w:w="117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根据新时代面临的新情况新问题，针对学生关注的热点问题和思想特点，涵盖国际形势、国内形势、社会热点、国家政策等内容。通过学习，学生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983"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按照中宣部、教育部每年每学期颁发的形势与政策课教学要点、要求和内容，对指定的专题进行教学。教师采取混合式教学和学生研讨，聚焦社会热点、回应学生关切问题，提高学生运用马克思主义理论的立场、观点、方法解决实际问题的能力，提高政治辨别力，紧密围绕在以习近平同志为核心的党中央周围，奋进新征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3" w:hRule="atLeast"/>
          <w:jc w:val="center"/>
        </w:trPr>
        <w:tc>
          <w:tcPr>
            <w:tcW w:w="340"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37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国家安全教育</w:t>
            </w:r>
          </w:p>
        </w:tc>
        <w:tc>
          <w:tcPr>
            <w:tcW w:w="212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i w:val="0"/>
                <w:color w:val="auto"/>
                <w:spacing w:val="0"/>
                <w:w w:val="100"/>
                <w:sz w:val="24"/>
                <w:szCs w:val="24"/>
                <w:highlight w:val="none"/>
                <w:vertAlign w:val="baseline"/>
                <w:lang w:val="en-US"/>
              </w:rPr>
              <w:t> </w:t>
            </w:r>
            <w:r>
              <w:rPr>
                <w:rFonts w:hint="eastAsia" w:ascii="仿宋_GB2312" w:hAnsi="仿宋_GB2312" w:eastAsia="仿宋_GB2312" w:cs="仿宋_GB2312"/>
                <w:b/>
                <w:i w:val="0"/>
                <w:color w:val="auto"/>
                <w:spacing w:val="0"/>
                <w:w w:val="100"/>
                <w:sz w:val="24"/>
                <w:szCs w:val="24"/>
                <w:highlight w:val="none"/>
                <w:vertAlign w:val="baseline"/>
              </w:rPr>
              <w:t>知识目标：</w:t>
            </w:r>
            <w:r>
              <w:rPr>
                <w:rFonts w:hint="eastAsia" w:ascii="仿宋_GB2312" w:hAnsi="仿宋_GB2312" w:eastAsia="仿宋_GB2312" w:cs="仿宋_GB2312"/>
                <w:b w:val="0"/>
                <w:i w:val="0"/>
                <w:color w:val="auto"/>
                <w:spacing w:val="0"/>
                <w:w w:val="100"/>
                <w:sz w:val="24"/>
                <w:szCs w:val="24"/>
                <w:highlight w:val="none"/>
                <w:vertAlign w:val="baseline"/>
              </w:rPr>
              <w:t>让学生系统掌握总体国家安全观的内涵和精神实质，理解中国特色国家安全体系，新时代我国国家安全面临的复杂形势，掌握筑牢其他各领域国家安全屏障的具体方法和途径。</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i w:val="0"/>
                <w:color w:val="auto"/>
                <w:spacing w:val="0"/>
                <w:w w:val="100"/>
                <w:sz w:val="24"/>
                <w:szCs w:val="24"/>
                <w:highlight w:val="none"/>
                <w:vertAlign w:val="baseline"/>
              </w:rPr>
              <w:t>能力目标：</w:t>
            </w:r>
            <w:r>
              <w:rPr>
                <w:rFonts w:hint="eastAsia" w:ascii="仿宋_GB2312" w:hAnsi="仿宋_GB2312" w:eastAsia="仿宋_GB2312" w:cs="仿宋_GB2312"/>
                <w:b w:val="0"/>
                <w:i w:val="0"/>
                <w:color w:val="auto"/>
                <w:spacing w:val="0"/>
                <w:w w:val="100"/>
                <w:sz w:val="24"/>
                <w:szCs w:val="24"/>
                <w:highlight w:val="none"/>
                <w:vertAlign w:val="baseline"/>
              </w:rPr>
              <w:t>能够建立总体国家安全观，树立中国特色社会主义理想信念，能够做到国家利益至上，维护国家主权、安全和发展利益，能够维护国家正当权益，绝不牺牲国家核心利益；能够增强政治认同，不信谣、不传谣，能够对危害政治安全的违法行为进行举报；能够以实际行动维护国家安全；</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i w:val="0"/>
                <w:color w:val="auto"/>
                <w:spacing w:val="0"/>
                <w:w w:val="100"/>
                <w:sz w:val="24"/>
                <w:szCs w:val="24"/>
                <w:highlight w:val="none"/>
                <w:vertAlign w:val="baseline"/>
              </w:rPr>
              <w:t>素质目标：</w:t>
            </w:r>
            <w:r>
              <w:rPr>
                <w:rFonts w:hint="eastAsia" w:ascii="仿宋_GB2312" w:hAnsi="仿宋_GB2312" w:eastAsia="仿宋_GB2312" w:cs="仿宋_GB2312"/>
                <w:b w:val="0"/>
                <w:i w:val="0"/>
                <w:color w:val="auto"/>
                <w:spacing w:val="0"/>
                <w:w w:val="100"/>
                <w:sz w:val="24"/>
                <w:szCs w:val="24"/>
                <w:highlight w:val="none"/>
                <w:vertAlign w:val="baseline"/>
              </w:rPr>
              <w:t>能够自觉遵守法律，做到诚实守信、廉洁自律；学会合作，为人正派，具有良好的协作、沟通能力和团队精神；严守法纪，坚持原则，自觉践行社会主义核心价值观。树立国家安全意识，培养爱国精神，使其矢志不渝听党话、跟党走，不断成为社会主义合格建设者和可靠接班人。</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b/>
                <w:bCs/>
                <w:i w:val="0"/>
                <w:iCs w:val="0"/>
                <w:color w:val="auto"/>
                <w:spacing w:val="0"/>
                <w:w w:val="100"/>
                <w:sz w:val="24"/>
                <w:szCs w:val="24"/>
                <w:highlight w:val="none"/>
                <w:vertAlign w:val="baseline"/>
              </w:rPr>
            </w:pPr>
            <w:r>
              <w:rPr>
                <w:rFonts w:hint="eastAsia" w:ascii="仿宋_GB2312" w:hAnsi="仿宋_GB2312" w:eastAsia="仿宋_GB2312" w:cs="仿宋_GB2312"/>
                <w:b/>
                <w:i w:val="0"/>
                <w:color w:val="auto"/>
                <w:spacing w:val="0"/>
                <w:w w:val="100"/>
                <w:sz w:val="24"/>
                <w:szCs w:val="24"/>
                <w:highlight w:val="none"/>
                <w:vertAlign w:val="baseline"/>
              </w:rPr>
              <w:t>课程思政育人目标：</w:t>
            </w:r>
            <w:r>
              <w:rPr>
                <w:rFonts w:hint="eastAsia" w:ascii="仿宋_GB2312" w:hAnsi="仿宋_GB2312" w:eastAsia="仿宋_GB2312" w:cs="仿宋_GB2312"/>
                <w:b w:val="0"/>
                <w:i w:val="0"/>
                <w:color w:val="auto"/>
                <w:spacing w:val="0"/>
                <w:w w:val="100"/>
                <w:sz w:val="24"/>
                <w:szCs w:val="24"/>
                <w:highlight w:val="none"/>
                <w:vertAlign w:val="baseline"/>
              </w:rPr>
              <w:t>提升学生的国家安全意识，培养学生将理论知识与实践相结合的能力，引导学生运用马克思主义的立场、观点、方法以及总体国家安全观</w:t>
            </w:r>
            <w:r>
              <w:rPr>
                <w:rFonts w:hint="eastAsia" w:ascii="仿宋_GB2312" w:hAnsi="仿宋_GB2312" w:eastAsia="仿宋_GB2312" w:cs="仿宋_GB2312"/>
                <w:b w:val="0"/>
                <w:i w:val="0"/>
                <w:color w:val="auto"/>
                <w:spacing w:val="0"/>
                <w:w w:val="100"/>
                <w:sz w:val="24"/>
                <w:szCs w:val="24"/>
                <w:highlight w:val="none"/>
                <w:vertAlign w:val="baseline"/>
                <w:lang w:val="en-US" w:eastAsia="zh-CN"/>
              </w:rPr>
              <w:t>分析和解决问题</w:t>
            </w:r>
            <w:r>
              <w:rPr>
                <w:rFonts w:hint="eastAsia" w:ascii="仿宋_GB2312" w:hAnsi="仿宋_GB2312" w:eastAsia="仿宋_GB2312" w:cs="仿宋_GB2312"/>
                <w:b w:val="0"/>
                <w:i w:val="0"/>
                <w:color w:val="auto"/>
                <w:spacing w:val="0"/>
                <w:w w:val="100"/>
                <w:sz w:val="24"/>
                <w:szCs w:val="24"/>
                <w:highlight w:val="none"/>
                <w:vertAlign w:val="baseline"/>
              </w:rPr>
              <w:t>，构建起维护国家安全的实践能力。使学生树立国家安全底线思维，将国家安全意识转化为自觉行动，强化责任担当。</w:t>
            </w:r>
          </w:p>
        </w:tc>
        <w:tc>
          <w:tcPr>
            <w:tcW w:w="117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本课程包含国家安全绪论、政治安全、国土安全、军事安全、经济安全、文化安全、社会安全、科技安全。通过教学，使学生树立国家安全意识，培养学生爱国精神，使其矢志不渝听党话、跟党走，不断成为社会主义合格建设者和可靠接班人。</w:t>
            </w:r>
          </w:p>
        </w:tc>
        <w:tc>
          <w:tcPr>
            <w:tcW w:w="983"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本课程以坚持总体国家安全观为科学指导，坚持党对国家安全教育的绝对领导，坚持以构建国家安全教育体系为途径，重点围绕理解中华民族命运与国家关系，践行总体国家安全观。学生系统掌握总体国家安全观的内涵和精神实质，理解中国特色国家安全体系，树立国家安全底线思维，将国家安全意识转化为自觉行动，强化学生责任担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3" w:hRule="atLeast"/>
          <w:jc w:val="center"/>
        </w:trPr>
        <w:tc>
          <w:tcPr>
            <w:tcW w:w="340"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776" w:type="dxa"/>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军事理论</w:t>
            </w:r>
          </w:p>
        </w:tc>
        <w:tc>
          <w:tcPr>
            <w:tcW w:w="4395" w:type="dxa"/>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2"/>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2"/>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2"/>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掌握基本的军事理论知识，了解中国国防政策和军事战略，认识信息化战争的特点与规律等。</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2"/>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2"/>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2"/>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运用所学军事理论知识分析国内外军事事件的能力，以及独立判断和批判性思考的习惯。提升学生的战略思维能力和实际操作技能，提高学生的应急反应速度和自我保护能力，为应对突发事件打下坚实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2"/>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2"/>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2"/>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：激发学生对国家和民族的热爱之情，增强其作为公民的社会责任感和使命感；强化国防观念、国家安全意识与爱国主义精神。‌</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b/>
                <w:bCs/>
                <w:i w:val="0"/>
                <w:iCs w:val="0"/>
                <w:color w:val="auto"/>
                <w:spacing w:val="0"/>
                <w:w w:val="100"/>
                <w:sz w:val="24"/>
                <w:szCs w:val="24"/>
                <w:highlight w:val="none"/>
                <w:vertAlign w:val="baseline"/>
              </w:rPr>
            </w:pPr>
            <w:r>
              <w:rPr>
                <w:rStyle w:val="12"/>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2"/>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通过系统的知识传授和能力培养，全面提升学生的综合素质，增强学生国家安全意识和国防观念，为未来成为具有家国情怀、战略视野和创新能力的优秀人才奠定坚实基础。</w:t>
            </w:r>
          </w:p>
        </w:tc>
        <w:tc>
          <w:tcPr>
            <w:tcW w:w="2430" w:type="dxa"/>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2"/>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2"/>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课程内容包括军事基础知识、军事思想、国家安全形势分析、战略环境、军事高技术、现代战争知识等。</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highlight w:val="none"/>
                <w:lang w:val="en-US" w:eastAsia="zh-CN"/>
              </w:rPr>
            </w:pPr>
          </w:p>
        </w:tc>
        <w:tc>
          <w:tcPr>
            <w:tcW w:w="2033" w:type="dxa"/>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pStyle w:val="8"/>
              <w:keepNext w:val="0"/>
              <w:keepLines w:val="0"/>
              <w:widowControl/>
              <w:suppressLineNumbers w:val="0"/>
              <w:jc w:val="both"/>
              <w:rPr>
                <w:rStyle w:val="12"/>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2"/>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本课程以马列主义、毛泽东思想、邓小平理论及习近平强军思想为指导，‌采用多媒体教学、案例研讨，使学生理解总体国家安全观，激发学生献身国防的热情、增强民族自豪感。</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highlight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3" w:hRule="atLeast"/>
          <w:jc w:val="center"/>
        </w:trPr>
        <w:tc>
          <w:tcPr>
            <w:tcW w:w="340"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776" w:type="dxa"/>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军训</w:t>
            </w:r>
          </w:p>
        </w:tc>
        <w:tc>
          <w:tcPr>
            <w:tcW w:w="4395" w:type="dxa"/>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2"/>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2"/>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2"/>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掌握基本的军事技能、完成基础军事训练。</w:t>
            </w:r>
          </w:p>
          <w:p>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2"/>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2"/>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2"/>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结合模拟演练和角色扮演等活动，提升学生的战略思维能力和实际操作技能，增强学生的团队意识和沟通协调能力，提高学生的应急反应速度和自我保护能力，为应对突发事件打下坚实基础。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2"/>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2"/>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2"/>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：培养学生的纪律性和服从意识；强化团队协作精神，锻炼学生的意志力和毅力，培养其面对困难和挑战时不屈不挠的精神风貌，鼓励其为实现中华民族伟大复兴的中国梦贡献力量。</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b/>
                <w:i w:val="0"/>
                <w:color w:val="auto"/>
                <w:spacing w:val="0"/>
                <w:w w:val="100"/>
                <w:sz w:val="24"/>
                <w:szCs w:val="24"/>
                <w:highlight w:val="none"/>
                <w:shd w:val="clear" w:fill="FFFFFF"/>
                <w:vertAlign w:val="baseline"/>
              </w:rPr>
            </w:pPr>
            <w:r>
              <w:rPr>
                <w:rStyle w:val="12"/>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2"/>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通过能力培养，全面提升学生的综合素质，增强学生国防观念，为成为具有家国情怀、战略视野和创新能力的优秀人才奠定坚实基础。</w:t>
            </w:r>
          </w:p>
        </w:tc>
        <w:tc>
          <w:tcPr>
            <w:tcW w:w="2430" w:type="dxa"/>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2"/>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2"/>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课程内容包括队列、战术训练等‌军事技能训练。</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highlight w:val="none"/>
                <w:lang w:val="en-US" w:eastAsia="zh-CN"/>
              </w:rPr>
            </w:pPr>
          </w:p>
        </w:tc>
        <w:tc>
          <w:tcPr>
            <w:tcW w:w="2033" w:type="dxa"/>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highlight w:val="none"/>
                <w:lang w:val="en-US" w:eastAsia="zh-CN"/>
              </w:rPr>
            </w:pPr>
            <w:r>
              <w:rPr>
                <w:rStyle w:val="12"/>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循序渐进，由浅入深，逐步提高学生的军训技能；注重示范指导，通过示范动作带动学生的学习兴趣；强化实践训练，让学生通过实际操作掌握军事技能。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3" w:hRule="atLeast"/>
          <w:jc w:val="center"/>
        </w:trPr>
        <w:tc>
          <w:tcPr>
            <w:tcW w:w="340"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w:t>
            </w:r>
          </w:p>
        </w:tc>
        <w:tc>
          <w:tcPr>
            <w:tcW w:w="37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计算机基础</w:t>
            </w:r>
          </w:p>
        </w:tc>
        <w:tc>
          <w:tcPr>
            <w:tcW w:w="212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shd w:val="clear" w:fill="FFFFFF"/>
                <w:vertAlign w:val="baseline"/>
              </w:rPr>
              <w:t>知识目标：</w:t>
            </w:r>
            <w:r>
              <w:rPr>
                <w:rFonts w:hint="eastAsia" w:ascii="仿宋_GB2312" w:hAnsi="仿宋_GB2312" w:eastAsia="仿宋_GB2312" w:cs="仿宋_GB2312"/>
                <w:b w:val="0"/>
                <w:i w:val="0"/>
                <w:color w:val="000000"/>
                <w:spacing w:val="0"/>
                <w:w w:val="100"/>
                <w:sz w:val="24"/>
                <w:szCs w:val="24"/>
                <w:highlight w:val="none"/>
                <w:shd w:val="clear" w:fill="FFFFFF"/>
                <w:vertAlign w:val="baseline"/>
              </w:rPr>
              <w:t>掌握计算机硬件组成和操作系统基本原理，理解常用办公软件功能特点，了解常用工具软件的分类及基本使用方法，拓展数字化办公技能，帮助学生系统掌握计算机领域的核心理论与前沿动态，为技能应用和职业发展奠定基础。</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shd w:val="clear" w:fill="FFFFFF"/>
                <w:vertAlign w:val="baseline"/>
              </w:rPr>
              <w:t>能力目标：</w:t>
            </w:r>
            <w:r>
              <w:rPr>
                <w:rFonts w:hint="eastAsia" w:ascii="仿宋_GB2312" w:hAnsi="仿宋_GB2312" w:eastAsia="仿宋_GB2312" w:cs="仿宋_GB2312"/>
                <w:b w:val="0"/>
                <w:i w:val="0"/>
                <w:color w:val="000000"/>
                <w:spacing w:val="0"/>
                <w:w w:val="100"/>
                <w:sz w:val="24"/>
                <w:szCs w:val="24"/>
                <w:highlight w:val="none"/>
                <w:shd w:val="clear" w:fill="FFFFFF"/>
                <w:vertAlign w:val="baseline"/>
              </w:rPr>
              <w:t>培养计算机基本操作能力，熟练使用办公软件处理文档。提升网络应用和信息检索水平，具备解决常见计算机问题的技能。</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shd w:val="clear" w:fill="FFFFFF"/>
                <w:vertAlign w:val="baseline"/>
              </w:rPr>
              <w:t>素质目标：</w:t>
            </w:r>
            <w:r>
              <w:rPr>
                <w:rFonts w:hint="eastAsia" w:ascii="仿宋_GB2312" w:hAnsi="仿宋_GB2312" w:eastAsia="仿宋_GB2312" w:cs="仿宋_GB2312"/>
                <w:b w:val="0"/>
                <w:i w:val="0"/>
                <w:color w:val="000000"/>
                <w:spacing w:val="0"/>
                <w:w w:val="100"/>
                <w:sz w:val="24"/>
                <w:szCs w:val="24"/>
                <w:highlight w:val="none"/>
                <w:shd w:val="clear" w:fill="FFFFFF"/>
                <w:vertAlign w:val="baseline"/>
              </w:rPr>
              <w:t>培养信息素养和数字思维，提高自主学习新技术能力。树立信息安全意识，养成规范使用计算机的良好习惯。</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b/>
                <w:bCs/>
                <w:i w:val="0"/>
                <w:iCs w:val="0"/>
                <w:color w:val="000000"/>
                <w:spacing w:val="0"/>
                <w:w w:val="100"/>
                <w:sz w:val="24"/>
                <w:szCs w:val="24"/>
                <w:highlight w:val="none"/>
                <w:vertAlign w:val="baseline"/>
              </w:rPr>
            </w:pPr>
            <w:r>
              <w:rPr>
                <w:rFonts w:hint="eastAsia" w:ascii="仿宋_GB2312" w:hAnsi="仿宋_GB2312" w:eastAsia="仿宋_GB2312" w:cs="仿宋_GB2312"/>
                <w:b/>
                <w:i w:val="0"/>
                <w:color w:val="000000"/>
                <w:spacing w:val="0"/>
                <w:w w:val="100"/>
                <w:sz w:val="24"/>
                <w:szCs w:val="24"/>
                <w:highlight w:val="none"/>
                <w:shd w:val="clear" w:fill="FFFFFF"/>
                <w:vertAlign w:val="baseline"/>
              </w:rPr>
              <w:t>课程思政育人目标：</w:t>
            </w:r>
            <w:r>
              <w:rPr>
                <w:rFonts w:hint="eastAsia" w:ascii="仿宋_GB2312" w:hAnsi="仿宋_GB2312" w:eastAsia="仿宋_GB2312" w:cs="仿宋_GB2312"/>
                <w:b w:val="0"/>
                <w:i w:val="0"/>
                <w:color w:val="000000"/>
                <w:spacing w:val="0"/>
                <w:w w:val="100"/>
                <w:sz w:val="24"/>
                <w:szCs w:val="24"/>
                <w:highlight w:val="none"/>
                <w:shd w:val="clear" w:fill="FFFFFF"/>
                <w:vertAlign w:val="baseline"/>
              </w:rPr>
              <w:t>融入科技创新案例，培养科技报国情怀。通过信息伦理教育，强化网络行为规范和责任意识。引导学生树立家国情怀、职业道德和社会责任感，</w:t>
            </w:r>
            <w:r>
              <w:rPr>
                <w:rFonts w:hint="eastAsia" w:ascii="仿宋_GB2312" w:hAnsi="仿宋_GB2312" w:eastAsia="仿宋_GB2312" w:cs="仿宋_GB2312"/>
                <w:b w:val="0"/>
                <w:i w:val="0"/>
                <w:color w:val="000000"/>
                <w:spacing w:val="0"/>
                <w:w w:val="100"/>
                <w:sz w:val="24"/>
                <w:szCs w:val="24"/>
                <w:highlight w:val="none"/>
                <w:vertAlign w:val="baseline"/>
              </w:rPr>
              <w:t>最终实现“德才兼备、知行合一”的技术人才培养目标，为行业发展与社会进步输送兼具职业道德素养与专业技术能力的复合型人才。</w:t>
            </w:r>
          </w:p>
        </w:tc>
        <w:tc>
          <w:tcPr>
            <w:tcW w:w="117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包含计算机硬件基础、Windows操作系统、Office办公软件、网络基础等模块。重点培养文档处理、数据分析和演示汇报等实用技能，融入专业相关的计算机应用案例。结合新技术发展，介绍云计算、大数据等前沿技术概念。</w:t>
            </w:r>
          </w:p>
        </w:tc>
        <w:tc>
          <w:tcPr>
            <w:tcW w:w="983"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教师需采用任务驱动教学法，设计贴近实际的应用场景。合理运用信息化教学手段，强化实操训练。学生需按时完成实践任务，主动探索软件功能。教学中要注重应用能力培养，突出计算机工具的实用价值，提升学生信息素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3" w:hRule="atLeast"/>
          <w:jc w:val="center"/>
        </w:trPr>
        <w:tc>
          <w:tcPr>
            <w:tcW w:w="340"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7</w:t>
            </w:r>
          </w:p>
        </w:tc>
        <w:tc>
          <w:tcPr>
            <w:tcW w:w="37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高等数学</w:t>
            </w:r>
          </w:p>
        </w:tc>
        <w:tc>
          <w:tcPr>
            <w:tcW w:w="212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shd w:val="clear" w:fill="FFFFFF"/>
                <w:vertAlign w:val="baseline"/>
              </w:rPr>
              <w:t>知识目标：</w:t>
            </w:r>
            <w:r>
              <w:rPr>
                <w:rFonts w:hint="eastAsia" w:ascii="仿宋_GB2312" w:hAnsi="仿宋_GB2312" w:eastAsia="仿宋_GB2312" w:cs="仿宋_GB2312"/>
                <w:b w:val="0"/>
                <w:i w:val="0"/>
                <w:color w:val="000000"/>
                <w:spacing w:val="0"/>
                <w:w w:val="100"/>
                <w:sz w:val="24"/>
                <w:szCs w:val="24"/>
                <w:highlight w:val="none"/>
                <w:shd w:val="clear" w:fill="FFFFFF"/>
                <w:vertAlign w:val="baseline"/>
              </w:rPr>
              <w:t>掌握函数、极限、导数等基础概念，理解微积分基本理论、数学建模方法，为专业课程奠定必要数学基础。</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shd w:val="clear" w:fill="FFFFFF"/>
                <w:vertAlign w:val="baseline"/>
              </w:rPr>
              <w:t>能力目标：</w:t>
            </w:r>
            <w:r>
              <w:rPr>
                <w:rFonts w:hint="eastAsia" w:ascii="仿宋_GB2312" w:hAnsi="仿宋_GB2312" w:eastAsia="仿宋_GB2312" w:cs="仿宋_GB2312"/>
                <w:b w:val="0"/>
                <w:i w:val="0"/>
                <w:color w:val="000000"/>
                <w:spacing w:val="0"/>
                <w:w w:val="100"/>
                <w:sz w:val="24"/>
                <w:szCs w:val="24"/>
                <w:highlight w:val="none"/>
                <w:shd w:val="clear" w:fill="FFFFFF"/>
                <w:vertAlign w:val="baseline"/>
              </w:rPr>
              <w:t>培养数学运算和逻辑推理能力，提升运用数学工具解决实际问题的水平。增强数据分析和建模能力，适应未来职业发展需求。</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shd w:val="clear" w:fill="FFFFFF"/>
                <w:vertAlign w:val="baseline"/>
              </w:rPr>
              <w:t>素质目标：</w:t>
            </w:r>
            <w:r>
              <w:rPr>
                <w:rFonts w:hint="eastAsia" w:ascii="仿宋_GB2312" w:hAnsi="仿宋_GB2312" w:eastAsia="仿宋_GB2312" w:cs="仿宋_GB2312"/>
                <w:b w:val="0"/>
                <w:i w:val="0"/>
                <w:color w:val="000000"/>
                <w:spacing w:val="0"/>
                <w:w w:val="100"/>
                <w:sz w:val="24"/>
                <w:szCs w:val="24"/>
                <w:highlight w:val="none"/>
                <w:shd w:val="clear" w:fill="FFFFFF"/>
                <w:vertAlign w:val="baseline"/>
              </w:rPr>
              <w:t>培养严谨求实的科学态度，提高抽象思维和创新能力</w:t>
            </w:r>
            <w:r>
              <w:rPr>
                <w:rFonts w:hint="eastAsia" w:ascii="仿宋_GB2312" w:hAnsi="仿宋_GB2312" w:eastAsia="仿宋_GB2312" w:cs="仿宋_GB2312"/>
                <w:b w:val="0"/>
                <w:i w:val="0"/>
                <w:color w:val="000000"/>
                <w:spacing w:val="-6"/>
                <w:w w:val="100"/>
                <w:sz w:val="24"/>
                <w:szCs w:val="24"/>
                <w:highlight w:val="none"/>
                <w:shd w:val="clear" w:fill="FFFFFF"/>
                <w:vertAlign w:val="baseline"/>
              </w:rPr>
              <w:t>。树立理论联系实际的观念，增强持续学习和自主探究意识。</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b/>
                <w:bCs/>
                <w:i w:val="0"/>
                <w:iCs w:val="0"/>
                <w:color w:val="000000"/>
                <w:spacing w:val="0"/>
                <w:w w:val="100"/>
                <w:sz w:val="24"/>
                <w:szCs w:val="24"/>
                <w:highlight w:val="none"/>
                <w:vertAlign w:val="baseline"/>
              </w:rPr>
            </w:pPr>
            <w:r>
              <w:rPr>
                <w:rFonts w:hint="eastAsia" w:ascii="仿宋_GB2312" w:hAnsi="仿宋_GB2312" w:eastAsia="仿宋_GB2312" w:cs="仿宋_GB2312"/>
                <w:b/>
                <w:i w:val="0"/>
                <w:color w:val="000000"/>
                <w:spacing w:val="0"/>
                <w:w w:val="100"/>
                <w:sz w:val="24"/>
                <w:szCs w:val="24"/>
                <w:highlight w:val="none"/>
                <w:shd w:val="clear" w:fill="FFFFFF"/>
                <w:vertAlign w:val="baseline"/>
              </w:rPr>
              <w:t>课程思政育人目标：</w:t>
            </w:r>
            <w:r>
              <w:rPr>
                <w:rFonts w:hint="eastAsia" w:ascii="仿宋_GB2312" w:hAnsi="仿宋_GB2312" w:eastAsia="仿宋_GB2312" w:cs="仿宋_GB2312"/>
                <w:b w:val="0"/>
                <w:i w:val="0"/>
                <w:color w:val="000000"/>
                <w:spacing w:val="0"/>
                <w:w w:val="100"/>
                <w:sz w:val="24"/>
                <w:szCs w:val="24"/>
                <w:highlight w:val="none"/>
                <w:shd w:val="clear" w:fill="FFFFFF"/>
                <w:vertAlign w:val="baseline"/>
              </w:rPr>
              <w:t>实现知识传授与价值引领的有机融合，培养学生养成求真务实、精益求精的态度，严谨对待学习与工作，通过融入数学史展现古今数学家的爱国情怀与奉献精神，厚植爱国主义情怀，在思维品质培养中以辩证思维解析数学概念，引导学生透过现象看本质，理解量变与质变、对立统一等规律，鼓励学生在数学问题求解中勇于创新，培养批判性思维和探索精神，同时通过团队合作解决数学建模等问题，增强学生的团队协作意识与社会责任感，使学生在掌握数学知识的同时</w:t>
            </w:r>
            <w:r>
              <w:rPr>
                <w:rFonts w:hint="eastAsia" w:ascii="仿宋_GB2312" w:hAnsi="仿宋_GB2312" w:eastAsia="仿宋_GB2312" w:cs="仿宋_GB2312"/>
                <w:b w:val="0"/>
                <w:i w:val="0"/>
                <w:color w:val="000000"/>
                <w:spacing w:val="-6"/>
                <w:w w:val="100"/>
                <w:sz w:val="24"/>
                <w:szCs w:val="24"/>
                <w:highlight w:val="none"/>
                <w:shd w:val="clear" w:fill="FFFFFF"/>
                <w:vertAlign w:val="baseline"/>
              </w:rPr>
              <w:t>，实现个人全面发展与社会价值统一。</w:t>
            </w:r>
          </w:p>
        </w:tc>
        <w:tc>
          <w:tcPr>
            <w:tcW w:w="117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包含函数与极限、导数与微分、积分及应用等基础模块。重点讲解工程实际问题中的数学应用，如最优化问题求解、变化率分析等。融入专业案例，开展数学建模实践，强化数学工具在专业领域的应用能力培养。</w:t>
            </w:r>
          </w:p>
        </w:tc>
        <w:tc>
          <w:tcPr>
            <w:tcW w:w="983"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教师需结合专业需求设计教学内容，采用问题导向和案例教学方法。合理运用信息化手段，强化直观教学效果。学生需按时完成作业，积极参与课堂讨论。教学中要注重理论联系实际，突出数学应用价值，培养学生解决实际问题的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3" w:hRule="atLeast"/>
          <w:jc w:val="center"/>
        </w:trPr>
        <w:tc>
          <w:tcPr>
            <w:tcW w:w="340"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8</w:t>
            </w:r>
          </w:p>
        </w:tc>
        <w:tc>
          <w:tcPr>
            <w:tcW w:w="37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大学英语</w:t>
            </w:r>
          </w:p>
        </w:tc>
        <w:tc>
          <w:tcPr>
            <w:tcW w:w="212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shd w:val="clear" w:fill="FFFFFF"/>
                <w:vertAlign w:val="baseline"/>
              </w:rPr>
              <w:t>知识目标：</w:t>
            </w:r>
            <w:r>
              <w:rPr>
                <w:rFonts w:hint="eastAsia" w:ascii="仿宋_GB2312" w:hAnsi="仿宋_GB2312" w:eastAsia="仿宋_GB2312" w:cs="仿宋_GB2312"/>
                <w:b w:val="0"/>
                <w:i w:val="0"/>
                <w:color w:val="000000"/>
                <w:spacing w:val="0"/>
                <w:w w:val="100"/>
                <w:sz w:val="24"/>
                <w:szCs w:val="24"/>
                <w:highlight w:val="none"/>
                <w:shd w:val="clear" w:fill="FFFFFF"/>
                <w:vertAlign w:val="baseline"/>
              </w:rPr>
              <w:t>掌握基础词汇和核心语法，学习职场英语表达。了解英语国家文化常识，熟悉专业相关术语。</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shd w:val="clear" w:fill="FFFFFF"/>
                <w:vertAlign w:val="baseline"/>
              </w:rPr>
              <w:t>能力目标：</w:t>
            </w:r>
            <w:r>
              <w:rPr>
                <w:rFonts w:hint="eastAsia" w:ascii="仿宋_GB2312" w:hAnsi="仿宋_GB2312" w:eastAsia="仿宋_GB2312" w:cs="仿宋_GB2312"/>
                <w:b w:val="0"/>
                <w:i w:val="0"/>
                <w:color w:val="000000"/>
                <w:spacing w:val="0"/>
                <w:w w:val="100"/>
                <w:sz w:val="24"/>
                <w:szCs w:val="24"/>
                <w:highlight w:val="none"/>
                <w:shd w:val="clear" w:fill="FFFFFF"/>
                <w:vertAlign w:val="baseline"/>
              </w:rPr>
              <w:t>培养学生掌握语言基础知识和语言技能、具备基本的英语听、说、读、写、译能力，增强其跨文化交际意识和沟通能力，为适应未来职业需求。</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shd w:val="clear" w:fill="FFFFFF"/>
                <w:vertAlign w:val="baseline"/>
              </w:rPr>
              <w:t>素质目标：</w:t>
            </w:r>
            <w:r>
              <w:rPr>
                <w:rFonts w:hint="eastAsia" w:ascii="仿宋_GB2312" w:hAnsi="仿宋_GB2312" w:eastAsia="仿宋_GB2312" w:cs="仿宋_GB2312"/>
                <w:b w:val="0"/>
                <w:i w:val="0"/>
                <w:color w:val="000000"/>
                <w:spacing w:val="0"/>
                <w:w w:val="100"/>
                <w:sz w:val="24"/>
                <w:szCs w:val="24"/>
                <w:highlight w:val="none"/>
                <w:shd w:val="clear" w:fill="FFFFFF"/>
                <w:vertAlign w:val="baseline"/>
              </w:rPr>
              <w:t>培养自主学习意识，增强跨文化理解能力。树立终身学习理念，提高团队协作和沟通能力。</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b/>
                <w:bCs/>
                <w:i w:val="0"/>
                <w:iCs w:val="0"/>
                <w:color w:val="000000"/>
                <w:spacing w:val="0"/>
                <w:w w:val="100"/>
                <w:sz w:val="24"/>
                <w:szCs w:val="24"/>
                <w:highlight w:val="none"/>
                <w:vertAlign w:val="baseline"/>
              </w:rPr>
            </w:pPr>
            <w:r>
              <w:rPr>
                <w:rFonts w:hint="eastAsia" w:ascii="仿宋_GB2312" w:hAnsi="仿宋_GB2312" w:eastAsia="仿宋_GB2312" w:cs="仿宋_GB2312"/>
                <w:b/>
                <w:i w:val="0"/>
                <w:color w:val="000000"/>
                <w:spacing w:val="0"/>
                <w:w w:val="100"/>
                <w:sz w:val="24"/>
                <w:szCs w:val="24"/>
                <w:highlight w:val="none"/>
                <w:shd w:val="clear" w:fill="FFFFFF"/>
                <w:vertAlign w:val="baseline"/>
              </w:rPr>
              <w:t>课程思政育人目标：</w:t>
            </w:r>
            <w:r>
              <w:rPr>
                <w:rFonts w:hint="eastAsia" w:ascii="仿宋_GB2312" w:hAnsi="仿宋_GB2312" w:eastAsia="仿宋_GB2312" w:cs="仿宋_GB2312"/>
                <w:b w:val="0"/>
                <w:i w:val="0"/>
                <w:color w:val="000000"/>
                <w:spacing w:val="-11"/>
                <w:w w:val="100"/>
                <w:sz w:val="24"/>
                <w:szCs w:val="24"/>
                <w:highlight w:val="none"/>
                <w:shd w:val="clear" w:fill="FFFFFF"/>
                <w:vertAlign w:val="baseline"/>
              </w:rPr>
              <w:t>融入工匠精神教育，培养职业操守。</w:t>
            </w:r>
            <w:r>
              <w:rPr>
                <w:rFonts w:hint="eastAsia" w:ascii="仿宋_GB2312" w:hAnsi="仿宋_GB2312" w:eastAsia="仿宋_GB2312" w:cs="仿宋_GB2312"/>
                <w:b w:val="0"/>
                <w:i w:val="0"/>
                <w:color w:val="000000"/>
                <w:spacing w:val="-17"/>
                <w:w w:val="100"/>
                <w:sz w:val="24"/>
                <w:szCs w:val="24"/>
                <w:highlight w:val="none"/>
                <w:shd w:val="clear" w:fill="FFFFFF"/>
                <w:vertAlign w:val="baseline"/>
              </w:rPr>
              <w:t>通过中外文化对比，培</w:t>
            </w:r>
            <w:r>
              <w:rPr>
                <w:rFonts w:hint="eastAsia" w:ascii="仿宋_GB2312" w:hAnsi="仿宋_GB2312" w:eastAsia="仿宋_GB2312" w:cs="仿宋_GB2312"/>
                <w:b w:val="0"/>
                <w:i w:val="0"/>
                <w:color w:val="000000"/>
                <w:spacing w:val="-6"/>
                <w:w w:val="100"/>
                <w:sz w:val="24"/>
                <w:szCs w:val="24"/>
                <w:highlight w:val="none"/>
                <w:shd w:val="clear" w:fill="FFFFFF"/>
                <w:vertAlign w:val="baseline"/>
              </w:rPr>
              <w:t>养学生树立正确的世界</w:t>
            </w:r>
            <w:r>
              <w:rPr>
                <w:rFonts w:hint="eastAsia" w:ascii="仿宋_GB2312" w:hAnsi="仿宋_GB2312" w:eastAsia="仿宋_GB2312" w:cs="仿宋_GB2312"/>
                <w:b w:val="0"/>
                <w:i w:val="0"/>
                <w:color w:val="000000"/>
                <w:spacing w:val="-17"/>
                <w:w w:val="100"/>
                <w:sz w:val="24"/>
                <w:szCs w:val="24"/>
                <w:highlight w:val="none"/>
                <w:shd w:val="clear" w:fill="FFFFFF"/>
                <w:vertAlign w:val="baseline"/>
              </w:rPr>
              <w:t>观、人生观</w:t>
            </w:r>
            <w:r>
              <w:rPr>
                <w:rFonts w:hint="eastAsia" w:ascii="仿宋_GB2312" w:hAnsi="仿宋_GB2312" w:eastAsia="仿宋_GB2312" w:cs="仿宋_GB2312"/>
                <w:b w:val="0"/>
                <w:i w:val="0"/>
                <w:color w:val="000000"/>
                <w:spacing w:val="-17"/>
                <w:w w:val="100"/>
                <w:sz w:val="24"/>
                <w:szCs w:val="24"/>
                <w:highlight w:val="none"/>
                <w:shd w:val="clear" w:fill="FFFFFF"/>
                <w:vertAlign w:val="baseline"/>
                <w:lang w:eastAsia="zh-CN"/>
              </w:rPr>
              <w:t>、</w:t>
            </w:r>
            <w:r>
              <w:rPr>
                <w:rFonts w:hint="eastAsia" w:ascii="仿宋_GB2312" w:hAnsi="仿宋_GB2312" w:eastAsia="仿宋_GB2312" w:cs="仿宋_GB2312"/>
                <w:b w:val="0"/>
                <w:i w:val="0"/>
                <w:color w:val="000000"/>
                <w:spacing w:val="-17"/>
                <w:w w:val="100"/>
                <w:sz w:val="24"/>
                <w:szCs w:val="24"/>
                <w:highlight w:val="none"/>
                <w:shd w:val="clear" w:fill="FFFFFF"/>
                <w:vertAlign w:val="baseline"/>
              </w:rPr>
              <w:t>价值观</w:t>
            </w:r>
            <w:r>
              <w:rPr>
                <w:rFonts w:hint="eastAsia" w:ascii="仿宋_GB2312" w:hAnsi="仿宋_GB2312" w:eastAsia="仿宋_GB2312" w:cs="仿宋_GB2312"/>
                <w:b w:val="0"/>
                <w:i w:val="0"/>
                <w:color w:val="000000"/>
                <w:spacing w:val="-17"/>
                <w:w w:val="100"/>
                <w:sz w:val="24"/>
                <w:szCs w:val="24"/>
                <w:highlight w:val="none"/>
                <w:shd w:val="clear" w:fill="FFFFFF"/>
                <w:vertAlign w:val="baseline"/>
                <w:lang w:eastAsia="zh-CN"/>
              </w:rPr>
              <w:t>，</w:t>
            </w:r>
            <w:r>
              <w:rPr>
                <w:rFonts w:hint="eastAsia" w:ascii="仿宋_GB2312" w:hAnsi="仿宋_GB2312" w:eastAsia="仿宋_GB2312" w:cs="仿宋_GB2312"/>
                <w:b w:val="0"/>
                <w:i w:val="0"/>
                <w:color w:val="000000"/>
                <w:spacing w:val="-17"/>
                <w:w w:val="100"/>
                <w:sz w:val="24"/>
                <w:szCs w:val="24"/>
                <w:highlight w:val="none"/>
                <w:shd w:val="clear" w:fill="FFFFFF"/>
                <w:vertAlign w:val="baseline"/>
              </w:rPr>
              <w:t>明</w:t>
            </w:r>
            <w:r>
              <w:rPr>
                <w:rFonts w:hint="eastAsia" w:ascii="仿宋_GB2312" w:hAnsi="仿宋_GB2312" w:eastAsia="仿宋_GB2312" w:cs="仿宋_GB2312"/>
                <w:b w:val="0"/>
                <w:i w:val="0"/>
                <w:color w:val="000000"/>
                <w:spacing w:val="-6"/>
                <w:w w:val="100"/>
                <w:sz w:val="24"/>
                <w:szCs w:val="24"/>
                <w:highlight w:val="none"/>
                <w:shd w:val="clear" w:fill="FFFFFF"/>
                <w:vertAlign w:val="baseline"/>
              </w:rPr>
              <w:t>辨西方文化与价值观</w:t>
            </w:r>
            <w:r>
              <w:rPr>
                <w:rFonts w:hint="eastAsia" w:ascii="仿宋_GB2312" w:hAnsi="仿宋_GB2312" w:eastAsia="仿宋_GB2312" w:cs="仿宋_GB2312"/>
                <w:b w:val="0"/>
                <w:i w:val="0"/>
                <w:color w:val="000000"/>
                <w:spacing w:val="-23"/>
                <w:w w:val="100"/>
                <w:sz w:val="24"/>
                <w:szCs w:val="24"/>
                <w:highlight w:val="none"/>
                <w:shd w:val="clear" w:fill="FFFFFF"/>
                <w:vertAlign w:val="baseline"/>
              </w:rPr>
              <w:t>，</w:t>
            </w:r>
            <w:r>
              <w:rPr>
                <w:rFonts w:hint="eastAsia" w:ascii="仿宋_GB2312" w:hAnsi="仿宋_GB2312" w:eastAsia="仿宋_GB2312" w:cs="仿宋_GB2312"/>
                <w:b w:val="0"/>
                <w:i w:val="0"/>
                <w:color w:val="000000"/>
                <w:spacing w:val="-6"/>
                <w:w w:val="100"/>
                <w:sz w:val="24"/>
                <w:szCs w:val="24"/>
                <w:highlight w:val="none"/>
                <w:shd w:val="clear" w:fill="FFFFFF"/>
                <w:vertAlign w:val="baseline"/>
              </w:rPr>
              <w:t>增强文化自信和爱国情怀。</w:t>
            </w:r>
          </w:p>
        </w:tc>
        <w:tc>
          <w:tcPr>
            <w:tcW w:w="117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包含三大模块：基础英语模块重点训练日常交际和职场基础英语；专业英语模块针对不同专业需求，学习相关术语和场景对话；实践应用模块通过模拟职场情境，开展项目任务训练。教学内容突出实用性，融入大量真实职场案例，同时结合行业发展，介绍相关职业规范和标准。</w:t>
            </w:r>
          </w:p>
        </w:tc>
        <w:tc>
          <w:tcPr>
            <w:tcW w:w="983"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采用情景教学法，设计职场情境任务。结合信息化手段，注重实践能力培养。参与课堂活动，完成实践任务。利用网络资源自主学习，提升应用能力。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3" w:hRule="atLeast"/>
          <w:jc w:val="center"/>
        </w:trPr>
        <w:tc>
          <w:tcPr>
            <w:tcW w:w="340"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9</w:t>
            </w:r>
          </w:p>
        </w:tc>
        <w:tc>
          <w:tcPr>
            <w:tcW w:w="37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大学体育</w:t>
            </w:r>
          </w:p>
        </w:tc>
        <w:tc>
          <w:tcPr>
            <w:tcW w:w="212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知识目标：</w:t>
            </w:r>
            <w:r>
              <w:rPr>
                <w:rFonts w:hint="eastAsia" w:ascii="仿宋_GB2312" w:hAnsi="仿宋_GB2312" w:eastAsia="仿宋_GB2312" w:cs="仿宋_GB2312"/>
                <w:b w:val="0"/>
                <w:i w:val="0"/>
                <w:color w:val="000000"/>
                <w:spacing w:val="0"/>
                <w:w w:val="100"/>
                <w:sz w:val="24"/>
                <w:szCs w:val="24"/>
                <w:highlight w:val="none"/>
                <w:vertAlign w:val="baseline"/>
              </w:rPr>
              <w:t>掌握体育运动基本理论知识，了解常见运动项目的规则与要领。学习科学锻炼方法和运动损伤预防知识，为终身体育锻炼奠定理论基础。</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能力目标：</w:t>
            </w:r>
            <w:r>
              <w:rPr>
                <w:rFonts w:hint="eastAsia" w:ascii="仿宋_GB2312" w:hAnsi="仿宋_GB2312" w:eastAsia="仿宋_GB2312" w:cs="仿宋_GB2312"/>
                <w:b w:val="0"/>
                <w:i w:val="0"/>
                <w:color w:val="000000"/>
                <w:spacing w:val="0"/>
                <w:w w:val="100"/>
                <w:sz w:val="24"/>
                <w:szCs w:val="24"/>
                <w:highlight w:val="none"/>
                <w:vertAlign w:val="baseline"/>
              </w:rPr>
              <w:t>发展学生基础运动技能，提升速度、力量、耐力等身体素质。培养1-2项运动特长，提升体育运动能力，提高职业体能水平。增强团队协作能力和体育竞赛组织能力。</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素质目标：</w:t>
            </w:r>
            <w:r>
              <w:rPr>
                <w:rFonts w:hint="eastAsia" w:ascii="仿宋_GB2312" w:hAnsi="仿宋_GB2312" w:eastAsia="仿宋_GB2312" w:cs="仿宋_GB2312"/>
                <w:b w:val="0"/>
                <w:i w:val="0"/>
                <w:color w:val="000000"/>
                <w:spacing w:val="0"/>
                <w:w w:val="100"/>
                <w:sz w:val="24"/>
                <w:szCs w:val="24"/>
                <w:highlight w:val="none"/>
                <w:vertAlign w:val="baseline"/>
              </w:rPr>
              <w:t>遵守体育道德规范和行为准则，发扬体育精神，塑造良好的体育品格，增强责任意识、规则意识和团队意识。</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b/>
                <w:bCs/>
                <w:i w:val="0"/>
                <w:iCs w:val="0"/>
                <w:color w:val="000000"/>
                <w:spacing w:val="0"/>
                <w:w w:val="100"/>
                <w:sz w:val="24"/>
                <w:szCs w:val="24"/>
                <w:highlight w:val="none"/>
                <w:vertAlign w:val="baseline"/>
              </w:rPr>
            </w:pPr>
            <w:r>
              <w:rPr>
                <w:rFonts w:hint="eastAsia" w:ascii="仿宋_GB2312" w:hAnsi="仿宋_GB2312" w:eastAsia="仿宋_GB2312" w:cs="仿宋_GB2312"/>
                <w:b/>
                <w:i w:val="0"/>
                <w:color w:val="000000"/>
                <w:spacing w:val="0"/>
                <w:w w:val="100"/>
                <w:sz w:val="24"/>
                <w:szCs w:val="24"/>
                <w:highlight w:val="none"/>
                <w:vertAlign w:val="baseline"/>
              </w:rPr>
              <w:t>课程思政育人目标</w:t>
            </w:r>
            <w:r>
              <w:rPr>
                <w:rFonts w:hint="eastAsia" w:ascii="仿宋_GB2312" w:hAnsi="仿宋_GB2312" w:eastAsia="仿宋_GB2312" w:cs="仿宋_GB2312"/>
                <w:b w:val="0"/>
                <w:i w:val="0"/>
                <w:color w:val="000000"/>
                <w:spacing w:val="0"/>
                <w:w w:val="100"/>
                <w:sz w:val="24"/>
                <w:szCs w:val="24"/>
                <w:highlight w:val="none"/>
                <w:vertAlign w:val="baseline"/>
              </w:rPr>
              <w:t>：以习近平新时代中国特色社会主义思想为指导，坚持知识传授与价值引领相结合， 树立健康第一的教育理念，帮助学生在体育锻炼中享受乐趣、增强体质、健全人格、锤炼意志。培养学生顽强拼搏、奋斗有我的信念，激发学生提升身体素质的责任感。</w:t>
            </w:r>
          </w:p>
        </w:tc>
        <w:tc>
          <w:tcPr>
            <w:tcW w:w="117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基础体能训练提升身体素质；球类、田径等专项技能教学；特色项目如武术、健身操等。融入职业体能训练，结合专业特点设计教学内容。</w:t>
            </w:r>
          </w:p>
        </w:tc>
        <w:tc>
          <w:tcPr>
            <w:tcW w:w="983"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教师需采用示范教学与分组练习相结合的方式，注重因材施教。合理运用信息化教学手段，创新教学方法。学生需按时出勤，积极参与训练，完成课后锻炼任务。教学过程中要注重安全教育，培养学生终身体育意识，营造积极向上的体育文化氛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3" w:hRule="atLeast"/>
          <w:jc w:val="center"/>
        </w:trPr>
        <w:tc>
          <w:tcPr>
            <w:tcW w:w="340"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10</w:t>
            </w:r>
          </w:p>
        </w:tc>
        <w:tc>
          <w:tcPr>
            <w:tcW w:w="37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大学生职业发展与就业指导</w:t>
            </w:r>
          </w:p>
        </w:tc>
        <w:tc>
          <w:tcPr>
            <w:tcW w:w="212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知识目标：</w:t>
            </w:r>
            <w:r>
              <w:rPr>
                <w:rFonts w:hint="eastAsia" w:ascii="仿宋_GB2312" w:hAnsi="仿宋_GB2312" w:eastAsia="仿宋_GB2312" w:cs="仿宋_GB2312"/>
                <w:b w:val="0"/>
                <w:i w:val="0"/>
                <w:color w:val="000000"/>
                <w:spacing w:val="0"/>
                <w:w w:val="100"/>
                <w:sz w:val="24"/>
                <w:szCs w:val="24"/>
                <w:highlight w:val="none"/>
                <w:vertAlign w:val="baseline"/>
              </w:rPr>
              <w:t>掌握职业生涯规划基本理论，了解就业政策与劳动法规。学习求职材料制作规范，熟悉职场礼仪与职业素养要求。</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能力目标：</w:t>
            </w:r>
            <w:r>
              <w:rPr>
                <w:rFonts w:hint="eastAsia" w:ascii="仿宋_GB2312" w:hAnsi="仿宋_GB2312" w:eastAsia="仿宋_GB2312" w:cs="仿宋_GB2312"/>
                <w:b w:val="0"/>
                <w:i w:val="0"/>
                <w:color w:val="000000"/>
                <w:spacing w:val="0"/>
                <w:w w:val="100"/>
                <w:sz w:val="24"/>
                <w:szCs w:val="24"/>
                <w:highlight w:val="none"/>
                <w:vertAlign w:val="baseline"/>
              </w:rPr>
              <w:t>培养职业规划与决策能力，提升简历制作与面试技巧，提高学生求职应职技巧，增强就业信息获取能力，掌握职场适应与职业发展方法。</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素质目标：</w:t>
            </w:r>
            <w:r>
              <w:rPr>
                <w:rFonts w:hint="eastAsia" w:ascii="仿宋_GB2312" w:hAnsi="仿宋_GB2312" w:eastAsia="仿宋_GB2312" w:cs="仿宋_GB2312"/>
                <w:b w:val="0"/>
                <w:i w:val="0"/>
                <w:color w:val="000000"/>
                <w:spacing w:val="0"/>
                <w:w w:val="100"/>
                <w:sz w:val="24"/>
                <w:szCs w:val="24"/>
                <w:highlight w:val="none"/>
                <w:vertAlign w:val="baseline"/>
              </w:rPr>
              <w:t>分析当前大学生面临的就业形势，帮助学生及时了解就业市场的需求形势和国家、地方有关大学生就业的政策，按照社会需求确立就业心理，树立正确的就业观念和就业取向。</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课程思政育人目标：</w:t>
            </w:r>
            <w:r>
              <w:rPr>
                <w:rFonts w:hint="eastAsia" w:ascii="仿宋_GB2312" w:hAnsi="仿宋_GB2312" w:eastAsia="仿宋_GB2312" w:cs="仿宋_GB2312"/>
                <w:b w:val="0"/>
                <w:i w:val="0"/>
                <w:color w:val="000000"/>
                <w:spacing w:val="0"/>
                <w:w w:val="100"/>
                <w:sz w:val="24"/>
                <w:szCs w:val="24"/>
                <w:highlight w:val="none"/>
                <w:vertAlign w:val="baseline"/>
              </w:rPr>
              <w:t>通过加强就业形势和政策的宣传教育，引导广大学生深刻认识到党和国家</w:t>
            </w:r>
            <w:r>
              <w:rPr>
                <w:rFonts w:hint="eastAsia" w:ascii="仿宋_GB2312" w:hAnsi="仿宋_GB2312" w:eastAsia="仿宋_GB2312" w:cs="仿宋_GB2312"/>
                <w:b w:val="0"/>
                <w:i w:val="0"/>
                <w:color w:val="000000"/>
                <w:spacing w:val="0"/>
                <w:w w:val="100"/>
                <w:sz w:val="24"/>
                <w:szCs w:val="24"/>
                <w:highlight w:val="none"/>
                <w:vertAlign w:val="baseline"/>
                <w:lang w:eastAsia="zh-CN"/>
              </w:rPr>
              <w:t>“</w:t>
            </w:r>
            <w:r>
              <w:rPr>
                <w:rFonts w:hint="eastAsia" w:ascii="仿宋_GB2312" w:hAnsi="仿宋_GB2312" w:eastAsia="仿宋_GB2312" w:cs="仿宋_GB2312"/>
                <w:b w:val="0"/>
                <w:i w:val="0"/>
                <w:color w:val="000000"/>
                <w:spacing w:val="0"/>
                <w:w w:val="100"/>
                <w:sz w:val="24"/>
                <w:szCs w:val="24"/>
                <w:highlight w:val="none"/>
                <w:vertAlign w:val="baseline"/>
              </w:rPr>
              <w:t>以人民为中心</w:t>
            </w:r>
            <w:r>
              <w:rPr>
                <w:rFonts w:hint="eastAsia" w:ascii="仿宋_GB2312" w:hAnsi="仿宋_GB2312" w:eastAsia="仿宋_GB2312" w:cs="仿宋_GB2312"/>
                <w:b w:val="0"/>
                <w:i w:val="0"/>
                <w:color w:val="000000"/>
                <w:spacing w:val="0"/>
                <w:w w:val="100"/>
                <w:sz w:val="24"/>
                <w:szCs w:val="24"/>
                <w:highlight w:val="none"/>
                <w:vertAlign w:val="baseline"/>
                <w:lang w:eastAsia="zh-CN"/>
              </w:rPr>
              <w:t>”</w:t>
            </w:r>
            <w:r>
              <w:rPr>
                <w:rFonts w:hint="eastAsia" w:ascii="仿宋_GB2312" w:hAnsi="仿宋_GB2312" w:eastAsia="仿宋_GB2312" w:cs="仿宋_GB2312"/>
                <w:b w:val="0"/>
                <w:i w:val="0"/>
                <w:color w:val="000000"/>
                <w:spacing w:val="0"/>
                <w:w w:val="100"/>
                <w:sz w:val="24"/>
                <w:szCs w:val="24"/>
                <w:highlight w:val="none"/>
                <w:vertAlign w:val="baseline"/>
              </w:rPr>
              <w:t>的发展理念，切实增强对国家保就业、稳增长工作的信心，充分感知国家在相关领域的坚实能力。</w:t>
            </w:r>
          </w:p>
        </w:tc>
        <w:tc>
          <w:tcPr>
            <w:tcW w:w="117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包含职业认知、职业规划、求职技能、职场适应四大模块。通过职业测评、行业分析、简历制作、模拟面试等实践活动，帮助学生了解职业世界，掌握求职技巧。结合专业特点，开展行业专家讲座、企业参观等特色教学活动，强化职业认知与规划能力。</w:t>
            </w:r>
          </w:p>
        </w:tc>
        <w:tc>
          <w:tcPr>
            <w:tcW w:w="983"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教师需结合专业特色，采用案例教学、情景模拟等互动式教学方法，注重实践环节设计。学生需主动参与课堂活动，完成职业探索任务，积极进行自我认知与职业规划。教学过程中要注重个性化指导，针对不同学生特点提供差异化就业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3" w:hRule="atLeast"/>
          <w:jc w:val="center"/>
        </w:trPr>
        <w:tc>
          <w:tcPr>
            <w:tcW w:w="340"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11</w:t>
            </w:r>
          </w:p>
        </w:tc>
        <w:tc>
          <w:tcPr>
            <w:tcW w:w="37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大学生心理健康教育</w:t>
            </w:r>
          </w:p>
        </w:tc>
        <w:tc>
          <w:tcPr>
            <w:tcW w:w="212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知识目标：</w:t>
            </w:r>
            <w:r>
              <w:rPr>
                <w:rFonts w:hint="eastAsia" w:ascii="仿宋_GB2312" w:hAnsi="仿宋_GB2312" w:eastAsia="仿宋_GB2312" w:cs="仿宋_GB2312"/>
                <w:b w:val="0"/>
                <w:i w:val="0"/>
                <w:color w:val="000000"/>
                <w:spacing w:val="0"/>
                <w:w w:val="100"/>
                <w:sz w:val="24"/>
                <w:szCs w:val="24"/>
                <w:highlight w:val="none"/>
                <w:vertAlign w:val="baseline"/>
              </w:rPr>
              <w:t>掌握心理健康基本概念和标准，了解常见心理问题表现及成因。掌握情绪管理、压力应对等心理调适方法，增强自我认知能力。</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能力目标：</w:t>
            </w:r>
            <w:r>
              <w:rPr>
                <w:rFonts w:hint="eastAsia" w:ascii="仿宋_GB2312" w:hAnsi="仿宋_GB2312" w:eastAsia="仿宋_GB2312" w:cs="仿宋_GB2312"/>
                <w:b w:val="0"/>
                <w:i w:val="0"/>
                <w:color w:val="000000"/>
                <w:spacing w:val="0"/>
                <w:w w:val="100"/>
                <w:sz w:val="24"/>
                <w:szCs w:val="24"/>
                <w:highlight w:val="none"/>
                <w:vertAlign w:val="baseline"/>
              </w:rPr>
              <w:t>培养学生情绪调节与压力管理能力，提升人际沟通与冲突解决水平。使学生掌握心理自助技巧，具备初步心理问题识别与求助能力。</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素质目标</w:t>
            </w:r>
            <w:r>
              <w:rPr>
                <w:rFonts w:hint="eastAsia" w:ascii="仿宋_GB2312" w:hAnsi="仿宋_GB2312" w:eastAsia="仿宋_GB2312" w:cs="仿宋_GB2312"/>
                <w:b w:val="0"/>
                <w:i w:val="0"/>
                <w:color w:val="000000"/>
                <w:spacing w:val="0"/>
                <w:w w:val="100"/>
                <w:sz w:val="24"/>
                <w:szCs w:val="24"/>
                <w:highlight w:val="none"/>
                <w:vertAlign w:val="baseline"/>
              </w:rPr>
              <w:t>：培养学生积极乐观的人生态度，增强心理韧性和适应能力。树立正确的自我认知，形成健康的生活方式与行为习惯。</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课程思政育人目标：</w:t>
            </w:r>
            <w:r>
              <w:rPr>
                <w:rFonts w:hint="eastAsia" w:ascii="仿宋_GB2312" w:hAnsi="仿宋_GB2312" w:eastAsia="仿宋_GB2312" w:cs="仿宋_GB2312"/>
                <w:b w:val="0"/>
                <w:i w:val="0"/>
                <w:color w:val="000000"/>
                <w:spacing w:val="0"/>
                <w:w w:val="100"/>
                <w:sz w:val="24"/>
                <w:szCs w:val="24"/>
                <w:highlight w:val="none"/>
                <w:vertAlign w:val="baseline"/>
              </w:rPr>
              <w:t>坚持育心与育德相结合，引导学生以自尊自信、理性平和、积极向上的健康心态正 确对待和处理成长中的心理困惑和问题，始终围绕社会主义核心价值观来发展和完善自身人格，将个人自我实现的追求与社会发展结合起来。</w:t>
            </w:r>
          </w:p>
        </w:tc>
        <w:tc>
          <w:tcPr>
            <w:tcW w:w="117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包含心理健康基础知识、情绪管理、人际交往、压力应对等模块。通过案例分析、团体辅导等形式，帮助学生掌握心理调适技能。结合学生特点，重点讲解职业心理适应、就业压力疏导等内容，提升学生心理素质。</w:t>
            </w:r>
          </w:p>
        </w:tc>
        <w:tc>
          <w:tcPr>
            <w:tcW w:w="983"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教师需采用互动体验式教学，创设安全开放的课堂氛围。结合学生实际需求，设计实践性教学活动。学生需积极参与课堂互动，完成心理训练任务。教学中要注重隐私保护，引导学生科学看待心理问题，提升心理健康素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3" w:hRule="atLeast"/>
          <w:jc w:val="center"/>
        </w:trPr>
        <w:tc>
          <w:tcPr>
            <w:tcW w:w="340"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w:t>
            </w:r>
          </w:p>
        </w:tc>
        <w:tc>
          <w:tcPr>
            <w:tcW w:w="37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劳动教育</w:t>
            </w:r>
          </w:p>
        </w:tc>
        <w:tc>
          <w:tcPr>
            <w:tcW w:w="212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知识目标</w:t>
            </w:r>
            <w:r>
              <w:rPr>
                <w:rFonts w:hint="eastAsia" w:ascii="仿宋_GB2312" w:hAnsi="仿宋_GB2312" w:eastAsia="仿宋_GB2312" w:cs="仿宋_GB2312"/>
                <w:b w:val="0"/>
                <w:i w:val="0"/>
                <w:color w:val="000000"/>
                <w:spacing w:val="0"/>
                <w:w w:val="100"/>
                <w:sz w:val="24"/>
                <w:szCs w:val="24"/>
                <w:highlight w:val="none"/>
                <w:vertAlign w:val="baseline"/>
              </w:rPr>
              <w:t>：培养基本劳动技能，提升实践操作能力。掌握团队协作方法，增强问题解决与创新应用能力，适应未来职业劳动需求。</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能力目标</w:t>
            </w:r>
            <w:r>
              <w:rPr>
                <w:rFonts w:hint="eastAsia" w:ascii="仿宋_GB2312" w:hAnsi="仿宋_GB2312" w:eastAsia="仿宋_GB2312" w:cs="仿宋_GB2312"/>
                <w:b w:val="0"/>
                <w:i w:val="0"/>
                <w:color w:val="000000"/>
                <w:spacing w:val="0"/>
                <w:w w:val="100"/>
                <w:sz w:val="24"/>
                <w:szCs w:val="24"/>
                <w:highlight w:val="none"/>
                <w:vertAlign w:val="baseline"/>
              </w:rPr>
              <w:t>：培育吃苦耐劳精神，树立劳动光荣意识。增强责任担当，培养勤俭节约品质，形成尊重劳动、热爱劳动的良好品格。</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素质目标：</w:t>
            </w:r>
            <w:r>
              <w:rPr>
                <w:rFonts w:hint="eastAsia" w:ascii="仿宋_GB2312" w:hAnsi="仿宋_GB2312" w:eastAsia="仿宋_GB2312" w:cs="仿宋_GB2312"/>
                <w:b w:val="0"/>
                <w:i w:val="0"/>
                <w:color w:val="000000"/>
                <w:spacing w:val="0"/>
                <w:w w:val="100"/>
                <w:sz w:val="24"/>
                <w:szCs w:val="24"/>
                <w:highlight w:val="none"/>
                <w:vertAlign w:val="baseline"/>
              </w:rPr>
              <w:t>培养学生的劳动观念，树立尊重劳动、热爱劳动、珍惜劳动成果的意识；引导学生形成正确的劳动价值观，理解劳动的社会意义和个人价值；培养新时代坚定的马克思主义者和具有工匠精神的社会主义建设者。</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b/>
                <w:bCs/>
                <w:i w:val="0"/>
                <w:iCs w:val="0"/>
                <w:color w:val="000000"/>
                <w:spacing w:val="0"/>
                <w:w w:val="100"/>
                <w:sz w:val="24"/>
                <w:szCs w:val="24"/>
                <w:highlight w:val="none"/>
                <w:vertAlign w:val="baseline"/>
              </w:rPr>
            </w:pPr>
            <w:r>
              <w:rPr>
                <w:rFonts w:hint="eastAsia" w:ascii="仿宋_GB2312" w:hAnsi="仿宋_GB2312" w:eastAsia="仿宋_GB2312" w:cs="仿宋_GB2312"/>
                <w:b/>
                <w:i w:val="0"/>
                <w:color w:val="000000"/>
                <w:spacing w:val="0"/>
                <w:w w:val="100"/>
                <w:sz w:val="24"/>
                <w:szCs w:val="24"/>
                <w:highlight w:val="none"/>
                <w:vertAlign w:val="baseline"/>
              </w:rPr>
              <w:t>课程思政育人目标：</w:t>
            </w:r>
            <w:r>
              <w:rPr>
                <w:rFonts w:hint="eastAsia" w:ascii="仿宋_GB2312" w:hAnsi="仿宋_GB2312" w:eastAsia="仿宋_GB2312" w:cs="仿宋_GB2312"/>
                <w:b w:val="0"/>
                <w:i w:val="0"/>
                <w:color w:val="000000"/>
                <w:spacing w:val="0"/>
                <w:w w:val="100"/>
                <w:sz w:val="24"/>
                <w:szCs w:val="24"/>
                <w:highlight w:val="none"/>
                <w:vertAlign w:val="baseline"/>
              </w:rPr>
              <w:t>弘扬劳模精神与工匠精神，强化劳动育人功能。引导学生做社会主义核心价值观的积极践行者，培养新时代坚定的马克思主义者和具有工匠精神的社会主义建设者。</w:t>
            </w:r>
          </w:p>
        </w:tc>
        <w:tc>
          <w:tcPr>
            <w:tcW w:w="117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主要包括工具使用、设备操作等基础训练；实践环节组织校园服务、专业实习等多样化活动。结合专业特色，设计职业劳动项目，融入新技术、新工艺内容，提升学生劳动素养与职业适应能力。</w:t>
            </w:r>
          </w:p>
        </w:tc>
        <w:tc>
          <w:tcPr>
            <w:tcW w:w="983"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教师需结合专业特点设计教学内容，注重劳动安全教育，规范操作流程。学生需积极参与劳动实践，认真完成劳动任务。教学过程中要突出劳动育人功能，强化劳动价值观教育，注重培养学生的劳动习惯和职业精神，促进德智体美劳全面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3" w:hRule="atLeast"/>
          <w:jc w:val="center"/>
        </w:trPr>
        <w:tc>
          <w:tcPr>
            <w:tcW w:w="340"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13</w:t>
            </w:r>
          </w:p>
        </w:tc>
        <w:tc>
          <w:tcPr>
            <w:tcW w:w="37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毛泽东思想和中国特色社会主义理论体系概论</w:t>
            </w:r>
          </w:p>
        </w:tc>
        <w:tc>
          <w:tcPr>
            <w:tcW w:w="212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b w:val="0"/>
                <w:i w:val="0"/>
                <w:color w:val="000000"/>
                <w:spacing w:val="0"/>
                <w:w w:val="100"/>
                <w:sz w:val="24"/>
                <w:szCs w:val="24"/>
                <w:highlight w:val="none"/>
                <w:vertAlign w:val="baseline"/>
              </w:rPr>
            </w:pPr>
            <w:r>
              <w:rPr>
                <w:rFonts w:hint="eastAsia" w:ascii="仿宋_GB2312" w:hAnsi="仿宋_GB2312" w:eastAsia="仿宋_GB2312" w:cs="仿宋_GB2312"/>
                <w:b/>
                <w:i w:val="0"/>
                <w:color w:val="000000"/>
                <w:spacing w:val="0"/>
                <w:w w:val="100"/>
                <w:sz w:val="24"/>
                <w:szCs w:val="24"/>
                <w:highlight w:val="none"/>
                <w:vertAlign w:val="baseline"/>
              </w:rPr>
              <w:t>知识目标：</w:t>
            </w:r>
            <w:r>
              <w:rPr>
                <w:rFonts w:hint="eastAsia" w:ascii="仿宋_GB2312" w:hAnsi="仿宋_GB2312" w:eastAsia="仿宋_GB2312" w:cs="仿宋_GB2312"/>
                <w:b w:val="0"/>
                <w:i w:val="0"/>
                <w:color w:val="000000"/>
                <w:spacing w:val="0"/>
                <w:w w:val="100"/>
                <w:sz w:val="24"/>
                <w:szCs w:val="24"/>
                <w:highlight w:val="none"/>
                <w:vertAlign w:val="baseline"/>
              </w:rPr>
              <w:t>全面理解马克思主义中国化理论成果的科学内涵、理论体系、思想精髓、精神实质；系统把握马克思主义中国化理论成果所蕴含的马克思主义立场、观点和方法。</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能力目标：</w:t>
            </w:r>
            <w:r>
              <w:rPr>
                <w:rFonts w:hint="eastAsia" w:ascii="仿宋_GB2312" w:hAnsi="仿宋_GB2312" w:eastAsia="仿宋_GB2312" w:cs="仿宋_GB2312"/>
                <w:b w:val="0"/>
                <w:i w:val="0"/>
                <w:color w:val="000000"/>
                <w:spacing w:val="0"/>
                <w:w w:val="100"/>
                <w:sz w:val="24"/>
                <w:szCs w:val="24"/>
                <w:highlight w:val="none"/>
                <w:vertAlign w:val="baseline"/>
              </w:rPr>
              <w:t>学会用马克思主义中国化理论成果分析和解决现实问题，把理论与实践、理想与现实、主观与客观统一起来，自觉投身于中国特色社会主义伟大实践。</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素质目标</w:t>
            </w:r>
            <w:r>
              <w:rPr>
                <w:rFonts w:hint="eastAsia" w:ascii="仿宋_GB2312" w:hAnsi="仿宋_GB2312" w:eastAsia="仿宋_GB2312" w:cs="仿宋_GB2312"/>
                <w:b w:val="0"/>
                <w:i w:val="0"/>
                <w:color w:val="000000"/>
                <w:spacing w:val="0"/>
                <w:w w:val="100"/>
                <w:sz w:val="24"/>
                <w:szCs w:val="24"/>
                <w:highlight w:val="none"/>
                <w:vertAlign w:val="baseline"/>
              </w:rPr>
              <w:t>：引导大学生树立科学的世界观、历史观、大局观，深刻理解“中国共产党为什么能” “马克思主义为什么行”“中国特色社会主义为什么好”，自觉增强“四个意识”、坚定“四个自信”、做到“两个维护”，努力学习</w:t>
            </w:r>
            <w:r>
              <w:rPr>
                <w:rFonts w:hint="eastAsia" w:ascii="仿宋_GB2312" w:hAnsi="仿宋_GB2312" w:eastAsia="仿宋_GB2312" w:cs="仿宋_GB2312"/>
                <w:b w:val="0"/>
                <w:i w:val="0"/>
                <w:color w:val="000000"/>
                <w:spacing w:val="0"/>
                <w:w w:val="100"/>
                <w:sz w:val="24"/>
                <w:szCs w:val="24"/>
                <w:highlight w:val="none"/>
                <w:shd w:val="clear" w:fill="FFFFFF"/>
                <w:vertAlign w:val="baseline"/>
              </w:rPr>
              <w:t>文化知识，增强自己的本领，</w:t>
            </w:r>
            <w:r>
              <w:rPr>
                <w:rFonts w:hint="eastAsia" w:ascii="仿宋_GB2312" w:hAnsi="仿宋_GB2312" w:eastAsia="仿宋_GB2312" w:cs="仿宋_GB2312"/>
                <w:b w:val="0"/>
                <w:i w:val="0"/>
                <w:color w:val="000000"/>
                <w:spacing w:val="0"/>
                <w:w w:val="100"/>
                <w:sz w:val="24"/>
                <w:szCs w:val="24"/>
                <w:highlight w:val="none"/>
                <w:vertAlign w:val="baseline"/>
              </w:rPr>
              <w:t>为实现中华民族伟大复兴中国梦而努力。</w:t>
            </w:r>
          </w:p>
        </w:tc>
        <w:tc>
          <w:tcPr>
            <w:tcW w:w="117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课程包括三大知识模块：一是马克思主义中国化的科学内涵和理论成果；二是阐述毛泽东思想的时 代背景、主要内容和历史地位；三是分别阐述邓小平理论、“三个代表”重要思想、科学发展观形成的社会历史条件、形成发展过程、主要内容和历史地位。</w:t>
            </w: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w:t>
            </w: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w:t>
            </w:r>
          </w:p>
        </w:tc>
        <w:tc>
          <w:tcPr>
            <w:tcW w:w="983"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教师运用信息化技术进行史论结合、案例丰富的讲授，引导学生系统掌握马克思主义基本原理和马克思主义中国化理论成果，了解党史、新中国史、改革开放史、社会主义发展史，认识世情、国情、党情，培养运用马克思主义立场观点方法分析和解决问题的能力； 矢志不渝听党话、跟党走，争做社会主义合格建设者和 可靠接班人。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3" w:hRule="atLeast"/>
          <w:jc w:val="center"/>
        </w:trPr>
        <w:tc>
          <w:tcPr>
            <w:tcW w:w="340"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14</w:t>
            </w:r>
          </w:p>
        </w:tc>
        <w:tc>
          <w:tcPr>
            <w:tcW w:w="37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创新创业教育</w:t>
            </w:r>
          </w:p>
        </w:tc>
        <w:tc>
          <w:tcPr>
            <w:tcW w:w="212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知识目标：</w:t>
            </w:r>
            <w:r>
              <w:rPr>
                <w:rFonts w:hint="eastAsia" w:ascii="仿宋_GB2312" w:hAnsi="仿宋_GB2312" w:eastAsia="仿宋_GB2312" w:cs="仿宋_GB2312"/>
                <w:b w:val="0"/>
                <w:i w:val="0"/>
                <w:color w:val="000000"/>
                <w:spacing w:val="0"/>
                <w:w w:val="100"/>
                <w:sz w:val="24"/>
                <w:szCs w:val="24"/>
                <w:highlight w:val="none"/>
                <w:vertAlign w:val="baseline"/>
              </w:rPr>
              <w:t>熟悉创新思维的内涵及其基本训练方法；了解商业模式设计要点，掌握常用的创新方法；掌握保护创新成果的方法；了解创新创业政策法规。</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能力目标：</w:t>
            </w:r>
            <w:r>
              <w:rPr>
                <w:rFonts w:hint="eastAsia" w:ascii="仿宋_GB2312" w:hAnsi="仿宋_GB2312" w:eastAsia="仿宋_GB2312" w:cs="仿宋_GB2312"/>
                <w:b w:val="0"/>
                <w:i w:val="0"/>
                <w:color w:val="000000"/>
                <w:spacing w:val="0"/>
                <w:w w:val="100"/>
                <w:sz w:val="24"/>
                <w:szCs w:val="24"/>
                <w:highlight w:val="none"/>
                <w:vertAlign w:val="baseline"/>
              </w:rPr>
              <w:t xml:space="preserve"> 培养创新思维与机会识别能力，提升商业计划书撰写水平。增强资源整合与项目管理能力，掌握创业风险防范与应对方法。</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素质目标：</w:t>
            </w:r>
            <w:r>
              <w:rPr>
                <w:rFonts w:hint="eastAsia" w:ascii="仿宋_GB2312" w:hAnsi="仿宋_GB2312" w:eastAsia="仿宋_GB2312" w:cs="仿宋_GB2312"/>
                <w:b w:val="0"/>
                <w:i w:val="0"/>
                <w:color w:val="000000"/>
                <w:spacing w:val="0"/>
                <w:w w:val="100"/>
                <w:sz w:val="24"/>
                <w:szCs w:val="24"/>
                <w:highlight w:val="none"/>
                <w:vertAlign w:val="baseline"/>
              </w:rPr>
              <w:t>培育开拓进取精神，树立正确的创业价值观。增强团队协作意识，培养抗压能力与责任担当，形成积极向上的创业心态。</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课程思政育人目标：</w:t>
            </w:r>
            <w:r>
              <w:rPr>
                <w:rFonts w:hint="eastAsia" w:ascii="仿宋_GB2312" w:hAnsi="仿宋_GB2312" w:eastAsia="仿宋_GB2312" w:cs="仿宋_GB2312"/>
                <w:b w:val="0"/>
                <w:i w:val="0"/>
                <w:color w:val="000000"/>
                <w:spacing w:val="0"/>
                <w:w w:val="100"/>
                <w:sz w:val="24"/>
                <w:szCs w:val="24"/>
                <w:highlight w:val="none"/>
                <w:vertAlign w:val="baseline"/>
              </w:rPr>
              <w:t>融入企业家精神教育，强化社会责任意识。通过创新创业案例培育家国情怀，引导学生将个人发展融入国家创新驱动发展战略。</w:t>
            </w:r>
          </w:p>
        </w:tc>
        <w:tc>
          <w:tcPr>
            <w:tcW w:w="117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包含创新思维训练、创业基础知识、商业计划设计、创业模拟实践四大模块。通过案例分析、工作坊等形式开展创新方法训练，组织商业模式设计、路演展示等实践活动。结合区域经济发展需求，引入真实创业项目，开展校企合作实践，强化学生创新创业能力培养。</w:t>
            </w:r>
          </w:p>
        </w:tc>
        <w:tc>
          <w:tcPr>
            <w:tcW w:w="983"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教师需采用项目驱动式教学，设计真实创业情境任务。邀请企业家参与教学，保持教学内容的前沿性。学生需主动参与创新实践，完成商业计划设计。教学中要注重理论与实践结合，突出创新思维培养，强化创业伦理教育，提升学生创新创业综合素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3" w:hRule="atLeast"/>
          <w:jc w:val="center"/>
        </w:trPr>
        <w:tc>
          <w:tcPr>
            <w:tcW w:w="340"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15</w:t>
            </w:r>
          </w:p>
        </w:tc>
        <w:tc>
          <w:tcPr>
            <w:tcW w:w="37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习近平新时代中国特色社会主义思想概论</w:t>
            </w:r>
          </w:p>
        </w:tc>
        <w:tc>
          <w:tcPr>
            <w:tcW w:w="212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知识目标</w:t>
            </w:r>
            <w:r>
              <w:rPr>
                <w:rFonts w:hint="eastAsia" w:ascii="仿宋_GB2312" w:hAnsi="仿宋_GB2312" w:eastAsia="仿宋_GB2312" w:cs="仿宋_GB2312"/>
                <w:b w:val="0"/>
                <w:i w:val="0"/>
                <w:color w:val="000000"/>
                <w:spacing w:val="0"/>
                <w:w w:val="100"/>
                <w:sz w:val="24"/>
                <w:szCs w:val="24"/>
                <w:highlight w:val="none"/>
                <w:vertAlign w:val="baseline"/>
              </w:rPr>
              <w:t>：深刻理解习近平新时代中国特色社会主义思想是马克思主义中国化的最新理论成果；系统把握习近平新时代中国特色社会主义思想的核心观点和基本方略。</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能力目标：</w:t>
            </w:r>
            <w:r>
              <w:rPr>
                <w:rFonts w:hint="eastAsia" w:ascii="仿宋_GB2312" w:hAnsi="仿宋_GB2312" w:eastAsia="仿宋_GB2312" w:cs="仿宋_GB2312"/>
                <w:b w:val="0"/>
                <w:i w:val="0"/>
                <w:color w:val="000000"/>
                <w:spacing w:val="0"/>
                <w:w w:val="100"/>
                <w:sz w:val="24"/>
                <w:szCs w:val="24"/>
                <w:highlight w:val="none"/>
                <w:vertAlign w:val="baseline"/>
              </w:rPr>
              <w:t>提升大学生运用所学新思想、新理论分析和解决现实问题的能力；增强大学生全面贯彻党的基本理论和基本方略的自觉性和主动性。</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素质目标：</w:t>
            </w:r>
            <w:r>
              <w:rPr>
                <w:rFonts w:hint="eastAsia" w:ascii="仿宋_GB2312" w:hAnsi="仿宋_GB2312" w:eastAsia="仿宋_GB2312" w:cs="仿宋_GB2312"/>
                <w:b w:val="0"/>
                <w:i w:val="0"/>
                <w:color w:val="000000"/>
                <w:spacing w:val="0"/>
                <w:w w:val="100"/>
                <w:sz w:val="24"/>
                <w:szCs w:val="24"/>
                <w:highlight w:val="none"/>
                <w:vertAlign w:val="baseline"/>
              </w:rPr>
              <w:t xml:space="preserve">引导大学生自觉运用习近平新时代中国特色社会主义思想武装头脑，积极投身到建设新时代中国特色社会主义的伟大历史进程中，实现中国梦。 帮助大学生增强“四个意识”、坚定“四个自信”、做到“两个维护”。 </w:t>
            </w:r>
          </w:p>
        </w:tc>
        <w:tc>
          <w:tcPr>
            <w:tcW w:w="117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课程主要的知识模块包括：习近平新时代中国特色社会主义思想及其历史地位、坚持和发展中国特色社会主义的总任务、 “五位一体”总体布局、“四个全面”战略布局、实现中华民族伟大复兴的重要保障、中国特色大国外交、坚持和加强党的领导等内容。</w:t>
            </w:r>
          </w:p>
        </w:tc>
        <w:tc>
          <w:tcPr>
            <w:tcW w:w="983"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通过教师的混合式教学 、史论结合 、案例丰富的教学，让学生感悟党的创新理论的思想伟力，坚持用马克思主义理论指导实践，做 “学思想、强党性、重实践、建新功”的新时代青年。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3" w:hRule="atLeast"/>
          <w:jc w:val="center"/>
        </w:trPr>
        <w:tc>
          <w:tcPr>
            <w:tcW w:w="340"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16</w:t>
            </w:r>
          </w:p>
        </w:tc>
        <w:tc>
          <w:tcPr>
            <w:tcW w:w="37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中国民俗剪纸技法</w:t>
            </w:r>
          </w:p>
        </w:tc>
        <w:tc>
          <w:tcPr>
            <w:tcW w:w="212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知识目标：</w:t>
            </w:r>
            <w:r>
              <w:rPr>
                <w:rFonts w:hint="eastAsia" w:ascii="仿宋_GB2312" w:hAnsi="仿宋_GB2312" w:eastAsia="仿宋_GB2312" w:cs="仿宋_GB2312"/>
                <w:b w:val="0"/>
                <w:i w:val="0"/>
                <w:color w:val="000000"/>
                <w:spacing w:val="0"/>
                <w:w w:val="100"/>
                <w:sz w:val="24"/>
                <w:szCs w:val="24"/>
                <w:highlight w:val="none"/>
                <w:shd w:val="clear" w:fill="FFFFFF"/>
                <w:vertAlign w:val="baseline"/>
              </w:rPr>
              <w:t>了解剪纸的历史与文化内涵和掌握剪纸的基本知识。</w:t>
            </w:r>
            <w:r>
              <w:rPr>
                <w:rFonts w:hint="eastAsia" w:ascii="仿宋_GB2312" w:hAnsi="仿宋_GB2312" w:eastAsia="仿宋_GB2312" w:cs="仿宋_GB2312"/>
                <w:b w:val="0"/>
                <w:i w:val="0"/>
                <w:color w:val="000000"/>
                <w:spacing w:val="0"/>
                <w:w w:val="100"/>
                <w:sz w:val="24"/>
                <w:szCs w:val="24"/>
                <w:highlight w:val="none"/>
                <w:vertAlign w:val="baseline"/>
              </w:rPr>
              <w:t>掌握剪纸艺术的历史渊源与文化内涵，了解不同地域的剪纸风格特点。学习传统剪纸纹样寓意，掌握基础剪纸工具使用方法与安全规范。</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能力目标：</w:t>
            </w:r>
            <w:r>
              <w:rPr>
                <w:rFonts w:hint="eastAsia" w:ascii="仿宋_GB2312" w:hAnsi="仿宋_GB2312" w:eastAsia="仿宋_GB2312" w:cs="仿宋_GB2312"/>
                <w:b w:val="0"/>
                <w:i w:val="0"/>
                <w:color w:val="000000"/>
                <w:spacing w:val="0"/>
                <w:w w:val="100"/>
                <w:sz w:val="24"/>
                <w:szCs w:val="24"/>
                <w:highlight w:val="none"/>
                <w:shd w:val="clear" w:fill="FFFFFF"/>
                <w:vertAlign w:val="baseline"/>
              </w:rPr>
              <w:t>学生能够熟练掌握剪纸的基本技法、剪纸的构图技巧，</w:t>
            </w:r>
            <w:r>
              <w:rPr>
                <w:rFonts w:hint="eastAsia" w:ascii="仿宋_GB2312" w:hAnsi="仿宋_GB2312" w:eastAsia="仿宋_GB2312" w:cs="仿宋_GB2312"/>
                <w:b w:val="0"/>
                <w:i w:val="0"/>
                <w:color w:val="000000"/>
                <w:spacing w:val="0"/>
                <w:w w:val="100"/>
                <w:sz w:val="24"/>
                <w:szCs w:val="24"/>
                <w:highlight w:val="none"/>
                <w:vertAlign w:val="baseline"/>
              </w:rPr>
              <w:t>培养图案设计与剪刀运用能力，掌握对称、连续等基础剪纸技法。</w:t>
            </w:r>
            <w:r>
              <w:rPr>
                <w:rFonts w:hint="eastAsia" w:ascii="仿宋_GB2312" w:hAnsi="仿宋_GB2312" w:eastAsia="仿宋_GB2312" w:cs="仿宋_GB2312"/>
                <w:b w:val="0"/>
                <w:i w:val="0"/>
                <w:color w:val="000000"/>
                <w:spacing w:val="0"/>
                <w:w w:val="100"/>
                <w:sz w:val="24"/>
                <w:szCs w:val="24"/>
                <w:highlight w:val="none"/>
                <w:shd w:val="clear" w:fill="FFFFFF"/>
                <w:vertAlign w:val="baseline"/>
              </w:rPr>
              <w:t>学会运用多种剪纸技法进行创作，鼓励学生在传统剪纸技法的基础上进行创新，结合现代设计理念和元素，创作出具有时代感和个性的剪纸作品。</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素质目标：</w:t>
            </w:r>
            <w:r>
              <w:rPr>
                <w:rFonts w:hint="eastAsia" w:ascii="仿宋_GB2312" w:hAnsi="仿宋_GB2312" w:eastAsia="仿宋_GB2312" w:cs="仿宋_GB2312"/>
                <w:b w:val="0"/>
                <w:i w:val="0"/>
                <w:color w:val="000000"/>
                <w:spacing w:val="0"/>
                <w:w w:val="100"/>
                <w:sz w:val="24"/>
                <w:szCs w:val="24"/>
                <w:highlight w:val="none"/>
                <w:vertAlign w:val="baseline"/>
              </w:rPr>
              <w:t>培育耐心细致的工作态度，提升审美鉴赏能力。增强文化自信，传承非遗技艺，培养创新思维与艺术表现力。</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课程思政育人目标：</w:t>
            </w:r>
            <w:r>
              <w:rPr>
                <w:rFonts w:hint="eastAsia" w:ascii="仿宋_GB2312" w:hAnsi="仿宋_GB2312" w:eastAsia="仿宋_GB2312" w:cs="仿宋_GB2312"/>
                <w:b w:val="0"/>
                <w:i w:val="0"/>
                <w:color w:val="000000"/>
                <w:spacing w:val="0"/>
                <w:w w:val="100"/>
                <w:sz w:val="24"/>
                <w:szCs w:val="24"/>
                <w:highlight w:val="none"/>
                <w:vertAlign w:val="baseline"/>
              </w:rPr>
              <w:t>通过剪纸艺术，弘扬中华优秀传统文化，增强民族自豪感。在技艺传承中培育工匠精神，树立文化传承的责任意识。</w:t>
            </w:r>
          </w:p>
        </w:tc>
        <w:tc>
          <w:tcPr>
            <w:tcW w:w="117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包含剪纸文化理论、基础技法训练、创意设计实践三大模块。理论部分讲解剪纸发展历史与地域特色；技法训练包括对称剪、镂空剪等基础技法；实践环节设计传统纹样临摹与创新作品制作。结合现代设计理念，融入专业特色，开展主题性剪纸创作，如节庆装饰、文创产品设计等实践项目。</w:t>
            </w:r>
          </w:p>
        </w:tc>
        <w:tc>
          <w:tcPr>
            <w:tcW w:w="983"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教师需采用示范教学与个别指导相结合的方式，注重传统技艺的规范性。准备充足的教学素材与工具，创设良好的创作环境。学生需认真完成课堂练习，积极参与创作实践。教学中要突出文化传承价值，注重培养学生的审美能力与创新意识，鼓励将传统技艺与现代设计相结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3" w:hRule="atLeast"/>
          <w:jc w:val="center"/>
        </w:trPr>
        <w:tc>
          <w:tcPr>
            <w:tcW w:w="340"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17</w:t>
            </w:r>
          </w:p>
        </w:tc>
        <w:tc>
          <w:tcPr>
            <w:tcW w:w="37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影视与鉴赏</w:t>
            </w:r>
          </w:p>
        </w:tc>
        <w:tc>
          <w:tcPr>
            <w:tcW w:w="212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知识目标：</w:t>
            </w:r>
            <w:r>
              <w:rPr>
                <w:rFonts w:hint="eastAsia" w:ascii="仿宋_GB2312" w:hAnsi="仿宋_GB2312" w:eastAsia="仿宋_GB2312" w:cs="仿宋_GB2312"/>
                <w:b w:val="0"/>
                <w:i w:val="0"/>
                <w:color w:val="000000"/>
                <w:spacing w:val="0"/>
                <w:w w:val="100"/>
                <w:sz w:val="24"/>
                <w:szCs w:val="24"/>
                <w:highlight w:val="none"/>
                <w:shd w:val="clear" w:fill="FFFFFF"/>
                <w:vertAlign w:val="baseline"/>
              </w:rPr>
              <w:t>掌握影视基础知识，了解影视艺术的基本概念、发展历程、主要类型和流派。掌握影视制作的基本流程，鉴赏不同类型影视作品的基本方法和技巧，</w:t>
            </w:r>
            <w:r>
              <w:rPr>
                <w:rFonts w:hint="eastAsia" w:ascii="仿宋_GB2312" w:hAnsi="仿宋_GB2312" w:eastAsia="仿宋_GB2312" w:cs="仿宋_GB2312"/>
                <w:b w:val="0"/>
                <w:i w:val="0"/>
                <w:color w:val="000000"/>
                <w:spacing w:val="0"/>
                <w:w w:val="100"/>
                <w:sz w:val="24"/>
                <w:szCs w:val="24"/>
                <w:highlight w:val="none"/>
                <w:vertAlign w:val="baseline"/>
              </w:rPr>
              <w:t>掌握影视创作基本流程。</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能力目标：</w:t>
            </w:r>
            <w:r>
              <w:rPr>
                <w:rFonts w:hint="eastAsia" w:ascii="仿宋_GB2312" w:hAnsi="仿宋_GB2312" w:eastAsia="仿宋_GB2312" w:cs="仿宋_GB2312"/>
                <w:b w:val="0"/>
                <w:i w:val="0"/>
                <w:color w:val="000000"/>
                <w:spacing w:val="0"/>
                <w:w w:val="100"/>
                <w:sz w:val="24"/>
                <w:szCs w:val="24"/>
                <w:highlight w:val="none"/>
                <w:vertAlign w:val="baseline"/>
              </w:rPr>
              <w:t>培养影视作品分析鉴赏能力，提升视听语言理解水平。掌握影视评论写作方法，具备基础影视审美判断能力。</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素质目标：</w:t>
            </w:r>
            <w:r>
              <w:rPr>
                <w:rFonts w:hint="eastAsia" w:ascii="仿宋_GB2312" w:hAnsi="仿宋_GB2312" w:eastAsia="仿宋_GB2312" w:cs="仿宋_GB2312"/>
                <w:b w:val="0"/>
                <w:i w:val="0"/>
                <w:color w:val="000000"/>
                <w:spacing w:val="0"/>
                <w:w w:val="100"/>
                <w:sz w:val="24"/>
                <w:szCs w:val="24"/>
                <w:highlight w:val="none"/>
                <w:vertAlign w:val="baseline"/>
              </w:rPr>
              <w:t>培育艺术审美情趣，提高文化修养水平。增强创新思维能力，树立正确的价值观和艺术观。</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课程思政育人目标：</w:t>
            </w:r>
            <w:r>
              <w:rPr>
                <w:rFonts w:hint="eastAsia" w:ascii="仿宋_GB2312" w:hAnsi="仿宋_GB2312" w:eastAsia="仿宋_GB2312" w:cs="仿宋_GB2312"/>
                <w:b w:val="0"/>
                <w:i w:val="0"/>
                <w:color w:val="000000"/>
                <w:spacing w:val="0"/>
                <w:w w:val="100"/>
                <w:sz w:val="24"/>
                <w:szCs w:val="24"/>
                <w:highlight w:val="none"/>
                <w:vertAlign w:val="baseline"/>
              </w:rPr>
              <w:t>通过优秀影视作品弘扬社会主义核心价值观。在艺术鉴赏中增强文化自信，培养家国情怀和人文精神。</w:t>
            </w:r>
          </w:p>
        </w:tc>
        <w:tc>
          <w:tcPr>
            <w:tcW w:w="117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包含影视艺术基础理论、经典作品赏析、创作实践三个模块。理论部分讲解影视语言、类型特征等基础知识；赏析环节重点分析中外经典影片；实践模块组织短片创作、影评写作等活动。结合时代特色，选取反映社会发展的优秀作品，开展主题式影视教育活动。</w:t>
            </w:r>
          </w:p>
        </w:tc>
        <w:tc>
          <w:tcPr>
            <w:tcW w:w="983"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教师需采用案例教学与互动讨论相结合的方式，精选具有教育意义的影视作品。学生需积极参与课堂讨论，完成鉴赏作业。教学中要注重价值引导，突出美育功能，培养学生批判性思维能力，提升艺术素养和人文情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3" w:hRule="atLeast"/>
          <w:jc w:val="center"/>
        </w:trPr>
        <w:tc>
          <w:tcPr>
            <w:tcW w:w="340"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18</w:t>
            </w:r>
          </w:p>
        </w:tc>
        <w:tc>
          <w:tcPr>
            <w:tcW w:w="37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中国共产党简史</w:t>
            </w:r>
          </w:p>
        </w:tc>
        <w:tc>
          <w:tcPr>
            <w:tcW w:w="212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知识目标：</w:t>
            </w:r>
            <w:r>
              <w:rPr>
                <w:rFonts w:hint="eastAsia" w:ascii="仿宋_GB2312" w:hAnsi="仿宋_GB2312" w:eastAsia="仿宋_GB2312" w:cs="仿宋_GB2312"/>
                <w:b w:val="0"/>
                <w:i w:val="0"/>
                <w:color w:val="000000"/>
                <w:spacing w:val="0"/>
                <w:w w:val="100"/>
                <w:sz w:val="24"/>
                <w:szCs w:val="24"/>
                <w:highlight w:val="none"/>
                <w:vertAlign w:val="baseline"/>
              </w:rPr>
              <w:t>把握中国共产党历史发展脉络，了解中国共产党百年奋斗的重大历史成就与历史经验；了解中国共产党是如何团结带领中国人民克服千难万险，创造了一个又一个彪炳史册的人间奇迹；了解一代又一代优秀中国共产党人的为民情怀与高尚情操。</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能力目标：</w:t>
            </w:r>
            <w:r>
              <w:rPr>
                <w:rFonts w:hint="eastAsia" w:ascii="仿宋_GB2312" w:hAnsi="仿宋_GB2312" w:eastAsia="仿宋_GB2312" w:cs="仿宋_GB2312"/>
                <w:b w:val="0"/>
                <w:i w:val="0"/>
                <w:color w:val="000000"/>
                <w:spacing w:val="0"/>
                <w:w w:val="100"/>
                <w:sz w:val="24"/>
                <w:szCs w:val="24"/>
                <w:highlight w:val="none"/>
                <w:vertAlign w:val="baseline"/>
              </w:rPr>
              <w:t>深刻领会“四大选择”，即历史和人民怎样选择了马克思主义、怎样选择了中国共产党、怎样选择了社会主义道路、选择了改革开放；历史和人民怎样经过艰辛曲折的社会主义建设道路的探索，进一步增强拥护中国共产党的领导和接受马克思主义指导的自觉性。通过课堂教学，运用参与式教学方法，鼓励学生开展自主性学习、合作性学习，帮助学生提高解决问题的能力，要求他们理论联系实际，力争解决现实社会遇到的各种问题。</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素质目标</w:t>
            </w:r>
            <w:r>
              <w:rPr>
                <w:rFonts w:hint="eastAsia" w:ascii="仿宋_GB2312" w:hAnsi="仿宋_GB2312" w:eastAsia="仿宋_GB2312" w:cs="仿宋_GB2312"/>
                <w:b w:val="0"/>
                <w:i w:val="0"/>
                <w:color w:val="000000"/>
                <w:spacing w:val="0"/>
                <w:w w:val="100"/>
                <w:sz w:val="24"/>
                <w:szCs w:val="24"/>
                <w:highlight w:val="none"/>
                <w:vertAlign w:val="baseline"/>
              </w:rPr>
              <w:t>： 理解中国特色社会主义进入新时代的发展历程和时代特点。了解改革开放以来，我们寻找到了中国特色社会主义道路，形成了中国特色社会主义理论体系，并在中国特色社会主义理论体系指引下振兴中华民族的历程，从而自觉地继承和发扬近代以来中国共产党人的优秀品质，进一步增强民族自尊心、自信心和自豪感， 坚定对马克思主义的信仰、对中国共产党的信任、对社会主义的信心。促进学生政治素质和思想道德素质的提高，充分理解实行改革开放和实现中华民族伟大复兴中国梦的重大历史意义。</w:t>
            </w:r>
          </w:p>
        </w:tc>
        <w:tc>
          <w:tcPr>
            <w:tcW w:w="117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内容包括中国共产党的创建和投身大革命的洪流、掀起土地革命的风暴、全民族抗日战争的中流砥柱、夺取新民主主义革命的全国性胜利、中华人民共和国的成立和社会主义制度的建立、社会主义建设的探索和曲折发展、伟大历史转折和中国特色社会主义的开创、把中国特色社会主义全面推向21世纪、在新的形势下坚持和发展中国特色社会主义、中国特色社会主义进入新时代等。通过学习，学生将全面了解中国共产党领导中国人民进行革命、建设、改革的光辉历程，深刻认识党在各个历史时期的伟大成就和宝贵经验，为成为一名合格的共产党员、成为一名社会主义建设者奠定坚实的思想基础。</w:t>
            </w:r>
          </w:p>
        </w:tc>
        <w:tc>
          <w:tcPr>
            <w:tcW w:w="983"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通过教师的理论讲授和丰富的史料佐证，以及线上线下参观历史纪念馆，引导学生树立正确的历史观，做到“学史明理、学史增信、学史崇德、学史力行”，感悟党的伟大，做“青春心向党 踔厉奋发建新功”的新时代青年。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3" w:hRule="atLeast"/>
          <w:jc w:val="center"/>
        </w:trPr>
        <w:tc>
          <w:tcPr>
            <w:tcW w:w="340"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19</w:t>
            </w:r>
          </w:p>
        </w:tc>
        <w:tc>
          <w:tcPr>
            <w:tcW w:w="37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中华人民共和国简史</w:t>
            </w:r>
          </w:p>
        </w:tc>
        <w:tc>
          <w:tcPr>
            <w:tcW w:w="212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知识目标：</w:t>
            </w:r>
            <w:r>
              <w:rPr>
                <w:rFonts w:hint="eastAsia" w:ascii="仿宋_GB2312" w:hAnsi="仿宋_GB2312" w:eastAsia="仿宋_GB2312" w:cs="仿宋_GB2312"/>
                <w:b w:val="0"/>
                <w:i w:val="0"/>
                <w:color w:val="000000"/>
                <w:spacing w:val="0"/>
                <w:w w:val="100"/>
                <w:sz w:val="24"/>
                <w:szCs w:val="24"/>
                <w:highlight w:val="none"/>
                <w:shd w:val="clear" w:fill="FFFFFF"/>
                <w:vertAlign w:val="baseline"/>
              </w:rPr>
              <w:t>了解当代中国社会主义革命、建设和改革的具体历史条件和历史方位，其对国际共产主义运动的贡献。全面了解新中国历史的发展进程、历史分期、主要成就、探索进程中的曲折及重要经验教训、历史启示。掌握观察、分析、解决社会问题的基本方法和历史思维及辩证思维的能力。了解新中国成立的历史背景、历史意义，新中国成立初期的内外形势。恢复国民经济、巩固新生政权的主要措施及成效。新中国走社会主义道路的历史必然性。三大改造的主要过程、评价，“一五”计划的编制与实施。社会主义建设艰辛探索的主要过程、成就、失误及经验教训。</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能力目标：</w:t>
            </w:r>
            <w:r>
              <w:rPr>
                <w:rFonts w:hint="eastAsia" w:ascii="仿宋_GB2312" w:hAnsi="仿宋_GB2312" w:eastAsia="仿宋_GB2312" w:cs="仿宋_GB2312"/>
                <w:b w:val="0"/>
                <w:i w:val="0"/>
                <w:color w:val="000000"/>
                <w:spacing w:val="0"/>
                <w:w w:val="100"/>
                <w:sz w:val="24"/>
                <w:szCs w:val="24"/>
                <w:highlight w:val="none"/>
                <w:shd w:val="clear" w:fill="FFFFFF"/>
                <w:vertAlign w:val="baseline"/>
              </w:rPr>
              <w:t>学习新中国史研究的根本意义在于总结历史、立足现实、面向未来，不断深化对共产党执政规律、社会主义建设规律、人类社会发展规律的认识，总结治国理政经验，发挥思政育人功能，为实现中华民族伟大复兴的中国梦提供坚实的理论支撑。</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素质目标：</w:t>
            </w:r>
            <w:r>
              <w:rPr>
                <w:rFonts w:hint="eastAsia" w:ascii="仿宋_GB2312" w:hAnsi="仿宋_GB2312" w:eastAsia="仿宋_GB2312" w:cs="仿宋_GB2312"/>
                <w:b w:val="0"/>
                <w:i w:val="0"/>
                <w:color w:val="000000"/>
                <w:spacing w:val="0"/>
                <w:w w:val="100"/>
                <w:sz w:val="24"/>
                <w:szCs w:val="24"/>
                <w:highlight w:val="none"/>
                <w:vertAlign w:val="baseline"/>
              </w:rPr>
              <w:t>引导学生</w:t>
            </w:r>
            <w:r>
              <w:rPr>
                <w:rFonts w:hint="eastAsia" w:ascii="仿宋_GB2312" w:hAnsi="仿宋_GB2312" w:eastAsia="仿宋_GB2312" w:cs="仿宋_GB2312"/>
                <w:b w:val="0"/>
                <w:i w:val="0"/>
                <w:color w:val="000000"/>
                <w:spacing w:val="0"/>
                <w:w w:val="100"/>
                <w:sz w:val="24"/>
                <w:szCs w:val="24"/>
                <w:highlight w:val="none"/>
                <w:shd w:val="clear" w:fill="FFFFFF"/>
                <w:vertAlign w:val="baseline"/>
              </w:rPr>
              <w:t>了解在中国进行社会主义革命和建设的历史决定性及探索中主要成就、探索过程的艰辛曲折，坚定走中国特色社会主义道路的信念和信心；学会观察、分析和解决问题的科学方法，不断培养和提升辩证思维能力。</w:t>
            </w:r>
          </w:p>
        </w:tc>
        <w:tc>
          <w:tcPr>
            <w:tcW w:w="117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主要包括：新中国成立和社会主义基本制度的确立、社会主义建设的艰辛探索和曲折发展、改革开放与中国特色社会主义的开创、建立社会主义市场经济体制和把中国特色社会主义全面推向21世纪、全面建设小康社会与新的形势下坚持和发展中国特色社会主义、中国特色社会主义进入新时代和实现中华民族伟大复兴的中国梦、决胜全面建成小康社会和开启全面建成社会主义现代化强国新征程</w:t>
            </w: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等方面。通过学习，学生将深入了解中华人民共和国在各个历史阶段的发展变化，认识到中国特色社会主义道路的历史必然性和正确性，增强对国家的热爱和对未来的信心。</w:t>
            </w:r>
          </w:p>
        </w:tc>
        <w:tc>
          <w:tcPr>
            <w:tcW w:w="983"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通过课堂讲解、案例分析、小组讨论、模拟实践等方式，促进学生进一步增强民族自尊心、自信心和自豪感， 坚定对马克思主义的信仰、对中国共产党的信任、对社会主义的信心。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3" w:hRule="atLeast"/>
          <w:jc w:val="center"/>
        </w:trPr>
        <w:tc>
          <w:tcPr>
            <w:tcW w:w="340"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20</w:t>
            </w:r>
          </w:p>
        </w:tc>
        <w:tc>
          <w:tcPr>
            <w:tcW w:w="37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改革开放简史</w:t>
            </w:r>
          </w:p>
        </w:tc>
        <w:tc>
          <w:tcPr>
            <w:tcW w:w="212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知识目标</w:t>
            </w:r>
            <w:r>
              <w:rPr>
                <w:rFonts w:hint="eastAsia" w:ascii="仿宋_GB2312" w:hAnsi="仿宋_GB2312" w:eastAsia="仿宋_GB2312" w:cs="仿宋_GB2312"/>
                <w:b w:val="0"/>
                <w:i w:val="0"/>
                <w:color w:val="000000"/>
                <w:spacing w:val="0"/>
                <w:w w:val="100"/>
                <w:sz w:val="24"/>
                <w:szCs w:val="24"/>
                <w:highlight w:val="none"/>
                <w:vertAlign w:val="baseline"/>
              </w:rPr>
              <w:t>：帮助大学生了解我国改革开放的历史，把握一个国家、一个民族从贫穷落后到繁荣富强的规律，特别是党的十八大以来我国全面深化改革开放的新理念、新思想、新战略以及取得的重大成就和经验。掌握改革开放以来中国特色社会主义建设事业取得的历史性成就、作出的重大历史贡献，懂得进一步深化改革开放必须坚持的重要经验。</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能力目标：</w:t>
            </w:r>
            <w:r>
              <w:rPr>
                <w:rFonts w:hint="eastAsia" w:ascii="仿宋_GB2312" w:hAnsi="仿宋_GB2312" w:eastAsia="仿宋_GB2312" w:cs="仿宋_GB2312"/>
                <w:b w:val="0"/>
                <w:i w:val="0"/>
                <w:color w:val="000000"/>
                <w:spacing w:val="0"/>
                <w:w w:val="100"/>
                <w:sz w:val="24"/>
                <w:szCs w:val="24"/>
                <w:highlight w:val="none"/>
                <w:vertAlign w:val="baseline"/>
              </w:rPr>
              <w:t>帮助学生更加熟练地运用辩证唯物主义和历史唯物主义的立场、观点、方法，全面正确认识我国改革开放取得的伟大成就，客观应对改革开放中的矛盾和问题，以更加积极主动的心态投身改革开放的伟大事业中。</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素质目标：</w:t>
            </w:r>
            <w:r>
              <w:rPr>
                <w:rFonts w:hint="eastAsia" w:ascii="仿宋_GB2312" w:hAnsi="仿宋_GB2312" w:eastAsia="仿宋_GB2312" w:cs="仿宋_GB2312"/>
                <w:b w:val="0"/>
                <w:i w:val="0"/>
                <w:color w:val="000000"/>
                <w:spacing w:val="0"/>
                <w:w w:val="100"/>
                <w:sz w:val="24"/>
                <w:szCs w:val="24"/>
                <w:highlight w:val="none"/>
                <w:vertAlign w:val="baseline"/>
              </w:rPr>
              <w:t>使学生能够充分理解我国改革开放各个时期的路线、政策和目标，增强自觉执行党的路线、方针、政策的自觉性，增强“四个意识”、坚定“四个自信”、做到“两个维护”，紧密结合全面建设社会主义现代化国家的实际，把理论与实践、知与行统一起来，自觉投身于中国特色社会主义的伟大实践，为实现中华民族伟大复兴作出应有的贡献。</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val="0"/>
                <w:i w:val="0"/>
                <w:color w:val="000000"/>
                <w:spacing w:val="0"/>
                <w:w w:val="100"/>
                <w:sz w:val="24"/>
                <w:szCs w:val="24"/>
                <w:highlight w:val="none"/>
                <w:vertAlign w:val="baseline"/>
                <w:lang w:val="en-US"/>
              </w:rPr>
              <w:t> </w:t>
            </w:r>
          </w:p>
        </w:tc>
        <w:tc>
          <w:tcPr>
            <w:tcW w:w="117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内容涵盖改革开放拉开大幕、改革开放全面展开、改革开放开创新局面、改革开放在科学发展中深化、改革开放进入新时代、坚定不移推进全面深化改革、坚定不移扩大高水平对外开放等。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983"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专题讲授法、情境教学法、案例教学法等，让学生能够系统把握中国改革开放事业的辉煌成就、重大贡献、重要经验和深刻启示。引导大学生在全面了解中国改革开放的历史进程中，中国共产党为国家和民族作出的伟大贡献，深刻感悟中国共产党始终不渝为人民的初心宗旨，弄清楚中国共产党为什么能、马克思主义为什么行、中国特色社会主义为什么好等基本道理，坚定不移听党话、跟党走，在全面建设社会主义现代化国家、实现中华民族伟大复兴的实践中建功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3" w:hRule="atLeast"/>
          <w:jc w:val="center"/>
        </w:trPr>
        <w:tc>
          <w:tcPr>
            <w:tcW w:w="340"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21</w:t>
            </w:r>
          </w:p>
        </w:tc>
        <w:tc>
          <w:tcPr>
            <w:tcW w:w="37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社会主义发展简史</w:t>
            </w:r>
          </w:p>
        </w:tc>
        <w:tc>
          <w:tcPr>
            <w:tcW w:w="212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知识目标：</w:t>
            </w:r>
            <w:r>
              <w:rPr>
                <w:rFonts w:hint="eastAsia" w:ascii="仿宋_GB2312" w:hAnsi="仿宋_GB2312" w:eastAsia="仿宋_GB2312" w:cs="仿宋_GB2312"/>
                <w:b w:val="0"/>
                <w:i w:val="0"/>
                <w:color w:val="000000"/>
                <w:spacing w:val="0"/>
                <w:w w:val="100"/>
                <w:sz w:val="24"/>
                <w:szCs w:val="24"/>
                <w:highlight w:val="none"/>
                <w:vertAlign w:val="baseline"/>
              </w:rPr>
              <w:t>帮助大学生重点了解空想社会主义的产生和发展，了解科学社会主义的产生和发展，了解世界和中国对社会主义道路和制度的探索和实践，了解新时代中国特色社会主义的理论创造和伟大实践，从而增强对社会主义制度的认识与信心。</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能力目标</w:t>
            </w:r>
            <w:r>
              <w:rPr>
                <w:rFonts w:hint="eastAsia" w:ascii="仿宋_GB2312" w:hAnsi="仿宋_GB2312" w:eastAsia="仿宋_GB2312" w:cs="仿宋_GB2312"/>
                <w:b w:val="0"/>
                <w:i w:val="0"/>
                <w:color w:val="000000"/>
                <w:spacing w:val="0"/>
                <w:w w:val="100"/>
                <w:sz w:val="24"/>
                <w:szCs w:val="24"/>
                <w:highlight w:val="none"/>
                <w:vertAlign w:val="baseline"/>
              </w:rPr>
              <w:t>：有助于大学生开阔眼界，扩大视野，增长知识，学会把中国特色社会主义理论置于社会主义发生、发展和演变的历史长河中加以认识和把握；有助于大学生全面总结社会主义历史经验，正确看待历史遗产，在总结和借鉴正反两方面社会主义历史经验的基础上，加深对中国特色社会主义理论体系的理解；有助于大学生划清科学社会主义与非科学社会主义的界线，提高大学生的鉴别、分析和批判能力。</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素质目标：</w:t>
            </w:r>
            <w:r>
              <w:rPr>
                <w:rFonts w:hint="eastAsia" w:ascii="仿宋_GB2312" w:hAnsi="仿宋_GB2312" w:eastAsia="仿宋_GB2312" w:cs="仿宋_GB2312"/>
                <w:b w:val="0"/>
                <w:i w:val="0"/>
                <w:color w:val="000000"/>
                <w:spacing w:val="0"/>
                <w:w w:val="100"/>
                <w:sz w:val="24"/>
                <w:szCs w:val="24"/>
                <w:highlight w:val="none"/>
                <w:vertAlign w:val="baseline"/>
              </w:rPr>
              <w:t>帮助大学生正确认识和理解社会主义制度的优越性，进一步增强大学生道路自信、理论自信、制度自信、文化自信，进一步提升大学生坚持和发展中国特色社会主义理论的自觉性和坚定性。</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val="0"/>
                <w:i w:val="0"/>
                <w:color w:val="000000"/>
                <w:spacing w:val="0"/>
                <w:w w:val="100"/>
                <w:sz w:val="24"/>
                <w:szCs w:val="24"/>
                <w:highlight w:val="none"/>
                <w:vertAlign w:val="baseline"/>
                <w:lang w:val="en-US"/>
              </w:rPr>
              <w:t> </w:t>
            </w:r>
          </w:p>
        </w:tc>
        <w:tc>
          <w:tcPr>
            <w:tcW w:w="117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内容涵盖空想社会主义的产生与发展、科学社会主义的创立、社会主义从理论到实践、社会主义在多国发展、中国特色社会主义的开创与发展。通过学习，学生将了解社会主义思想的起源、发展和变革，掌握社会主义制度在不同国家的实践经验和教训，为理解和坚持中国特色社会主义提供历史依据和理论支持。</w:t>
            </w:r>
          </w:p>
        </w:tc>
        <w:tc>
          <w:tcPr>
            <w:tcW w:w="983"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堂教学应采用启发式、研讨式、案例式、参与式、体验式、实践式等方法，充分调动学生的主体作用。在课程组织上应将理论讲授和社会实践融合在一起，贴近生活，贴近实际，使学生在现实生活中感受到历史的气息，既能激发学生的学习情趣，又有利于提高学生的认知、动手和研究能力，进而增强学生的爱国情怀、自信心和民族自豪感，帮助学生掌握关于当代社会主义的基本知识，以更深刻的视角理解认识当代中国社会，强化共产主义世界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3" w:hRule="atLeast"/>
          <w:jc w:val="center"/>
        </w:trPr>
        <w:tc>
          <w:tcPr>
            <w:tcW w:w="340"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w:t>
            </w: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w:t>
            </w: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22</w:t>
            </w:r>
          </w:p>
        </w:tc>
        <w:tc>
          <w:tcPr>
            <w:tcW w:w="37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w:t>
            </w: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w:t>
            </w: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中华优秀传统文化</w:t>
            </w:r>
          </w:p>
        </w:tc>
        <w:tc>
          <w:tcPr>
            <w:tcW w:w="212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知识目标：</w:t>
            </w:r>
            <w:r>
              <w:rPr>
                <w:rFonts w:hint="eastAsia" w:ascii="仿宋_GB2312" w:hAnsi="仿宋_GB2312" w:eastAsia="仿宋_GB2312" w:cs="仿宋_GB2312"/>
                <w:b w:val="0"/>
                <w:i w:val="0"/>
                <w:color w:val="000000"/>
                <w:spacing w:val="0"/>
                <w:w w:val="100"/>
                <w:sz w:val="24"/>
                <w:szCs w:val="24"/>
                <w:highlight w:val="none"/>
                <w:vertAlign w:val="baseline"/>
              </w:rPr>
              <w:t>掌握并传承中华优秀传统文化的基本内涵、主要内容、基本精神，了解了中国传统哲学、文学、仪式文化精髓，扩大学生视野，读懂更多的经典名著名篇，熟悉中国古代的艺术、科技、文化成果，弘扬中国传统礼仪、风俗及美食文化。</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能力目标：</w:t>
            </w:r>
            <w:r>
              <w:rPr>
                <w:rFonts w:hint="eastAsia" w:ascii="仿宋_GB2312" w:hAnsi="仿宋_GB2312" w:eastAsia="仿宋_GB2312" w:cs="仿宋_GB2312"/>
                <w:b w:val="0"/>
                <w:i w:val="0"/>
                <w:color w:val="000000"/>
                <w:spacing w:val="0"/>
                <w:w w:val="100"/>
                <w:sz w:val="24"/>
                <w:szCs w:val="24"/>
                <w:highlight w:val="none"/>
                <w:vertAlign w:val="baseline"/>
              </w:rPr>
              <w:t>掌握鉴赏中华优秀传统文化及其载体的能力；养成传统美德、树立文化自信、掌握文化精粹；培养发掘中华优秀传统文化的生成规律和闪光点的能力；能坚持创造性转化、创新性发展中华优秀传统文化。</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素质目标：</w:t>
            </w:r>
            <w:r>
              <w:rPr>
                <w:rFonts w:hint="eastAsia" w:ascii="仿宋_GB2312" w:hAnsi="仿宋_GB2312" w:eastAsia="仿宋_GB2312" w:cs="仿宋_GB2312"/>
                <w:b w:val="0"/>
                <w:i w:val="0"/>
                <w:color w:val="000000"/>
                <w:spacing w:val="0"/>
                <w:w w:val="100"/>
                <w:sz w:val="24"/>
                <w:szCs w:val="24"/>
                <w:highlight w:val="none"/>
                <w:vertAlign w:val="baseline"/>
              </w:rPr>
              <w:t>培养学生具有对中华优秀传统文化的热爱敬畏之情；具有强烈的民族精神、人文精神和科学精神；弘扬中华优秀传统文化，树立中华优秀传统文化是我们每一个中国人的血脉和灵魂的情感；提升人格修养，培养文化情怀，具有较好的审美情趣和审美能力，具备一定的优秀传统文化素养。</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val="0"/>
                <w:i w:val="0"/>
                <w:color w:val="000000"/>
                <w:spacing w:val="0"/>
                <w:w w:val="100"/>
                <w:sz w:val="24"/>
                <w:szCs w:val="24"/>
                <w:highlight w:val="none"/>
                <w:vertAlign w:val="baseline"/>
                <w:lang w:val="en-US"/>
              </w:rPr>
              <w:t> </w:t>
            </w:r>
          </w:p>
        </w:tc>
        <w:tc>
          <w:tcPr>
            <w:tcW w:w="117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涵盖中华优秀传统文化的多个方面，包括传统文学历史、哲学思想、传统技艺、传统建筑、传统演艺、传统书画、传统饮食、传统医药、传统风俗、传统道德等。通过经典文献解读、历史故事讲述、艺术作品赏析等形式，系统介绍传统文化的基本内容与特点。同时，结合现代社会背景，探讨传统文化在当代的价值与应用，如道德伦理、社会治理、生态文明建设等方面的启示。</w:t>
            </w: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w:t>
            </w:r>
          </w:p>
        </w:tc>
        <w:tc>
          <w:tcPr>
            <w:tcW w:w="983"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堂上通过案例欣赏，要求学生积极参与课堂讨论，认真完成课后作业与阅读任务，深入理解并掌握课程知识。鼓励学生主动思考传统文化的现代意义，运用所学知识解决实际问题。同时，强调实践与体验的重要性，组织学生参与文化考察、艺术实践等活动，增强对传统文化的直观感受与亲身体验。通过多元化的考核方式，既系统介绍中国传统文化的基本精神和基本知识，又着力引导学生从文化的视野分析、解读当代社会的种种现象，全面评估学生的学习成效与综合素养。培养学生对民族文化的感情和担当大任的历史责任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3" w:hRule="atLeast"/>
          <w:jc w:val="center"/>
        </w:trPr>
        <w:tc>
          <w:tcPr>
            <w:tcW w:w="340"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23</w:t>
            </w:r>
          </w:p>
        </w:tc>
        <w:tc>
          <w:tcPr>
            <w:tcW w:w="37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中华民族共同体概论</w:t>
            </w:r>
          </w:p>
        </w:tc>
        <w:tc>
          <w:tcPr>
            <w:tcW w:w="212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知识目标</w:t>
            </w:r>
            <w:r>
              <w:rPr>
                <w:rFonts w:hint="eastAsia" w:ascii="仿宋_GB2312" w:hAnsi="仿宋_GB2312" w:eastAsia="仿宋_GB2312" w:cs="仿宋_GB2312"/>
                <w:b w:val="0"/>
                <w:i w:val="0"/>
                <w:color w:val="000000"/>
                <w:spacing w:val="0"/>
                <w:w w:val="100"/>
                <w:sz w:val="24"/>
                <w:szCs w:val="24"/>
                <w:highlight w:val="none"/>
                <w:vertAlign w:val="baseline"/>
              </w:rPr>
              <w:t>：</w:t>
            </w:r>
            <w:r>
              <w:rPr>
                <w:rFonts w:hint="eastAsia" w:ascii="仿宋_GB2312" w:hAnsi="仿宋_GB2312" w:eastAsia="仿宋_GB2312" w:cs="仿宋_GB2312"/>
                <w:b w:val="0"/>
                <w:i w:val="0"/>
                <w:color w:val="000000"/>
                <w:spacing w:val="0"/>
                <w:w w:val="100"/>
                <w:sz w:val="24"/>
                <w:szCs w:val="24"/>
                <w:highlight w:val="none"/>
                <w:shd w:val="clear" w:fill="FFFFFF"/>
                <w:vertAlign w:val="baseline"/>
              </w:rPr>
              <w:t>全面深入学习贯彻中央民族工作会议精神和习近平总书记关于加强和改进民族工作的重要思想，了解中华民族共同体的历史和现实，认识中华民族共同体的内涵与特征等中华民族共同体的基本常识，从历史中把握中华民族共同体演变的千年历程，树立正确的中华民族历史观。</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能力目标</w:t>
            </w:r>
            <w:r>
              <w:rPr>
                <w:rFonts w:hint="eastAsia" w:ascii="仿宋_GB2312" w:hAnsi="仿宋_GB2312" w:eastAsia="仿宋_GB2312" w:cs="仿宋_GB2312"/>
                <w:b w:val="0"/>
                <w:i w:val="0"/>
                <w:color w:val="000000"/>
                <w:spacing w:val="0"/>
                <w:w w:val="100"/>
                <w:sz w:val="24"/>
                <w:szCs w:val="24"/>
                <w:highlight w:val="none"/>
                <w:vertAlign w:val="baseline"/>
              </w:rPr>
              <w:t>：</w:t>
            </w:r>
            <w:r>
              <w:rPr>
                <w:rFonts w:hint="eastAsia" w:ascii="仿宋_GB2312" w:hAnsi="仿宋_GB2312" w:eastAsia="仿宋_GB2312" w:cs="仿宋_GB2312"/>
                <w:b w:val="0"/>
                <w:i w:val="0"/>
                <w:color w:val="000000"/>
                <w:spacing w:val="0"/>
                <w:w w:val="100"/>
                <w:sz w:val="24"/>
                <w:szCs w:val="24"/>
                <w:highlight w:val="none"/>
                <w:shd w:val="clear" w:fill="FFFFFF"/>
                <w:vertAlign w:val="baseline"/>
              </w:rPr>
              <w:t>引导学生牢固树立“休戚与共、荣辱与共、生死与共、命运与共”的共同体理念，牢固树立正确的国家观、历史观、民族观、文化观、宗教观，增强学生对伟大祖国、中华民族、中华文化、中国共产党、中国特色社会主义的认同，为实现中华民族伟大复兴的中国梦不懈奋斗，不断巩固中华民族共同体思想基础。</w:t>
            </w:r>
            <w:r>
              <w:rPr>
                <w:rFonts w:hint="eastAsia" w:ascii="仿宋_GB2312" w:hAnsi="仿宋_GB2312" w:eastAsia="仿宋_GB2312" w:cs="仿宋_GB2312"/>
                <w:b w:val="0"/>
                <w:i w:val="0"/>
                <w:color w:val="000000"/>
                <w:spacing w:val="0"/>
                <w:w w:val="100"/>
                <w:sz w:val="24"/>
                <w:szCs w:val="24"/>
                <w:highlight w:val="none"/>
                <w:vertAlign w:val="baseline"/>
              </w:rPr>
              <w:t>紧扣铸牢中华民族共同体意识的基本任务，自觉推动中华民族共同体建设。</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素质目标</w:t>
            </w:r>
            <w:r>
              <w:rPr>
                <w:rFonts w:hint="eastAsia" w:ascii="仿宋_GB2312" w:hAnsi="仿宋_GB2312" w:eastAsia="仿宋_GB2312" w:cs="仿宋_GB2312"/>
                <w:b w:val="0"/>
                <w:i w:val="0"/>
                <w:color w:val="000000"/>
                <w:spacing w:val="0"/>
                <w:w w:val="100"/>
                <w:sz w:val="24"/>
                <w:szCs w:val="24"/>
                <w:highlight w:val="none"/>
                <w:vertAlign w:val="baseline"/>
              </w:rPr>
              <w:t>：引导学生树立正确的中华民族历史观，不断增强“五个认同”，树立“四个与共”的理念，铸牢中华民族共同体意识，铸就中国心、铸造中华魂；学生能积极参与各民族交往交流交融；学生会思考在铸牢中华民族共同体意识的社会大势中规划人生蓝图，树立为中华民族伟大复兴贡献力量的高远理想，努力为实现中华民族复兴伟业贡献力量。</w:t>
            </w:r>
          </w:p>
        </w:tc>
        <w:tc>
          <w:tcPr>
            <w:tcW w:w="117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课程共设十六讲，系统涵盖多方面内容：从中华民族共同体的基础理论、正确历史观树立入手，按史前至清前中期的历史脉络，梳理了中华民族共同体的起源、演进、初步形成、大交融、繁盛、内聚发展、大统合、稳固壮大及格局底定过程；随后聚焦近现代以来，讲述了1840—1919年国家转型与民族意识觉醒、1919—1949年先锋队引领下的民族新选择、1949—2012年新中国开启的民族新纪元，以及2012年至今新时代的民族共同体建设；最后以“文明新路与人类命运共同体”收束，形成完整的课程内容体系。</w:t>
            </w:r>
          </w:p>
        </w:tc>
        <w:tc>
          <w:tcPr>
            <w:tcW w:w="983"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要求学生积极参与课堂讨论，深入理解中华民族共同体的核心理念与价值追求。鼓励学生主动查阅资料，拓宽知识面，深化对中华民族共同体构建的认识。通过课程考核，全面评估学生的学习成效与中华民族共同体意识的养成情况。达到增强学生学习知识、理论的兴趣和钻研理论的热情、提高学生运用所学知识分析问题和解决问题的能力，</w:t>
            </w: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培养正确开展民族交往交流交融的态度、情感、能力，铸牢中华民族共同体意识。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3" w:hRule="atLeast"/>
          <w:jc w:val="center"/>
        </w:trPr>
        <w:tc>
          <w:tcPr>
            <w:tcW w:w="340"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24</w:t>
            </w:r>
          </w:p>
        </w:tc>
        <w:tc>
          <w:tcPr>
            <w:tcW w:w="37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语文</w:t>
            </w:r>
          </w:p>
        </w:tc>
        <w:tc>
          <w:tcPr>
            <w:tcW w:w="212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知识目标：</w:t>
            </w:r>
            <w:r>
              <w:rPr>
                <w:rFonts w:hint="eastAsia" w:ascii="仿宋_GB2312" w:hAnsi="仿宋_GB2312" w:eastAsia="仿宋_GB2312" w:cs="仿宋_GB2312"/>
                <w:b w:val="0"/>
                <w:i w:val="0"/>
                <w:color w:val="000000"/>
                <w:spacing w:val="0"/>
                <w:w w:val="100"/>
                <w:sz w:val="24"/>
                <w:szCs w:val="24"/>
                <w:highlight w:val="none"/>
                <w:vertAlign w:val="baseline"/>
              </w:rPr>
              <w:t>掌握现代汉语基础知识和常用文体特征，了解文学鉴赏基本方法。学习实用写作规范，提升语言表达准确性，培养基础文学素养。</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能力目标</w:t>
            </w:r>
            <w:r>
              <w:rPr>
                <w:rFonts w:hint="eastAsia" w:ascii="仿宋_GB2312" w:hAnsi="仿宋_GB2312" w:eastAsia="仿宋_GB2312" w:cs="仿宋_GB2312"/>
                <w:b w:val="0"/>
                <w:i w:val="0"/>
                <w:color w:val="000000"/>
                <w:spacing w:val="0"/>
                <w:w w:val="100"/>
                <w:sz w:val="24"/>
                <w:szCs w:val="24"/>
                <w:highlight w:val="none"/>
                <w:vertAlign w:val="baseline"/>
              </w:rPr>
              <w:t>：培养阅读理解与书面表达能力，提升职场应用写作水平。增强口语交际能力，掌握专业文献阅读方法，适应职业发展需求。</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素质目标：</w:t>
            </w:r>
            <w:r>
              <w:rPr>
                <w:rFonts w:hint="eastAsia" w:ascii="仿宋_GB2312" w:hAnsi="仿宋_GB2312" w:eastAsia="仿宋_GB2312" w:cs="仿宋_GB2312"/>
                <w:b w:val="0"/>
                <w:i w:val="0"/>
                <w:color w:val="000000"/>
                <w:spacing w:val="0"/>
                <w:w w:val="100"/>
                <w:sz w:val="24"/>
                <w:szCs w:val="24"/>
                <w:highlight w:val="none"/>
                <w:vertAlign w:val="baseline"/>
              </w:rPr>
              <w:t>培育人文精神与审美情趣，提高文化修养。增强逻辑思维与创新意识，树立终身学习理念。</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课程思政育人目标：</w:t>
            </w:r>
            <w:r>
              <w:rPr>
                <w:rFonts w:hint="eastAsia" w:ascii="仿宋_GB2312" w:hAnsi="仿宋_GB2312" w:eastAsia="仿宋_GB2312" w:cs="仿宋_GB2312"/>
                <w:b w:val="0"/>
                <w:i w:val="0"/>
                <w:color w:val="000000"/>
                <w:spacing w:val="0"/>
                <w:w w:val="100"/>
                <w:sz w:val="24"/>
                <w:szCs w:val="24"/>
                <w:highlight w:val="none"/>
                <w:vertAlign w:val="baseline"/>
              </w:rPr>
              <w:t>通过经典作品传承中华优秀传统文化，培育文化自信。在语言训练中融入社会主义核心价值观教育。</w:t>
            </w:r>
          </w:p>
        </w:tc>
        <w:tc>
          <w:tcPr>
            <w:tcW w:w="117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课程包含现代汉语应用、文学鉴赏、实用写作三大模块。重点培养应用文写作、口语交际等实用技能，精选反映时代精神的文学作品。结合专业特色，设计职场情境语言训练，融入专业文献阅读指导，强化职业语文能力培养。</w:t>
            </w:r>
          </w:p>
        </w:tc>
        <w:tc>
          <w:tcPr>
            <w:tcW w:w="983"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教师需采用任务驱动教学法，设计真实语言应用场景。学生需积极参与课堂活动，完成实践训练任务。教学中要注重学用结合，突出职业导向，强化语言应用能力培养，提升学生人文素养和职业竞争力。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3" w:hRule="atLeast"/>
          <w:jc w:val="center"/>
        </w:trPr>
        <w:tc>
          <w:tcPr>
            <w:tcW w:w="340"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25</w:t>
            </w:r>
          </w:p>
        </w:tc>
        <w:tc>
          <w:tcPr>
            <w:tcW w:w="37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物理</w:t>
            </w:r>
          </w:p>
        </w:tc>
        <w:tc>
          <w:tcPr>
            <w:tcW w:w="212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bCs/>
                <w:i w:val="0"/>
                <w:iCs w:val="0"/>
                <w:color w:val="000000"/>
                <w:spacing w:val="0"/>
                <w:w w:val="100"/>
                <w:sz w:val="24"/>
                <w:szCs w:val="24"/>
                <w:highlight w:val="none"/>
                <w:vertAlign w:val="baseline"/>
              </w:rPr>
              <w:t>知识目标：</w:t>
            </w:r>
            <w:r>
              <w:rPr>
                <w:rFonts w:hint="eastAsia" w:ascii="仿宋_GB2312" w:hAnsi="仿宋_GB2312" w:eastAsia="仿宋_GB2312" w:cs="仿宋_GB2312"/>
                <w:b w:val="0"/>
                <w:bCs w:val="0"/>
                <w:i w:val="0"/>
                <w:iCs w:val="0"/>
                <w:color w:val="000000"/>
                <w:spacing w:val="0"/>
                <w:w w:val="100"/>
                <w:sz w:val="24"/>
                <w:szCs w:val="24"/>
                <w:highlight w:val="none"/>
                <w:vertAlign w:val="baseline"/>
              </w:rPr>
              <w:t>掌握力学、热学、电磁学等经典物理核心概念与规律，了解其在高新技术和工程实践中的具体应用，构建必要的物理知识体系。</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bCs/>
                <w:i w:val="0"/>
                <w:iCs w:val="0"/>
                <w:color w:val="000000"/>
                <w:spacing w:val="0"/>
                <w:w w:val="100"/>
                <w:sz w:val="24"/>
                <w:szCs w:val="24"/>
                <w:highlight w:val="none"/>
                <w:vertAlign w:val="baseline"/>
              </w:rPr>
              <w:t>能力目标：</w:t>
            </w:r>
            <w:r>
              <w:rPr>
                <w:rFonts w:hint="eastAsia" w:ascii="仿宋_GB2312" w:hAnsi="仿宋_GB2312" w:eastAsia="仿宋_GB2312" w:cs="仿宋_GB2312"/>
                <w:b w:val="0"/>
                <w:bCs w:val="0"/>
                <w:i w:val="0"/>
                <w:iCs w:val="0"/>
                <w:color w:val="000000"/>
                <w:spacing w:val="0"/>
                <w:w w:val="100"/>
                <w:sz w:val="24"/>
                <w:szCs w:val="24"/>
                <w:highlight w:val="none"/>
                <w:vertAlign w:val="baseline"/>
              </w:rPr>
              <w:t>能够运用物理原理分析和解决生产生活中的实际问题，具备基本的实验操作、数据处理和科学思维能力，提升技术应用与创新意识。</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bCs/>
                <w:i w:val="0"/>
                <w:iCs w:val="0"/>
                <w:color w:val="000000"/>
                <w:spacing w:val="0"/>
                <w:w w:val="100"/>
                <w:sz w:val="24"/>
                <w:szCs w:val="24"/>
                <w:highlight w:val="none"/>
                <w:vertAlign w:val="baseline"/>
              </w:rPr>
              <w:t>素质目标：</w:t>
            </w:r>
            <w:r>
              <w:rPr>
                <w:rFonts w:hint="eastAsia" w:ascii="仿宋_GB2312" w:hAnsi="仿宋_GB2312" w:eastAsia="仿宋_GB2312" w:cs="仿宋_GB2312"/>
                <w:b w:val="0"/>
                <w:bCs w:val="0"/>
                <w:i w:val="0"/>
                <w:iCs w:val="0"/>
                <w:color w:val="000000"/>
                <w:spacing w:val="0"/>
                <w:w w:val="100"/>
                <w:sz w:val="24"/>
                <w:szCs w:val="24"/>
                <w:highlight w:val="none"/>
                <w:vertAlign w:val="baseline"/>
              </w:rPr>
              <w:t>培养严谨求实的科学态度、精益求精的工匠精神和探索未知的好奇心，为未来职业发展和终身学习奠定坚实基础。</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b/>
                <w:bCs/>
                <w:i w:val="0"/>
                <w:iCs w:val="0"/>
                <w:color w:val="000000"/>
                <w:spacing w:val="0"/>
                <w:w w:val="100"/>
                <w:sz w:val="24"/>
                <w:szCs w:val="24"/>
                <w:highlight w:val="none"/>
                <w:vertAlign w:val="baseline"/>
              </w:rPr>
            </w:pPr>
            <w:r>
              <w:rPr>
                <w:rFonts w:hint="eastAsia" w:ascii="仿宋_GB2312" w:hAnsi="仿宋_GB2312" w:eastAsia="仿宋_GB2312" w:cs="仿宋_GB2312"/>
                <w:b/>
                <w:bCs/>
                <w:i w:val="0"/>
                <w:iCs w:val="0"/>
                <w:color w:val="000000"/>
                <w:spacing w:val="0"/>
                <w:w w:val="100"/>
                <w:sz w:val="24"/>
                <w:szCs w:val="24"/>
                <w:highlight w:val="none"/>
                <w:vertAlign w:val="baseline"/>
              </w:rPr>
              <w:t>课程思政育人目标：</w:t>
            </w:r>
            <w:r>
              <w:rPr>
                <w:rFonts w:hint="eastAsia" w:ascii="仿宋_GB2312" w:hAnsi="仿宋_GB2312" w:eastAsia="仿宋_GB2312" w:cs="仿宋_GB2312"/>
                <w:b w:val="0"/>
                <w:bCs w:val="0"/>
                <w:i w:val="0"/>
                <w:iCs w:val="0"/>
                <w:color w:val="000000"/>
                <w:spacing w:val="0"/>
                <w:w w:val="100"/>
                <w:sz w:val="24"/>
                <w:szCs w:val="24"/>
                <w:highlight w:val="none"/>
                <w:vertAlign w:val="baseline"/>
              </w:rPr>
              <w:t>通过物理学史和科学家故事，弘扬科学精神和爱国情怀，培养职业道德、团队协作意识与社会责任感。</w:t>
            </w:r>
          </w:p>
        </w:tc>
        <w:tc>
          <w:tcPr>
            <w:tcW w:w="117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涵盖经典物理核心内容，包括质点力学、刚体转动、机械振动与波；热力学基础与理想气体状态方程；静电场、恒定磁场与电磁感应现象。教学内容注重与专业结合，通过案例分析介绍物理原理在工程技术（如机械、电气、汽车）中的典型应用，并安排基础物理实验以强化实践认知。</w:t>
            </w:r>
          </w:p>
        </w:tc>
        <w:tc>
          <w:tcPr>
            <w:tcW w:w="983"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理论与实践并重，采用案例教学、项目驱动等方法，紧密联系专业实际和生活中的物理现象，激发学生兴趣。充分利用多媒体等信息化手段辅助教学，强化直观理解。注重培养学生动手操作、观察分析和解决实际问题的能力，鼓励团队协作与创新思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3" w:hRule="atLeast"/>
          <w:jc w:val="center"/>
        </w:trPr>
        <w:tc>
          <w:tcPr>
            <w:tcW w:w="340"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26</w:t>
            </w:r>
          </w:p>
        </w:tc>
        <w:tc>
          <w:tcPr>
            <w:tcW w:w="37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化学</w:t>
            </w:r>
          </w:p>
        </w:tc>
        <w:tc>
          <w:tcPr>
            <w:tcW w:w="212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bCs/>
                <w:i w:val="0"/>
                <w:iCs w:val="0"/>
                <w:color w:val="000000"/>
                <w:spacing w:val="0"/>
                <w:w w:val="100"/>
                <w:sz w:val="24"/>
                <w:szCs w:val="24"/>
                <w:highlight w:val="none"/>
                <w:vertAlign w:val="baseline"/>
              </w:rPr>
              <w:t>知识目标：</w:t>
            </w:r>
            <w:r>
              <w:rPr>
                <w:rFonts w:hint="eastAsia" w:ascii="仿宋_GB2312" w:hAnsi="仿宋_GB2312" w:eastAsia="仿宋_GB2312" w:cs="仿宋_GB2312"/>
                <w:b w:val="0"/>
                <w:bCs w:val="0"/>
                <w:i w:val="0"/>
                <w:iCs w:val="0"/>
                <w:color w:val="000000"/>
                <w:spacing w:val="0"/>
                <w:w w:val="100"/>
                <w:sz w:val="24"/>
                <w:szCs w:val="24"/>
                <w:highlight w:val="none"/>
                <w:vertAlign w:val="baseline"/>
              </w:rPr>
              <w:t>掌握物质结构、溶液化学、反应速率、电解质溶液等基本化学原理，熟悉常见元素及其化合物的性质与重要反应律。</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bCs/>
                <w:i w:val="0"/>
                <w:iCs w:val="0"/>
                <w:color w:val="000000"/>
                <w:spacing w:val="0"/>
                <w:w w:val="100"/>
                <w:sz w:val="24"/>
                <w:szCs w:val="24"/>
                <w:highlight w:val="none"/>
                <w:vertAlign w:val="baseline"/>
              </w:rPr>
              <w:t>能力目标：</w:t>
            </w:r>
            <w:r>
              <w:rPr>
                <w:rFonts w:hint="eastAsia" w:ascii="仿宋_GB2312" w:hAnsi="仿宋_GB2312" w:eastAsia="仿宋_GB2312" w:cs="仿宋_GB2312"/>
                <w:b w:val="0"/>
                <w:bCs w:val="0"/>
                <w:i w:val="0"/>
                <w:iCs w:val="0"/>
                <w:color w:val="000000"/>
                <w:spacing w:val="0"/>
                <w:w w:val="100"/>
                <w:sz w:val="24"/>
                <w:szCs w:val="24"/>
                <w:highlight w:val="none"/>
                <w:vertAlign w:val="baseline"/>
              </w:rPr>
              <w:t>能够规范进行基础化学实验操作，具备分析处理实验数据、鉴别常见物质及解决化工生产中一般性化学问题的实践能力。</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bCs/>
                <w:i w:val="0"/>
                <w:iCs w:val="0"/>
                <w:color w:val="000000"/>
                <w:spacing w:val="0"/>
                <w:w w:val="100"/>
                <w:sz w:val="24"/>
                <w:szCs w:val="24"/>
                <w:highlight w:val="none"/>
                <w:vertAlign w:val="baseline"/>
              </w:rPr>
              <w:t>素质目标：</w:t>
            </w:r>
            <w:r>
              <w:rPr>
                <w:rFonts w:hint="eastAsia" w:ascii="仿宋_GB2312" w:hAnsi="仿宋_GB2312" w:eastAsia="仿宋_GB2312" w:cs="仿宋_GB2312"/>
                <w:b w:val="0"/>
                <w:bCs w:val="0"/>
                <w:i w:val="0"/>
                <w:iCs w:val="0"/>
                <w:color w:val="000000"/>
                <w:spacing w:val="0"/>
                <w:w w:val="100"/>
                <w:sz w:val="24"/>
                <w:szCs w:val="24"/>
                <w:highlight w:val="none"/>
                <w:vertAlign w:val="baseline"/>
              </w:rPr>
              <w:t>培养严谨细致、实事求是的科学作风，树立环保、安全、节约的意识，为未来从事相关技术工作奠定良好的职业素养基础。</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b/>
                <w:bCs/>
                <w:i w:val="0"/>
                <w:iCs w:val="0"/>
                <w:color w:val="000000"/>
                <w:spacing w:val="0"/>
                <w:w w:val="100"/>
                <w:sz w:val="24"/>
                <w:szCs w:val="24"/>
                <w:highlight w:val="none"/>
                <w:vertAlign w:val="baseline"/>
              </w:rPr>
            </w:pPr>
            <w:r>
              <w:rPr>
                <w:rFonts w:hint="eastAsia" w:ascii="仿宋_GB2312" w:hAnsi="仿宋_GB2312" w:eastAsia="仿宋_GB2312" w:cs="仿宋_GB2312"/>
                <w:b/>
                <w:bCs/>
                <w:i w:val="0"/>
                <w:iCs w:val="0"/>
                <w:color w:val="000000"/>
                <w:spacing w:val="0"/>
                <w:w w:val="100"/>
                <w:sz w:val="24"/>
                <w:szCs w:val="24"/>
                <w:highlight w:val="none"/>
                <w:vertAlign w:val="baseline"/>
              </w:rPr>
              <w:t>课程思政育人目标：</w:t>
            </w:r>
            <w:r>
              <w:rPr>
                <w:rFonts w:hint="eastAsia" w:ascii="仿宋_GB2312" w:hAnsi="仿宋_GB2312" w:eastAsia="仿宋_GB2312" w:cs="仿宋_GB2312"/>
                <w:b w:val="0"/>
                <w:bCs w:val="0"/>
                <w:i w:val="0"/>
                <w:iCs w:val="0"/>
                <w:color w:val="000000"/>
                <w:spacing w:val="0"/>
                <w:w w:val="100"/>
                <w:sz w:val="24"/>
                <w:szCs w:val="24"/>
                <w:highlight w:val="none"/>
                <w:vertAlign w:val="baseline"/>
              </w:rPr>
              <w:t>通过我国古代化工成就与现代科技发展案例，增强民族自豪感，培养绿色化学理念、社会责任感和职业道德。</w:t>
            </w:r>
          </w:p>
        </w:tc>
        <w:tc>
          <w:tcPr>
            <w:tcW w:w="117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教学内容涵盖物质结构基础；化学反应基本原理（能量、速率与平衡）；重要元素及其化合物（如金属、非金属）的性质与应用；溶液（电离、pH、胶体）与分析化学基础；有机化学入门（常见烃与烃的衍生物）。课程将紧密结合环境监测、材料加工、生物医药、日用化工等专业领域实例展开教学，并配套基础化学实验。</w:t>
            </w:r>
          </w:p>
        </w:tc>
        <w:tc>
          <w:tcPr>
            <w:tcW w:w="983"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坚持“理论够用、重在应用”原则，采用项目化、案例式教学，将知识点融入专业实例和生活情境。充分利用演示实验等手段辅助教学，突出重点，化解难点。高度重视实验安全教育，严格规范学生操作流程，着重培养其观察、动手、分析和解决实际问题的综合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3" w:hRule="atLeast"/>
          <w:jc w:val="center"/>
        </w:trPr>
        <w:tc>
          <w:tcPr>
            <w:tcW w:w="340"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27</w:t>
            </w:r>
          </w:p>
        </w:tc>
        <w:tc>
          <w:tcPr>
            <w:tcW w:w="37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职业素养</w:t>
            </w:r>
          </w:p>
        </w:tc>
        <w:tc>
          <w:tcPr>
            <w:tcW w:w="212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kern w:val="2"/>
                <w:sz w:val="24"/>
                <w:szCs w:val="24"/>
                <w:highlight w:val="none"/>
                <w:lang w:val="en-US" w:eastAsia="zh-CN" w:bidi="ar-SA"/>
              </w:rPr>
              <w:t>知识目标：</w:t>
            </w:r>
            <w:r>
              <w:rPr>
                <w:rFonts w:hint="eastAsia" w:ascii="仿宋_GB2312" w:hAnsi="仿宋_GB2312" w:eastAsia="仿宋_GB2312" w:cs="仿宋_GB2312"/>
                <w:b w:val="0"/>
                <w:i w:val="0"/>
                <w:color w:val="000000"/>
                <w:spacing w:val="0"/>
                <w:w w:val="100"/>
                <w:sz w:val="24"/>
                <w:szCs w:val="24"/>
                <w:highlight w:val="none"/>
                <w:vertAlign w:val="baseline"/>
              </w:rPr>
              <w:t>系统的了解职业道德、职业礼仪、沟通协作、时间管理等基本规范与要求，理解职业角色定位与责任。</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能力目标：</w:t>
            </w:r>
            <w:r>
              <w:rPr>
                <w:rFonts w:hint="eastAsia" w:ascii="仿宋_GB2312" w:hAnsi="仿宋_GB2312" w:eastAsia="仿宋_GB2312" w:cs="仿宋_GB2312"/>
                <w:b w:val="0"/>
                <w:i w:val="0"/>
                <w:color w:val="000000"/>
                <w:spacing w:val="0"/>
                <w:w w:val="100"/>
                <w:sz w:val="24"/>
                <w:szCs w:val="24"/>
                <w:highlight w:val="none"/>
                <w:vertAlign w:val="baseline"/>
              </w:rPr>
              <w:t>能够有效进行职场沟通与团队协作，具备解决职场常见矛盾、管理情绪与压力及进行职业规划的实践能力。</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righ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i w:val="0"/>
                <w:color w:val="000000"/>
                <w:spacing w:val="0"/>
                <w:w w:val="100"/>
                <w:sz w:val="24"/>
                <w:szCs w:val="24"/>
                <w:highlight w:val="none"/>
                <w:vertAlign w:val="baseline"/>
              </w:rPr>
              <w:t>素质目标：</w:t>
            </w:r>
            <w:r>
              <w:rPr>
                <w:rFonts w:hint="eastAsia" w:ascii="仿宋_GB2312" w:hAnsi="仿宋_GB2312" w:eastAsia="仿宋_GB2312" w:cs="仿宋_GB2312"/>
                <w:b w:val="0"/>
                <w:i w:val="0"/>
                <w:color w:val="000000"/>
                <w:spacing w:val="0"/>
                <w:w w:val="100"/>
                <w:sz w:val="24"/>
                <w:szCs w:val="24"/>
                <w:highlight w:val="none"/>
                <w:vertAlign w:val="baseline"/>
              </w:rPr>
              <w:t>内化敬业、诚信、责任、专注的工匠精神，塑造阳光积极的职业心态，实现从“学生”到“职业人”的角色转变。</w:t>
            </w:r>
          </w:p>
          <w:p>
            <w:pPr>
              <w:pStyle w:val="8"/>
              <w:keepNext w:val="0"/>
              <w:keepLines w:val="0"/>
              <w:pageBreakBefore w:val="0"/>
              <w:widowControl/>
              <w:suppressLineNumbers w:val="0"/>
              <w:kinsoku/>
              <w:wordWrap/>
              <w:topLinePunct w:val="0"/>
              <w:autoSpaceDE/>
              <w:autoSpaceDN/>
              <w:bidi w:val="0"/>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b w:val="0"/>
                <w:bCs w:val="0"/>
                <w:i w:val="0"/>
                <w:iCs w:val="0"/>
                <w:color w:val="000000"/>
                <w:spacing w:val="0"/>
                <w:w w:val="100"/>
                <w:sz w:val="24"/>
                <w:szCs w:val="24"/>
                <w:highlight w:val="none"/>
                <w:vertAlign w:val="baseline"/>
              </w:rPr>
            </w:pPr>
            <w:r>
              <w:rPr>
                <w:rFonts w:hint="eastAsia" w:ascii="仿宋_GB2312" w:hAnsi="仿宋_GB2312" w:eastAsia="仿宋_GB2312" w:cs="仿宋_GB2312"/>
                <w:b/>
                <w:i w:val="0"/>
                <w:color w:val="000000"/>
                <w:spacing w:val="0"/>
                <w:w w:val="100"/>
                <w:sz w:val="24"/>
                <w:szCs w:val="24"/>
                <w:highlight w:val="none"/>
                <w:vertAlign w:val="baseline"/>
              </w:rPr>
              <w:t>课程思政育人目标：</w:t>
            </w:r>
            <w:r>
              <w:rPr>
                <w:rFonts w:hint="eastAsia" w:ascii="仿宋_GB2312" w:hAnsi="仿宋_GB2312" w:eastAsia="仿宋_GB2312" w:cs="仿宋_GB2312"/>
                <w:b w:val="0"/>
                <w:i w:val="0"/>
                <w:color w:val="000000"/>
                <w:spacing w:val="0"/>
                <w:w w:val="100"/>
                <w:sz w:val="24"/>
                <w:szCs w:val="24"/>
                <w:highlight w:val="none"/>
                <w:vertAlign w:val="baseline"/>
              </w:rPr>
              <w:t>培育社会主义核心价值观，强化劳动精神、劳模精神和工匠精神教育，树立正确的职业观、事业观和成才观。</w:t>
            </w:r>
          </w:p>
        </w:tc>
        <w:tc>
          <w:tcPr>
            <w:tcW w:w="1175"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课程涵盖职业意识与角色转换；职业道德与职业行为规范；职业礼仪与形象塑造；高效沟通与团队协作技巧；情绪管理与压力应对；时间管理与执行力培养；创新思维与解决问题能力；职业规划与终身学习。内容融合大量企业案例、情景模拟和项目任务。</w:t>
            </w:r>
          </w:p>
        </w:tc>
        <w:tc>
          <w:tcPr>
            <w:tcW w:w="983" w:type="pct"/>
            <w:tcBorders>
              <w:top w:val="single" w:color="auto" w:sz="2" w:space="0"/>
              <w:left w:val="single" w:color="auto" w:sz="2" w:space="0"/>
              <w:bottom w:val="single" w:color="auto" w:sz="2" w:space="0"/>
              <w:right w:val="single" w:color="auto" w:sz="2" w:space="0"/>
            </w:tcBorders>
            <w:shd w:val="clear" w:color="auto" w:fill="auto"/>
            <w:tcMar>
              <w:top w:w="0" w:type="dxa"/>
              <w:left w:w="72" w:type="dxa"/>
              <w:bottom w:w="0" w:type="dxa"/>
              <w:right w:w="72" w:type="dxa"/>
            </w:tcMar>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以学生为中心，采用角色扮演、案例分析、小组讨论等互动方法，创设真实职场情境。邀请企业专家、优秀校友进课堂，分享实战经验。强化过程体验与反思，鼓励学生在实践活动中领悟并践行职业素养要求，注重行为习惯的养成教育。</w:t>
            </w:r>
          </w:p>
        </w:tc>
      </w:tr>
    </w:tbl>
    <w:p>
      <w:pPr>
        <w:pStyle w:val="4"/>
        <w:pageBreakBefore w:val="0"/>
        <w:widowControl/>
        <w:kinsoku/>
        <w:wordWrap/>
        <w:topLinePunct w:val="0"/>
        <w:autoSpaceDE/>
        <w:autoSpaceDN/>
        <w:bidi w:val="0"/>
        <w:snapToGrid/>
        <w:spacing w:before="0" w:after="0" w:line="520" w:lineRule="exact"/>
        <w:ind w:left="0" w:firstLine="640" w:firstLineChars="200"/>
        <w:jc w:val="left"/>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（二）专业课程</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sz w:val="32"/>
          <w:szCs w:val="32"/>
          <w:highlight w:val="none"/>
        </w:rPr>
        <w:t>一般包括专业基础课程、专业核心课程和专业拓展课程</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并涵盖有关实践性教学环节。</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b w:val="0"/>
          <w:bCs w:val="0"/>
          <w:color w:val="auto"/>
          <w:sz w:val="32"/>
          <w:szCs w:val="32"/>
          <w:highlight w:val="none"/>
        </w:rPr>
      </w:pPr>
      <w:bookmarkStart w:id="1" w:name="_Toc90734975"/>
      <w:r>
        <w:rPr>
          <w:rFonts w:hint="eastAsia" w:ascii="仿宋_GB2312" w:hAnsi="仿宋_GB2312" w:eastAsia="仿宋_GB2312" w:cs="仿宋_GB2312"/>
          <w:b w:val="0"/>
          <w:bCs w:val="0"/>
          <w:color w:val="auto"/>
          <w:sz w:val="32"/>
          <w:szCs w:val="32"/>
          <w:highlight w:val="none"/>
        </w:rPr>
        <w:t>1.专业基础课程</w:t>
      </w:r>
      <w:bookmarkEnd w:id="1"/>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专业基础课程</w:t>
      </w:r>
      <w:r>
        <w:rPr>
          <w:rFonts w:hint="eastAsia" w:ascii="仿宋_GB2312" w:hAnsi="仿宋_GB2312" w:eastAsia="仿宋_GB2312" w:cs="仿宋_GB2312"/>
          <w:color w:val="auto"/>
          <w:sz w:val="32"/>
          <w:szCs w:val="32"/>
          <w:highlight w:val="none"/>
          <w:lang w:val="en-US" w:eastAsia="zh-CN"/>
        </w:rPr>
        <w:t>是</w:t>
      </w:r>
      <w:r>
        <w:rPr>
          <w:rFonts w:hint="eastAsia" w:ascii="仿宋_GB2312" w:hAnsi="仿宋_GB2312" w:eastAsia="仿宋_GB2312" w:cs="仿宋_GB2312"/>
          <w:color w:val="auto"/>
          <w:kern w:val="2"/>
          <w:sz w:val="32"/>
          <w:szCs w:val="32"/>
          <w:highlight w:val="none"/>
          <w:lang w:val="en-US" w:eastAsia="zh-CN" w:bidi="ar-SA"/>
        </w:rPr>
        <w:t>为后续专业课程学习打基础的课程。</w:t>
      </w:r>
      <w:r>
        <w:rPr>
          <w:rFonts w:hint="eastAsia" w:ascii="仿宋_GB2312" w:hAnsi="仿宋_GB2312" w:eastAsia="仿宋_GB2312" w:cs="仿宋_GB2312"/>
          <w:color w:val="auto"/>
          <w:sz w:val="32"/>
          <w:szCs w:val="32"/>
          <w:highlight w:val="none"/>
        </w:rPr>
        <w:t>包括：</w:t>
      </w:r>
      <w:r>
        <w:rPr>
          <w:rFonts w:hint="eastAsia" w:ascii="仿宋_GB2312" w:hAnsi="仿宋_GB2312" w:eastAsia="仿宋_GB2312" w:cs="仿宋_GB2312"/>
          <w:color w:val="auto"/>
          <w:kern w:val="2"/>
          <w:sz w:val="32"/>
          <w:szCs w:val="32"/>
          <w:highlight w:val="none"/>
          <w:lang w:val="en-US" w:eastAsia="zh-CN" w:bidi="ar-SA"/>
        </w:rPr>
        <w:t>管理学基础、建筑识图与CAD、物业电工电子技术、物业管理法律法规、物业财务管理、物业信息化管理、物业档案管理、物业统计技术、工程建设法规等课</w:t>
      </w:r>
      <w:r>
        <w:rPr>
          <w:rFonts w:hint="eastAsia" w:ascii="仿宋_GB2312" w:hAnsi="仿宋_GB2312" w:eastAsia="仿宋_GB2312" w:cs="仿宋_GB2312"/>
          <w:color w:val="auto"/>
          <w:spacing w:val="-4"/>
          <w:sz w:val="32"/>
          <w:szCs w:val="32"/>
          <w:highlight w:val="none"/>
        </w:rPr>
        <w:t>程</w:t>
      </w:r>
      <w:r>
        <w:rPr>
          <w:rFonts w:hint="eastAsia" w:ascii="仿宋_GB2312" w:hAnsi="仿宋_GB2312" w:eastAsia="仿宋_GB2312" w:cs="仿宋_GB2312"/>
          <w:color w:val="auto"/>
          <w:spacing w:val="-4"/>
          <w:sz w:val="32"/>
          <w:szCs w:val="32"/>
          <w:highlight w:val="none"/>
          <w:lang w:eastAsia="zh-CN"/>
        </w:rPr>
        <w:t>。</w:t>
      </w:r>
    </w:p>
    <w:p>
      <w:pPr>
        <w:pageBreakBefore w:val="0"/>
        <w:kinsoku/>
        <w:wordWrap/>
        <w:overflowPunct w:val="0"/>
        <w:topLinePunct w:val="0"/>
        <w:autoSpaceDE/>
        <w:autoSpaceDN/>
        <w:bidi w:val="0"/>
        <w:adjustRightInd w:val="0"/>
        <w:spacing w:after="0" w:line="520" w:lineRule="exact"/>
        <w:ind w:left="0"/>
        <w:jc w:val="center"/>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表3</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专业基础课</w:t>
      </w:r>
      <w:r>
        <w:rPr>
          <w:rFonts w:hint="eastAsia" w:ascii="仿宋_GB2312" w:hAnsi="仿宋_GB2312" w:eastAsia="仿宋_GB2312" w:cs="仿宋_GB2312"/>
          <w:color w:val="auto"/>
          <w:sz w:val="32"/>
          <w:szCs w:val="32"/>
          <w:highlight w:val="none"/>
          <w:lang w:val="en-US" w:eastAsia="zh-CN"/>
        </w:rPr>
        <w:t>课</w:t>
      </w:r>
      <w:r>
        <w:rPr>
          <w:rFonts w:hint="eastAsia" w:ascii="仿宋_GB2312" w:hAnsi="仿宋_GB2312" w:eastAsia="仿宋_GB2312" w:cs="仿宋_GB2312"/>
          <w:color w:val="auto"/>
          <w:sz w:val="32"/>
          <w:szCs w:val="32"/>
          <w:highlight w:val="none"/>
        </w:rPr>
        <w:t>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10"/>
        <w:tblW w:w="102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2"/>
        <w:gridCol w:w="828"/>
        <w:gridCol w:w="3900"/>
        <w:gridCol w:w="2464"/>
        <w:gridCol w:w="2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792"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ind w:left="0"/>
              <w:jc w:val="center"/>
              <w:textAlignment w:val="auto"/>
              <w:rPr>
                <w:rFonts w:hint="eastAsia" w:ascii="仿宋_GB2312" w:hAnsi="仿宋_GB2312" w:eastAsia="仿宋_GB2312" w:cs="仿宋_GB2312"/>
                <w:color w:val="auto"/>
                <w:sz w:val="24"/>
                <w:szCs w:val="24"/>
                <w:highlight w:val="none"/>
                <w:lang w:val="en-US" w:eastAsia="zh-CN"/>
              </w:rPr>
            </w:pPr>
            <w:bookmarkStart w:id="2" w:name="OLE_LINK2" w:colFirst="2" w:colLast="4"/>
            <w:r>
              <w:rPr>
                <w:rFonts w:hint="eastAsia" w:ascii="仿宋_GB2312" w:hAnsi="仿宋_GB2312" w:eastAsia="仿宋_GB2312" w:cs="仿宋_GB2312"/>
                <w:color w:val="auto"/>
                <w:sz w:val="24"/>
                <w:szCs w:val="24"/>
                <w:highlight w:val="none"/>
                <w:lang w:val="en-US" w:eastAsia="zh-CN"/>
              </w:rPr>
              <w:t>序号</w:t>
            </w:r>
          </w:p>
        </w:tc>
        <w:tc>
          <w:tcPr>
            <w:tcW w:w="828"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课程名称</w:t>
            </w:r>
          </w:p>
        </w:tc>
        <w:tc>
          <w:tcPr>
            <w:tcW w:w="3900"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课程目标</w:t>
            </w:r>
          </w:p>
        </w:tc>
        <w:tc>
          <w:tcPr>
            <w:tcW w:w="2464"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主要教学内容</w:t>
            </w:r>
          </w:p>
        </w:tc>
        <w:tc>
          <w:tcPr>
            <w:tcW w:w="2289"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教学要求</w:t>
            </w:r>
          </w:p>
        </w:tc>
      </w:tr>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2"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828"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管理学基础</w:t>
            </w:r>
          </w:p>
        </w:tc>
        <w:tc>
          <w:tcPr>
            <w:tcW w:w="3900" w:type="dxa"/>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了解管理学概念、历程及流派，掌握管理职能与相关理论方法。​</w:t>
            </w:r>
          </w:p>
          <w:p>
            <w:pPr>
              <w:keepNext w:val="0"/>
              <w:keepLines w:val="0"/>
              <w:pageBreakBefore w:val="0"/>
              <w:widowControl w:val="0"/>
              <w:kinsoku/>
              <w:wordWrap/>
              <w:overflowPunct/>
              <w:topLinePunct w:val="0"/>
              <w:autoSpaceDE/>
              <w:autoSpaceDN/>
              <w:bidi w:val="0"/>
              <w:adjustRightInd/>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能运用原理分析解决问题，具备计划制定等初步管理能力</w:t>
            </w: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培养科学管理思维与系统观，增强责任、大局和服务意识。</w:t>
            </w:r>
          </w:p>
          <w:p>
            <w:pPr>
              <w:keepNext w:val="0"/>
              <w:keepLines w:val="0"/>
              <w:pageBreakBefore w:val="0"/>
              <w:widowControl w:val="0"/>
              <w:kinsoku/>
              <w:wordWrap/>
              <w:overflowPunct/>
              <w:topLinePunct w:val="0"/>
              <w:autoSpaceDE/>
              <w:autoSpaceDN/>
              <w:bidi w:val="0"/>
              <w:adjustRightInd/>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引导树立正确管理伦理，融社会责任，明公平诚信担当重要。</w:t>
            </w:r>
          </w:p>
        </w:tc>
        <w:tc>
          <w:tcPr>
            <w:tcW w:w="2464" w:type="dxa"/>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掌握管理与管理学；管理理论的演化；组织的概论；计划工作概述；决策在管理中的战略；</w:t>
            </w:r>
          </w:p>
          <w:p>
            <w:pPr>
              <w:keepNext w:val="0"/>
              <w:keepLines w:val="0"/>
              <w:pageBreakBefore w:val="0"/>
              <w:widowControl w:val="0"/>
              <w:kinsoku/>
              <w:wordWrap/>
              <w:overflowPunct/>
              <w:topLinePunct w:val="0"/>
              <w:autoSpaceDE/>
              <w:autoSpaceDN/>
              <w:bidi w:val="0"/>
              <w:adjustRightInd/>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领导艺术；激励。</w:t>
            </w:r>
          </w:p>
        </w:tc>
        <w:tc>
          <w:tcPr>
            <w:tcW w:w="2289" w:type="dxa"/>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通过多媒体教学设备展示管理学的相关图片、视频和音频资料，帮助学生更好理解内容。其次组织课堂讨论、小组合作等教学活动，鼓励学生积极参与，培养其合作意识和创新能力。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92"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ind w:left="0"/>
              <w:jc w:val="center"/>
              <w:textAlignment w:val="auto"/>
              <w:rPr>
                <w:rFonts w:hint="eastAsia" w:ascii="仿宋_GB2312" w:hAnsi="仿宋_GB2312" w:eastAsia="仿宋_GB2312" w:cs="仿宋_GB2312"/>
                <w:color w:val="auto"/>
                <w:sz w:val="24"/>
                <w:szCs w:val="24"/>
                <w:highlight w:val="none"/>
                <w:lang w:val="en-US" w:eastAsia="zh-CN"/>
              </w:rPr>
            </w:pPr>
            <w:bookmarkStart w:id="3" w:name="_Hlk194587108"/>
            <w:r>
              <w:rPr>
                <w:rFonts w:hint="eastAsia" w:ascii="仿宋_GB2312" w:hAnsi="仿宋_GB2312" w:eastAsia="仿宋_GB2312" w:cs="仿宋_GB2312"/>
                <w:color w:val="auto"/>
                <w:sz w:val="24"/>
                <w:szCs w:val="24"/>
                <w:highlight w:val="none"/>
                <w:lang w:val="en-US" w:eastAsia="zh-CN"/>
              </w:rPr>
              <w:t>2</w:t>
            </w:r>
          </w:p>
        </w:tc>
        <w:tc>
          <w:tcPr>
            <w:tcW w:w="828"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建筑识图与CAD</w:t>
            </w:r>
          </w:p>
        </w:tc>
        <w:tc>
          <w:tcPr>
            <w:tcW w:w="3900" w:type="dxa"/>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了解制图规范、符号，掌握各类建筑图纸构成与表达方法。​</w:t>
            </w:r>
          </w:p>
          <w:p>
            <w:pPr>
              <w:keepNext w:val="0"/>
              <w:keepLines w:val="0"/>
              <w:pageBreakBefore w:val="0"/>
              <w:widowControl w:val="0"/>
              <w:kinsoku/>
              <w:wordWrap/>
              <w:overflowPunct/>
              <w:topLinePunct w:val="0"/>
              <w:autoSpaceDE/>
              <w:autoSpaceDN/>
              <w:bidi w:val="0"/>
              <w:adjustRightInd/>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能熟练用CAD绘改标图纸，具备按规范完成基础绘图能力。</w:t>
            </w:r>
          </w:p>
          <w:p>
            <w:pPr>
              <w:keepNext w:val="0"/>
              <w:keepLines w:val="0"/>
              <w:pageBreakBefore w:val="0"/>
              <w:widowControl w:val="0"/>
              <w:kinsoku/>
              <w:wordWrap/>
              <w:overflowPunct/>
              <w:topLinePunct w:val="0"/>
              <w:autoSpaceDE/>
              <w:autoSpaceDN/>
              <w:bidi w:val="0"/>
              <w:adjustRightInd/>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培养严谨态度与空间想象力，形成规范习惯，提升设计理解。​</w:t>
            </w:r>
          </w:p>
          <w:p>
            <w:pPr>
              <w:keepNext w:val="0"/>
              <w:keepLines w:val="0"/>
              <w:pageBreakBefore w:val="0"/>
              <w:widowControl w:val="0"/>
              <w:kinsoku/>
              <w:wordWrap/>
              <w:overflowPunct/>
              <w:topLinePunct w:val="0"/>
              <w:autoSpaceDE/>
              <w:autoSpaceDN/>
              <w:bidi w:val="0"/>
              <w:adjustRightInd/>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引导认识行业责任，树质量理念，融工匠精神于专业学习。</w:t>
            </w:r>
          </w:p>
        </w:tc>
        <w:tc>
          <w:tcPr>
            <w:tcW w:w="2464" w:type="dxa"/>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认知CAD；了解AutoCAD的地位现状与发展；掌握AutoCAD的基本操作；掌握图形精确定形和定位；掌握建筑总图、平面图、立面图、剖面图及详图的绘制；掌握门窗的构造；认识房屋维护管理；掌握房屋基础的维护与加固。</w:t>
            </w:r>
          </w:p>
        </w:tc>
        <w:tc>
          <w:tcPr>
            <w:tcW w:w="2289" w:type="dxa"/>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在教学中主要采用讲授法、讨论法、案例教学法，以充分调动学生进行思考，激发学生主动性和参与性，增加学生在课堂中的获得感，提高教学实效。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92"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ind w:left="0"/>
              <w:jc w:val="center"/>
              <w:textAlignment w:val="auto"/>
              <w:rPr>
                <w:rFonts w:hint="eastAsia" w:ascii="仿宋_GB2312" w:hAnsi="仿宋_GB2312" w:eastAsia="仿宋_GB2312" w:cs="仿宋_GB2312"/>
                <w:color w:val="auto"/>
                <w:sz w:val="24"/>
                <w:szCs w:val="24"/>
                <w:highlight w:val="none"/>
                <w:lang w:val="en-US" w:eastAsia="zh-CN"/>
              </w:rPr>
            </w:pPr>
            <w:bookmarkStart w:id="4" w:name="_Toc90734977"/>
            <w:r>
              <w:rPr>
                <w:rFonts w:hint="eastAsia" w:ascii="仿宋_GB2312" w:hAnsi="仿宋_GB2312" w:eastAsia="仿宋_GB2312" w:cs="仿宋_GB2312"/>
                <w:color w:val="auto"/>
                <w:sz w:val="24"/>
                <w:szCs w:val="24"/>
                <w:highlight w:val="none"/>
                <w:lang w:val="en-US" w:eastAsia="zh-CN"/>
              </w:rPr>
              <w:t>3</w:t>
            </w:r>
          </w:p>
        </w:tc>
        <w:tc>
          <w:tcPr>
            <w:tcW w:w="828"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物业电工电子技术</w:t>
            </w:r>
          </w:p>
        </w:tc>
        <w:tc>
          <w:tcPr>
            <w:tcW w:w="3900" w:type="dxa"/>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知晓电气安全规程、操作规范及电子电路基本分析方法。</w:t>
            </w:r>
          </w:p>
          <w:p>
            <w:pPr>
              <w:keepNext w:val="0"/>
              <w:keepLines w:val="0"/>
              <w:pageBreakBefore w:val="0"/>
              <w:widowControl w:val="0"/>
              <w:kinsoku/>
              <w:wordWrap/>
              <w:overflowPunct/>
              <w:topLinePunct w:val="0"/>
              <w:autoSpaceDE/>
              <w:autoSpaceDN/>
              <w:bidi w:val="0"/>
              <w:adjustRightInd/>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能识别检测元器件、看懂电气图，具备简单电路操作能力。</w:t>
            </w: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培养规范操作与安全意识，形成耐心态度，提升预判应对力。</w:t>
            </w:r>
          </w:p>
          <w:p>
            <w:pPr>
              <w:keepNext w:val="0"/>
              <w:keepLines w:val="0"/>
              <w:pageBreakBefore w:val="0"/>
              <w:widowControl w:val="0"/>
              <w:kinsoku/>
              <w:wordWrap/>
              <w:overflowPunct/>
              <w:topLinePunct w:val="0"/>
              <w:autoSpaceDE/>
              <w:autoSpaceDN/>
              <w:bidi w:val="0"/>
              <w:adjustRightInd/>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铸工匠精神，强安全责任，育社区服务初心，树技术惠民与担当意识。</w:t>
            </w:r>
          </w:p>
        </w:tc>
        <w:tc>
          <w:tcPr>
            <w:tcW w:w="2464" w:type="dxa"/>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掌握电路基本定律及直流/交流电路分析；三相异步电动机原理及物业设备中的应用；物业配电系统操作；常用电子元器件识别与检测；楼宇智能化设备基础；典型故障案例分析；节能技术应用。</w:t>
            </w:r>
          </w:p>
        </w:tc>
        <w:tc>
          <w:tcPr>
            <w:tcW w:w="2289" w:type="dxa"/>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通过多媒体教学设备展示管理学的相关图片、视频和音频资料，帮助学生更好理解内容。组织课堂讨论、小组合作等教学活动，鼓励学生积极参与，培养其合作意识和创新能力。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2"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828"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物业管理法律法规</w:t>
            </w:r>
          </w:p>
        </w:tc>
        <w:tc>
          <w:tcPr>
            <w:tcW w:w="3900" w:type="dxa"/>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了解物业法规体系，掌握《物业管理条例》等核心规定。</w:t>
            </w:r>
          </w:p>
          <w:p>
            <w:pPr>
              <w:keepNext w:val="0"/>
              <w:keepLines w:val="0"/>
              <w:pageBreakBefore w:val="0"/>
              <w:widowControl w:val="0"/>
              <w:kinsoku/>
              <w:wordWrap/>
              <w:overflowPunct/>
              <w:topLinePunct w:val="0"/>
              <w:autoSpaceDE/>
              <w:autoSpaceDN/>
              <w:bidi w:val="0"/>
              <w:adjustRightInd/>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能运用法规分析解决物业收费、维修责任等实际问题。​</w:t>
            </w:r>
          </w:p>
          <w:p>
            <w:pPr>
              <w:keepNext w:val="0"/>
              <w:keepLines w:val="0"/>
              <w:pageBreakBefore w:val="0"/>
              <w:widowControl w:val="0"/>
              <w:kinsoku/>
              <w:wordWrap/>
              <w:overflowPunct/>
              <w:topLinePunct w:val="0"/>
              <w:autoSpaceDE/>
              <w:autoSpaceDN/>
              <w:bidi w:val="0"/>
              <w:adjustRightInd/>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培养法治思维与规则意识，养成依法办事习惯。</w:t>
            </w:r>
          </w:p>
          <w:p>
            <w:pPr>
              <w:keepNext w:val="0"/>
              <w:keepLines w:val="0"/>
              <w:pageBreakBefore w:val="0"/>
              <w:widowControl w:val="0"/>
              <w:kinsoku/>
              <w:wordWrap/>
              <w:overflowPunct/>
              <w:topLinePunct w:val="0"/>
              <w:autoSpaceDE/>
              <w:autoSpaceDN/>
              <w:bidi w:val="0"/>
              <w:adjustRightInd/>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认识物业法规意义，增强对国家法治建设的认同。</w:t>
            </w:r>
          </w:p>
        </w:tc>
        <w:tc>
          <w:tcPr>
            <w:tcW w:w="2464" w:type="dxa"/>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掌握物业管理相关法律法规、规章制度、政策、标准；物业管理基本概念、职能、流程、模式等方面的知识。</w:t>
            </w:r>
          </w:p>
        </w:tc>
        <w:tc>
          <w:tcPr>
            <w:tcW w:w="2289" w:type="dxa"/>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通过多媒体教学设备管理心理学的相关图片、视频和音频资料，帮助学生更好理解管理心理学的基础知识。其次组织课堂讨论、小组合作等教学活动，鼓励学生积极参与，培养其合作意识和创新能力。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2"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828"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物业财务管理</w:t>
            </w:r>
          </w:p>
        </w:tc>
        <w:tc>
          <w:tcPr>
            <w:tcW w:w="3900" w:type="dxa"/>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了解物业财务管理概念、原则及流程，掌握核心内容知识。</w:t>
            </w:r>
          </w:p>
          <w:p>
            <w:pPr>
              <w:keepNext w:val="0"/>
              <w:keepLines w:val="0"/>
              <w:pageBreakBefore w:val="0"/>
              <w:widowControl w:val="0"/>
              <w:kinsoku/>
              <w:wordWrap/>
              <w:overflowPunct/>
              <w:topLinePunct w:val="0"/>
              <w:autoSpaceDE/>
              <w:autoSpaceDN/>
              <w:bidi w:val="0"/>
              <w:adjustRightInd/>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能进行成本测算等，规范处理财务往来，识别基础财务风险。​</w:t>
            </w:r>
          </w:p>
          <w:p>
            <w:pPr>
              <w:keepNext w:val="0"/>
              <w:keepLines w:val="0"/>
              <w:pageBreakBefore w:val="0"/>
              <w:widowControl w:val="0"/>
              <w:kinsoku/>
              <w:wordWrap/>
              <w:overflowPunct/>
              <w:topLinePunct w:val="0"/>
              <w:autoSpaceDE/>
              <w:autoSpaceDN/>
              <w:bidi w:val="0"/>
              <w:adjustRightInd/>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培养严谨态度与廉洁操守，形成成本意识和规范财务思维。</w:t>
            </w:r>
          </w:p>
          <w:p>
            <w:pPr>
              <w:keepNext w:val="0"/>
              <w:keepLines w:val="0"/>
              <w:pageBreakBefore w:val="0"/>
              <w:widowControl w:val="0"/>
              <w:kinsoku/>
              <w:wordWrap/>
              <w:overflowPunct/>
              <w:topLinePunct w:val="0"/>
              <w:autoSpaceDE/>
              <w:autoSpaceDN/>
              <w:bidi w:val="0"/>
              <w:adjustRightInd/>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树立正确金钱观，明财务诚信重要性，坚守职业道德底线。</w:t>
            </w:r>
          </w:p>
        </w:tc>
        <w:tc>
          <w:tcPr>
            <w:tcW w:w="2464" w:type="dxa"/>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掌握财务管理的概念；物业财务管理的特点；财务记录与核算、财务分析、财务预算管理；资金筹集与管理；成本控制与管理；熟悉与物业企业财务管理相关的法律法规。</w:t>
            </w:r>
          </w:p>
        </w:tc>
        <w:tc>
          <w:tcPr>
            <w:tcW w:w="2289" w:type="dxa"/>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在教学中主要采用讲授法、讨论法、案例教学法，以充分调动学生进行思考，激发学生主动性和参与性，增加学生在课堂中的获得感，提高教学实效。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2"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w:t>
            </w:r>
          </w:p>
        </w:tc>
        <w:tc>
          <w:tcPr>
            <w:tcW w:w="828"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物业信息化管理</w:t>
            </w:r>
          </w:p>
        </w:tc>
        <w:tc>
          <w:tcPr>
            <w:tcW w:w="3900" w:type="dxa"/>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掌握物业信息化理论、技术及法规，理解其提升效率的作用机制。​</w:t>
            </w:r>
          </w:p>
          <w:p>
            <w:pPr>
              <w:keepNext w:val="0"/>
              <w:keepLines w:val="0"/>
              <w:pageBreakBefore w:val="0"/>
              <w:widowControl w:val="0"/>
              <w:kinsoku/>
              <w:wordWrap/>
              <w:overflowPunct/>
              <w:topLinePunct w:val="0"/>
              <w:autoSpaceDE/>
              <w:autoSpaceDN/>
              <w:bidi w:val="0"/>
              <w:adjustRightInd/>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能操作维护信息系统，处理数据与故障，优化服务和沟通。</w:t>
            </w:r>
          </w:p>
          <w:p>
            <w:pPr>
              <w:keepNext w:val="0"/>
              <w:keepLines w:val="0"/>
              <w:pageBreakBefore w:val="0"/>
              <w:widowControl w:val="0"/>
              <w:kinsoku/>
              <w:wordWrap/>
              <w:overflowPunct/>
              <w:topLinePunct w:val="0"/>
              <w:autoSpaceDE/>
              <w:autoSpaceDN/>
              <w:bidi w:val="0"/>
              <w:adjustRightInd/>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塑造信息化思维与责任意识，提升学习、协作及创新能力。</w:t>
            </w:r>
          </w:p>
          <w:p>
            <w:pPr>
              <w:keepNext w:val="0"/>
              <w:keepLines w:val="0"/>
              <w:pageBreakBefore w:val="0"/>
              <w:widowControl w:val="0"/>
              <w:kinsoku/>
              <w:wordWrap/>
              <w:overflowPunct/>
              <w:topLinePunct w:val="0"/>
              <w:autoSpaceDE/>
              <w:autoSpaceDN/>
              <w:bidi w:val="0"/>
              <w:adjustRightInd/>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融入诚信与法治观念，守道德底线，助力智慧和谐社区建设。</w:t>
            </w:r>
          </w:p>
        </w:tc>
        <w:tc>
          <w:tcPr>
            <w:tcW w:w="2464" w:type="dxa"/>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了解信息化技术在物业管理各环节的应用现状和发展趋势；理解物业信息化管理的基本概念和理论；掌握物业管理信息系统的功能和作用。学会运用物业信息系统进行操作与维护。</w:t>
            </w:r>
          </w:p>
        </w:tc>
        <w:tc>
          <w:tcPr>
            <w:tcW w:w="2289" w:type="dxa"/>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在教学中主要采用讲授法、讨论法、案例教学法，以充分调动学生进行思考，激发学生主动性和参与性，增加学生在课堂中的获得感，提高教学实效。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2"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7</w:t>
            </w:r>
          </w:p>
        </w:tc>
        <w:tc>
          <w:tcPr>
            <w:tcW w:w="828"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物业档案管理</w:t>
            </w:r>
          </w:p>
        </w:tc>
        <w:tc>
          <w:tcPr>
            <w:tcW w:w="3900" w:type="dxa"/>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jc w:val="both"/>
              <w:textAlignment w:val="auto"/>
              <w:rPr>
                <w:rFonts w:hint="eastAsia" w:ascii="仿宋_GB2312" w:hAnsi="仿宋_GB2312" w:eastAsia="仿宋_GB2312" w:cs="仿宋_GB2312"/>
                <w:color w:val="auto"/>
                <w:sz w:val="24"/>
                <w:szCs w:val="24"/>
                <w:highlight w:val="none"/>
                <w:shd w:val="clear" w:color="auto" w:fill="auto"/>
                <w:lang w:val="en-US" w:eastAsia="zh-CN"/>
              </w:rPr>
            </w:pPr>
            <w:r>
              <w:rPr>
                <w:rFonts w:hint="eastAsia" w:ascii="仿宋_GB2312" w:hAnsi="仿宋_GB2312" w:eastAsia="仿宋_GB2312" w:cs="仿宋_GB2312"/>
                <w:b/>
                <w:bCs/>
                <w:color w:val="auto"/>
                <w:sz w:val="24"/>
                <w:szCs w:val="24"/>
                <w:highlight w:val="none"/>
                <w:shd w:val="clear" w:color="auto" w:fill="auto"/>
                <w:lang w:val="en-US" w:eastAsia="zh-CN"/>
              </w:rPr>
              <w:t>知识目标：</w:t>
            </w:r>
            <w:r>
              <w:rPr>
                <w:rFonts w:hint="eastAsia" w:ascii="仿宋_GB2312" w:hAnsi="仿宋_GB2312" w:eastAsia="仿宋_GB2312" w:cs="仿宋_GB2312"/>
                <w:color w:val="auto"/>
                <w:sz w:val="24"/>
                <w:szCs w:val="24"/>
                <w:highlight w:val="none"/>
                <w:shd w:val="clear" w:color="auto" w:fill="auto"/>
                <w:lang w:val="en-US" w:eastAsia="zh-CN"/>
              </w:rPr>
              <w:t>了解物业档案管理基础知识，理解其基本工作原理，熟练掌握物业档案管理与维护的核心知识，明晰档案管理在物业管理岗位中的作用逻辑，为专业学习与就业筑牢知</w:t>
            </w:r>
            <w:r>
              <w:rPr>
                <w:rFonts w:hint="eastAsia" w:ascii="仿宋_GB2312" w:hAnsi="仿宋_GB2312" w:eastAsia="仿宋_GB2312" w:cs="仿宋_GB2312"/>
                <w:i w:val="0"/>
                <w:iCs w:val="0"/>
                <w:caps w:val="0"/>
                <w:color w:val="1F2329"/>
                <w:spacing w:val="0"/>
                <w:sz w:val="24"/>
                <w:szCs w:val="24"/>
                <w:highlight w:val="none"/>
                <w:shd w:val="clear" w:color="auto" w:fill="auto"/>
              </w:rPr>
              <w:t>识基础。</w:t>
            </w:r>
            <w:r>
              <w:rPr>
                <w:rFonts w:hint="eastAsia" w:ascii="仿宋_GB2312" w:hAnsi="仿宋_GB2312" w:eastAsia="仿宋_GB2312" w:cs="仿宋_GB2312"/>
                <w:color w:val="auto"/>
                <w:sz w:val="24"/>
                <w:szCs w:val="24"/>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after="0" w:line="320" w:lineRule="exact"/>
              <w:ind w:left="0"/>
              <w:jc w:val="both"/>
              <w:textAlignment w:val="auto"/>
              <w:rPr>
                <w:rFonts w:hint="eastAsia" w:ascii="仿宋_GB2312" w:hAnsi="仿宋_GB2312" w:eastAsia="仿宋_GB2312" w:cs="仿宋_GB2312"/>
                <w:color w:val="auto"/>
                <w:sz w:val="24"/>
                <w:szCs w:val="24"/>
                <w:highlight w:val="none"/>
                <w:shd w:val="clear" w:color="auto" w:fill="auto"/>
                <w:lang w:val="en-US" w:eastAsia="zh-CN"/>
              </w:rPr>
            </w:pPr>
            <w:r>
              <w:rPr>
                <w:rFonts w:hint="eastAsia" w:ascii="仿宋_GB2312" w:hAnsi="仿宋_GB2312" w:eastAsia="仿宋_GB2312" w:cs="仿宋_GB2312"/>
                <w:b/>
                <w:bCs/>
                <w:color w:val="auto"/>
                <w:sz w:val="24"/>
                <w:szCs w:val="24"/>
                <w:highlight w:val="none"/>
                <w:shd w:val="clear" w:color="auto" w:fill="auto"/>
                <w:lang w:val="en-US" w:eastAsia="zh-CN"/>
              </w:rPr>
              <w:t>能力目标：</w:t>
            </w:r>
            <w:r>
              <w:rPr>
                <w:rFonts w:hint="eastAsia" w:ascii="仿宋_GB2312" w:hAnsi="仿宋_GB2312" w:eastAsia="仿宋_GB2312" w:cs="仿宋_GB2312"/>
                <w:i w:val="0"/>
                <w:iCs w:val="0"/>
                <w:caps w:val="0"/>
                <w:color w:val="1F2329"/>
                <w:spacing w:val="0"/>
                <w:sz w:val="24"/>
                <w:szCs w:val="24"/>
                <w:highlight w:val="none"/>
                <w:shd w:val="clear" w:color="auto" w:fill="auto"/>
              </w:rPr>
              <w:t>能运用所学解决物业档案管理基本问题，具备档案收集、整理、维护的实操能力，形成适配岗位需求的档案管理技能，助力履行物业管理相关岗位职责。</w:t>
            </w:r>
          </w:p>
          <w:p>
            <w:pPr>
              <w:keepNext w:val="0"/>
              <w:keepLines w:val="0"/>
              <w:pageBreakBefore w:val="0"/>
              <w:widowControl w:val="0"/>
              <w:kinsoku/>
              <w:wordWrap/>
              <w:overflowPunct/>
              <w:topLinePunct w:val="0"/>
              <w:autoSpaceDE/>
              <w:autoSpaceDN/>
              <w:bidi w:val="0"/>
              <w:adjustRightInd/>
              <w:snapToGrid/>
              <w:spacing w:after="0" w:line="320" w:lineRule="exact"/>
              <w:ind w:left="0"/>
              <w:jc w:val="both"/>
              <w:textAlignment w:val="auto"/>
              <w:rPr>
                <w:rFonts w:hint="eastAsia" w:ascii="仿宋_GB2312" w:hAnsi="仿宋_GB2312" w:eastAsia="仿宋_GB2312" w:cs="仿宋_GB2312"/>
                <w:color w:val="auto"/>
                <w:sz w:val="24"/>
                <w:szCs w:val="24"/>
                <w:highlight w:val="none"/>
                <w:shd w:val="clear" w:color="auto" w:fill="auto"/>
                <w:lang w:val="en-US" w:eastAsia="zh-CN"/>
              </w:rPr>
            </w:pPr>
            <w:r>
              <w:rPr>
                <w:rFonts w:hint="eastAsia" w:ascii="仿宋_GB2312" w:hAnsi="仿宋_GB2312" w:eastAsia="仿宋_GB2312" w:cs="仿宋_GB2312"/>
                <w:b/>
                <w:bCs/>
                <w:color w:val="auto"/>
                <w:sz w:val="24"/>
                <w:szCs w:val="24"/>
                <w:highlight w:val="none"/>
                <w:shd w:val="clear" w:color="auto" w:fill="auto"/>
                <w:lang w:val="en-US" w:eastAsia="zh-CN"/>
              </w:rPr>
              <w:t>素质目标：</w:t>
            </w:r>
            <w:r>
              <w:rPr>
                <w:rFonts w:hint="eastAsia" w:ascii="仿宋_GB2312" w:hAnsi="仿宋_GB2312" w:eastAsia="仿宋_GB2312" w:cs="仿宋_GB2312"/>
                <w:i w:val="0"/>
                <w:iCs w:val="0"/>
                <w:caps w:val="0"/>
                <w:color w:val="1F2329"/>
                <w:spacing w:val="0"/>
                <w:sz w:val="24"/>
                <w:szCs w:val="24"/>
                <w:highlight w:val="none"/>
                <w:shd w:val="clear" w:color="auto" w:fill="auto"/>
              </w:rPr>
              <w:t>激发学习物业管理专业的兴趣，强化专业知识与岗位能力的融合素养，提升职业适配力，为今后从事物业管理相关工作打下坚实基础，增强行业竞争力。</w:t>
            </w:r>
          </w:p>
          <w:p>
            <w:pPr>
              <w:keepNext w:val="0"/>
              <w:keepLines w:val="0"/>
              <w:pageBreakBefore w:val="0"/>
              <w:widowControl w:val="0"/>
              <w:kinsoku/>
              <w:wordWrap/>
              <w:overflowPunct w:val="0"/>
              <w:topLinePunct w:val="0"/>
              <w:autoSpaceDE/>
              <w:autoSpaceDN/>
              <w:bidi w:val="0"/>
              <w:adjustRightInd w:val="0"/>
              <w:snapToGrid/>
              <w:spacing w:line="320" w:lineRule="exact"/>
              <w:jc w:val="both"/>
              <w:textAlignment w:val="auto"/>
              <w:rPr>
                <w:rFonts w:hint="eastAsia" w:ascii="仿宋_GB2312" w:hAnsi="仿宋_GB2312" w:eastAsia="仿宋_GB2312" w:cs="仿宋_GB2312"/>
                <w:b/>
                <w:bCs/>
                <w:color w:val="auto"/>
                <w:sz w:val="24"/>
                <w:szCs w:val="24"/>
                <w:highlight w:val="none"/>
                <w:shd w:val="clear" w:color="auto" w:fill="auto"/>
                <w:lang w:val="en-US" w:eastAsia="zh-CN"/>
              </w:rPr>
            </w:pPr>
            <w:r>
              <w:rPr>
                <w:rFonts w:hint="eastAsia" w:ascii="仿宋_GB2312" w:hAnsi="仿宋_GB2312" w:eastAsia="仿宋_GB2312" w:cs="仿宋_GB2312"/>
                <w:b/>
                <w:bCs/>
                <w:color w:val="auto"/>
                <w:sz w:val="24"/>
                <w:szCs w:val="24"/>
                <w:highlight w:val="none"/>
                <w:shd w:val="clear" w:color="auto" w:fill="auto"/>
                <w:lang w:val="en-US" w:eastAsia="zh-CN"/>
              </w:rPr>
              <w:t>课程思政育人目标：</w:t>
            </w:r>
            <w:r>
              <w:rPr>
                <w:rFonts w:hint="eastAsia" w:ascii="仿宋_GB2312" w:hAnsi="仿宋_GB2312" w:eastAsia="仿宋_GB2312" w:cs="仿宋_GB2312"/>
                <w:i w:val="0"/>
                <w:iCs w:val="0"/>
                <w:caps w:val="0"/>
                <w:color w:val="1F2329"/>
                <w:spacing w:val="0"/>
                <w:sz w:val="24"/>
                <w:szCs w:val="24"/>
                <w:highlight w:val="none"/>
                <w:shd w:val="clear" w:color="auto" w:fill="auto"/>
              </w:rPr>
              <w:t>树立严谨细致的职业态度，培养档案保密意识与责任担当，坚守档案管理的真实性、规范性底线，助力构建规范有序的物业管理工作环境，促进行业健康发展。</w:t>
            </w:r>
          </w:p>
        </w:tc>
        <w:tc>
          <w:tcPr>
            <w:tcW w:w="2464" w:type="dxa"/>
            <w:vAlign w:val="top"/>
          </w:tcPr>
          <w:p>
            <w:pPr>
              <w:keepNext w:val="0"/>
              <w:keepLines w:val="0"/>
              <w:pageBreakBefore w:val="0"/>
              <w:widowControl w:val="0"/>
              <w:kinsoku/>
              <w:wordWrap/>
              <w:overflowPunct w:val="0"/>
              <w:topLinePunct w:val="0"/>
              <w:autoSpaceDE/>
              <w:autoSpaceDN/>
              <w:bidi w:val="0"/>
              <w:adjustRightInd w:val="0"/>
              <w:snapToGrid/>
              <w:spacing w:after="0" w:line="320" w:lineRule="exact"/>
              <w:jc w:val="both"/>
              <w:textAlignment w:val="auto"/>
              <w:rPr>
                <w:rFonts w:hint="eastAsia" w:ascii="仿宋_GB2312" w:hAnsi="仿宋_GB2312" w:eastAsia="仿宋_GB2312" w:cs="仿宋_GB2312"/>
                <w:color w:val="auto"/>
                <w:sz w:val="24"/>
                <w:szCs w:val="24"/>
                <w:highlight w:val="none"/>
                <w:shd w:val="clear" w:color="auto" w:fill="auto"/>
                <w:lang w:val="en-US" w:eastAsia="zh-CN"/>
              </w:rPr>
            </w:pPr>
            <w:r>
              <w:rPr>
                <w:rFonts w:hint="eastAsia" w:ascii="仿宋_GB2312" w:hAnsi="仿宋_GB2312" w:eastAsia="仿宋_GB2312" w:cs="仿宋_GB2312"/>
                <w:color w:val="auto"/>
                <w:sz w:val="24"/>
                <w:szCs w:val="24"/>
                <w:highlight w:val="none"/>
                <w:shd w:val="clear" w:color="auto" w:fill="auto"/>
                <w:lang w:val="en-US" w:eastAsia="zh-CN"/>
              </w:rPr>
              <w:t>掌握业主档案管理，物业项目档案的管理，物业档案管理的程序，物业档案整理的具体实施，物业管理立卷类别。</w:t>
            </w:r>
          </w:p>
        </w:tc>
        <w:tc>
          <w:tcPr>
            <w:tcW w:w="2289" w:type="dxa"/>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jc w:val="both"/>
              <w:textAlignment w:val="auto"/>
              <w:rPr>
                <w:rFonts w:hint="eastAsia" w:ascii="仿宋_GB2312" w:hAnsi="仿宋_GB2312" w:eastAsia="仿宋_GB2312" w:cs="仿宋_GB2312"/>
                <w:color w:val="auto"/>
                <w:sz w:val="24"/>
                <w:szCs w:val="24"/>
                <w:highlight w:val="none"/>
                <w:shd w:val="clear" w:color="auto" w:fill="auto"/>
                <w:lang w:val="en-US" w:eastAsia="zh-CN"/>
              </w:rPr>
            </w:pPr>
            <w:r>
              <w:rPr>
                <w:rFonts w:hint="eastAsia" w:ascii="仿宋_GB2312" w:hAnsi="仿宋_GB2312" w:eastAsia="仿宋_GB2312" w:cs="仿宋_GB2312"/>
                <w:i w:val="0"/>
                <w:iCs w:val="0"/>
                <w:caps w:val="0"/>
                <w:color w:val="1F2329"/>
                <w:spacing w:val="0"/>
                <w:sz w:val="24"/>
                <w:szCs w:val="24"/>
                <w:highlight w:val="none"/>
                <w:shd w:val="clear" w:color="auto" w:fill="auto"/>
              </w:rPr>
              <w:t>采用理论讲授 + 实操演练，通过案例教学引导学生解决档案管理实际问题。聚焦物业档案管理基础、原理及维护核心知识，结合岗位场景解析作用逻辑。注重知识掌握与实操能力考核，融入保密教育与职业素养引导，强化严谨态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2"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8</w:t>
            </w:r>
          </w:p>
        </w:tc>
        <w:tc>
          <w:tcPr>
            <w:tcW w:w="828"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物业统计技术</w:t>
            </w:r>
          </w:p>
        </w:tc>
        <w:tc>
          <w:tcPr>
            <w:tcW w:w="3900" w:type="dxa"/>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掌握物业统计理论、方法及工具，理解其在运营等场景的应用。​</w:t>
            </w:r>
          </w:p>
          <w:p>
            <w:pPr>
              <w:keepNext w:val="0"/>
              <w:keepLines w:val="0"/>
              <w:pageBreakBefore w:val="0"/>
              <w:widowControl w:val="0"/>
              <w:kinsoku/>
              <w:wordWrap/>
              <w:overflowPunct/>
              <w:topLinePunct w:val="0"/>
              <w:autoSpaceDE/>
              <w:autoSpaceDN/>
              <w:bidi w:val="0"/>
              <w:adjustRightInd/>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能采集清洗数据，分析总结并转化为管理建议，助力决策。​</w:t>
            </w:r>
          </w:p>
          <w:p>
            <w:pPr>
              <w:keepNext w:val="0"/>
              <w:keepLines w:val="0"/>
              <w:pageBreakBefore w:val="0"/>
              <w:widowControl w:val="0"/>
              <w:kinsoku/>
              <w:wordWrap/>
              <w:overflowPunct/>
              <w:topLinePunct w:val="0"/>
              <w:autoSpaceDE/>
              <w:autoSpaceDN/>
              <w:bidi w:val="0"/>
              <w:adjustRightInd/>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培养严谨精神与逻辑分析能力，具备数据敏感性和合作素质。​</w:t>
            </w:r>
          </w:p>
          <w:p>
            <w:pPr>
              <w:keepNext w:val="0"/>
              <w:keepLines w:val="0"/>
              <w:pageBreakBefore w:val="0"/>
              <w:widowControl w:val="0"/>
              <w:kinsoku/>
              <w:wordWrap/>
              <w:overflowPunct/>
              <w:topLinePunct w:val="0"/>
              <w:autoSpaceDE/>
              <w:autoSpaceDN/>
              <w:bidi w:val="0"/>
              <w:adjustRightInd/>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融入求真务实操守与法治观念，严守数据真实，助建公平环境。</w:t>
            </w:r>
          </w:p>
        </w:tc>
        <w:tc>
          <w:tcPr>
            <w:tcW w:w="2464" w:type="dxa"/>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掌握物业统计的特点、物业统计工作过程、物业统计学中的几个基本概念；熟练掌握物业统计的对象和物业管理企业基本情况统计；掌握物业统计调查；理解统计整理的步骤；掌握统计分组的基本理论与方法；学会静态分析指标、动态数列分析等。</w:t>
            </w:r>
          </w:p>
        </w:tc>
        <w:tc>
          <w:tcPr>
            <w:tcW w:w="2289" w:type="dxa"/>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在教学中主要采用讲授法、讨论法、案例教学法，以充分调动学生进行思考，激发学生主动性和参与性，增加学生在课堂中的获得感，提高教学实效。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2"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9</w:t>
            </w:r>
          </w:p>
        </w:tc>
        <w:tc>
          <w:tcPr>
            <w:tcW w:w="828"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工程建设法规</w:t>
            </w:r>
          </w:p>
        </w:tc>
        <w:tc>
          <w:tcPr>
            <w:tcW w:w="3900" w:type="dxa"/>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掌握工程建设法规体系、核心内容及适用范围，理解其作用机制。​</w:t>
            </w:r>
          </w:p>
          <w:p>
            <w:pPr>
              <w:keepNext w:val="0"/>
              <w:keepLines w:val="0"/>
              <w:pageBreakBefore w:val="0"/>
              <w:widowControl w:val="0"/>
              <w:kinsoku/>
              <w:wordWrap/>
              <w:overflowPunct/>
              <w:topLinePunct w:val="0"/>
              <w:autoSpaceDE/>
              <w:autoSpaceDN/>
              <w:bidi w:val="0"/>
              <w:adjustRightInd/>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能检索解读法规，合规操作并规避风险，提出纠纷解决方案。​</w:t>
            </w:r>
          </w:p>
          <w:p>
            <w:pPr>
              <w:keepNext w:val="0"/>
              <w:keepLines w:val="0"/>
              <w:pageBreakBefore w:val="0"/>
              <w:widowControl w:val="0"/>
              <w:kinsoku/>
              <w:wordWrap/>
              <w:overflowPunct/>
              <w:topLinePunct w:val="0"/>
              <w:autoSpaceDE/>
              <w:autoSpaceDN/>
              <w:bidi w:val="0"/>
              <w:adjustRightInd/>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培养法治思维与担当精神，秉持严谨态度，坚守法规底线。</w:t>
            </w:r>
          </w:p>
          <w:p>
            <w:pPr>
              <w:keepNext w:val="0"/>
              <w:keepLines w:val="0"/>
              <w:pageBreakBefore w:val="0"/>
              <w:widowControl w:val="0"/>
              <w:kinsoku/>
              <w:wordWrap/>
              <w:overflowPunct/>
              <w:topLinePunct w:val="0"/>
              <w:autoSpaceDE/>
              <w:autoSpaceDN/>
              <w:bidi w:val="0"/>
              <w:adjustRightInd/>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融入职业操守与安全理念，守双底线，助建优质民生工程。​</w:t>
            </w:r>
          </w:p>
        </w:tc>
        <w:tc>
          <w:tcPr>
            <w:tcW w:w="2464" w:type="dxa"/>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掌握建设法的概念和基本原则、建设法律体系、建设法构成；掌握城乡规划法律制度、土地管理法律制度、建设工程勘察设计法律制度、建设法律制度、工程建设标准法律。</w:t>
            </w:r>
          </w:p>
        </w:tc>
        <w:tc>
          <w:tcPr>
            <w:tcW w:w="2289" w:type="dxa"/>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在教学中主要采用讲授法、讨论法、案例教学法，以充分调动学生进行思考，激发学生主动性和参与性，增加学生在课堂中的获得感，提高教学实效。</w:t>
            </w:r>
          </w:p>
        </w:tc>
      </w:tr>
      <w:bookmarkEnd w:id="3"/>
    </w:tbl>
    <w:p>
      <w:pPr>
        <w:keepNext w:val="0"/>
        <w:keepLines w:val="0"/>
        <w:pageBreakBefore w:val="0"/>
        <w:widowControl w:val="0"/>
        <w:kinsoku/>
        <w:wordWrap/>
        <w:overflowPunct/>
        <w:topLinePunct w:val="0"/>
        <w:autoSpaceDE/>
        <w:autoSpaceDN/>
        <w:bidi w:val="0"/>
        <w:adjustRightInd w:val="0"/>
        <w:snapToGrid w:val="0"/>
        <w:spacing w:after="0" w:line="520" w:lineRule="exact"/>
        <w:ind w:left="0"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2.专业核心课程</w:t>
      </w:r>
      <w:bookmarkEnd w:id="4"/>
    </w:p>
    <w:p>
      <w:pPr>
        <w:keepNext w:val="0"/>
        <w:keepLines w:val="0"/>
        <w:pageBreakBefore w:val="0"/>
        <w:widowControl w:val="0"/>
        <w:kinsoku/>
        <w:wordWrap/>
        <w:overflowPunct/>
        <w:topLinePunct w:val="0"/>
        <w:autoSpaceDE/>
        <w:autoSpaceDN/>
        <w:bidi w:val="0"/>
        <w:adjustRightInd w:val="0"/>
        <w:snapToGrid w:val="0"/>
        <w:spacing w:after="0" w:line="520" w:lineRule="exact"/>
        <w:ind w:left="0" w:firstLine="640" w:firstLineChars="200"/>
        <w:textAlignment w:val="auto"/>
        <w:rPr>
          <w:rFonts w:hint="eastAsia" w:ascii="仿宋_GB2312" w:hAnsi="仿宋_GB2312" w:eastAsia="仿宋_GB2312" w:cs="仿宋_GB2312"/>
          <w:color w:val="auto"/>
          <w:spacing w:val="-4"/>
          <w:sz w:val="32"/>
          <w:szCs w:val="32"/>
          <w:highlight w:val="none"/>
        </w:rPr>
      </w:pPr>
      <w:bookmarkStart w:id="5" w:name="OLE_LINK7"/>
      <w:r>
        <w:rPr>
          <w:rFonts w:hint="eastAsia" w:ascii="仿宋_GB2312" w:hAnsi="仿宋_GB2312" w:eastAsia="仿宋_GB2312" w:cs="仿宋_GB2312"/>
          <w:color w:val="auto"/>
          <w:sz w:val="32"/>
          <w:szCs w:val="32"/>
          <w:highlight w:val="none"/>
        </w:rPr>
        <w:t>专业核心课是</w:t>
      </w:r>
      <w:bookmarkEnd w:id="5"/>
      <w:r>
        <w:rPr>
          <w:rFonts w:hint="eastAsia" w:ascii="仿宋_GB2312" w:hAnsi="仿宋_GB2312" w:eastAsia="仿宋_GB2312" w:cs="仿宋_GB2312"/>
          <w:color w:val="auto"/>
          <w:sz w:val="32"/>
          <w:szCs w:val="32"/>
          <w:highlight w:val="none"/>
          <w:lang w:val="en-US" w:eastAsia="zh-CN"/>
        </w:rPr>
        <w:t>面向客户服务、空间营造管理、设备设施管理、经营管理、数字化管理等岗位（群），结合物业管理员、客户服务管理员、智能楼宇管理员、管理咨询专业人员、物业经营管理专业人员的就业岗位，建立现代物业管理专业核心课程，培养学生物业管理等方面的能力。</w:t>
      </w:r>
      <w:r>
        <w:rPr>
          <w:rFonts w:hint="eastAsia" w:ascii="仿宋_GB2312" w:hAnsi="仿宋_GB2312" w:eastAsia="仿宋_GB2312" w:cs="仿宋_GB2312"/>
          <w:color w:val="auto"/>
          <w:sz w:val="32"/>
          <w:szCs w:val="32"/>
          <w:highlight w:val="none"/>
        </w:rPr>
        <w:t>包括</w:t>
      </w:r>
      <w:r>
        <w:rPr>
          <w:rFonts w:hint="eastAsia" w:ascii="仿宋_GB2312" w:hAnsi="仿宋_GB2312" w:eastAsia="仿宋_GB2312" w:cs="仿宋_GB2312"/>
          <w:color w:val="auto"/>
          <w:sz w:val="32"/>
          <w:szCs w:val="32"/>
          <w:highlight w:val="none"/>
          <w:lang w:val="en-US" w:eastAsia="zh-CN"/>
        </w:rPr>
        <w:t>物业管理招投标技术、房屋建筑结构与维护管理、现代物业管理实务、物业设施设备管理、物业客户服务与管理、物业空间与营造管理、物业经营管理、楼宇智能化管理等课程。</w:t>
      </w:r>
    </w:p>
    <w:p>
      <w:pPr>
        <w:pageBreakBefore w:val="0"/>
        <w:kinsoku/>
        <w:wordWrap/>
        <w:overflowPunct w:val="0"/>
        <w:topLinePunct w:val="0"/>
        <w:autoSpaceDE/>
        <w:autoSpaceDN/>
        <w:bidi w:val="0"/>
        <w:adjustRightInd w:val="0"/>
        <w:spacing w:after="0" w:line="520" w:lineRule="exact"/>
        <w:ind w:left="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表4</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专业核心课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10"/>
        <w:tblW w:w="104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0"/>
        <w:gridCol w:w="756"/>
        <w:gridCol w:w="3922"/>
        <w:gridCol w:w="2672"/>
        <w:gridCol w:w="21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0" w:type="dxa"/>
            <w:vAlign w:val="center"/>
          </w:tcPr>
          <w:p>
            <w:pPr>
              <w:pageBreakBefore w:val="0"/>
              <w:kinsoku/>
              <w:wordWrap/>
              <w:topLinePunct w:val="0"/>
              <w:autoSpaceDE/>
              <w:autoSpaceDN/>
              <w:bidi w:val="0"/>
              <w:spacing w:after="0" w:line="360" w:lineRule="exact"/>
              <w:ind w:left="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序号</w:t>
            </w:r>
          </w:p>
        </w:tc>
        <w:tc>
          <w:tcPr>
            <w:tcW w:w="756" w:type="dxa"/>
            <w:vAlign w:val="center"/>
          </w:tcPr>
          <w:p>
            <w:pPr>
              <w:pageBreakBefore w:val="0"/>
              <w:kinsoku/>
              <w:wordWrap/>
              <w:topLinePunct w:val="0"/>
              <w:autoSpaceDE/>
              <w:autoSpaceDN/>
              <w:bidi w:val="0"/>
              <w:spacing w:after="0" w:line="360" w:lineRule="exact"/>
              <w:ind w:left="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课程名称</w:t>
            </w:r>
          </w:p>
        </w:tc>
        <w:tc>
          <w:tcPr>
            <w:tcW w:w="3922" w:type="dxa"/>
            <w:vAlign w:val="center"/>
          </w:tcPr>
          <w:p>
            <w:pPr>
              <w:pageBreakBefore w:val="0"/>
              <w:kinsoku/>
              <w:wordWrap/>
              <w:topLinePunct w:val="0"/>
              <w:autoSpaceDE/>
              <w:autoSpaceDN/>
              <w:bidi w:val="0"/>
              <w:spacing w:after="0" w:line="360" w:lineRule="exact"/>
              <w:ind w:left="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w:t>
            </w:r>
            <w:r>
              <w:rPr>
                <w:rFonts w:hint="eastAsia" w:ascii="仿宋_GB2312" w:hAnsi="仿宋_GB2312" w:eastAsia="仿宋_GB2312" w:cs="仿宋_GB2312"/>
                <w:color w:val="auto"/>
                <w:sz w:val="24"/>
                <w:szCs w:val="24"/>
                <w:highlight w:val="none"/>
              </w:rPr>
              <w:t>目标</w:t>
            </w:r>
          </w:p>
        </w:tc>
        <w:tc>
          <w:tcPr>
            <w:tcW w:w="2672" w:type="dxa"/>
            <w:vAlign w:val="center"/>
          </w:tcPr>
          <w:p>
            <w:pPr>
              <w:pageBreakBefore w:val="0"/>
              <w:kinsoku/>
              <w:wordWrap/>
              <w:topLinePunct w:val="0"/>
              <w:autoSpaceDE/>
              <w:autoSpaceDN/>
              <w:bidi w:val="0"/>
              <w:spacing w:after="0" w:line="360" w:lineRule="exact"/>
              <w:ind w:left="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主要</w:t>
            </w:r>
            <w:r>
              <w:rPr>
                <w:rFonts w:hint="eastAsia" w:ascii="仿宋_GB2312" w:hAnsi="仿宋_GB2312" w:eastAsia="仿宋_GB2312" w:cs="仿宋_GB2312"/>
                <w:color w:val="auto"/>
                <w:sz w:val="24"/>
                <w:szCs w:val="24"/>
                <w:highlight w:val="none"/>
              </w:rPr>
              <w:t>教学内容</w:t>
            </w:r>
          </w:p>
        </w:tc>
        <w:tc>
          <w:tcPr>
            <w:tcW w:w="2169" w:type="dxa"/>
            <w:vAlign w:val="center"/>
          </w:tcPr>
          <w:p>
            <w:pPr>
              <w:pageBreakBefore w:val="0"/>
              <w:kinsoku/>
              <w:wordWrap/>
              <w:topLinePunct w:val="0"/>
              <w:autoSpaceDE/>
              <w:autoSpaceDN/>
              <w:bidi w:val="0"/>
              <w:spacing w:after="0" w:line="360" w:lineRule="exact"/>
              <w:ind w:left="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w:t>
            </w:r>
          </w:p>
        </w:tc>
        <w:tc>
          <w:tcPr>
            <w:tcW w:w="75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物业管理招投标技术</w:t>
            </w:r>
          </w:p>
        </w:tc>
        <w:tc>
          <w:tcPr>
            <w:tcW w:w="3922" w:type="dxa"/>
            <w:vAlign w:val="top"/>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掌握招投标制度、流程及要素，理解其对规范市场的作用。</w:t>
            </w:r>
          </w:p>
          <w:p>
            <w:pPr>
              <w:keepNext w:val="0"/>
              <w:keepLines w:val="0"/>
              <w:pageBreakBefore w:val="0"/>
              <w:widowControl w:val="0"/>
              <w:kinsoku/>
              <w:wordWrap/>
              <w:overflowPunct w:val="0"/>
              <w:topLinePunct w:val="0"/>
              <w:autoSpaceDE/>
              <w:autoSpaceDN/>
              <w:bidi w:val="0"/>
              <w:adjustRightInd w:val="0"/>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培养制定方案、编制文件等能力，能识别风险并合规操作。</w:t>
            </w:r>
          </w:p>
          <w:p>
            <w:pPr>
              <w:keepNext w:val="0"/>
              <w:keepLines w:val="0"/>
              <w:pageBreakBefore w:val="0"/>
              <w:widowControl w:val="0"/>
              <w:kinsoku/>
              <w:wordWrap/>
              <w:overflowPunct w:val="0"/>
              <w:topLinePunct w:val="0"/>
              <w:autoSpaceDE/>
              <w:autoSpaceDN/>
              <w:bidi w:val="0"/>
              <w:adjustRightInd w:val="0"/>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树立公平诚信意识，秉持严谨作风，提升应变与协作能力。</w:t>
            </w:r>
          </w:p>
          <w:p>
            <w:pPr>
              <w:keepNext w:val="0"/>
              <w:keepLines w:val="0"/>
              <w:pageBreakBefore w:val="0"/>
              <w:widowControl w:val="0"/>
              <w:kinsoku/>
              <w:wordWrap/>
              <w:overflowPunct w:val="0"/>
              <w:topLinePunct w:val="0"/>
              <w:autoSpaceDE/>
              <w:autoSpaceDN/>
              <w:bidi w:val="0"/>
              <w:adjustRightInd w:val="0"/>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融入廉洁诚信操守，守公正，助力构建健康市场生态。</w:t>
            </w:r>
          </w:p>
        </w:tc>
        <w:tc>
          <w:tcPr>
            <w:tcW w:w="2672" w:type="dxa"/>
            <w:vAlign w:val="top"/>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课程围绕物业管理招投标全流程展开。先讲解行业法规与基本概念，再深入介绍招标策划、文件编制，剖析投标策略、标书制作。接着开展评标环节教学，最后辅以案例实操，帮助学生巩固知识，提升实战能力。</w:t>
            </w:r>
          </w:p>
        </w:tc>
        <w:tc>
          <w:tcPr>
            <w:tcW w:w="2169" w:type="dxa"/>
            <w:vAlign w:val="top"/>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要求学生全程参与课堂互动，扎实掌握理论知识；能独立完成招投标文件制作，模拟项目精准把控流程；课后持续关注行业动态，提升综合运用知识解决复杂问题的能力。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75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房屋建筑结构与维护管理</w:t>
            </w:r>
          </w:p>
        </w:tc>
        <w:tc>
          <w:tcPr>
            <w:tcW w:w="3922" w:type="dxa"/>
            <w:vAlign w:val="top"/>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掌握建筑结构类型、构造原理及维护法规，理解其对安全的作用。能力目标：培养识别病害、制定方案等能力，能评估质量成本与分析数据。​</w:t>
            </w:r>
          </w:p>
          <w:p>
            <w:pPr>
              <w:keepNext w:val="0"/>
              <w:keepLines w:val="0"/>
              <w:pageBreakBefore w:val="0"/>
              <w:widowControl w:val="0"/>
              <w:kinsoku/>
              <w:wordWrap/>
              <w:overflowPunct w:val="0"/>
              <w:topLinePunct w:val="0"/>
              <w:autoSpaceDE/>
              <w:autoSpaceDN/>
              <w:bidi w:val="0"/>
              <w:adjustRightInd w:val="0"/>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树立安全责任意识，秉持严谨作风，提升问题解决与协作能力。​</w:t>
            </w:r>
          </w:p>
          <w:p>
            <w:pPr>
              <w:keepNext w:val="0"/>
              <w:keepLines w:val="0"/>
              <w:pageBreakBefore w:val="0"/>
              <w:widowControl w:val="0"/>
              <w:kinsoku/>
              <w:wordWrap/>
              <w:overflowPunct w:val="0"/>
              <w:topLinePunct w:val="0"/>
              <w:autoSpaceDE/>
              <w:autoSpaceDN/>
              <w:bidi w:val="0"/>
              <w:adjustRightInd w:val="0"/>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融入生命至上理念，守底线，保障居住安全助力宜居环境。</w:t>
            </w:r>
          </w:p>
        </w:tc>
        <w:tc>
          <w:tcPr>
            <w:tcW w:w="2672" w:type="dxa"/>
            <w:vAlign w:val="top"/>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涵盖房屋建筑结构类型、组成与受力特点，讲解结构检测、评估方法，传授日常维护、修缮技术，辅以案例剖析和实践操作，加深学生对知识的理解与运用。</w:t>
            </w:r>
          </w:p>
        </w:tc>
        <w:tc>
          <w:tcPr>
            <w:tcW w:w="2169" w:type="dxa"/>
            <w:vAlign w:val="top"/>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要求学生认真学习理论知识，主动参与实践环节，能够准确判断建筑结构问题，合理制定维护方案，在实践中积累经验，提升房屋建筑维护实操技能。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auto"/>
                <w:sz w:val="24"/>
                <w:szCs w:val="24"/>
                <w:highlight w:val="none"/>
                <w:lang w:val="en-US" w:eastAsia="zh-CN"/>
              </w:rPr>
            </w:pPr>
            <w:bookmarkStart w:id="6" w:name="_Toc90734991"/>
            <w:r>
              <w:rPr>
                <w:rFonts w:hint="eastAsia" w:ascii="仿宋_GB2312" w:hAnsi="仿宋_GB2312" w:eastAsia="仿宋_GB2312" w:cs="仿宋_GB2312"/>
                <w:color w:val="auto"/>
                <w:sz w:val="24"/>
                <w:szCs w:val="24"/>
                <w:highlight w:val="none"/>
                <w:lang w:val="en-US" w:eastAsia="zh-CN"/>
              </w:rPr>
              <w:t>3</w:t>
            </w:r>
          </w:p>
        </w:tc>
        <w:tc>
          <w:tcPr>
            <w:tcW w:w="75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现代物业</w:t>
            </w:r>
          </w:p>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管理实务</w:t>
            </w:r>
          </w:p>
        </w:tc>
        <w:tc>
          <w:tcPr>
            <w:tcW w:w="3922" w:type="dxa"/>
            <w:vAlign w:val="top"/>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掌握管理理论、核心内容及法规，理解信息化智能化应用逻辑。​</w:t>
            </w:r>
          </w:p>
          <w:p>
            <w:pPr>
              <w:keepNext w:val="0"/>
              <w:keepLines w:val="0"/>
              <w:pageBreakBefore w:val="0"/>
              <w:widowControl w:val="0"/>
              <w:kinsoku/>
              <w:wordWrap/>
              <w:overflowPunct w:val="0"/>
              <w:topLinePunct w:val="0"/>
              <w:autoSpaceDE/>
              <w:autoSpaceDN/>
              <w:bidi w:val="0"/>
              <w:adjustRightInd w:val="0"/>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培养解决实际问题能力，能操作系统、协调资源、优化流程。</w:t>
            </w:r>
          </w:p>
          <w:p>
            <w:pPr>
              <w:keepNext w:val="0"/>
              <w:keepLines w:val="0"/>
              <w:pageBreakBefore w:val="0"/>
              <w:widowControl w:val="0"/>
              <w:kinsoku/>
              <w:wordWrap/>
              <w:overflowPunct w:val="0"/>
              <w:topLinePunct w:val="0"/>
              <w:autoSpaceDE/>
              <w:autoSpaceDN/>
              <w:bidi w:val="0"/>
              <w:adjustRightInd w:val="0"/>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塑造服务意识与沟通执行能力，培养创新思维和职业韧性。</w:t>
            </w:r>
          </w:p>
          <w:p>
            <w:pPr>
              <w:keepNext w:val="0"/>
              <w:keepLines w:val="0"/>
              <w:pageBreakBefore w:val="0"/>
              <w:widowControl w:val="0"/>
              <w:kinsoku/>
              <w:wordWrap/>
              <w:overflowPunct w:val="0"/>
              <w:topLinePunct w:val="0"/>
              <w:autoSpaceDE/>
              <w:autoSpaceDN/>
              <w:bidi w:val="0"/>
              <w:adjustRightInd w:val="0"/>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融入服务理念与操守，助建和谐有温度有活力的居住环境。</w:t>
            </w:r>
          </w:p>
        </w:tc>
        <w:tc>
          <w:tcPr>
            <w:tcW w:w="2672" w:type="dxa"/>
            <w:vAlign w:val="top"/>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围绕物业管理全流程，讲解物业项目承接查验、客户服务、设施设备管理、经营策划等内容，融入智能化技术与法规政策解读，并通过案例分析与模拟实训，提升学生实践应用能力。</w:t>
            </w:r>
          </w:p>
        </w:tc>
        <w:tc>
          <w:tcPr>
            <w:tcW w:w="2169" w:type="dxa"/>
            <w:vAlign w:val="top"/>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要求学生课堂认真学习理论知识，主动参与实训，能运用所学分析并解决实际问题，课后关注行业动态，持续提升职业素养与综合能力。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75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物业设施</w:t>
            </w:r>
          </w:p>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设备管理</w:t>
            </w:r>
          </w:p>
        </w:tc>
        <w:tc>
          <w:tcPr>
            <w:tcW w:w="3922" w:type="dxa"/>
            <w:vAlign w:val="top"/>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掌握设施设备类型、原理及维保标准法规，理解智能化应用。​</w:t>
            </w:r>
          </w:p>
          <w:p>
            <w:pPr>
              <w:keepNext w:val="0"/>
              <w:keepLines w:val="0"/>
              <w:pageBreakBefore w:val="0"/>
              <w:widowControl w:val="0"/>
              <w:kinsoku/>
              <w:wordWrap/>
              <w:overflowPunct w:val="0"/>
              <w:topLinePunct w:val="0"/>
              <w:autoSpaceDE/>
              <w:autoSpaceDN/>
              <w:bidi w:val="0"/>
              <w:adjustRightInd w:val="0"/>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培养巡检评估、故障处理等能力，能制定全生命周期管理计划。​</w:t>
            </w:r>
          </w:p>
          <w:p>
            <w:pPr>
              <w:keepNext w:val="0"/>
              <w:keepLines w:val="0"/>
              <w:pageBreakBefore w:val="0"/>
              <w:widowControl w:val="0"/>
              <w:kinsoku/>
              <w:wordWrap/>
              <w:overflowPunct w:val="0"/>
              <w:topLinePunct w:val="0"/>
              <w:autoSpaceDE/>
              <w:autoSpaceDN/>
              <w:bidi w:val="0"/>
              <w:adjustRightInd w:val="0"/>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树立安全意识，秉持严谨作风与工匠精神，提升协作应急素养。​</w:t>
            </w:r>
          </w:p>
          <w:p>
            <w:pPr>
              <w:keepNext w:val="0"/>
              <w:keepLines w:val="0"/>
              <w:pageBreakBefore w:val="0"/>
              <w:widowControl w:val="0"/>
              <w:kinsoku/>
              <w:wordWrap/>
              <w:overflowPunct w:val="0"/>
              <w:topLinePunct w:val="0"/>
              <w:autoSpaceDE/>
              <w:autoSpaceDN/>
              <w:bidi w:val="0"/>
              <w:adjustRightInd w:val="0"/>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融入安全责任理念，守操守，助力构建安全节能社区环境。</w:t>
            </w:r>
          </w:p>
        </w:tc>
        <w:tc>
          <w:tcPr>
            <w:tcW w:w="2672" w:type="dxa"/>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系统讲解物业设施设备的分类和构成，阐述设备的日常巡检、维护保养、故障维修、更新改造的技术和方法，融入智能管理技术，借助案例分析与实操演练，强化知识应用。</w:t>
            </w:r>
          </w:p>
        </w:tc>
        <w:tc>
          <w:tcPr>
            <w:tcW w:w="2169" w:type="dxa"/>
            <w:vAlign w:val="top"/>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学生需在课堂上掌握理论知识，主动参与实验和实习活动，能独立完成设施设备巡检和常见故障处理，课后持续学习，提升设施设备全周期管理能力。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3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75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物业客户</w:t>
            </w:r>
          </w:p>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服务与管理</w:t>
            </w:r>
          </w:p>
        </w:tc>
        <w:tc>
          <w:tcPr>
            <w:tcW w:w="3922" w:type="dxa"/>
            <w:vAlign w:val="top"/>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掌握客户服务管理理论、法规，理解客户需求差异及应对策略。​</w:t>
            </w:r>
          </w:p>
          <w:p>
            <w:pPr>
              <w:keepNext w:val="0"/>
              <w:keepLines w:val="0"/>
              <w:pageBreakBefore w:val="0"/>
              <w:widowControl w:val="0"/>
              <w:kinsoku/>
              <w:wordWrap/>
              <w:overflowPunct w:val="0"/>
              <w:topLinePunct w:val="0"/>
              <w:autoSpaceDE/>
              <w:autoSpaceDN/>
              <w:bidi w:val="0"/>
              <w:adjustRightInd w:val="0"/>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培养沟通、处理投诉等能力，能优化服务流程与提升效率。</w:t>
            </w:r>
          </w:p>
          <w:p>
            <w:pPr>
              <w:keepNext w:val="0"/>
              <w:keepLines w:val="0"/>
              <w:pageBreakBefore w:val="0"/>
              <w:widowControl w:val="0"/>
              <w:kinsoku/>
              <w:wordWrap/>
              <w:overflowPunct w:val="0"/>
              <w:topLinePunct w:val="0"/>
              <w:autoSpaceDE/>
              <w:autoSpaceDN/>
              <w:bidi w:val="0"/>
              <w:adjustRightInd w:val="0"/>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树立主动服务意识，培养同理心与情绪管理、团队协作素养。​</w:t>
            </w:r>
          </w:p>
          <w:p>
            <w:pPr>
              <w:keepNext w:val="0"/>
              <w:keepLines w:val="0"/>
              <w:pageBreakBefore w:val="0"/>
              <w:widowControl w:val="0"/>
              <w:kinsoku/>
              <w:wordWrap/>
              <w:overflowPunct w:val="0"/>
              <w:topLinePunct w:val="0"/>
              <w:autoSpaceDE/>
              <w:autoSpaceDN/>
              <w:bidi w:val="0"/>
              <w:adjustRightInd w:val="0"/>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融入以业主为中心理念，守诚信，助建和睦友爱的社区。</w:t>
            </w:r>
          </w:p>
        </w:tc>
        <w:tc>
          <w:tcPr>
            <w:tcW w:w="2672" w:type="dxa"/>
            <w:vAlign w:val="top"/>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系统讲解物业客户服务基础理论，包含客户沟通流程与技巧、投诉处理策略，以及客户关系维护、服务品质管理方法。同时，引入大量真实案例，组织模拟实践，加深学生对知识的运用。</w:t>
            </w:r>
          </w:p>
        </w:tc>
        <w:tc>
          <w:tcPr>
            <w:tcW w:w="2169" w:type="dxa"/>
            <w:vAlign w:val="top"/>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学生需积极参与课堂互动，深入理解理论知识，主动投身实践训练。能够熟练运用服务技巧，妥善处理各类客户问题，不断提升服务意识和团队协作能力。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w:t>
            </w:r>
          </w:p>
        </w:tc>
        <w:tc>
          <w:tcPr>
            <w:tcW w:w="75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物业空间与营造管理</w:t>
            </w:r>
          </w:p>
        </w:tc>
        <w:tc>
          <w:tcPr>
            <w:tcW w:w="3922" w:type="dxa"/>
            <w:vAlign w:val="top"/>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掌握物业空间类型、规划原则及法规，理解其对价值的作用。​</w:t>
            </w:r>
          </w:p>
          <w:p>
            <w:pPr>
              <w:keepNext w:val="0"/>
              <w:keepLines w:val="0"/>
              <w:pageBreakBefore w:val="0"/>
              <w:widowControl w:val="0"/>
              <w:kinsoku/>
              <w:wordWrap/>
              <w:overflowPunct w:val="0"/>
              <w:topLinePunct w:val="0"/>
              <w:autoSpaceDE/>
              <w:autoSpaceDN/>
              <w:bidi w:val="0"/>
              <w:adjustRightInd w:val="0"/>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培养空间规划、改造实施等能力，能评估调整并提升环境品质。​</w:t>
            </w:r>
          </w:p>
          <w:p>
            <w:pPr>
              <w:keepNext w:val="0"/>
              <w:keepLines w:val="0"/>
              <w:pageBreakBefore w:val="0"/>
              <w:widowControl w:val="0"/>
              <w:kinsoku/>
              <w:wordWrap/>
              <w:overflowPunct w:val="0"/>
              <w:topLinePunct w:val="0"/>
              <w:autoSpaceDE/>
              <w:autoSpaceDN/>
              <w:bidi w:val="0"/>
              <w:adjustRightInd w:val="0"/>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树立人本理念与节约意识，提升沟通协作能力以满足需求。</w:t>
            </w:r>
          </w:p>
          <w:p>
            <w:pPr>
              <w:keepNext w:val="0"/>
              <w:keepLines w:val="0"/>
              <w:pageBreakBefore w:val="0"/>
              <w:widowControl w:val="0"/>
              <w:kinsoku/>
              <w:wordWrap/>
              <w:overflowPunct w:val="0"/>
              <w:topLinePunct w:val="0"/>
              <w:autoSpaceDE/>
              <w:autoSpaceDN/>
              <w:bidi w:val="0"/>
              <w:adjustRightInd w:val="0"/>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融入共建共享理念，兼顾功能与人文，助力美好社区建设。</w:t>
            </w:r>
          </w:p>
        </w:tc>
        <w:tc>
          <w:tcPr>
            <w:tcW w:w="2672" w:type="dxa"/>
            <w:vAlign w:val="top"/>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系统讲解物业空间基础理论，涵盖规划设计原理、营造施工流程、空间评估方法。结合实际项目案例，开展空间规划与营造方案设计实训，强化学生实践应用能力。</w:t>
            </w:r>
          </w:p>
        </w:tc>
        <w:tc>
          <w:tcPr>
            <w:tcW w:w="2169" w:type="dxa"/>
            <w:vAlign w:val="top"/>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学生需理解理论知识，参与课堂讨论与案例分析。主动投身实践项目，完成物业空间规划与营造方案，在实操中积累经验，提升解决复杂问题的能力。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7</w:t>
            </w:r>
          </w:p>
        </w:tc>
        <w:tc>
          <w:tcPr>
            <w:tcW w:w="75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物业经营</w:t>
            </w:r>
          </w:p>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管理</w:t>
            </w:r>
          </w:p>
        </w:tc>
        <w:tc>
          <w:tcPr>
            <w:tcW w:w="3922" w:type="dxa"/>
            <w:vAlign w:val="top"/>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系统掌握物业经营管理基础理论、核心知识及前沿，形成全面认知。能力目标：培养项目运营等实践能力，具备数据分析、市场研判等综合能力。</w:t>
            </w:r>
          </w:p>
          <w:p>
            <w:pPr>
              <w:keepNext w:val="0"/>
              <w:keepLines w:val="0"/>
              <w:pageBreakBefore w:val="0"/>
              <w:widowControl w:val="0"/>
              <w:kinsoku/>
              <w:wordWrap/>
              <w:overflowPunct w:val="0"/>
              <w:topLinePunct w:val="0"/>
              <w:autoSpaceDE/>
              <w:autoSpaceDN/>
              <w:bidi w:val="0"/>
              <w:adjustRightInd w:val="0"/>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提升职业素养，强调诚信担当与协作，培养终身学习和创新思维。</w:t>
            </w:r>
          </w:p>
          <w:p>
            <w:pPr>
              <w:keepNext w:val="0"/>
              <w:keepLines w:val="0"/>
              <w:pageBreakBefore w:val="0"/>
              <w:widowControl w:val="0"/>
              <w:kinsoku/>
              <w:wordWrap/>
              <w:overflowPunct w:val="0"/>
              <w:topLinePunct w:val="0"/>
              <w:autoSpaceDE/>
              <w:autoSpaceDN/>
              <w:bidi w:val="0"/>
              <w:adjustRightInd w:val="0"/>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融入核心价值观，树立正确职业观，培育专业能力与高尚品德人才。</w:t>
            </w:r>
          </w:p>
        </w:tc>
        <w:tc>
          <w:tcPr>
            <w:tcW w:w="2672" w:type="dxa"/>
            <w:vAlign w:val="top"/>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涵盖物业市场调研、项目定位、资产运营策略、租赁营销、成本管控等知识模块，融入商业物业、写字楼等多元业态案例，配合模拟经营与实地考察，提升学生实操水平。</w:t>
            </w:r>
          </w:p>
        </w:tc>
        <w:tc>
          <w:tcPr>
            <w:tcW w:w="2169" w:type="dxa"/>
            <w:vAlign w:val="top"/>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要求学生理论联系实际，课堂积极参与案例讨论，课后完成模拟经营任务，深入调研分析行业案例，掌握物业经营管理核心技能，培养创新与应变能力。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8</w:t>
            </w:r>
          </w:p>
        </w:tc>
        <w:tc>
          <w:tcPr>
            <w:tcW w:w="75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楼宇智能化管理</w:t>
            </w:r>
          </w:p>
        </w:tc>
        <w:tc>
          <w:tcPr>
            <w:tcW w:w="3922" w:type="dxa"/>
            <w:vAlign w:val="top"/>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掌握智能楼宇核心理论与技术标准，了解法规及趋势，构建体系。能力目标：培养系统操作、故障排查等能力，具备协同管理与应急处置能力。</w:t>
            </w:r>
          </w:p>
          <w:p>
            <w:pPr>
              <w:keepNext w:val="0"/>
              <w:keepLines w:val="0"/>
              <w:pageBreakBefore w:val="0"/>
              <w:widowControl w:val="0"/>
              <w:kinsoku/>
              <w:wordWrap/>
              <w:overflowPunct w:val="0"/>
              <w:topLinePunct w:val="0"/>
              <w:autoSpaceDE/>
              <w:autoSpaceDN/>
              <w:bidi w:val="0"/>
              <w:adjustRightInd w:val="0"/>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强调严谨素养，注重创新与协作，能与多领域人员有效配合。​</w:t>
            </w:r>
          </w:p>
          <w:p>
            <w:pPr>
              <w:keepNext w:val="0"/>
              <w:keepLines w:val="0"/>
              <w:pageBreakBefore w:val="0"/>
              <w:widowControl w:val="0"/>
              <w:kinsoku/>
              <w:wordWrap/>
              <w:overflowPunct w:val="0"/>
              <w:topLinePunct w:val="0"/>
              <w:autoSpaceDE/>
              <w:autoSpaceDN/>
              <w:bidi w:val="0"/>
              <w:adjustRightInd w:val="0"/>
              <w:snapToGrid/>
              <w:spacing w:after="0" w:line="32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以核心价值观引领，强化担当，守道德提供安全高效服务。</w:t>
            </w:r>
          </w:p>
        </w:tc>
        <w:tc>
          <w:tcPr>
            <w:tcW w:w="2672" w:type="dxa"/>
            <w:vAlign w:val="top"/>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系统介绍楼宇自动化、安防、通信等智能化系统，阐释系统原理、设备组成与安装调试方法，融入行业前沿技术与案例，安排实操项目，强化学生对知识的理解与运用。</w:t>
            </w:r>
          </w:p>
        </w:tc>
        <w:tc>
          <w:tcPr>
            <w:tcW w:w="2169" w:type="dxa"/>
            <w:vAlign w:val="top"/>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要求学生认真学习理论知识，积极参与实验、实训，熟练掌握系统操作与维护技能，能在模拟场景中排查与解决问题，课后关注行业动态，提升综合素养。</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after="0" w:line="520" w:lineRule="exact"/>
        <w:ind w:left="0"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专业拓展课程</w:t>
      </w:r>
      <w:bookmarkEnd w:id="6"/>
    </w:p>
    <w:p>
      <w:pPr>
        <w:keepNext w:val="0"/>
        <w:keepLines w:val="0"/>
        <w:pageBreakBefore w:val="0"/>
        <w:widowControl w:val="0"/>
        <w:kinsoku/>
        <w:wordWrap/>
        <w:overflowPunct w:val="0"/>
        <w:topLinePunct w:val="0"/>
        <w:autoSpaceDE/>
        <w:autoSpaceDN/>
        <w:bidi w:val="0"/>
        <w:adjustRightInd w:val="0"/>
        <w:spacing w:after="0" w:line="520" w:lineRule="exact"/>
        <w:ind w:left="0" w:leftChars="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专业拓展课程是按照岗位迁移，根据现代物业管理行业发展的趋势，依据企业用人需求调研，企业对物业管理等方面日益增加的需求，建立了现代物业管理专业拓展课，并将辅修方向课程纳入其中。由BIM技术运维管理、物业服务营销、物业价值评估技术、现代社区服务、物联网技术与应用、绿色建筑运维管理、物业服务质量管理、物业风险识别与管理、物业消防管理、中西方建筑文化、工程制图等课程构成专业拓展课。</w:t>
      </w:r>
    </w:p>
    <w:p>
      <w:pPr>
        <w:keepNext w:val="0"/>
        <w:keepLines w:val="0"/>
        <w:pageBreakBefore w:val="0"/>
        <w:widowControl w:val="0"/>
        <w:kinsoku/>
        <w:wordWrap/>
        <w:overflowPunct w:val="0"/>
        <w:topLinePunct w:val="0"/>
        <w:autoSpaceDE/>
        <w:autoSpaceDN/>
        <w:bidi w:val="0"/>
        <w:adjustRightInd w:val="0"/>
        <w:spacing w:after="0" w:line="520" w:lineRule="exact"/>
        <w:ind w:left="0" w:firstLine="640" w:firstLineChars="200"/>
        <w:jc w:val="center"/>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 xml:space="preserve">表5 </w:t>
      </w:r>
      <w:r>
        <w:rPr>
          <w:rFonts w:hint="eastAsia" w:ascii="仿宋_GB2312" w:hAnsi="仿宋_GB2312" w:eastAsia="仿宋_GB2312" w:cs="仿宋_GB2312"/>
          <w:color w:val="auto"/>
          <w:sz w:val="32"/>
          <w:szCs w:val="32"/>
          <w:highlight w:val="none"/>
        </w:rPr>
        <w:t>专业拓展</w:t>
      </w:r>
      <w:r>
        <w:rPr>
          <w:rFonts w:hint="eastAsia" w:ascii="仿宋_GB2312" w:hAnsi="仿宋_GB2312" w:eastAsia="仿宋_GB2312" w:cs="仿宋_GB2312"/>
          <w:color w:val="000000" w:themeColor="text1"/>
          <w:sz w:val="32"/>
          <w:szCs w:val="32"/>
          <w:highlight w:val="none"/>
          <w14:textFill>
            <w14:solidFill>
              <w14:schemeClr w14:val="tx1"/>
            </w14:solidFill>
          </w14:textFill>
        </w:rPr>
        <w:t>课</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课程目标、主要教学内容与要求</w:t>
      </w:r>
    </w:p>
    <w:tbl>
      <w:tblPr>
        <w:tblStyle w:val="10"/>
        <w:tblpPr w:leftFromText="180" w:rightFromText="180" w:vertAnchor="text" w:tblpXSpec="center" w:tblpY="1"/>
        <w:tblOverlap w:val="never"/>
        <w:tblW w:w="10624" w:type="dxa"/>
        <w:tblInd w:w="-2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6"/>
        <w:gridCol w:w="772"/>
        <w:gridCol w:w="3921"/>
        <w:gridCol w:w="2614"/>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vAlign w:val="center"/>
          </w:tcPr>
          <w:p>
            <w:pPr>
              <w:keepNext w:val="0"/>
              <w:keepLines w:val="0"/>
              <w:pageBreakBefore w:val="0"/>
              <w:widowControl w:val="0"/>
              <w:kinsoku/>
              <w:wordWrap/>
              <w:topLinePunct w:val="0"/>
              <w:autoSpaceDE/>
              <w:autoSpaceDN/>
              <w:bidi w:val="0"/>
              <w:snapToGrid/>
              <w:spacing w:after="0" w:line="300" w:lineRule="exac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序号</w:t>
            </w:r>
          </w:p>
        </w:tc>
        <w:tc>
          <w:tcPr>
            <w:tcW w:w="772" w:type="dxa"/>
            <w:vAlign w:val="center"/>
          </w:tcPr>
          <w:p>
            <w:pPr>
              <w:keepNext w:val="0"/>
              <w:keepLines w:val="0"/>
              <w:pageBreakBefore w:val="0"/>
              <w:widowControl w:val="0"/>
              <w:kinsoku/>
              <w:wordWrap/>
              <w:topLinePunct w:val="0"/>
              <w:autoSpaceDE/>
              <w:autoSpaceDN/>
              <w:bidi w:val="0"/>
              <w:snapToGrid/>
              <w:spacing w:after="0" w:line="300" w:lineRule="exac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名称</w:t>
            </w:r>
          </w:p>
        </w:tc>
        <w:tc>
          <w:tcPr>
            <w:tcW w:w="3921" w:type="dxa"/>
            <w:vAlign w:val="center"/>
          </w:tcPr>
          <w:p>
            <w:pPr>
              <w:keepNext w:val="0"/>
              <w:keepLines w:val="0"/>
              <w:pageBreakBefore w:val="0"/>
              <w:widowControl w:val="0"/>
              <w:kinsoku/>
              <w:wordWrap/>
              <w:topLinePunct w:val="0"/>
              <w:autoSpaceDE/>
              <w:autoSpaceDN/>
              <w:bidi w:val="0"/>
              <w:snapToGrid/>
              <w:spacing w:after="0" w:line="300" w:lineRule="exac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w:t>
            </w:r>
            <w:r>
              <w:rPr>
                <w:rFonts w:hint="eastAsia" w:ascii="仿宋_GB2312" w:hAnsi="仿宋_GB2312" w:eastAsia="仿宋_GB2312" w:cs="仿宋_GB2312"/>
                <w:color w:val="auto"/>
                <w:sz w:val="24"/>
                <w:szCs w:val="24"/>
                <w:highlight w:val="none"/>
              </w:rPr>
              <w:t>目标</w:t>
            </w:r>
          </w:p>
        </w:tc>
        <w:tc>
          <w:tcPr>
            <w:tcW w:w="2614" w:type="dxa"/>
            <w:vAlign w:val="center"/>
          </w:tcPr>
          <w:p>
            <w:pPr>
              <w:keepNext w:val="0"/>
              <w:keepLines w:val="0"/>
              <w:pageBreakBefore w:val="0"/>
              <w:widowControl w:val="0"/>
              <w:kinsoku/>
              <w:wordWrap/>
              <w:topLinePunct w:val="0"/>
              <w:autoSpaceDE/>
              <w:autoSpaceDN/>
              <w:bidi w:val="0"/>
              <w:snapToGrid/>
              <w:spacing w:after="0" w:line="300" w:lineRule="exac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主要</w:t>
            </w:r>
            <w:r>
              <w:rPr>
                <w:rFonts w:hint="eastAsia" w:ascii="仿宋_GB2312" w:hAnsi="仿宋_GB2312" w:eastAsia="仿宋_GB2312" w:cs="仿宋_GB2312"/>
                <w:color w:val="auto"/>
                <w:sz w:val="24"/>
                <w:szCs w:val="24"/>
                <w:highlight w:val="none"/>
              </w:rPr>
              <w:t>教学内容</w:t>
            </w:r>
          </w:p>
        </w:tc>
        <w:tc>
          <w:tcPr>
            <w:tcW w:w="2551" w:type="dxa"/>
            <w:vAlign w:val="center"/>
          </w:tcPr>
          <w:p>
            <w:pPr>
              <w:keepNext w:val="0"/>
              <w:keepLines w:val="0"/>
              <w:pageBreakBefore w:val="0"/>
              <w:widowControl w:val="0"/>
              <w:kinsoku/>
              <w:wordWrap/>
              <w:topLinePunct w:val="0"/>
              <w:autoSpaceDE/>
              <w:autoSpaceDN/>
              <w:bidi w:val="0"/>
              <w:snapToGrid/>
              <w:spacing w:after="0" w:line="300" w:lineRule="exac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772"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BIM技术运维管理</w:t>
            </w:r>
          </w:p>
        </w:tc>
        <w:tc>
          <w:tcPr>
            <w:tcW w:w="3921" w:type="dxa"/>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掌握BIM基础理论与运维知识，熟悉标准工具及融合趋势，搭建框架。</w:t>
            </w: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培养BIM实践与跨专业协同能力，借平台提升运维管理效率。</w:t>
            </w: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强调严谨规范，培养创新与责任意识，保障建筑安全与体验。</w:t>
            </w: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以核心价值观引导，增强责任感，守伦理助行业发展。</w:t>
            </w:r>
          </w:p>
        </w:tc>
        <w:tc>
          <w:tcPr>
            <w:tcW w:w="2614" w:type="dxa"/>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left"/>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围绕BIM运维基础，讲解模型搭建与整合、数据录入关联；介绍运维管理核心，如设备全生命周期管理、空间运维调度；通过项目实践，引导学生基于BIM平台解决运维难题。</w:t>
            </w:r>
          </w:p>
        </w:tc>
        <w:tc>
          <w:tcPr>
            <w:tcW w:w="2551" w:type="dxa"/>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要求学生课前做好预习，课上积极互动，掌握软件操作与理论知识。教师要融合案例与实操教学，提供丰富项目场景，定期更新教学资源，保障知识的时效性。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772"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物业服务营销</w:t>
            </w:r>
          </w:p>
        </w:tc>
        <w:tc>
          <w:tcPr>
            <w:tcW w:w="3921" w:type="dxa"/>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掌握物业服务营销基础理论与核心知识</w:t>
            </w:r>
            <w:r>
              <w:rPr>
                <w:rFonts w:hint="eastAsia" w:ascii="仿宋_GB2312" w:hAnsi="仿宋_GB2312" w:eastAsia="仿宋_GB2312" w:cs="仿宋_GB2312"/>
                <w:color w:val="auto"/>
                <w:spacing w:val="-11"/>
                <w:sz w:val="24"/>
                <w:szCs w:val="24"/>
                <w:highlight w:val="none"/>
                <w:lang w:val="en-US" w:eastAsia="zh-CN"/>
              </w:rPr>
              <w:t>，熟悉法规，了解竞争态势与数字化工具，构建系统知识体系。</w:t>
            </w: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培养挖掘需求、优化策略等能力，具备危机公关能力，妥善处理问题，提升客户满意度。</w:t>
            </w: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强调以客户为中心，注重诚信守诺，培养团队协作与抗压能力，适应行业节奏。</w:t>
            </w: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以核心价值观引领，树立“服务为民”理念，传递契约精神，推动行业良性发展。</w:t>
            </w:r>
          </w:p>
        </w:tc>
        <w:tc>
          <w:tcPr>
            <w:tcW w:w="2614" w:type="dxa"/>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工程建设法规的概念；工程建设法规的调整对象；工程建设法规的适用范围。</w:t>
            </w:r>
          </w:p>
        </w:tc>
        <w:tc>
          <w:tcPr>
            <w:tcW w:w="2551" w:type="dxa"/>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在教学中主要采用讲授法、讨论法、查阅法，以充分调动学生进行思考，激发学生主动性和参与性，增加学生在课堂中的获得感，提高教学实效。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772"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物业价值评估技术</w:t>
            </w:r>
          </w:p>
        </w:tc>
        <w:tc>
          <w:tcPr>
            <w:tcW w:w="3921" w:type="dxa"/>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b/>
                <w:bCs/>
                <w:color w:val="auto"/>
                <w:spacing w:val="-11"/>
                <w:sz w:val="24"/>
                <w:szCs w:val="24"/>
                <w:highlight w:val="none"/>
                <w:lang w:val="en-US" w:eastAsia="zh-CN"/>
              </w:rPr>
              <w:t>：</w:t>
            </w:r>
            <w:r>
              <w:rPr>
                <w:rFonts w:hint="eastAsia" w:ascii="仿宋_GB2312" w:hAnsi="仿宋_GB2312" w:eastAsia="仿宋_GB2312" w:cs="仿宋_GB2312"/>
                <w:color w:val="auto"/>
                <w:spacing w:val="-11"/>
                <w:sz w:val="24"/>
                <w:szCs w:val="24"/>
                <w:highlight w:val="none"/>
                <w:lang w:val="en-US" w:eastAsia="zh-CN"/>
              </w:rPr>
              <w:t>掌握评估理论、方法及法规。</w:t>
            </w:r>
          </w:p>
          <w:p>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具备实操、分析及风险把控能力。​</w:t>
            </w:r>
          </w:p>
          <w:p>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秉持客观公正、严谨负责态度。​</w:t>
            </w:r>
          </w:p>
          <w:p>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树立诚信执业、服务社会理念。</w:t>
            </w:r>
          </w:p>
        </w:tc>
        <w:tc>
          <w:tcPr>
            <w:tcW w:w="2614" w:type="dxa"/>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掌握计算机绘图环境、绘图与编辑命令，图形显示控制、文字输入和图形编辑辅助绘图工具及目标查询特性修改与夹点编辑。</w:t>
            </w:r>
          </w:p>
        </w:tc>
        <w:tc>
          <w:tcPr>
            <w:tcW w:w="2551" w:type="dxa"/>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学生要主动学习，参与课堂互动、案例研讨及实操练习。教师需采用理论讲授与实践指导相结合的方式，及时反馈学习问题，培养学生的综合评估能力。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5" w:hRule="atLeast"/>
        </w:trPr>
        <w:tc>
          <w:tcPr>
            <w:tcW w:w="766"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772"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现代社区服务</w:t>
            </w:r>
          </w:p>
        </w:tc>
        <w:tc>
          <w:tcPr>
            <w:tcW w:w="3921" w:type="dxa"/>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pacing w:val="-17"/>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b/>
                <w:bCs/>
                <w:color w:val="auto"/>
                <w:spacing w:val="-17"/>
                <w:sz w:val="24"/>
                <w:szCs w:val="24"/>
                <w:highlight w:val="none"/>
                <w:lang w:val="en-US" w:eastAsia="zh-CN"/>
              </w:rPr>
              <w:t>：</w:t>
            </w:r>
            <w:r>
              <w:rPr>
                <w:rFonts w:hint="eastAsia" w:ascii="仿宋_GB2312" w:hAnsi="仿宋_GB2312" w:eastAsia="仿宋_GB2312" w:cs="仿宋_GB2312"/>
                <w:color w:val="auto"/>
                <w:spacing w:val="-17"/>
                <w:sz w:val="24"/>
                <w:szCs w:val="24"/>
                <w:highlight w:val="none"/>
                <w:lang w:val="en-US" w:eastAsia="zh-CN"/>
              </w:rPr>
              <w:t>熟社区服务规范与需求特点。</w:t>
            </w:r>
          </w:p>
          <w:p>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有统筹、沟通及应急处理能力。​</w:t>
            </w:r>
          </w:p>
          <w:p>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素质目标：坚</w:t>
            </w:r>
            <w:r>
              <w:rPr>
                <w:rFonts w:hint="eastAsia" w:ascii="仿宋_GB2312" w:hAnsi="仿宋_GB2312" w:eastAsia="仿宋_GB2312" w:cs="仿宋_GB2312"/>
                <w:color w:val="auto"/>
                <w:sz w:val="24"/>
                <w:szCs w:val="24"/>
                <w:highlight w:val="none"/>
                <w:lang w:val="en-US" w:eastAsia="zh-CN"/>
              </w:rPr>
              <w:t>持热心奉献、耐心细致作风。​</w:t>
            </w:r>
          </w:p>
          <w:p>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树立共建和谐社区的服务理念。</w:t>
            </w:r>
          </w:p>
        </w:tc>
        <w:tc>
          <w:tcPr>
            <w:tcW w:w="2614" w:type="dxa"/>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了解文献检索和论文的相互关系和重要意义；掌握文献概念、属性和；分类，掌握文献信息检；索的含义、类型和基本；原理，掌握文献信息检索的途径、方法和步骤；掌握中文全文数据库；的检索方法。</w:t>
            </w:r>
          </w:p>
        </w:tc>
        <w:tc>
          <w:tcPr>
            <w:tcW w:w="2551" w:type="dxa"/>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在教学中主要采用讲授法、讨论法、查阅法，以充分调动学生进行思考，激发学生主动性和参与性，增加学生在课堂中的获得感，提高教学实效。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772"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物联网技术与应用</w:t>
            </w:r>
          </w:p>
        </w:tc>
        <w:tc>
          <w:tcPr>
            <w:tcW w:w="3921" w:type="dxa"/>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懂物联网架构、技术及应用场景。​</w:t>
            </w:r>
          </w:p>
          <w:p>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具备搭建、运维及创新应用能力。​</w:t>
            </w:r>
          </w:p>
          <w:p>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有严谨务实、协作创新精神。​</w:t>
            </w:r>
          </w:p>
          <w:p>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立科技向善、服务社会信念。</w:t>
            </w:r>
          </w:p>
        </w:tc>
        <w:tc>
          <w:tcPr>
            <w:tcW w:w="2614" w:type="dxa"/>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涵盖物联网感知层、网络层、应用层的核心技术，包括传感器原理与应用、无线通信技术、物联网云平台搭建，以及智能家居、车联网等典型应用案例分析与项目实践。</w:t>
            </w:r>
          </w:p>
        </w:tc>
        <w:tc>
          <w:tcPr>
            <w:tcW w:w="2551" w:type="dxa"/>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要求学生理解物联网关键技术原理，熟练运用相关工具开发简单物联网应用。课堂积极参与讨论，按时完成实验与项目作业，通过小组协作，提升解决实际问题的综合能力。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w:t>
            </w:r>
          </w:p>
        </w:tc>
        <w:tc>
          <w:tcPr>
            <w:tcW w:w="772"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绿色建筑运维管理</w:t>
            </w:r>
          </w:p>
        </w:tc>
        <w:tc>
          <w:tcPr>
            <w:tcW w:w="3921" w:type="dxa"/>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掌握绿色运维标准、节能技术及环保法规。能力目标：具备能耗管控、生态维护及优化改进能力。</w:t>
            </w:r>
          </w:p>
          <w:p>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有低碳意识、严谨负责及持续学习态度。​</w:t>
            </w:r>
          </w:p>
          <w:p>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树立绿色发展、守护生态的责任理念。</w:t>
            </w:r>
          </w:p>
        </w:tc>
        <w:tc>
          <w:tcPr>
            <w:tcW w:w="2614" w:type="dxa"/>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涵盖绿色建筑运维管理体系、能源管理策略，照明、暖通空调等设备运维要点，以及智能化运维技术应用、绿色建筑认证与评估等内容，融入实际案例与前沿行业动态。</w:t>
            </w:r>
          </w:p>
        </w:tc>
        <w:tc>
          <w:tcPr>
            <w:tcW w:w="2551" w:type="dxa"/>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理论学习环节，学生需深刻理解绿色建筑运维的原理与方法；实践操作中，要求学生能够独立完成运维方案的策划与实施，并且能够结合行业发展持续更新知识体系。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7</w:t>
            </w:r>
          </w:p>
        </w:tc>
        <w:tc>
          <w:tcPr>
            <w:tcW w:w="772"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物业服务质量管理</w:t>
            </w:r>
          </w:p>
        </w:tc>
        <w:tc>
          <w:tcPr>
            <w:tcW w:w="3921" w:type="dxa"/>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熟服务标准、质量体系及相关法规要求。​</w:t>
            </w:r>
          </w:p>
          <w:p>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具备质量管控、问题改进及客户沟通能力。​</w:t>
            </w:r>
          </w:p>
          <w:p>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有精益求精、诚信服务的职业态度。​</w:t>
            </w:r>
          </w:p>
          <w:p>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树立以客户为中心、担当社会责任理念。</w:t>
            </w:r>
          </w:p>
        </w:tc>
        <w:tc>
          <w:tcPr>
            <w:tcW w:w="2614" w:type="dxa"/>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课程涵盖物业服务质量管理体系搭建、质量标准制定，服务流程优化与质量改进方法。同时结合物业行业数字化转型，引入智能设备在服务质量管理中的应用案例，提升知识实用性。</w:t>
            </w:r>
          </w:p>
        </w:tc>
        <w:tc>
          <w:tcPr>
            <w:tcW w:w="2551" w:type="dxa"/>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要求学生按时参与课堂学习，认真完成课后作业。在项目实践中，需熟练运用所学知识，进行方案设计与执行，定期汇报进展，积极参与小组讨论，培养团队协作和沟通能力。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8</w:t>
            </w:r>
          </w:p>
        </w:tc>
        <w:tc>
          <w:tcPr>
            <w:tcW w:w="772"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物业风险识别与管理</w:t>
            </w:r>
          </w:p>
        </w:tc>
        <w:tc>
          <w:tcPr>
            <w:tcW w:w="3921" w:type="dxa"/>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掌握风险类型、评估方法及防控法规。​</w:t>
            </w:r>
          </w:p>
          <w:p>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具备风险预判、处置及预案制定能力。​</w:t>
            </w:r>
          </w:p>
          <w:p>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有审慎敏锐、责任担当的职业素养。​</w:t>
            </w:r>
          </w:p>
          <w:p>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树立安全第一、守护民生的责任理念。</w:t>
            </w:r>
          </w:p>
        </w:tc>
        <w:tc>
          <w:tcPr>
            <w:tcW w:w="2614" w:type="dxa"/>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从物业行业特点出发，系统讲解风险识别的方法、常用评估模型以及应对策略。引入政策法规解读，结合经典案例分析，通过模拟演练让学生在实操中掌握风险全周期管理要点。</w:t>
            </w:r>
          </w:p>
        </w:tc>
        <w:tc>
          <w:tcPr>
            <w:tcW w:w="2551" w:type="dxa"/>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学生要全程参与课堂讨论，课后按时完成作业和实践项目。教师应借助多媒体教学、实地考察等手段，丰富教学形式，定期更新教学内容，保持与行业前沿同步。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9</w:t>
            </w:r>
          </w:p>
        </w:tc>
        <w:tc>
          <w:tcPr>
            <w:tcW w:w="772"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物业消防管理</w:t>
            </w:r>
          </w:p>
        </w:tc>
        <w:tc>
          <w:tcPr>
            <w:tcW w:w="3921" w:type="dxa"/>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熟知消防规范、设施原理及应急法规。​</w:t>
            </w:r>
          </w:p>
          <w:p>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具备检查、扑救初期火灾及疏散能力。​</w:t>
            </w:r>
          </w:p>
          <w:p>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有警惕性、果敢性及严谨细致作风。​</w:t>
            </w:r>
          </w:p>
          <w:p>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树立生命至上、防患未然的责任意识。</w:t>
            </w:r>
          </w:p>
        </w:tc>
        <w:tc>
          <w:tcPr>
            <w:tcW w:w="2614" w:type="dxa"/>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涵盖物业消防管理理论，消防设施实操与维护，火灾预防策略，火灾应急预案制定与演练等。结合真实火灾案例，系统梳理各环节重点，加深知识理解与应用。</w:t>
            </w:r>
          </w:p>
        </w:tc>
        <w:tc>
          <w:tcPr>
            <w:tcW w:w="2551" w:type="dxa"/>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学生要主动参与理论学习、模拟演练，认真完成课后作业。教师要整合理论与实操，借助多媒体、现场教学等方法，保证教学内容准确且贴合行业最新动态。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10</w:t>
            </w:r>
          </w:p>
        </w:tc>
        <w:tc>
          <w:tcPr>
            <w:tcW w:w="772"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中西方建筑文化</w:t>
            </w:r>
          </w:p>
        </w:tc>
        <w:tc>
          <w:tcPr>
            <w:tcW w:w="3921" w:type="dxa"/>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掌握中西方建筑文化特征与差异，了解其发展脉络及影响因素。</w:t>
            </w:r>
            <w:r>
              <w:rPr>
                <w:rFonts w:hint="eastAsia" w:ascii="仿宋_GB2312" w:hAnsi="仿宋_GB2312" w:eastAsia="仿宋_GB2312" w:cs="仿宋_GB2312"/>
                <w:color w:val="auto"/>
                <w:sz w:val="24"/>
                <w:szCs w:val="24"/>
                <w:highlight w:val="none"/>
                <w:lang w:val="en-US" w:eastAsia="zh-CN"/>
              </w:rPr>
              <w:br w:type="textWrapping"/>
            </w: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能分析建筑文化现象，比较异同，具备解读建筑文化内涵的能力。</w:t>
            </w:r>
            <w:r>
              <w:rPr>
                <w:rFonts w:hint="eastAsia" w:ascii="仿宋_GB2312" w:hAnsi="仿宋_GB2312" w:eastAsia="仿宋_GB2312" w:cs="仿宋_GB2312"/>
                <w:color w:val="auto"/>
                <w:sz w:val="24"/>
                <w:szCs w:val="24"/>
                <w:highlight w:val="none"/>
                <w:lang w:val="en-US" w:eastAsia="zh-CN"/>
              </w:rPr>
              <w:br w:type="textWrapping"/>
            </w: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培养文化包容与审美素养，尊重多元建筑文化，增强文化自信。</w:t>
            </w:r>
            <w:r>
              <w:rPr>
                <w:rFonts w:hint="eastAsia" w:ascii="仿宋_GB2312" w:hAnsi="仿宋_GB2312" w:eastAsia="仿宋_GB2312" w:cs="仿宋_GB2312"/>
                <w:color w:val="auto"/>
                <w:sz w:val="24"/>
                <w:szCs w:val="24"/>
                <w:highlight w:val="none"/>
                <w:lang w:val="en-US" w:eastAsia="zh-CN"/>
              </w:rPr>
              <w:br w:type="textWrapping"/>
            </w: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以文化自信为引领，传承优秀建筑文化，树立文明互鉴理念。</w:t>
            </w:r>
          </w:p>
        </w:tc>
        <w:tc>
          <w:tcPr>
            <w:tcW w:w="2614" w:type="dxa"/>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梳理中西方建筑从古代到现代的演变历程，解析宫殿、宗教、民居等不同建筑类型的风格特征，探讨建筑与哲学、艺术等文化要素的内在联系，结合实地考察与案例研讨展开教学。</w:t>
            </w:r>
          </w:p>
        </w:tc>
        <w:tc>
          <w:tcPr>
            <w:tcW w:w="2551" w:type="dxa"/>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学生需按时完成阅读与作业，积极参与课堂讨论和实地调研。教师应采用图片、影像等多元素材，开展启发式教学，引导学生主动探究，定期评估教学效果并优化内容。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11</w:t>
            </w:r>
          </w:p>
        </w:tc>
        <w:tc>
          <w:tcPr>
            <w:tcW w:w="772"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工程</w:t>
            </w:r>
          </w:p>
          <w:p>
            <w:pPr>
              <w:keepNext w:val="0"/>
              <w:keepLines w:val="0"/>
              <w:pageBreakBefore w:val="0"/>
              <w:widowControl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制图</w:t>
            </w:r>
          </w:p>
        </w:tc>
        <w:tc>
          <w:tcPr>
            <w:tcW w:w="3921" w:type="dxa"/>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掌握工程制图规范与方法，熟悉图形表达及识读技巧。</w:t>
            </w:r>
            <w:r>
              <w:rPr>
                <w:rFonts w:hint="eastAsia" w:ascii="仿宋_GB2312" w:hAnsi="仿宋_GB2312" w:eastAsia="仿宋_GB2312" w:cs="仿宋_GB2312"/>
                <w:color w:val="auto"/>
                <w:sz w:val="24"/>
                <w:szCs w:val="24"/>
                <w:highlight w:val="none"/>
                <w:lang w:val="en-US" w:eastAsia="zh-CN"/>
              </w:rPr>
              <w:br w:type="textWrapping"/>
            </w: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能规范绘制、识读工程图纸，具备空间想象与表达能力。</w:t>
            </w:r>
            <w:r>
              <w:rPr>
                <w:rFonts w:hint="eastAsia" w:ascii="仿宋_GB2312" w:hAnsi="仿宋_GB2312" w:eastAsia="仿宋_GB2312" w:cs="仿宋_GB2312"/>
                <w:color w:val="auto"/>
                <w:sz w:val="24"/>
                <w:szCs w:val="24"/>
                <w:highlight w:val="none"/>
                <w:lang w:val="en-US" w:eastAsia="zh-CN"/>
              </w:rPr>
              <w:br w:type="textWrapping"/>
            </w: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培养严谨细致的作风，注重规范精准，强化责任意识。</w:t>
            </w:r>
            <w:r>
              <w:rPr>
                <w:rFonts w:hint="eastAsia" w:ascii="仿宋_GB2312" w:hAnsi="仿宋_GB2312" w:eastAsia="仿宋_GB2312" w:cs="仿宋_GB2312"/>
                <w:color w:val="auto"/>
                <w:sz w:val="24"/>
                <w:szCs w:val="24"/>
                <w:highlight w:val="none"/>
                <w:lang w:val="en-US" w:eastAsia="zh-CN"/>
              </w:rPr>
              <w:br w:type="textWrapping"/>
            </w: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以工匠精神为核心，强调规范诚信，助力工程质量提升。</w:t>
            </w:r>
          </w:p>
        </w:tc>
        <w:tc>
          <w:tcPr>
            <w:tcW w:w="2614" w:type="dxa"/>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讲授投影原理，引入机械、建筑等工程图样的绘制规范。安排绘图实践，借助手工和计算机绘图软件，让学生掌握绘制和阅读工程图的实用技能。</w:t>
            </w:r>
          </w:p>
        </w:tc>
        <w:tc>
          <w:tcPr>
            <w:tcW w:w="2551" w:type="dxa"/>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ind w:lef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学生要按时完成绘图作业，积极参与课堂讨论；教师应借助模型、多媒体辅助教学，严格要求绘图规范，着重培养学生的绘图实操与创新能力。</w:t>
            </w:r>
          </w:p>
        </w:tc>
      </w:tr>
    </w:tbl>
    <w:p>
      <w:pPr>
        <w:keepNext w:val="0"/>
        <w:keepLines w:val="0"/>
        <w:pageBreakBefore w:val="0"/>
        <w:widowControl w:val="0"/>
        <w:kinsoku/>
        <w:wordWrap/>
        <w:topLinePunct w:val="0"/>
        <w:autoSpaceDE/>
        <w:autoSpaceDN/>
        <w:bidi w:val="0"/>
        <w:adjustRightInd w:val="0"/>
        <w:snapToGrid w:val="0"/>
        <w:spacing w:after="0" w:line="520" w:lineRule="exact"/>
        <w:ind w:left="0"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.实践</w:t>
      </w:r>
      <w:r>
        <w:rPr>
          <w:rFonts w:hint="eastAsia" w:ascii="仿宋_GB2312" w:hAnsi="仿宋_GB2312" w:eastAsia="仿宋_GB2312" w:cs="仿宋_GB2312"/>
          <w:color w:val="auto"/>
          <w:sz w:val="32"/>
          <w:szCs w:val="32"/>
          <w:highlight w:val="none"/>
          <w:lang w:val="en-US" w:eastAsia="zh-CN"/>
        </w:rPr>
        <w:t>性</w:t>
      </w:r>
      <w:r>
        <w:rPr>
          <w:rFonts w:hint="eastAsia" w:ascii="仿宋_GB2312" w:hAnsi="仿宋_GB2312" w:eastAsia="仿宋_GB2312" w:cs="仿宋_GB2312"/>
          <w:color w:val="auto"/>
          <w:sz w:val="32"/>
          <w:szCs w:val="32"/>
          <w:highlight w:val="none"/>
        </w:rPr>
        <w:t>教学环节 ：</w:t>
      </w:r>
      <w:r>
        <w:rPr>
          <w:rFonts w:hint="eastAsia" w:ascii="仿宋_GB2312" w:hAnsi="仿宋_GB2312" w:eastAsia="仿宋_GB2312" w:cs="仿宋_GB2312"/>
          <w:color w:val="auto"/>
          <w:sz w:val="32"/>
          <w:szCs w:val="32"/>
          <w:highlight w:val="none"/>
          <w:lang w:val="en-US" w:eastAsia="zh-CN"/>
        </w:rPr>
        <w:t>毕业设计、岗位实习。</w:t>
      </w:r>
    </w:p>
    <w:p>
      <w:pPr>
        <w:keepNext w:val="0"/>
        <w:keepLines w:val="0"/>
        <w:pageBreakBefore w:val="0"/>
        <w:widowControl w:val="0"/>
        <w:kinsoku/>
        <w:wordWrap/>
        <w:overflowPunct w:val="0"/>
        <w:topLinePunct w:val="0"/>
        <w:autoSpaceDE/>
        <w:autoSpaceDN/>
        <w:bidi w:val="0"/>
        <w:adjustRightInd w:val="0"/>
        <w:spacing w:after="0" w:line="520" w:lineRule="exact"/>
        <w:ind w:left="0"/>
        <w:jc w:val="center"/>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 xml:space="preserve">6 </w:t>
      </w:r>
      <w:r>
        <w:rPr>
          <w:rFonts w:hint="eastAsia" w:ascii="仿宋_GB2312" w:hAnsi="仿宋_GB2312" w:eastAsia="仿宋_GB2312" w:cs="仿宋_GB2312"/>
          <w:color w:val="auto"/>
          <w:sz w:val="32"/>
          <w:szCs w:val="32"/>
          <w:highlight w:val="none"/>
        </w:rPr>
        <w:t>实践</w:t>
      </w:r>
      <w:r>
        <w:rPr>
          <w:rFonts w:hint="eastAsia" w:ascii="仿宋_GB2312" w:hAnsi="仿宋_GB2312" w:eastAsia="仿宋_GB2312" w:cs="仿宋_GB2312"/>
          <w:color w:val="auto"/>
          <w:sz w:val="32"/>
          <w:szCs w:val="32"/>
          <w:highlight w:val="none"/>
          <w:lang w:val="en-US" w:eastAsia="zh-CN"/>
        </w:rPr>
        <w:t>性</w:t>
      </w:r>
      <w:r>
        <w:rPr>
          <w:rFonts w:hint="eastAsia" w:ascii="仿宋_GB2312" w:hAnsi="仿宋_GB2312" w:eastAsia="仿宋_GB2312" w:cs="仿宋_GB2312"/>
          <w:color w:val="auto"/>
          <w:sz w:val="32"/>
          <w:szCs w:val="32"/>
          <w:highlight w:val="none"/>
        </w:rPr>
        <w:t>教学环节课程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10"/>
        <w:tblW w:w="99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6"/>
        <w:gridCol w:w="856"/>
        <w:gridCol w:w="3238"/>
        <w:gridCol w:w="2357"/>
        <w:gridCol w:w="26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Align w:val="center"/>
          </w:tcPr>
          <w:p>
            <w:pPr>
              <w:pageBreakBefore w:val="0"/>
              <w:kinsoku/>
              <w:wordWrap/>
              <w:overflowPunct w:val="0"/>
              <w:topLinePunct w:val="0"/>
              <w:autoSpaceDE/>
              <w:autoSpaceDN/>
              <w:bidi w:val="0"/>
              <w:adjustRightInd w:val="0"/>
              <w:spacing w:after="0" w:line="360" w:lineRule="exact"/>
              <w:ind w:left="0"/>
              <w:jc w:val="center"/>
              <w:rPr>
                <w:rFonts w:hint="eastAsia" w:ascii="仿宋_GB2312" w:hAnsi="仿宋_GB2312" w:eastAsia="仿宋_GB2312" w:cs="仿宋_GB2312"/>
                <w:color w:val="auto"/>
                <w:sz w:val="24"/>
                <w:szCs w:val="24"/>
                <w:highlight w:val="none"/>
              </w:rPr>
            </w:pPr>
            <w:bookmarkStart w:id="7" w:name="OLE_LINK21"/>
            <w:r>
              <w:rPr>
                <w:rFonts w:hint="eastAsia" w:ascii="仿宋_GB2312" w:hAnsi="仿宋_GB2312" w:eastAsia="仿宋_GB2312" w:cs="仿宋_GB2312"/>
                <w:color w:val="auto"/>
                <w:sz w:val="24"/>
                <w:szCs w:val="24"/>
                <w:highlight w:val="none"/>
              </w:rPr>
              <w:t>序号</w:t>
            </w:r>
          </w:p>
        </w:tc>
        <w:tc>
          <w:tcPr>
            <w:tcW w:w="856" w:type="dxa"/>
            <w:vAlign w:val="center"/>
          </w:tcPr>
          <w:p>
            <w:pPr>
              <w:pageBreakBefore w:val="0"/>
              <w:kinsoku/>
              <w:wordWrap/>
              <w:topLinePunct w:val="0"/>
              <w:autoSpaceDE/>
              <w:autoSpaceDN/>
              <w:bidi w:val="0"/>
              <w:spacing w:after="0" w:line="360" w:lineRule="exact"/>
              <w:ind w:left="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名称</w:t>
            </w:r>
          </w:p>
        </w:tc>
        <w:tc>
          <w:tcPr>
            <w:tcW w:w="3238" w:type="dxa"/>
            <w:vAlign w:val="center"/>
          </w:tcPr>
          <w:p>
            <w:pPr>
              <w:pageBreakBefore w:val="0"/>
              <w:kinsoku/>
              <w:wordWrap/>
              <w:topLinePunct w:val="0"/>
              <w:autoSpaceDE/>
              <w:autoSpaceDN/>
              <w:bidi w:val="0"/>
              <w:spacing w:after="0" w:line="360" w:lineRule="exact"/>
              <w:ind w:left="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w:t>
            </w:r>
            <w:r>
              <w:rPr>
                <w:rFonts w:hint="eastAsia" w:ascii="仿宋_GB2312" w:hAnsi="仿宋_GB2312" w:eastAsia="仿宋_GB2312" w:cs="仿宋_GB2312"/>
                <w:color w:val="auto"/>
                <w:sz w:val="24"/>
                <w:szCs w:val="24"/>
                <w:highlight w:val="none"/>
              </w:rPr>
              <w:t>目标</w:t>
            </w:r>
          </w:p>
        </w:tc>
        <w:tc>
          <w:tcPr>
            <w:tcW w:w="2357" w:type="dxa"/>
            <w:vAlign w:val="center"/>
          </w:tcPr>
          <w:p>
            <w:pPr>
              <w:pageBreakBefore w:val="0"/>
              <w:kinsoku/>
              <w:wordWrap/>
              <w:topLinePunct w:val="0"/>
              <w:autoSpaceDE/>
              <w:autoSpaceDN/>
              <w:bidi w:val="0"/>
              <w:spacing w:after="0" w:line="360" w:lineRule="exact"/>
              <w:ind w:left="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主要</w:t>
            </w:r>
            <w:r>
              <w:rPr>
                <w:rFonts w:hint="eastAsia" w:ascii="仿宋_GB2312" w:hAnsi="仿宋_GB2312" w:eastAsia="仿宋_GB2312" w:cs="仿宋_GB2312"/>
                <w:color w:val="auto"/>
                <w:sz w:val="24"/>
                <w:szCs w:val="24"/>
                <w:highlight w:val="none"/>
              </w:rPr>
              <w:t>教学内容</w:t>
            </w:r>
          </w:p>
        </w:tc>
        <w:tc>
          <w:tcPr>
            <w:tcW w:w="2619" w:type="dxa"/>
            <w:vAlign w:val="center"/>
          </w:tcPr>
          <w:p>
            <w:pPr>
              <w:pageBreakBefore w:val="0"/>
              <w:kinsoku/>
              <w:wordWrap/>
              <w:topLinePunct w:val="0"/>
              <w:autoSpaceDE/>
              <w:autoSpaceDN/>
              <w:bidi w:val="0"/>
              <w:spacing w:after="0" w:line="360" w:lineRule="exact"/>
              <w:ind w:left="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76" w:type="dxa"/>
            <w:vAlign w:val="center"/>
          </w:tcPr>
          <w:p>
            <w:pPr>
              <w:pageBreakBefore w:val="0"/>
              <w:kinsoku/>
              <w:wordWrap/>
              <w:overflowPunct w:val="0"/>
              <w:topLinePunct w:val="0"/>
              <w:autoSpaceDE/>
              <w:autoSpaceDN/>
              <w:bidi w:val="0"/>
              <w:adjustRightInd w:val="0"/>
              <w:spacing w:after="0" w:line="360" w:lineRule="exact"/>
              <w:ind w:left="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w:t>
            </w:r>
          </w:p>
        </w:tc>
        <w:tc>
          <w:tcPr>
            <w:tcW w:w="856" w:type="dxa"/>
            <w:vAlign w:val="center"/>
          </w:tcPr>
          <w:p>
            <w:pPr>
              <w:pageBreakBefore w:val="0"/>
              <w:kinsoku/>
              <w:wordWrap/>
              <w:topLinePunct w:val="0"/>
              <w:autoSpaceDE/>
              <w:autoSpaceDN/>
              <w:bidi w:val="0"/>
              <w:spacing w:after="0" w:line="360" w:lineRule="exact"/>
              <w:ind w:left="0"/>
              <w:jc w:val="left"/>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毕业设计</w:t>
            </w:r>
          </w:p>
        </w:tc>
        <w:tc>
          <w:tcPr>
            <w:tcW w:w="3238" w:type="dxa"/>
            <w:vAlign w:val="center"/>
          </w:tcPr>
          <w:p>
            <w:pPr>
              <w:keepNext w:val="0"/>
              <w:keepLines w:val="0"/>
              <w:pageBreakBefore w:val="0"/>
              <w:widowControl w:val="0"/>
              <w:kinsoku/>
              <w:wordWrap/>
              <w:overflowPunct w:val="0"/>
              <w:topLinePunct w:val="0"/>
              <w:autoSpaceDE/>
              <w:autoSpaceDN/>
              <w:bidi w:val="0"/>
              <w:adjustRightInd w:val="0"/>
              <w:snapToGrid/>
              <w:spacing w:after="0" w:line="36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掌握物业项目调研、方案设计及报告撰写等专业知识与规范。​</w:t>
            </w:r>
          </w:p>
          <w:p>
            <w:pPr>
              <w:keepNext w:val="0"/>
              <w:keepLines w:val="0"/>
              <w:pageBreakBefore w:val="0"/>
              <w:widowControl w:val="0"/>
              <w:kinsoku/>
              <w:wordWrap/>
              <w:overflowPunct w:val="0"/>
              <w:topLinePunct w:val="0"/>
              <w:autoSpaceDE/>
              <w:autoSpaceDN/>
              <w:bidi w:val="0"/>
              <w:adjustRightInd w:val="0"/>
              <w:snapToGrid/>
              <w:spacing w:after="0" w:line="36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能独立完成物业课题研究、方案制定及成果展示与答辩。​</w:t>
            </w:r>
          </w:p>
          <w:p>
            <w:pPr>
              <w:keepNext w:val="0"/>
              <w:keepLines w:val="0"/>
              <w:pageBreakBefore w:val="0"/>
              <w:widowControl w:val="0"/>
              <w:kinsoku/>
              <w:wordWrap/>
              <w:overflowPunct w:val="0"/>
              <w:topLinePunct w:val="0"/>
              <w:autoSpaceDE/>
              <w:autoSpaceDN/>
              <w:bidi w:val="0"/>
              <w:adjustRightInd w:val="0"/>
              <w:snapToGrid/>
              <w:spacing w:after="0" w:line="36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培养专业综合应用能力、严谨态度与创新思维及责任意识。​</w:t>
            </w:r>
          </w:p>
          <w:p>
            <w:pPr>
              <w:keepNext w:val="0"/>
              <w:keepLines w:val="0"/>
              <w:pageBreakBefore w:val="0"/>
              <w:widowControl w:val="0"/>
              <w:kinsoku/>
              <w:wordWrap/>
              <w:overflowPunct w:val="0"/>
              <w:topLinePunct w:val="0"/>
              <w:autoSpaceDE/>
              <w:autoSpaceDN/>
              <w:bidi w:val="0"/>
              <w:adjustRightInd w:val="0"/>
              <w:snapToGrid/>
              <w:spacing w:after="0" w:line="36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树立学术诚信，强化专业担当，助力解决实际物业问题。</w:t>
            </w:r>
          </w:p>
        </w:tc>
        <w:tc>
          <w:tcPr>
            <w:tcW w:w="2357" w:type="dxa"/>
            <w:vAlign w:val="top"/>
          </w:tcPr>
          <w:p>
            <w:pPr>
              <w:keepNext w:val="0"/>
              <w:keepLines w:val="0"/>
              <w:pageBreakBefore w:val="0"/>
              <w:widowControl w:val="0"/>
              <w:kinsoku/>
              <w:wordWrap/>
              <w:overflowPunct w:val="0"/>
              <w:topLinePunct w:val="0"/>
              <w:autoSpaceDE/>
              <w:autoSpaceDN/>
              <w:bidi w:val="0"/>
              <w:adjustRightInd w:val="0"/>
              <w:snapToGrid/>
              <w:spacing w:after="0" w:line="360" w:lineRule="exact"/>
              <w:ind w:lef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选题和资料收集；分析和计划；开题报告；撰写初稿；修改定稿；答辩。</w:t>
            </w:r>
          </w:p>
        </w:tc>
        <w:tc>
          <w:tcPr>
            <w:tcW w:w="2619" w:type="dxa"/>
            <w:vAlign w:val="top"/>
          </w:tcPr>
          <w:p>
            <w:pPr>
              <w:keepNext w:val="0"/>
              <w:keepLines w:val="0"/>
              <w:pageBreakBefore w:val="0"/>
              <w:widowControl w:val="0"/>
              <w:kinsoku/>
              <w:wordWrap/>
              <w:overflowPunct/>
              <w:topLinePunct w:val="0"/>
              <w:autoSpaceDE/>
              <w:autoSpaceDN/>
              <w:bidi w:val="0"/>
              <w:adjustRightInd/>
              <w:snapToGrid/>
              <w:spacing w:after="0" w:line="360" w:lineRule="atLeast"/>
              <w:ind w:lef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选题需紧扣物业实际问题，需完成实地调研与数据支撑；方案设计要符合行业规范，体现专业知识综合应用；成果需结构完整、逻辑清晰，通过答辩展示研究价值；全程坚守学术诚信，杜绝抄袭。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6" w:type="dxa"/>
            <w:vAlign w:val="center"/>
          </w:tcPr>
          <w:p>
            <w:pPr>
              <w:pageBreakBefore w:val="0"/>
              <w:kinsoku/>
              <w:wordWrap/>
              <w:overflowPunct w:val="0"/>
              <w:topLinePunct w:val="0"/>
              <w:autoSpaceDE/>
              <w:autoSpaceDN/>
              <w:bidi w:val="0"/>
              <w:adjustRightInd w:val="0"/>
              <w:spacing w:after="0" w:line="360" w:lineRule="exact"/>
              <w:ind w:left="0"/>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856" w:type="dxa"/>
            <w:vAlign w:val="center"/>
          </w:tcPr>
          <w:p>
            <w:pPr>
              <w:pageBreakBefore w:val="0"/>
              <w:kinsoku/>
              <w:wordWrap/>
              <w:topLinePunct w:val="0"/>
              <w:autoSpaceDE/>
              <w:autoSpaceDN/>
              <w:bidi w:val="0"/>
              <w:spacing w:after="0" w:line="360" w:lineRule="exact"/>
              <w:ind w:left="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岗位实习</w:t>
            </w:r>
          </w:p>
        </w:tc>
        <w:tc>
          <w:tcPr>
            <w:tcW w:w="3238" w:type="dxa"/>
            <w:vAlign w:val="top"/>
          </w:tcPr>
          <w:p>
            <w:pPr>
              <w:keepNext w:val="0"/>
              <w:keepLines w:val="0"/>
              <w:pageBreakBefore w:val="0"/>
              <w:widowControl w:val="0"/>
              <w:kinsoku/>
              <w:wordWrap/>
              <w:overflowPunct/>
              <w:topLinePunct w:val="0"/>
              <w:autoSpaceDE/>
              <w:autoSpaceDN/>
              <w:bidi w:val="0"/>
              <w:adjustRightInd/>
              <w:snapToGrid/>
              <w:spacing w:after="0" w:line="360" w:lineRule="atLeast"/>
              <w:ind w:left="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掌握物业岗位业务流程、服务标准及应急处理规范，理解运营逻辑。​</w:t>
            </w:r>
          </w:p>
          <w:p>
            <w:pPr>
              <w:keepNext w:val="0"/>
              <w:keepLines w:val="0"/>
              <w:pageBreakBefore w:val="0"/>
              <w:widowControl w:val="0"/>
              <w:kinsoku/>
              <w:wordWrap/>
              <w:overflowPunct/>
              <w:topLinePunct w:val="0"/>
              <w:autoSpaceDE/>
              <w:autoSpaceDN/>
              <w:bidi w:val="0"/>
              <w:adjustRightInd/>
              <w:snapToGrid/>
              <w:spacing w:after="0" w:line="360" w:lineRule="atLeast"/>
              <w:ind w:left="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能独立开展客户服务、设施巡检等工作，解决现场实际问题。</w:t>
            </w:r>
          </w:p>
          <w:p>
            <w:pPr>
              <w:keepNext w:val="0"/>
              <w:keepLines w:val="0"/>
              <w:pageBreakBefore w:val="0"/>
              <w:widowControl w:val="0"/>
              <w:kinsoku/>
              <w:wordWrap/>
              <w:overflowPunct/>
              <w:topLinePunct w:val="0"/>
              <w:autoSpaceDE/>
              <w:autoSpaceDN/>
              <w:bidi w:val="0"/>
              <w:adjustRightInd/>
              <w:snapToGrid/>
              <w:spacing w:after="0" w:line="360" w:lineRule="atLeast"/>
              <w:ind w:left="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培养职业责任感与服务意识，提升岗位适应力和团队协作力。​</w:t>
            </w:r>
          </w:p>
          <w:p>
            <w:pPr>
              <w:keepNext w:val="0"/>
              <w:keepLines w:val="0"/>
              <w:pageBreakBefore w:val="0"/>
              <w:widowControl w:val="0"/>
              <w:kinsoku/>
              <w:wordWrap/>
              <w:overflowPunct/>
              <w:topLinePunct w:val="0"/>
              <w:autoSpaceDE/>
              <w:autoSpaceDN/>
              <w:bidi w:val="0"/>
              <w:adjustRightInd/>
              <w:snapToGrid/>
              <w:spacing w:after="0" w:line="360" w:lineRule="atLeast"/>
              <w:ind w:left="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树立诚信服务理念，强化社会责任，践行物业人的担当精神。</w:t>
            </w:r>
          </w:p>
        </w:tc>
        <w:tc>
          <w:tcPr>
            <w:tcW w:w="2357" w:type="dxa"/>
            <w:vAlign w:val="top"/>
          </w:tcPr>
          <w:p>
            <w:pPr>
              <w:keepNext w:val="0"/>
              <w:keepLines w:val="0"/>
              <w:pageBreakBefore w:val="0"/>
              <w:widowControl w:val="0"/>
              <w:kinsoku/>
              <w:wordWrap/>
              <w:overflowPunct w:val="0"/>
              <w:topLinePunct w:val="0"/>
              <w:autoSpaceDE/>
              <w:autoSpaceDN/>
              <w:bidi w:val="0"/>
              <w:adjustRightInd w:val="0"/>
              <w:snapToGrid/>
              <w:spacing w:after="0" w:line="360" w:lineRule="exac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物业管理员岗位实习、客户服务管理员岗位实习、智能楼宇管理员岗位实习、管理咨询专业人员岗位实习。</w:t>
            </w:r>
          </w:p>
        </w:tc>
        <w:tc>
          <w:tcPr>
            <w:tcW w:w="2619" w:type="dxa"/>
            <w:vAlign w:val="top"/>
          </w:tcPr>
          <w:p>
            <w:pPr>
              <w:keepNext w:val="0"/>
              <w:keepLines w:val="0"/>
              <w:pageBreakBefore w:val="0"/>
              <w:widowControl w:val="0"/>
              <w:kinsoku/>
              <w:wordWrap/>
              <w:overflowPunct/>
              <w:topLinePunct w:val="0"/>
              <w:autoSpaceDE/>
              <w:autoSpaceDN/>
              <w:bidi w:val="0"/>
              <w:adjustRightInd/>
              <w:snapToGrid/>
              <w:spacing w:after="0" w:line="360" w:lineRule="atLeast"/>
              <w:ind w:left="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选题需结合物业实际，调研要真实充分；方案设计需符合法规与行业标准，体现专业融合；成果需论点明确、论据可靠，通过答辩；全程严守学术道德，禁止弄虚作假。</w:t>
            </w:r>
          </w:p>
        </w:tc>
      </w:tr>
      <w:bookmarkEnd w:id="7"/>
    </w:tbl>
    <w:p>
      <w:pPr>
        <w:keepNext w:val="0"/>
        <w:keepLines w:val="0"/>
        <w:pageBreakBefore w:val="0"/>
        <w:widowControl w:val="0"/>
        <w:kinsoku/>
        <w:wordWrap/>
        <w:topLinePunct w:val="0"/>
        <w:autoSpaceDE/>
        <w:autoSpaceDN/>
        <w:bidi w:val="0"/>
        <w:snapToGrid/>
        <w:spacing w:after="0" w:line="520" w:lineRule="exact"/>
        <w:ind w:left="0"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（三）第二课堂</w:t>
      </w:r>
      <w:r>
        <w:rPr>
          <w:rFonts w:hint="eastAsia" w:ascii="楷体" w:hAnsi="楷体" w:eastAsia="楷体" w:cs="楷体"/>
          <w:color w:val="auto"/>
          <w:sz w:val="32"/>
          <w:szCs w:val="32"/>
          <w:highlight w:val="none"/>
          <w:lang w:val="en-US" w:eastAsia="zh-CN"/>
        </w:rPr>
        <w:t>素质教育课</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第二课堂</w:t>
      </w:r>
      <w:r>
        <w:rPr>
          <w:rFonts w:hint="eastAsia" w:ascii="仿宋_GB2312" w:hAnsi="仿宋_GB2312" w:eastAsia="仿宋_GB2312" w:cs="仿宋_GB2312"/>
          <w:color w:val="auto"/>
          <w:sz w:val="32"/>
          <w:szCs w:val="32"/>
          <w:highlight w:val="none"/>
          <w:lang w:val="en-US" w:eastAsia="zh-CN"/>
        </w:rPr>
        <w:t>素质教育课</w:t>
      </w:r>
      <w:r>
        <w:rPr>
          <w:rFonts w:hint="eastAsia" w:ascii="仿宋_GB2312" w:hAnsi="仿宋_GB2312" w:eastAsia="仿宋_GB2312" w:cs="仿宋_GB2312"/>
          <w:color w:val="auto"/>
          <w:sz w:val="32"/>
          <w:szCs w:val="32"/>
          <w:highlight w:val="none"/>
        </w:rPr>
        <w:t>包括思想成长、</w:t>
      </w:r>
      <w:r>
        <w:rPr>
          <w:rFonts w:hint="eastAsia" w:ascii="仿宋_GB2312" w:hAnsi="仿宋_GB2312" w:eastAsia="仿宋_GB2312" w:cs="仿宋_GB2312"/>
          <w:color w:val="auto"/>
          <w:sz w:val="32"/>
          <w:szCs w:val="32"/>
          <w:highlight w:val="none"/>
          <w:lang w:val="en-US" w:eastAsia="zh-CN"/>
        </w:rPr>
        <w:t>实践实习</w:t>
      </w:r>
      <w:r>
        <w:rPr>
          <w:rFonts w:hint="eastAsia" w:ascii="仿宋_GB2312" w:hAnsi="仿宋_GB2312" w:eastAsia="仿宋_GB2312" w:cs="仿宋_GB2312"/>
          <w:color w:val="auto"/>
          <w:sz w:val="32"/>
          <w:szCs w:val="32"/>
          <w:highlight w:val="none"/>
        </w:rPr>
        <w:t>、创新创业、</w:t>
      </w:r>
      <w:r>
        <w:rPr>
          <w:rFonts w:hint="eastAsia" w:ascii="仿宋_GB2312" w:hAnsi="仿宋_GB2312" w:eastAsia="仿宋_GB2312" w:cs="仿宋_GB2312"/>
          <w:color w:val="auto"/>
          <w:sz w:val="32"/>
          <w:szCs w:val="32"/>
          <w:highlight w:val="none"/>
          <w:lang w:val="en-US" w:eastAsia="zh-CN"/>
        </w:rPr>
        <w:t>志愿公益、</w:t>
      </w:r>
      <w:r>
        <w:rPr>
          <w:rFonts w:hint="eastAsia" w:ascii="仿宋_GB2312" w:hAnsi="仿宋_GB2312" w:eastAsia="仿宋_GB2312" w:cs="仿宋_GB2312"/>
          <w:color w:val="auto"/>
          <w:sz w:val="32"/>
          <w:szCs w:val="32"/>
          <w:highlight w:val="none"/>
        </w:rPr>
        <w:t>文体</w:t>
      </w:r>
      <w:r>
        <w:rPr>
          <w:rFonts w:hint="eastAsia" w:ascii="仿宋_GB2312" w:hAnsi="仿宋_GB2312" w:eastAsia="仿宋_GB2312" w:cs="仿宋_GB2312"/>
          <w:color w:val="auto"/>
          <w:sz w:val="32"/>
          <w:szCs w:val="32"/>
          <w:highlight w:val="none"/>
          <w:lang w:val="en-US" w:eastAsia="zh-CN"/>
        </w:rPr>
        <w:t>活动</w:t>
      </w:r>
      <w:r>
        <w:rPr>
          <w:rFonts w:hint="eastAsia" w:ascii="仿宋_GB2312" w:hAnsi="仿宋_GB2312" w:eastAsia="仿宋_GB2312" w:cs="仿宋_GB2312"/>
          <w:color w:val="auto"/>
          <w:sz w:val="32"/>
          <w:szCs w:val="32"/>
          <w:highlight w:val="none"/>
        </w:rPr>
        <w:t>、工作履历</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专业技能特长等其他各类课程及活动。</w:t>
      </w:r>
    </w:p>
    <w:p>
      <w:pPr>
        <w:keepNext w:val="0"/>
        <w:keepLines w:val="0"/>
        <w:pageBreakBefore w:val="0"/>
        <w:widowControl w:val="0"/>
        <w:kinsoku/>
        <w:wordWrap/>
        <w:overflowPunct w:val="0"/>
        <w:topLinePunct w:val="0"/>
        <w:autoSpaceDE/>
        <w:autoSpaceDN/>
        <w:bidi w:val="0"/>
        <w:adjustRightInd w:val="0"/>
        <w:snapToGrid/>
        <w:spacing w:after="0" w:line="520" w:lineRule="exact"/>
        <w:ind w:left="0"/>
        <w:jc w:val="center"/>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val="en-US" w:eastAsia="zh-CN"/>
        </w:rPr>
        <w:t>第二课堂素质教育课安排表</w:t>
      </w:r>
    </w:p>
    <w:tbl>
      <w:tblPr>
        <w:tblStyle w:val="10"/>
        <w:tblW w:w="10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3573"/>
        <w:gridCol w:w="880"/>
        <w:gridCol w:w="1013"/>
        <w:gridCol w:w="1040"/>
        <w:gridCol w:w="1427"/>
        <w:gridCol w:w="10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360" w:lineRule="exact"/>
              <w:ind w:left="0"/>
              <w:jc w:val="center"/>
              <w:textAlignment w:val="auto"/>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val="en-US" w:eastAsia="zh-CN"/>
              </w:rPr>
              <w:t>模块</w:t>
            </w:r>
          </w:p>
        </w:tc>
        <w:tc>
          <w:tcPr>
            <w:tcW w:w="3573" w:type="dxa"/>
            <w:vAlign w:val="center"/>
          </w:tcPr>
          <w:p>
            <w:pPr>
              <w:keepNext w:val="0"/>
              <w:keepLines w:val="0"/>
              <w:pageBreakBefore w:val="0"/>
              <w:widowControl w:val="0"/>
              <w:kinsoku/>
              <w:wordWrap/>
              <w:topLinePunct w:val="0"/>
              <w:autoSpaceDE/>
              <w:autoSpaceDN/>
              <w:bidi w:val="0"/>
              <w:snapToGrid/>
              <w:spacing w:after="0" w:line="360" w:lineRule="exact"/>
              <w:ind w:left="0"/>
              <w:jc w:val="center"/>
              <w:textAlignment w:val="auto"/>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szCs w:val="24"/>
                <w:highlight w:val="none"/>
                <w:lang w:val="en-US" w:eastAsia="zh-CN"/>
              </w:rPr>
              <w:t>内容</w:t>
            </w:r>
          </w:p>
        </w:tc>
        <w:tc>
          <w:tcPr>
            <w:tcW w:w="880" w:type="dxa"/>
            <w:vAlign w:val="center"/>
          </w:tcPr>
          <w:p>
            <w:pPr>
              <w:keepNext w:val="0"/>
              <w:keepLines w:val="0"/>
              <w:pageBreakBefore w:val="0"/>
              <w:widowControl w:val="0"/>
              <w:kinsoku/>
              <w:wordWrap/>
              <w:topLinePunct w:val="0"/>
              <w:autoSpaceDE/>
              <w:autoSpaceDN/>
              <w:bidi w:val="0"/>
              <w:snapToGrid/>
              <w:spacing w:after="0" w:line="360" w:lineRule="exact"/>
              <w:ind w:left="0"/>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性质</w:t>
            </w:r>
          </w:p>
        </w:tc>
        <w:tc>
          <w:tcPr>
            <w:tcW w:w="1013" w:type="dxa"/>
            <w:vAlign w:val="center"/>
          </w:tcPr>
          <w:p>
            <w:pPr>
              <w:keepNext w:val="0"/>
              <w:keepLines w:val="0"/>
              <w:pageBreakBefore w:val="0"/>
              <w:widowControl w:val="0"/>
              <w:kinsoku/>
              <w:wordWrap/>
              <w:topLinePunct w:val="0"/>
              <w:autoSpaceDE/>
              <w:autoSpaceDN/>
              <w:bidi w:val="0"/>
              <w:snapToGrid/>
              <w:spacing w:after="0" w:line="36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组织者</w:t>
            </w:r>
          </w:p>
        </w:tc>
        <w:tc>
          <w:tcPr>
            <w:tcW w:w="1040" w:type="dxa"/>
            <w:vAlign w:val="center"/>
          </w:tcPr>
          <w:p>
            <w:pPr>
              <w:keepNext w:val="0"/>
              <w:keepLines w:val="0"/>
              <w:pageBreakBefore w:val="0"/>
              <w:widowControl w:val="0"/>
              <w:kinsoku/>
              <w:wordWrap/>
              <w:topLinePunct w:val="0"/>
              <w:autoSpaceDE/>
              <w:autoSpaceDN/>
              <w:bidi w:val="0"/>
              <w:snapToGrid/>
              <w:spacing w:after="0" w:line="36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认定者</w:t>
            </w:r>
          </w:p>
        </w:tc>
        <w:tc>
          <w:tcPr>
            <w:tcW w:w="1427" w:type="dxa"/>
            <w:vAlign w:val="center"/>
          </w:tcPr>
          <w:p>
            <w:pPr>
              <w:keepNext w:val="0"/>
              <w:keepLines w:val="0"/>
              <w:pageBreakBefore w:val="0"/>
              <w:widowControl w:val="0"/>
              <w:kinsoku/>
              <w:wordWrap/>
              <w:topLinePunct w:val="0"/>
              <w:autoSpaceDE/>
              <w:autoSpaceDN/>
              <w:bidi w:val="0"/>
              <w:snapToGrid/>
              <w:spacing w:after="0" w:line="36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计分标准</w:t>
            </w:r>
          </w:p>
        </w:tc>
        <w:tc>
          <w:tcPr>
            <w:tcW w:w="1045" w:type="dxa"/>
            <w:vAlign w:val="center"/>
          </w:tcPr>
          <w:p>
            <w:pPr>
              <w:keepNext w:val="0"/>
              <w:keepLines w:val="0"/>
              <w:pageBreakBefore w:val="0"/>
              <w:widowControl w:val="0"/>
              <w:kinsoku/>
              <w:wordWrap/>
              <w:topLinePunct w:val="0"/>
              <w:autoSpaceDE/>
              <w:autoSpaceDN/>
              <w:bidi w:val="0"/>
              <w:snapToGrid/>
              <w:spacing w:after="0" w:line="360" w:lineRule="exact"/>
              <w:ind w:left="0"/>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7"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思想成长</w:t>
            </w:r>
          </w:p>
        </w:tc>
        <w:tc>
          <w:tcPr>
            <w:tcW w:w="3573" w:type="dxa"/>
            <w:vAlign w:val="center"/>
          </w:tcPr>
          <w:p>
            <w:pPr>
              <w:keepNext w:val="0"/>
              <w:keepLines w:val="0"/>
              <w:pageBreakBefore w:val="0"/>
              <w:widowControl w:val="0"/>
              <w:numPr>
                <w:ilvl w:val="0"/>
                <w:numId w:val="0"/>
              </w:numPr>
              <w:kinsoku/>
              <w:wordWrap/>
              <w:topLinePunct w:val="0"/>
              <w:autoSpaceDE/>
              <w:autoSpaceDN/>
              <w:bidi w:val="0"/>
              <w:snapToGrid/>
              <w:spacing w:after="0" w:line="240" w:lineRule="atLeast"/>
              <w:ind w:left="0"/>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1.思想政治教育</w:t>
            </w:r>
            <w:r>
              <w:rPr>
                <w:rFonts w:hint="eastAsia" w:ascii="仿宋_GB2312" w:hAnsi="仿宋_GB2312" w:eastAsia="仿宋_GB2312" w:cs="仿宋_GB2312"/>
                <w:b w:val="0"/>
                <w:bCs w:val="0"/>
                <w:color w:val="000000"/>
                <w:sz w:val="24"/>
                <w:szCs w:val="24"/>
                <w:highlight w:val="none"/>
              </w:rPr>
              <w:t>主题</w:t>
            </w:r>
            <w:r>
              <w:rPr>
                <w:rFonts w:hint="eastAsia" w:ascii="仿宋_GB2312" w:hAnsi="仿宋_GB2312" w:eastAsia="仿宋_GB2312" w:cs="仿宋_GB2312"/>
                <w:b w:val="0"/>
                <w:bCs w:val="0"/>
                <w:color w:val="000000"/>
                <w:sz w:val="24"/>
                <w:szCs w:val="24"/>
                <w:highlight w:val="none"/>
                <w:lang w:val="en-US" w:eastAsia="zh-CN"/>
              </w:rPr>
              <w:t>讲</w:t>
            </w:r>
            <w:r>
              <w:rPr>
                <w:rFonts w:hint="eastAsia" w:ascii="仿宋_GB2312" w:hAnsi="仿宋_GB2312" w:eastAsia="仿宋_GB2312" w:cs="仿宋_GB2312"/>
                <w:b w:val="0"/>
                <w:bCs w:val="0"/>
                <w:color w:val="000000"/>
                <w:sz w:val="24"/>
                <w:szCs w:val="24"/>
                <w:highlight w:val="none"/>
              </w:rPr>
              <w:t>座、形势与政策报告会</w:t>
            </w:r>
          </w:p>
          <w:p>
            <w:pPr>
              <w:keepNext w:val="0"/>
              <w:keepLines w:val="0"/>
              <w:pageBreakBefore w:val="0"/>
              <w:widowControl w:val="0"/>
              <w:numPr>
                <w:ilvl w:val="0"/>
                <w:numId w:val="0"/>
              </w:numPr>
              <w:kinsoku/>
              <w:wordWrap/>
              <w:topLinePunct w:val="0"/>
              <w:autoSpaceDE/>
              <w:autoSpaceDN/>
              <w:bidi w:val="0"/>
              <w:snapToGrid/>
              <w:spacing w:after="0" w:line="240" w:lineRule="atLeast"/>
              <w:ind w:left="0"/>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2.</w:t>
            </w:r>
            <w:r>
              <w:rPr>
                <w:rFonts w:hint="eastAsia" w:ascii="仿宋_GB2312" w:hAnsi="仿宋_GB2312" w:eastAsia="仿宋_GB2312" w:cs="仿宋_GB2312"/>
                <w:b w:val="0"/>
                <w:bCs w:val="0"/>
                <w:color w:val="000000"/>
                <w:sz w:val="24"/>
                <w:szCs w:val="24"/>
                <w:highlight w:val="none"/>
              </w:rPr>
              <w:t>爱国主义教育活动</w:t>
            </w:r>
          </w:p>
          <w:p>
            <w:pPr>
              <w:keepNext w:val="0"/>
              <w:keepLines w:val="0"/>
              <w:pageBreakBefore w:val="0"/>
              <w:widowControl w:val="0"/>
              <w:numPr>
                <w:ilvl w:val="0"/>
                <w:numId w:val="0"/>
              </w:numPr>
              <w:kinsoku/>
              <w:wordWrap/>
              <w:topLinePunct w:val="0"/>
              <w:autoSpaceDE/>
              <w:autoSpaceDN/>
              <w:bidi w:val="0"/>
              <w:snapToGrid/>
              <w:spacing w:after="0" w:line="240" w:lineRule="atLeast"/>
              <w:ind w:left="0" w:leftChars="0"/>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3.</w:t>
            </w:r>
            <w:r>
              <w:rPr>
                <w:rFonts w:hint="eastAsia" w:ascii="仿宋_GB2312" w:hAnsi="仿宋_GB2312" w:eastAsia="仿宋_GB2312" w:cs="仿宋_GB2312"/>
                <w:b w:val="0"/>
                <w:bCs w:val="0"/>
                <w:color w:val="000000"/>
                <w:sz w:val="24"/>
                <w:szCs w:val="24"/>
                <w:highlight w:val="none"/>
              </w:rPr>
              <w:t>党团组织生活</w:t>
            </w:r>
          </w:p>
          <w:p>
            <w:pPr>
              <w:keepNext w:val="0"/>
              <w:keepLines w:val="0"/>
              <w:pageBreakBefore w:val="0"/>
              <w:widowControl w:val="0"/>
              <w:numPr>
                <w:ilvl w:val="0"/>
                <w:numId w:val="0"/>
              </w:numPr>
              <w:kinsoku/>
              <w:wordWrap/>
              <w:topLinePunct w:val="0"/>
              <w:autoSpaceDE/>
              <w:autoSpaceDN/>
              <w:bidi w:val="0"/>
              <w:snapToGrid/>
              <w:spacing w:after="0" w:line="240" w:lineRule="atLeast"/>
              <w:ind w:left="0" w:leftChars="0"/>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4.</w:t>
            </w:r>
            <w:r>
              <w:rPr>
                <w:rFonts w:hint="eastAsia" w:ascii="仿宋_GB2312" w:hAnsi="仿宋_GB2312" w:eastAsia="仿宋_GB2312" w:cs="仿宋_GB2312"/>
                <w:b w:val="0"/>
                <w:bCs w:val="0"/>
                <w:color w:val="000000"/>
                <w:sz w:val="24"/>
                <w:szCs w:val="24"/>
                <w:highlight w:val="none"/>
              </w:rPr>
              <w:t xml:space="preserve">党团培训 </w:t>
            </w:r>
          </w:p>
          <w:p>
            <w:pPr>
              <w:keepNext w:val="0"/>
              <w:keepLines w:val="0"/>
              <w:pageBreakBefore w:val="0"/>
              <w:widowControl w:val="0"/>
              <w:numPr>
                <w:ilvl w:val="0"/>
                <w:numId w:val="0"/>
              </w:numPr>
              <w:kinsoku/>
              <w:wordWrap/>
              <w:topLinePunct w:val="0"/>
              <w:autoSpaceDE/>
              <w:autoSpaceDN/>
              <w:bidi w:val="0"/>
              <w:snapToGrid/>
              <w:spacing w:after="0" w:line="240" w:lineRule="atLeast"/>
              <w:ind w:left="0" w:leftChars="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5.</w:t>
            </w:r>
            <w:r>
              <w:rPr>
                <w:rFonts w:hint="eastAsia" w:ascii="仿宋_GB2312" w:hAnsi="仿宋_GB2312" w:eastAsia="仿宋_GB2312" w:cs="仿宋_GB2312"/>
                <w:b w:val="0"/>
                <w:bCs w:val="0"/>
                <w:color w:val="000000"/>
                <w:sz w:val="24"/>
                <w:szCs w:val="24"/>
                <w:highlight w:val="none"/>
              </w:rPr>
              <w:t>青年大学习</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校团委</w:t>
            </w:r>
          </w:p>
        </w:tc>
        <w:tc>
          <w:tcPr>
            <w:tcW w:w="1427"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045" w:type="dxa"/>
            <w:vMerge w:val="restart"/>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b w:val="0"/>
                <w:bCs w:val="0"/>
                <w:color w:val="000000"/>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b w:val="0"/>
                <w:bCs w:val="0"/>
                <w:color w:val="000000"/>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b w:val="0"/>
                <w:bCs w:val="0"/>
                <w:color w:val="000000"/>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b w:val="0"/>
                <w:bCs w:val="0"/>
                <w:color w:val="000000"/>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b w:val="0"/>
                <w:bCs w:val="0"/>
                <w:color w:val="000000"/>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b w:val="0"/>
                <w:bCs w:val="0"/>
                <w:color w:val="000000"/>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b w:val="0"/>
                <w:bCs w:val="0"/>
                <w:color w:val="000000"/>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b w:val="0"/>
                <w:bCs w:val="0"/>
                <w:color w:val="000000"/>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b w:val="0"/>
                <w:bCs w:val="0"/>
                <w:color w:val="000000"/>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b w:val="0"/>
                <w:bCs w:val="0"/>
                <w:color w:val="000000"/>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b w:val="0"/>
                <w:bCs w:val="0"/>
                <w:color w:val="000000"/>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b w:val="0"/>
                <w:bCs w:val="0"/>
                <w:color w:val="000000"/>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b w:val="0"/>
                <w:bCs w:val="0"/>
                <w:color w:val="000000"/>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b w:val="0"/>
                <w:bCs w:val="0"/>
                <w:color w:val="000000"/>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000000"/>
                <w:sz w:val="24"/>
                <w:szCs w:val="24"/>
                <w:highlight w:val="none"/>
              </w:rPr>
              <w:t>第二课堂成绩</w:t>
            </w:r>
            <w:r>
              <w:rPr>
                <w:rFonts w:hint="eastAsia" w:ascii="仿宋_GB2312" w:hAnsi="仿宋_GB2312" w:eastAsia="仿宋_GB2312" w:cs="仿宋_GB2312"/>
                <w:b w:val="0"/>
                <w:bCs w:val="0"/>
                <w:color w:val="000000"/>
                <w:sz w:val="24"/>
                <w:szCs w:val="24"/>
                <w:highlight w:val="none"/>
                <w:lang w:val="en-US" w:eastAsia="zh-CN"/>
              </w:rPr>
              <w:t>由</w:t>
            </w:r>
            <w:r>
              <w:rPr>
                <w:rFonts w:hint="eastAsia" w:ascii="仿宋_GB2312" w:hAnsi="仿宋_GB2312" w:eastAsia="仿宋_GB2312" w:cs="仿宋_GB2312"/>
                <w:b w:val="0"/>
                <w:bCs w:val="0"/>
                <w:color w:val="000000"/>
                <w:sz w:val="24"/>
                <w:szCs w:val="24"/>
                <w:highlight w:val="none"/>
              </w:rPr>
              <w:t xml:space="preserve">网络管理系 统（到梦 空间）实 时记录，学生在大一、 </w:t>
            </w:r>
            <w:r>
              <w:rPr>
                <w:rFonts w:hint="eastAsia" w:ascii="仿宋_GB2312" w:hAnsi="仿宋_GB2312" w:eastAsia="仿宋_GB2312" w:cs="仿宋_GB2312"/>
                <w:b w:val="0"/>
                <w:bCs w:val="0"/>
                <w:color w:val="000000"/>
                <w:sz w:val="24"/>
                <w:szCs w:val="24"/>
                <w:highlight w:val="none"/>
                <w:lang w:val="en-US" w:eastAsia="zh-CN"/>
              </w:rPr>
              <w:t>大</w:t>
            </w:r>
            <w:r>
              <w:rPr>
                <w:rFonts w:hint="eastAsia" w:ascii="仿宋_GB2312" w:hAnsi="仿宋_GB2312" w:eastAsia="仿宋_GB2312" w:cs="仿宋_GB2312"/>
                <w:b w:val="0"/>
                <w:bCs w:val="0"/>
                <w:color w:val="000000"/>
                <w:sz w:val="24"/>
                <w:szCs w:val="24"/>
                <w:highlight w:val="none"/>
              </w:rPr>
              <w:t>二期间</w:t>
            </w:r>
            <w:r>
              <w:rPr>
                <w:rFonts w:hint="eastAsia" w:ascii="仿宋_GB2312" w:hAnsi="仿宋_GB2312" w:eastAsia="仿宋_GB2312" w:cs="仿宋_GB2312"/>
                <w:b w:val="0"/>
                <w:bCs w:val="0"/>
                <w:color w:val="000000"/>
                <w:sz w:val="24"/>
                <w:szCs w:val="24"/>
                <w:highlight w:val="none"/>
                <w:lang w:val="en-US" w:eastAsia="zh-CN"/>
              </w:rPr>
              <w:t>积分达60分及以上，可获4</w:t>
            </w:r>
            <w:r>
              <w:rPr>
                <w:rFonts w:hint="eastAsia" w:ascii="仿宋_GB2312" w:hAnsi="仿宋_GB2312" w:eastAsia="仿宋_GB2312" w:cs="仿宋_GB2312"/>
                <w:b w:val="0"/>
                <w:bCs w:val="0"/>
                <w:color w:val="000000"/>
                <w:sz w:val="24"/>
                <w:szCs w:val="24"/>
                <w:highlight w:val="none"/>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实践</w:t>
            </w:r>
            <w:r>
              <w:rPr>
                <w:rFonts w:hint="eastAsia" w:ascii="仿宋_GB2312" w:hAnsi="仿宋_GB2312" w:eastAsia="仿宋_GB2312" w:cs="仿宋_GB2312"/>
                <w:color w:val="auto"/>
                <w:sz w:val="24"/>
                <w:szCs w:val="24"/>
                <w:highlight w:val="none"/>
                <w:lang w:val="en-US" w:eastAsia="zh-CN"/>
              </w:rPr>
              <w:t>实习</w:t>
            </w:r>
          </w:p>
        </w:tc>
        <w:tc>
          <w:tcPr>
            <w:tcW w:w="3573" w:type="dxa"/>
            <w:vAlign w:val="center"/>
          </w:tcPr>
          <w:p>
            <w:pPr>
              <w:keepNext w:val="0"/>
              <w:keepLines w:val="0"/>
              <w:pageBreakBefore w:val="0"/>
              <w:widowControl w:val="0"/>
              <w:numPr>
                <w:ilvl w:val="0"/>
                <w:numId w:val="0"/>
              </w:numPr>
              <w:kinsoku/>
              <w:wordWrap/>
              <w:topLinePunct w:val="0"/>
              <w:autoSpaceDE/>
              <w:autoSpaceDN/>
              <w:bidi w:val="0"/>
              <w:snapToGrid/>
              <w:spacing w:after="0" w:line="240" w:lineRule="atLeast"/>
              <w:ind w:left="0"/>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1.</w:t>
            </w:r>
            <w:r>
              <w:rPr>
                <w:rFonts w:hint="eastAsia" w:ascii="仿宋_GB2312" w:hAnsi="仿宋_GB2312" w:eastAsia="仿宋_GB2312" w:cs="仿宋_GB2312"/>
                <w:b w:val="0"/>
                <w:bCs w:val="0"/>
                <w:color w:val="000000"/>
                <w:sz w:val="24"/>
                <w:szCs w:val="24"/>
                <w:highlight w:val="none"/>
              </w:rPr>
              <w:t xml:space="preserve">暑期“三下乡”社会实践活动 </w:t>
            </w:r>
            <w:r>
              <w:rPr>
                <w:rFonts w:hint="eastAsia" w:ascii="仿宋_GB2312" w:hAnsi="仿宋_GB2312" w:eastAsia="仿宋_GB2312" w:cs="仿宋_GB2312"/>
                <w:b w:val="0"/>
                <w:bCs w:val="0"/>
                <w:color w:val="000000"/>
                <w:sz w:val="24"/>
                <w:szCs w:val="24"/>
                <w:highlight w:val="none"/>
                <w:lang w:val="en-US" w:eastAsia="zh-CN"/>
              </w:rPr>
              <w:t>2.</w:t>
            </w:r>
            <w:r>
              <w:rPr>
                <w:rFonts w:hint="eastAsia" w:ascii="仿宋_GB2312" w:hAnsi="仿宋_GB2312" w:eastAsia="仿宋_GB2312" w:cs="仿宋_GB2312"/>
                <w:b w:val="0"/>
                <w:bCs w:val="0"/>
                <w:color w:val="000000"/>
                <w:sz w:val="24"/>
                <w:szCs w:val="24"/>
                <w:highlight w:val="none"/>
              </w:rPr>
              <w:t xml:space="preserve">寒暑假“返家乡”实践活动 </w:t>
            </w:r>
          </w:p>
          <w:p>
            <w:pPr>
              <w:keepNext w:val="0"/>
              <w:keepLines w:val="0"/>
              <w:pageBreakBefore w:val="0"/>
              <w:widowControl w:val="0"/>
              <w:numPr>
                <w:ilvl w:val="0"/>
                <w:numId w:val="0"/>
              </w:numPr>
              <w:kinsoku/>
              <w:wordWrap/>
              <w:topLinePunct w:val="0"/>
              <w:autoSpaceDE/>
              <w:autoSpaceDN/>
              <w:bidi w:val="0"/>
              <w:snapToGrid/>
              <w:spacing w:after="0" w:line="240" w:lineRule="atLeast"/>
              <w:ind w:left="0" w:leftChars="0"/>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3.</w:t>
            </w:r>
            <w:r>
              <w:rPr>
                <w:rFonts w:hint="eastAsia" w:ascii="仿宋_GB2312" w:hAnsi="仿宋_GB2312" w:eastAsia="仿宋_GB2312" w:cs="仿宋_GB2312"/>
                <w:b w:val="0"/>
                <w:bCs w:val="0"/>
                <w:color w:val="000000"/>
                <w:sz w:val="24"/>
                <w:szCs w:val="24"/>
                <w:highlight w:val="none"/>
              </w:rPr>
              <w:t xml:space="preserve">企业见习实践 </w:t>
            </w:r>
          </w:p>
          <w:p>
            <w:pPr>
              <w:keepNext w:val="0"/>
              <w:keepLines w:val="0"/>
              <w:pageBreakBefore w:val="0"/>
              <w:widowControl w:val="0"/>
              <w:numPr>
                <w:ilvl w:val="0"/>
                <w:numId w:val="0"/>
              </w:numPr>
              <w:kinsoku/>
              <w:wordWrap/>
              <w:topLinePunct w:val="0"/>
              <w:autoSpaceDE/>
              <w:autoSpaceDN/>
              <w:bidi w:val="0"/>
              <w:snapToGrid/>
              <w:spacing w:after="0" w:line="240" w:lineRule="atLeast"/>
              <w:ind w:left="0" w:leftChars="0"/>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4.</w:t>
            </w:r>
            <w:r>
              <w:rPr>
                <w:rFonts w:hint="eastAsia" w:ascii="仿宋_GB2312" w:hAnsi="仿宋_GB2312" w:eastAsia="仿宋_GB2312" w:cs="仿宋_GB2312"/>
                <w:b w:val="0"/>
                <w:bCs w:val="0"/>
                <w:color w:val="000000"/>
                <w:sz w:val="24"/>
                <w:szCs w:val="24"/>
                <w:highlight w:val="none"/>
              </w:rPr>
              <w:t xml:space="preserve">上级、校院交予专项工作项目实践活动含兼挂职锻炼 </w:t>
            </w:r>
          </w:p>
          <w:p>
            <w:pPr>
              <w:keepNext w:val="0"/>
              <w:keepLines w:val="0"/>
              <w:pageBreakBefore w:val="0"/>
              <w:widowControl w:val="0"/>
              <w:numPr>
                <w:ilvl w:val="0"/>
                <w:numId w:val="0"/>
              </w:numPr>
              <w:kinsoku/>
              <w:wordWrap/>
              <w:topLinePunct w:val="0"/>
              <w:autoSpaceDE/>
              <w:autoSpaceDN/>
              <w:bidi w:val="0"/>
              <w:snapToGrid/>
              <w:spacing w:after="0" w:line="240" w:lineRule="atLeast"/>
              <w:ind w:left="0" w:leftChars="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5.</w:t>
            </w:r>
            <w:r>
              <w:rPr>
                <w:rFonts w:hint="eastAsia" w:ascii="仿宋_GB2312" w:hAnsi="仿宋_GB2312" w:eastAsia="仿宋_GB2312" w:cs="仿宋_GB2312"/>
                <w:b w:val="0"/>
                <w:bCs w:val="0"/>
                <w:color w:val="000000"/>
                <w:sz w:val="24"/>
                <w:szCs w:val="24"/>
                <w:highlight w:val="none"/>
              </w:rPr>
              <w:t xml:space="preserve">新闻宣传报道被学校、学院采用或转发 </w:t>
            </w:r>
          </w:p>
          <w:p>
            <w:pPr>
              <w:keepNext w:val="0"/>
              <w:keepLines w:val="0"/>
              <w:pageBreakBefore w:val="0"/>
              <w:widowControl w:val="0"/>
              <w:numPr>
                <w:ilvl w:val="0"/>
                <w:numId w:val="0"/>
              </w:numPr>
              <w:kinsoku/>
              <w:wordWrap/>
              <w:topLinePunct w:val="0"/>
              <w:autoSpaceDE/>
              <w:autoSpaceDN/>
              <w:bidi w:val="0"/>
              <w:snapToGrid/>
              <w:spacing w:after="0" w:line="240" w:lineRule="atLeast"/>
              <w:ind w:left="0"/>
              <w:jc w:val="left"/>
              <w:textAlignment w:val="auto"/>
              <w:rPr>
                <w:rFonts w:hint="default" w:ascii="仿宋_GB2312" w:hAnsi="仿宋_GB2312" w:eastAsia="仿宋_GB2312" w:cs="仿宋_GB2312"/>
                <w:b w:val="0"/>
                <w:bCs w:val="0"/>
                <w:color w:val="000000"/>
                <w:sz w:val="24"/>
                <w:szCs w:val="24"/>
                <w:highlight w:val="none"/>
                <w:lang w:val="en-US" w:eastAsia="zh-CN"/>
              </w:rPr>
            </w:pPr>
            <w:r>
              <w:rPr>
                <w:rFonts w:hint="eastAsia" w:ascii="仿宋_GB2312" w:hAnsi="仿宋_GB2312" w:eastAsia="仿宋_GB2312" w:cs="仿宋_GB2312"/>
                <w:b w:val="0"/>
                <w:bCs w:val="0"/>
                <w:color w:val="000000"/>
                <w:sz w:val="24"/>
                <w:szCs w:val="24"/>
                <w:highlight w:val="none"/>
                <w:lang w:val="en-US" w:eastAsia="zh-CN"/>
              </w:rPr>
              <w:t>6.晨读</w:t>
            </w:r>
          </w:p>
          <w:p>
            <w:pPr>
              <w:keepNext w:val="0"/>
              <w:keepLines w:val="0"/>
              <w:pageBreakBefore w:val="0"/>
              <w:widowControl w:val="0"/>
              <w:numPr>
                <w:ilvl w:val="0"/>
                <w:numId w:val="0"/>
              </w:numPr>
              <w:kinsoku/>
              <w:wordWrap/>
              <w:topLinePunct w:val="0"/>
              <w:autoSpaceDE/>
              <w:autoSpaceDN/>
              <w:bidi w:val="0"/>
              <w:snapToGrid/>
              <w:spacing w:after="0" w:line="240" w:lineRule="atLeast"/>
              <w:ind w:lef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7</w:t>
            </w:r>
            <w:r>
              <w:rPr>
                <w:rFonts w:hint="eastAsia" w:ascii="仿宋_GB2312" w:hAnsi="仿宋_GB2312" w:eastAsia="仿宋_GB2312" w:cs="仿宋_GB2312"/>
                <w:b w:val="0"/>
                <w:bCs w:val="0"/>
                <w:color w:val="000000"/>
                <w:sz w:val="24"/>
                <w:szCs w:val="24"/>
                <w:highlight w:val="none"/>
              </w:rPr>
              <w:t xml:space="preserve">.劳动精神、劳模精神、工匠精神专题教育 </w:t>
            </w:r>
          </w:p>
          <w:p>
            <w:pPr>
              <w:keepNext w:val="0"/>
              <w:keepLines w:val="0"/>
              <w:pageBreakBefore w:val="0"/>
              <w:widowControl w:val="0"/>
              <w:numPr>
                <w:ilvl w:val="0"/>
                <w:numId w:val="0"/>
              </w:numPr>
              <w:kinsoku/>
              <w:wordWrap/>
              <w:topLinePunct w:val="0"/>
              <w:autoSpaceDE/>
              <w:autoSpaceDN/>
              <w:bidi w:val="0"/>
              <w:snapToGrid/>
              <w:spacing w:after="0" w:line="240" w:lineRule="atLeast"/>
              <w:ind w:lef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8.</w:t>
            </w:r>
            <w:r>
              <w:rPr>
                <w:rFonts w:hint="eastAsia" w:ascii="仿宋_GB2312" w:hAnsi="仿宋_GB2312" w:eastAsia="仿宋_GB2312" w:cs="仿宋_GB2312"/>
                <w:b w:val="0"/>
                <w:bCs w:val="0"/>
                <w:color w:val="000000"/>
                <w:sz w:val="24"/>
                <w:szCs w:val="24"/>
                <w:highlight w:val="none"/>
              </w:rPr>
              <w:t>实践活动的相关荣誉</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427"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045"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9"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创新创业</w:t>
            </w:r>
          </w:p>
        </w:tc>
        <w:tc>
          <w:tcPr>
            <w:tcW w:w="3573" w:type="dxa"/>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w:t>
            </w:r>
            <w:r>
              <w:rPr>
                <w:rFonts w:hint="eastAsia" w:ascii="仿宋_GB2312" w:hAnsi="仿宋_GB2312" w:eastAsia="仿宋_GB2312" w:cs="仿宋_GB2312"/>
                <w:color w:val="auto"/>
                <w:sz w:val="24"/>
                <w:szCs w:val="24"/>
                <w:highlight w:val="none"/>
              </w:rPr>
              <w:t xml:space="preserve">发表文章、出版专著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2.</w:t>
            </w:r>
            <w:r>
              <w:rPr>
                <w:rFonts w:hint="eastAsia" w:ascii="仿宋_GB2312" w:hAnsi="仿宋_GB2312" w:eastAsia="仿宋_GB2312" w:cs="仿宋_GB2312"/>
                <w:color w:val="auto"/>
                <w:sz w:val="24"/>
                <w:szCs w:val="24"/>
                <w:highlight w:val="none"/>
              </w:rPr>
              <w:t xml:space="preserve">发明专利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3.</w:t>
            </w:r>
            <w:r>
              <w:rPr>
                <w:rFonts w:hint="eastAsia" w:ascii="仿宋_GB2312" w:hAnsi="仿宋_GB2312" w:eastAsia="仿宋_GB2312" w:cs="仿宋_GB2312"/>
                <w:color w:val="auto"/>
                <w:sz w:val="24"/>
                <w:szCs w:val="24"/>
                <w:highlight w:val="none"/>
              </w:rPr>
              <w:t xml:space="preserve">创新创业项目竞赛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4.</w:t>
            </w:r>
            <w:r>
              <w:rPr>
                <w:rFonts w:hint="eastAsia" w:ascii="仿宋_GB2312" w:hAnsi="仿宋_GB2312" w:eastAsia="仿宋_GB2312" w:cs="仿宋_GB2312"/>
                <w:color w:val="auto"/>
                <w:sz w:val="24"/>
                <w:szCs w:val="24"/>
                <w:highlight w:val="none"/>
              </w:rPr>
              <w:t xml:space="preserve">创新创业项目培训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5.</w:t>
            </w:r>
            <w:r>
              <w:rPr>
                <w:rFonts w:hint="eastAsia" w:ascii="仿宋_GB2312" w:hAnsi="仿宋_GB2312" w:eastAsia="仿宋_GB2312" w:cs="仿宋_GB2312"/>
                <w:color w:val="auto"/>
                <w:sz w:val="24"/>
                <w:szCs w:val="24"/>
                <w:highlight w:val="none"/>
              </w:rPr>
              <w:t xml:space="preserve">创新创业课程、讲座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6.</w:t>
            </w:r>
            <w:r>
              <w:rPr>
                <w:rFonts w:hint="eastAsia" w:ascii="仿宋_GB2312" w:hAnsi="仿宋_GB2312" w:eastAsia="仿宋_GB2312" w:cs="仿宋_GB2312"/>
                <w:color w:val="auto"/>
                <w:sz w:val="24"/>
                <w:szCs w:val="24"/>
                <w:highlight w:val="none"/>
              </w:rPr>
              <w:t>自主创业</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427"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045"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志愿公益</w:t>
            </w:r>
          </w:p>
        </w:tc>
        <w:tc>
          <w:tcPr>
            <w:tcW w:w="357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1.校级、学院、社团、班级等学生组织开展的志愿服务活动 </w:t>
            </w:r>
          </w:p>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2.无偿献血活动 </w:t>
            </w:r>
          </w:p>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3.捐献造血干细胞 </w:t>
            </w:r>
          </w:p>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4.相关公益类宣传讲座、报告会等志愿服务表彰</w:t>
            </w:r>
          </w:p>
          <w:p>
            <w:pPr>
              <w:keepNext w:val="0"/>
              <w:keepLines w:val="0"/>
              <w:pageBreakBefore w:val="0"/>
              <w:widowControl w:val="0"/>
              <w:numPr>
                <w:ilvl w:val="0"/>
                <w:numId w:val="0"/>
              </w:numPr>
              <w:kinsoku/>
              <w:wordWrap/>
              <w:topLinePunct w:val="0"/>
              <w:autoSpaceDE/>
              <w:autoSpaceDN/>
              <w:bidi w:val="0"/>
              <w:snapToGrid/>
              <w:spacing w:after="0" w:line="240" w:lineRule="atLeas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val="0"/>
                <w:bCs w:val="0"/>
                <w:color w:val="000000"/>
                <w:sz w:val="24"/>
                <w:szCs w:val="24"/>
                <w:highlight w:val="none"/>
                <w:lang w:val="en-US" w:eastAsia="zh-CN"/>
              </w:rPr>
              <w:t>5.</w:t>
            </w:r>
            <w:r>
              <w:rPr>
                <w:rFonts w:hint="eastAsia" w:ascii="仿宋_GB2312" w:hAnsi="仿宋_GB2312" w:eastAsia="仿宋_GB2312" w:cs="仿宋_GB2312"/>
                <w:b w:val="0"/>
                <w:bCs w:val="0"/>
                <w:color w:val="000000"/>
                <w:sz w:val="24"/>
                <w:szCs w:val="24"/>
                <w:highlight w:val="none"/>
              </w:rPr>
              <w:t>公益劳动</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427"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045"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000000"/>
                <w:sz w:val="24"/>
                <w:szCs w:val="24"/>
                <w:highlight w:val="none"/>
              </w:rPr>
              <w:t xml:space="preserve">文体活动 </w:t>
            </w:r>
          </w:p>
        </w:tc>
        <w:tc>
          <w:tcPr>
            <w:tcW w:w="357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1.文艺竞赛 </w:t>
            </w:r>
          </w:p>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2.体育竞赛 </w:t>
            </w:r>
          </w:p>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3.文艺演出 </w:t>
            </w:r>
          </w:p>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4.体育活动 </w:t>
            </w:r>
          </w:p>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color w:val="auto"/>
                <w:sz w:val="24"/>
                <w:szCs w:val="24"/>
                <w:highlight w:val="none"/>
                <w:lang w:val="en-US" w:eastAsia="zh-CN"/>
              </w:rPr>
              <w:t>5.文体讲座</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427"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045"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rPr>
              <w:t xml:space="preserve">工作履历 </w:t>
            </w:r>
          </w:p>
        </w:tc>
        <w:tc>
          <w:tcPr>
            <w:tcW w:w="357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1.团学干部任职</w:t>
            </w:r>
          </w:p>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2.团学先进个人</w:t>
            </w:r>
          </w:p>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3.勤工俭学</w:t>
            </w:r>
          </w:p>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4.社会任职 </w:t>
            </w:r>
          </w:p>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5.退伍军人</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427"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045"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技能特长 </w:t>
            </w:r>
          </w:p>
        </w:tc>
        <w:tc>
          <w:tcPr>
            <w:tcW w:w="357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1.职业资格证书 </w:t>
            </w:r>
          </w:p>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2.职业技能证书 </w:t>
            </w:r>
          </w:p>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3.机动车驾驶证</w:t>
            </w:r>
          </w:p>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4.从业人员上岗资格证 </w:t>
            </w:r>
          </w:p>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5.技能比赛获奖</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427"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045"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其他</w:t>
            </w:r>
          </w:p>
        </w:tc>
        <w:tc>
          <w:tcPr>
            <w:tcW w:w="357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1.其他证书（社会职业类证书） </w:t>
            </w:r>
          </w:p>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2.校内各单位其他类型活动 </w:t>
            </w:r>
          </w:p>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color w:val="auto"/>
                <w:sz w:val="24"/>
                <w:szCs w:val="24"/>
                <w:highlight w:val="none"/>
                <w:lang w:val="en-US" w:eastAsia="zh-CN"/>
              </w:rPr>
              <w:t>3.升旗仪式工作人员</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427"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045"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ind w:left="0"/>
              <w:jc w:val="center"/>
              <w:textAlignment w:val="auto"/>
              <w:rPr>
                <w:rFonts w:hint="eastAsia" w:ascii="仿宋_GB2312" w:hAnsi="仿宋_GB2312" w:eastAsia="仿宋_GB2312" w:cs="仿宋_GB2312"/>
                <w:color w:val="auto"/>
                <w:sz w:val="24"/>
                <w:szCs w:val="24"/>
                <w:highlight w:val="none"/>
              </w:rPr>
            </w:pPr>
          </w:p>
        </w:tc>
      </w:tr>
    </w:tbl>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lang w:val="en-US" w:eastAsia="zh-CN"/>
        </w:rPr>
        <w:t>八</w:t>
      </w:r>
      <w:r>
        <w:rPr>
          <w:rFonts w:ascii="黑体" w:hAnsi="黑体" w:eastAsia="黑体"/>
          <w:color w:val="auto"/>
          <w:sz w:val="32"/>
          <w:szCs w:val="32"/>
          <w:highlight w:val="none"/>
        </w:rPr>
        <w:t>、教学进程总体安排</w:t>
      </w:r>
    </w:p>
    <w:p>
      <w:pPr>
        <w:keepNext w:val="0"/>
        <w:keepLines w:val="0"/>
        <w:pageBreakBefore w:val="0"/>
        <w:widowControl w:val="0"/>
        <w:kinsoku/>
        <w:wordWrap/>
        <w:topLinePunct w:val="0"/>
        <w:autoSpaceDE/>
        <w:autoSpaceDN/>
        <w:bidi w:val="0"/>
        <w:snapToGrid/>
        <w:spacing w:after="0" w:line="520" w:lineRule="exact"/>
        <w:ind w:left="0"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 xml:space="preserve">（一）教学环节分配表 </w:t>
      </w:r>
    </w:p>
    <w:p>
      <w:pPr>
        <w:keepNext w:val="0"/>
        <w:keepLines w:val="0"/>
        <w:pageBreakBefore w:val="0"/>
        <w:widowControl w:val="0"/>
        <w:kinsoku/>
        <w:wordWrap/>
        <w:topLinePunct w:val="0"/>
        <w:autoSpaceDE/>
        <w:autoSpaceDN/>
        <w:bidi w:val="0"/>
        <w:snapToGrid/>
        <w:spacing w:after="0" w:line="520" w:lineRule="exact"/>
        <w:ind w:lef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教学周数分配表每学期总周数合计应为</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rPr>
        <w:t>周，各学期教学周数应与教学计划进程表一致，军训、入学教育、考试环节、实习开展、毕业设计</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社会实践及毕业教育</w:t>
      </w:r>
      <w:r>
        <w:rPr>
          <w:rFonts w:hint="eastAsia" w:ascii="仿宋_GB2312" w:hAnsi="仿宋_GB2312" w:eastAsia="仿宋_GB2312" w:cs="仿宋_GB2312"/>
          <w:color w:val="auto"/>
          <w:sz w:val="32"/>
          <w:szCs w:val="32"/>
          <w:highlight w:val="none"/>
        </w:rPr>
        <w:t>等</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学期合计周数</w:t>
      </w:r>
      <w:r>
        <w:rPr>
          <w:rFonts w:hint="eastAsia" w:ascii="仿宋_GB2312" w:hAnsi="仿宋_GB2312" w:eastAsia="仿宋_GB2312" w:cs="仿宋_GB2312"/>
          <w:color w:val="auto"/>
          <w:sz w:val="32"/>
          <w:szCs w:val="32"/>
          <w:highlight w:val="none"/>
          <w:lang w:val="en-US" w:eastAsia="zh-CN"/>
        </w:rPr>
        <w:t>为</w:t>
      </w:r>
      <w:r>
        <w:rPr>
          <w:rFonts w:hint="eastAsia" w:ascii="仿宋_GB2312" w:hAnsi="仿宋_GB2312" w:eastAsia="仿宋_GB2312" w:cs="仿宋_GB2312"/>
          <w:color w:val="auto"/>
          <w:sz w:val="32"/>
          <w:szCs w:val="32"/>
          <w:highlight w:val="none"/>
        </w:rPr>
        <w:t>20周。</w:t>
      </w:r>
    </w:p>
    <w:p>
      <w:pPr>
        <w:keepNext w:val="0"/>
        <w:keepLines w:val="0"/>
        <w:pageBreakBefore w:val="0"/>
        <w:widowControl w:val="0"/>
        <w:kinsoku/>
        <w:wordWrap/>
        <w:topLinePunct w:val="0"/>
        <w:autoSpaceDE/>
        <w:autoSpaceDN/>
        <w:bidi w:val="0"/>
        <w:snapToGrid/>
        <w:spacing w:after="0" w:line="520" w:lineRule="exact"/>
        <w:ind w:left="0" w:firstLine="640" w:firstLineChars="200"/>
        <w:jc w:val="center"/>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rPr>
        <w:t xml:space="preserve"> 教育活动时间分配表（单位：周）</w:t>
      </w:r>
    </w:p>
    <w:tbl>
      <w:tblPr>
        <w:tblStyle w:val="10"/>
        <w:tblW w:w="5117" w:type="pct"/>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33"/>
        <w:gridCol w:w="1230"/>
        <w:gridCol w:w="1108"/>
        <w:gridCol w:w="1108"/>
        <w:gridCol w:w="1108"/>
        <w:gridCol w:w="1108"/>
        <w:gridCol w:w="11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37" w:type="pct"/>
            <w:vMerge w:val="restart"/>
            <mc:AlternateContent>
              <mc:Choice Requires="wpsCustomData">
                <wpsCustomData:diagonals>
                  <wpsCustomData:diagonal from="30000" to="13800">
                    <wpsCustomData:border w:val="single" w:color="auto" w:sz="4" w:space="0"/>
                  </wpsCustomData:diagonal>
                  <wpsCustomData:diagonal from="30000" to="6000">
                    <wpsCustomData:border w:val="single" w:color="auto" w:sz="4" w:space="0"/>
                  </wpsCustomData:diagonal>
                </wpsCustomData:diagonals>
              </mc:Choice>
            </mc:AlternateContent>
          </w:tcPr>
          <w:p>
            <w:pPr>
              <w:keepNext w:val="0"/>
              <w:keepLines w:val="0"/>
              <w:pageBreakBefore w:val="0"/>
              <w:widowControl w:val="0"/>
              <w:kinsoku/>
              <w:wordWrap/>
              <w:overflowPunct/>
              <w:topLinePunct w:val="0"/>
              <w:autoSpaceDE/>
              <w:autoSpaceDN/>
              <w:bidi w:val="0"/>
              <w:adjustRightInd/>
              <w:snapToGrid/>
              <w:spacing w:after="0" w:line="280" w:lineRule="exact"/>
              <w:ind w:left="0"/>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280" w:lineRule="exact"/>
              <w:ind w:left="0"/>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项目</w:t>
            </w:r>
          </w:p>
          <w:p>
            <w:pPr>
              <w:keepNext w:val="0"/>
              <w:keepLines w:val="0"/>
              <w:pageBreakBefore w:val="0"/>
              <w:widowControl w:val="0"/>
              <w:kinsoku/>
              <w:wordWrap/>
              <w:overflowPunct/>
              <w:topLinePunct w:val="0"/>
              <w:autoSpaceDE/>
              <w:autoSpaceDN/>
              <w:bidi w:val="0"/>
              <w:adjustRightInd/>
              <w:snapToGrid/>
              <w:spacing w:after="0" w:line="280" w:lineRule="exact"/>
              <w:ind w:left="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周数</w:t>
            </w:r>
          </w:p>
          <w:p>
            <w:pPr>
              <w:keepNext w:val="0"/>
              <w:keepLines w:val="0"/>
              <w:pageBreakBefore w:val="0"/>
              <w:widowControl w:val="0"/>
              <w:kinsoku/>
              <w:wordWrap/>
              <w:overflowPunct/>
              <w:topLinePunct w:val="0"/>
              <w:autoSpaceDE/>
              <w:autoSpaceDN/>
              <w:bidi w:val="0"/>
              <w:adjustRightInd/>
              <w:snapToGrid/>
              <w:spacing w:after="0" w:line="280" w:lineRule="exact"/>
              <w:ind w:left="0"/>
              <w:textAlignment w:val="auto"/>
              <mc:AlternateContent>
                <mc:Choice Requires="wpsCustomData">
                  <wpsCustomData:diagonalParaType/>
                </mc:Choice>
              </mc:AlternateContent>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内容</w:t>
            </w:r>
          </w:p>
          <w:p>
            <w:pPr>
              <w:keepNext w:val="0"/>
              <w:keepLines w:val="0"/>
              <w:pageBreakBefore w:val="0"/>
              <w:widowControl w:val="0"/>
              <w:kinsoku/>
              <w:wordWrap/>
              <w:overflowPunct/>
              <w:topLinePunct w:val="0"/>
              <w:autoSpaceDE/>
              <w:autoSpaceDN/>
              <w:bidi w:val="0"/>
              <w:adjustRightInd/>
              <w:snapToGrid/>
              <w:spacing w:after="0" w:line="280" w:lineRule="exact"/>
              <w:ind w:left="0"/>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280" w:lineRule="exact"/>
              <w:ind w:left="0"/>
              <w:textAlignment w:val="auto"/>
              <mc:AlternateContent>
                <mc:Choice Requires="wpsCustomData">
                  <wpsCustomData:diagonalParaType/>
                </mc:Choice>
              </mc:AlternateContent>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周数</w:t>
            </w:r>
          </w:p>
          <w:p>
            <w:pPr>
              <w:keepNext w:val="0"/>
              <w:keepLines w:val="0"/>
              <w:pageBreakBefore w:val="0"/>
              <w:widowControl w:val="0"/>
              <w:kinsoku/>
              <w:wordWrap/>
              <w:overflowPunct/>
              <w:topLinePunct w:val="0"/>
              <w:autoSpaceDE/>
              <w:autoSpaceDN/>
              <w:bidi w:val="0"/>
              <w:adjustRightInd/>
              <w:snapToGrid/>
              <w:spacing w:after="0" w:line="280" w:lineRule="exact"/>
              <w:ind w:left="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学年</w:t>
            </w:r>
          </w:p>
        </w:tc>
        <w:tc>
          <w:tcPr>
            <w:tcW w:w="1229" w:type="pct"/>
            <w:gridSpan w:val="2"/>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一</w:t>
            </w:r>
          </w:p>
        </w:tc>
        <w:tc>
          <w:tcPr>
            <w:tcW w:w="1165" w:type="pct"/>
            <w:gridSpan w:val="2"/>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二</w:t>
            </w:r>
          </w:p>
        </w:tc>
        <w:tc>
          <w:tcPr>
            <w:tcW w:w="1167" w:type="pct"/>
            <w:gridSpan w:val="2"/>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37" w:type="pct"/>
            <w:vMerge w:val="continue"/>
          </w:tcPr>
          <w:p>
            <w:pPr>
              <w:keepNext w:val="0"/>
              <w:keepLines w:val="0"/>
              <w:pageBreakBefore w:val="0"/>
              <w:widowControl w:val="0"/>
              <w:kinsoku/>
              <w:wordWrap/>
              <w:overflowPunct/>
              <w:topLinePunct w:val="0"/>
              <w:autoSpaceDE/>
              <w:autoSpaceDN/>
              <w:bidi w:val="0"/>
              <w:adjustRightInd/>
              <w:snapToGrid/>
              <w:spacing w:after="0" w:line="280" w:lineRule="exact"/>
              <w:ind w:left="0"/>
              <w:textAlignment w:val="auto"/>
              <w:rPr>
                <w:rFonts w:hint="eastAsia" w:ascii="仿宋_GB2312" w:hAnsi="仿宋_GB2312" w:eastAsia="仿宋_GB2312" w:cs="仿宋_GB2312"/>
                <w:sz w:val="24"/>
                <w:szCs w:val="24"/>
                <w:highlight w:val="none"/>
              </w:rPr>
            </w:pPr>
          </w:p>
        </w:tc>
        <w:tc>
          <w:tcPr>
            <w:tcW w:w="646"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584"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437"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val="0"/>
                <w:bCs w:val="0"/>
                <w:color w:val="000000"/>
                <w:sz w:val="24"/>
                <w:szCs w:val="24"/>
                <w:highlight w:val="none"/>
              </w:rPr>
              <w:t>课堂教学</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1-18</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1-18</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1-18</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1-18</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1-18</w:t>
            </w:r>
          </w:p>
        </w:tc>
        <w:tc>
          <w:tcPr>
            <w:tcW w:w="584"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val="0"/>
                <w:bCs w:val="0"/>
                <w:color w:val="000000"/>
                <w:sz w:val="24"/>
                <w:szCs w:val="24"/>
                <w:highlight w:val="none"/>
              </w:rPr>
              <w:t>考试</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19-20</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19-20</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19-20</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19-20</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19-20</w:t>
            </w:r>
          </w:p>
        </w:tc>
        <w:tc>
          <w:tcPr>
            <w:tcW w:w="584"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19-20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val="0"/>
                <w:bCs w:val="0"/>
                <w:color w:val="000000"/>
                <w:sz w:val="24"/>
                <w:szCs w:val="24"/>
                <w:highlight w:val="none"/>
              </w:rPr>
              <w:t>军训</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1-2</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rPr>
            </w:pPr>
          </w:p>
        </w:tc>
        <w:tc>
          <w:tcPr>
            <w:tcW w:w="584"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rPr>
              <w:t>入学教育</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3-8</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rPr>
            </w:pPr>
          </w:p>
        </w:tc>
        <w:tc>
          <w:tcPr>
            <w:tcW w:w="584"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rPr>
              <w:t>毕业设计</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sz w:val="24"/>
                <w:szCs w:val="24"/>
                <w:highlight w:val="none"/>
                <w:lang w:val="en-US" w:eastAsia="zh-CN"/>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1-18</w:t>
            </w:r>
          </w:p>
        </w:tc>
        <w:tc>
          <w:tcPr>
            <w:tcW w:w="584"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val="0"/>
                <w:bCs w:val="0"/>
                <w:color w:val="000000"/>
                <w:sz w:val="24"/>
                <w:szCs w:val="24"/>
                <w:highlight w:val="none"/>
              </w:rPr>
              <w:t>岗位实习</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sz w:val="24"/>
                <w:szCs w:val="24"/>
                <w:highlight w:val="none"/>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1-20</w:t>
            </w:r>
          </w:p>
        </w:tc>
        <w:tc>
          <w:tcPr>
            <w:tcW w:w="584"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37"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b w:val="0"/>
                <w:bCs w:val="0"/>
                <w:color w:val="000000"/>
                <w:sz w:val="24"/>
                <w:szCs w:val="24"/>
                <w:highlight w:val="none"/>
                <w:lang w:val="en-US" w:eastAsia="zh-CN"/>
              </w:rPr>
            </w:pPr>
            <w:r>
              <w:rPr>
                <w:rFonts w:hint="eastAsia" w:ascii="仿宋_GB2312" w:hAnsi="仿宋_GB2312" w:eastAsia="仿宋_GB2312" w:cs="仿宋_GB2312"/>
                <w:b w:val="0"/>
                <w:bCs w:val="0"/>
                <w:color w:val="000000"/>
                <w:sz w:val="24"/>
                <w:szCs w:val="24"/>
                <w:highlight w:val="none"/>
                <w:lang w:val="en-US" w:eastAsia="zh-CN"/>
              </w:rPr>
              <w:t>社会实践</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auto"/>
                <w:sz w:val="24"/>
                <w:szCs w:val="24"/>
                <w:highlight w:val="none"/>
                <w:lang w:val="en-US" w:eastAsia="zh-CN"/>
              </w:rPr>
              <w:t>1-20</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1-20</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1-20</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1-20</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1-20</w:t>
            </w:r>
          </w:p>
        </w:tc>
        <w:tc>
          <w:tcPr>
            <w:tcW w:w="584"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b w:val="0"/>
                <w:bCs w:val="0"/>
                <w:color w:val="000000"/>
                <w:sz w:val="24"/>
                <w:szCs w:val="24"/>
                <w:highlight w:val="none"/>
                <w:lang w:val="en-US" w:eastAsia="zh-CN"/>
              </w:rPr>
            </w:pPr>
            <w:r>
              <w:rPr>
                <w:rFonts w:hint="eastAsia" w:ascii="仿宋_GB2312" w:hAnsi="仿宋_GB2312" w:eastAsia="仿宋_GB2312" w:cs="仿宋_GB2312"/>
                <w:b w:val="0"/>
                <w:bCs w:val="0"/>
                <w:color w:val="000000"/>
                <w:sz w:val="24"/>
                <w:szCs w:val="24"/>
                <w:highlight w:val="none"/>
                <w:lang w:val="en-US" w:eastAsia="zh-CN"/>
              </w:rPr>
              <w:t>毕业教育</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sz w:val="24"/>
                <w:szCs w:val="24"/>
                <w:highlight w:val="none"/>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lang w:val="en-US" w:eastAsia="zh-CN"/>
              </w:rPr>
            </w:pPr>
          </w:p>
        </w:tc>
        <w:tc>
          <w:tcPr>
            <w:tcW w:w="584"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18-19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val="0"/>
                <w:bCs w:val="0"/>
                <w:color w:val="000000"/>
                <w:sz w:val="24"/>
                <w:szCs w:val="24"/>
                <w:highlight w:val="none"/>
              </w:rPr>
              <w:t>学期教学总周数</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c>
          <w:tcPr>
            <w:tcW w:w="584"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r>
    </w:tbl>
    <w:p>
      <w:pPr>
        <w:keepNext w:val="0"/>
        <w:keepLines w:val="0"/>
        <w:pageBreakBefore w:val="0"/>
        <w:widowControl w:val="0"/>
        <w:kinsoku/>
        <w:wordWrap/>
        <w:overflowPunct/>
        <w:topLinePunct w:val="0"/>
        <w:autoSpaceDE/>
        <w:autoSpaceDN/>
        <w:bidi w:val="0"/>
        <w:adjustRightInd/>
        <w:snapToGrid/>
        <w:spacing w:after="0" w:line="520" w:lineRule="exact"/>
        <w:ind w:left="0" w:firstLine="640" w:firstLineChars="200"/>
        <w:textAlignment w:val="auto"/>
        <w:rPr>
          <w:rFonts w:hint="eastAsia" w:ascii="楷体" w:hAnsi="楷体" w:eastAsia="楷体" w:cs="楷体"/>
          <w:bCs/>
          <w:color w:val="auto"/>
          <w:sz w:val="32"/>
          <w:szCs w:val="32"/>
          <w:highlight w:val="none"/>
        </w:rPr>
      </w:pP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二</w:t>
      </w:r>
      <w:r>
        <w:rPr>
          <w:rFonts w:hint="eastAsia" w:ascii="楷体" w:hAnsi="楷体" w:eastAsia="楷体" w:cs="楷体"/>
          <w:color w:val="auto"/>
          <w:sz w:val="32"/>
          <w:szCs w:val="32"/>
          <w:highlight w:val="none"/>
          <w:lang w:eastAsia="zh-CN"/>
        </w:rPr>
        <w:t>）</w:t>
      </w:r>
      <w:r>
        <w:rPr>
          <w:rFonts w:hint="eastAsia" w:ascii="楷体" w:hAnsi="楷体" w:eastAsia="楷体" w:cs="楷体"/>
          <w:bCs/>
          <w:color w:val="auto"/>
          <w:sz w:val="32"/>
          <w:szCs w:val="32"/>
          <w:highlight w:val="none"/>
        </w:rPr>
        <w:t>课程结构与学时、学分分配</w:t>
      </w:r>
    </w:p>
    <w:p>
      <w:pPr>
        <w:keepNext w:val="0"/>
        <w:keepLines w:val="0"/>
        <w:pageBreakBefore w:val="0"/>
        <w:widowControl w:val="0"/>
        <w:kinsoku/>
        <w:wordWrap/>
        <w:overflowPunct/>
        <w:topLinePunct w:val="0"/>
        <w:autoSpaceDE/>
        <w:autoSpaceDN/>
        <w:bidi w:val="0"/>
        <w:adjustRightInd/>
        <w:snapToGrid/>
        <w:spacing w:after="0" w:line="520" w:lineRule="exact"/>
        <w:ind w:left="0" w:firstLine="640" w:firstLineChars="200"/>
        <w:textAlignment w:val="auto"/>
        <w:rPr>
          <w:rFonts w:hint="eastAsia" w:ascii="仿宋_GB2312" w:hAnsi="仿宋_GB2312" w:eastAsia="仿宋_GB2312" w:cs="仿宋_GB2312"/>
          <w:bCs/>
          <w:color w:val="auto"/>
          <w:sz w:val="32"/>
          <w:szCs w:val="32"/>
          <w:highlight w:val="none"/>
          <w:lang w:eastAsia="zh-CN"/>
        </w:rPr>
      </w:pPr>
      <w:r>
        <w:rPr>
          <w:rFonts w:hint="eastAsia" w:ascii="仿宋_GB2312" w:hAnsi="仿宋_GB2312" w:eastAsia="仿宋_GB2312" w:cs="仿宋_GB2312"/>
          <w:bCs/>
          <w:color w:val="auto"/>
          <w:sz w:val="32"/>
          <w:szCs w:val="32"/>
          <w:highlight w:val="none"/>
          <w:lang w:eastAsia="zh-CN"/>
        </w:rPr>
        <w:t>本专业教学总学时为</w:t>
      </w:r>
      <w:r>
        <w:rPr>
          <w:rFonts w:hint="eastAsia" w:ascii="仿宋_GB2312" w:hAnsi="仿宋_GB2312" w:eastAsia="仿宋_GB2312" w:cs="仿宋_GB2312"/>
          <w:bCs/>
          <w:color w:val="auto"/>
          <w:sz w:val="32"/>
          <w:szCs w:val="32"/>
          <w:highlight w:val="none"/>
          <w:lang w:val="en-US" w:eastAsia="zh-CN"/>
        </w:rPr>
        <w:t>2802</w:t>
      </w:r>
      <w:r>
        <w:rPr>
          <w:rFonts w:hint="eastAsia" w:ascii="仿宋_GB2312" w:hAnsi="仿宋_GB2312" w:eastAsia="仿宋_GB2312" w:cs="仿宋_GB2312"/>
          <w:bCs/>
          <w:color w:val="auto"/>
          <w:sz w:val="32"/>
          <w:szCs w:val="32"/>
          <w:highlight w:val="none"/>
          <w:lang w:eastAsia="zh-CN"/>
        </w:rPr>
        <w:t>学时。其中理论教学</w:t>
      </w:r>
      <w:r>
        <w:rPr>
          <w:rFonts w:hint="eastAsia" w:ascii="仿宋_GB2312" w:hAnsi="仿宋_GB2312" w:eastAsia="仿宋_GB2312" w:cs="仿宋_GB2312"/>
          <w:bCs/>
          <w:color w:val="auto"/>
          <w:sz w:val="32"/>
          <w:szCs w:val="32"/>
          <w:highlight w:val="none"/>
          <w:lang w:val="en-US" w:eastAsia="zh-CN"/>
        </w:rPr>
        <w:t>1320</w:t>
      </w:r>
      <w:r>
        <w:rPr>
          <w:rFonts w:hint="eastAsia" w:ascii="仿宋_GB2312" w:hAnsi="仿宋_GB2312" w:eastAsia="仿宋_GB2312" w:cs="仿宋_GB2312"/>
          <w:bCs/>
          <w:color w:val="auto"/>
          <w:sz w:val="32"/>
          <w:szCs w:val="32"/>
          <w:highlight w:val="none"/>
          <w:lang w:eastAsia="zh-CN"/>
        </w:rPr>
        <w:t>学时，占</w:t>
      </w:r>
      <w:r>
        <w:rPr>
          <w:rFonts w:hint="eastAsia" w:ascii="仿宋_GB2312" w:hAnsi="仿宋_GB2312" w:eastAsia="仿宋_GB2312" w:cs="仿宋_GB2312"/>
          <w:color w:val="auto"/>
          <w:spacing w:val="-2"/>
          <w:sz w:val="32"/>
          <w:szCs w:val="32"/>
          <w:highlight w:val="none"/>
          <w:lang w:val="en-US" w:eastAsia="zh-CN"/>
        </w:rPr>
        <w:t>47.11</w:t>
      </w:r>
      <w:r>
        <w:rPr>
          <w:rFonts w:hint="eastAsia" w:ascii="仿宋_GB2312" w:hAnsi="仿宋_GB2312" w:eastAsia="仿宋_GB2312" w:cs="仿宋_GB2312"/>
          <w:bCs/>
          <w:color w:val="auto"/>
          <w:sz w:val="32"/>
          <w:szCs w:val="32"/>
          <w:highlight w:val="none"/>
          <w:lang w:eastAsia="zh-CN"/>
        </w:rPr>
        <w:t>%；实践教学</w:t>
      </w:r>
      <w:r>
        <w:rPr>
          <w:rFonts w:hint="eastAsia" w:ascii="仿宋_GB2312" w:hAnsi="仿宋_GB2312" w:eastAsia="仿宋_GB2312" w:cs="仿宋_GB2312"/>
          <w:bCs/>
          <w:color w:val="auto"/>
          <w:sz w:val="32"/>
          <w:szCs w:val="32"/>
          <w:highlight w:val="none"/>
          <w:lang w:val="en-US" w:eastAsia="zh-CN"/>
        </w:rPr>
        <w:t>1482</w:t>
      </w:r>
      <w:r>
        <w:rPr>
          <w:rFonts w:hint="eastAsia" w:ascii="仿宋_GB2312" w:hAnsi="仿宋_GB2312" w:eastAsia="仿宋_GB2312" w:cs="仿宋_GB2312"/>
          <w:bCs/>
          <w:color w:val="auto"/>
          <w:sz w:val="32"/>
          <w:szCs w:val="32"/>
          <w:highlight w:val="none"/>
          <w:lang w:eastAsia="zh-CN"/>
        </w:rPr>
        <w:t>学时，占</w:t>
      </w:r>
      <w:r>
        <w:rPr>
          <w:rFonts w:hint="eastAsia" w:ascii="仿宋_GB2312" w:hAnsi="仿宋_GB2312" w:eastAsia="仿宋_GB2312" w:cs="仿宋_GB2312"/>
          <w:bCs/>
          <w:color w:val="auto"/>
          <w:sz w:val="32"/>
          <w:szCs w:val="32"/>
          <w:highlight w:val="none"/>
          <w:lang w:val="en-US" w:eastAsia="zh-CN"/>
        </w:rPr>
        <w:t>52.89%，其中岗位实习累计时间6个月。</w:t>
      </w:r>
      <w:r>
        <w:rPr>
          <w:rFonts w:hint="eastAsia" w:ascii="仿宋_GB2312" w:hAnsi="仿宋_GB2312" w:eastAsia="仿宋_GB2312" w:cs="仿宋_GB2312"/>
          <w:bCs/>
          <w:color w:val="auto"/>
          <w:sz w:val="32"/>
          <w:szCs w:val="32"/>
          <w:highlight w:val="none"/>
          <w:lang w:eastAsia="zh-CN"/>
        </w:rPr>
        <w:t>公共基础课</w:t>
      </w:r>
      <w:r>
        <w:rPr>
          <w:rFonts w:hint="eastAsia" w:ascii="仿宋_GB2312" w:hAnsi="仿宋_GB2312" w:eastAsia="仿宋_GB2312" w:cs="仿宋_GB2312"/>
          <w:bCs/>
          <w:color w:val="auto"/>
          <w:sz w:val="32"/>
          <w:szCs w:val="32"/>
          <w:highlight w:val="none"/>
          <w:lang w:val="en-US" w:eastAsia="zh-CN"/>
        </w:rPr>
        <w:t>922</w:t>
      </w:r>
      <w:r>
        <w:rPr>
          <w:rFonts w:hint="eastAsia" w:ascii="仿宋_GB2312" w:hAnsi="仿宋_GB2312" w:eastAsia="仿宋_GB2312" w:cs="仿宋_GB2312"/>
          <w:bCs/>
          <w:color w:val="auto"/>
          <w:sz w:val="32"/>
          <w:szCs w:val="32"/>
          <w:highlight w:val="none"/>
          <w:lang w:eastAsia="zh-CN"/>
        </w:rPr>
        <w:t>学时，占</w:t>
      </w:r>
      <w:r>
        <w:rPr>
          <w:rFonts w:hint="eastAsia" w:ascii="仿宋_GB2312" w:hAnsi="仿宋_GB2312" w:eastAsia="仿宋_GB2312" w:cs="仿宋_GB2312"/>
          <w:bCs/>
          <w:color w:val="auto"/>
          <w:sz w:val="32"/>
          <w:szCs w:val="32"/>
          <w:highlight w:val="none"/>
          <w:lang w:val="en-US" w:eastAsia="zh-CN"/>
        </w:rPr>
        <w:t>32.91</w:t>
      </w:r>
      <w:r>
        <w:rPr>
          <w:rFonts w:hint="eastAsia" w:ascii="仿宋_GB2312" w:hAnsi="仿宋_GB2312" w:eastAsia="仿宋_GB2312" w:cs="仿宋_GB2312"/>
          <w:bCs/>
          <w:color w:val="auto"/>
          <w:sz w:val="32"/>
          <w:szCs w:val="32"/>
          <w:highlight w:val="none"/>
          <w:lang w:eastAsia="zh-CN"/>
        </w:rPr>
        <w:t>%；选修课</w:t>
      </w:r>
      <w:r>
        <w:rPr>
          <w:rFonts w:hint="eastAsia" w:ascii="仿宋_GB2312" w:hAnsi="仿宋_GB2312" w:eastAsia="仿宋_GB2312" w:cs="仿宋_GB2312"/>
          <w:bCs/>
          <w:color w:val="auto"/>
          <w:sz w:val="32"/>
          <w:szCs w:val="32"/>
          <w:highlight w:val="none"/>
          <w:lang w:val="en-US" w:eastAsia="zh-CN"/>
        </w:rPr>
        <w:t>308</w:t>
      </w:r>
      <w:r>
        <w:rPr>
          <w:rFonts w:hint="eastAsia" w:ascii="仿宋_GB2312" w:hAnsi="仿宋_GB2312" w:eastAsia="仿宋_GB2312" w:cs="仿宋_GB2312"/>
          <w:bCs/>
          <w:color w:val="auto"/>
          <w:sz w:val="32"/>
          <w:szCs w:val="32"/>
          <w:highlight w:val="none"/>
          <w:lang w:eastAsia="zh-CN"/>
        </w:rPr>
        <w:t>学时，占</w:t>
      </w:r>
      <w:r>
        <w:rPr>
          <w:rFonts w:hint="eastAsia" w:ascii="仿宋_GB2312" w:hAnsi="仿宋_GB2312" w:eastAsia="仿宋_GB2312" w:cs="仿宋_GB2312"/>
          <w:bCs/>
          <w:color w:val="auto"/>
          <w:sz w:val="32"/>
          <w:szCs w:val="32"/>
          <w:highlight w:val="none"/>
          <w:lang w:val="en-US" w:eastAsia="zh-CN"/>
        </w:rPr>
        <w:t>10.99</w:t>
      </w:r>
      <w:r>
        <w:rPr>
          <w:rFonts w:hint="eastAsia" w:ascii="仿宋_GB2312" w:hAnsi="仿宋_GB2312" w:eastAsia="仿宋_GB2312" w:cs="仿宋_GB2312"/>
          <w:bCs/>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after="0" w:line="520" w:lineRule="exact"/>
        <w:ind w:left="0"/>
        <w:jc w:val="center"/>
        <w:textAlignment w:val="auto"/>
        <w:rPr>
          <w:rFonts w:hint="eastAsia" w:ascii="仿宋_GB2312" w:hAnsi="仿宋_GB2312" w:eastAsia="仿宋_GB2312" w:cs="仿宋_GB2312"/>
          <w:color w:val="auto"/>
          <w:spacing w:val="-2"/>
          <w:sz w:val="32"/>
          <w:szCs w:val="32"/>
          <w:highlight w:val="none"/>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 xml:space="preserve">9 </w:t>
      </w:r>
      <w:r>
        <w:rPr>
          <w:rFonts w:hint="eastAsia" w:ascii="仿宋_GB2312" w:hAnsi="仿宋_GB2312" w:eastAsia="仿宋_GB2312" w:cs="仿宋_GB2312"/>
          <w:color w:val="auto"/>
          <w:spacing w:val="-2"/>
          <w:sz w:val="32"/>
          <w:szCs w:val="32"/>
          <w:highlight w:val="none"/>
        </w:rPr>
        <w:t>课程学时、学分分配表</w:t>
      </w:r>
    </w:p>
    <w:tbl>
      <w:tblPr>
        <w:tblStyle w:val="9"/>
        <w:tblW w:w="9493" w:type="dxa"/>
        <w:tblInd w:w="-212" w:type="dxa"/>
        <w:shd w:val="clear" w:color="auto" w:fill="auto"/>
        <w:tblLayout w:type="autofit"/>
        <w:tblCellMar>
          <w:top w:w="0" w:type="dxa"/>
          <w:left w:w="0" w:type="dxa"/>
          <w:bottom w:w="0" w:type="dxa"/>
          <w:right w:w="0" w:type="dxa"/>
        </w:tblCellMar>
      </w:tblPr>
      <w:tblGrid>
        <w:gridCol w:w="806"/>
        <w:gridCol w:w="1715"/>
        <w:gridCol w:w="660"/>
        <w:gridCol w:w="614"/>
        <w:gridCol w:w="992"/>
        <w:gridCol w:w="956"/>
        <w:gridCol w:w="964"/>
        <w:gridCol w:w="1020"/>
        <w:gridCol w:w="720"/>
        <w:gridCol w:w="1046"/>
      </w:tblGrid>
      <w:tr>
        <w:tblPrEx>
          <w:shd w:val="clear" w:color="auto" w:fill="auto"/>
          <w:tblCellMar>
            <w:top w:w="0" w:type="dxa"/>
            <w:left w:w="0" w:type="dxa"/>
            <w:bottom w:w="0" w:type="dxa"/>
            <w:right w:w="0" w:type="dxa"/>
          </w:tblCellMar>
        </w:tblPrEx>
        <w:trPr>
          <w:trHeight w:val="290" w:hRule="atLeast"/>
        </w:trPr>
        <w:tc>
          <w:tcPr>
            <w:tcW w:w="252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课程类别</w:t>
            </w:r>
          </w:p>
        </w:tc>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课程性质</w:t>
            </w:r>
          </w:p>
        </w:tc>
        <w:tc>
          <w:tcPr>
            <w:tcW w:w="61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学分</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占专业总学分比例</w:t>
            </w:r>
          </w:p>
        </w:tc>
        <w:tc>
          <w:tcPr>
            <w:tcW w:w="4706"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left"/>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 xml:space="preserve">                学时</w:t>
            </w:r>
          </w:p>
        </w:tc>
      </w:tr>
      <w:tr>
        <w:tblPrEx>
          <w:shd w:val="clear" w:color="auto" w:fill="auto"/>
          <w:tblCellMar>
            <w:top w:w="0" w:type="dxa"/>
            <w:left w:w="0" w:type="dxa"/>
            <w:bottom w:w="0" w:type="dxa"/>
            <w:right w:w="0" w:type="dxa"/>
          </w:tblCellMar>
        </w:tblPrEx>
        <w:trPr>
          <w:trHeight w:val="290" w:hRule="atLeast"/>
        </w:trPr>
        <w:tc>
          <w:tcPr>
            <w:tcW w:w="252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after="0" w:line="300" w:lineRule="exact"/>
              <w:ind w:left="0"/>
              <w:jc w:val="center"/>
              <w:rPr>
                <w:rFonts w:hint="eastAsia" w:ascii="仿宋_GB2312" w:hAnsi="仿宋_GB2312" w:eastAsia="仿宋_GB2312" w:cs="仿宋_GB2312"/>
                <w:i w:val="0"/>
                <w:color w:val="000000"/>
                <w:sz w:val="24"/>
                <w:szCs w:val="24"/>
                <w:highlight w:val="none"/>
                <w:u w:val="none"/>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after="0" w:line="300" w:lineRule="exact"/>
              <w:ind w:left="0"/>
              <w:jc w:val="center"/>
              <w:rPr>
                <w:rFonts w:hint="eastAsia" w:ascii="仿宋_GB2312" w:hAnsi="仿宋_GB2312" w:eastAsia="仿宋_GB2312" w:cs="仿宋_GB2312"/>
                <w:i w:val="0"/>
                <w:color w:val="000000"/>
                <w:sz w:val="24"/>
                <w:szCs w:val="24"/>
                <w:highlight w:val="none"/>
                <w:u w:val="none"/>
              </w:rPr>
            </w:pPr>
          </w:p>
        </w:tc>
        <w:tc>
          <w:tcPr>
            <w:tcW w:w="6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after="0" w:line="300" w:lineRule="exact"/>
              <w:ind w:left="0"/>
              <w:jc w:val="center"/>
              <w:rPr>
                <w:rFonts w:hint="eastAsia" w:ascii="仿宋_GB2312" w:hAnsi="仿宋_GB2312" w:eastAsia="仿宋_GB2312" w:cs="仿宋_GB2312"/>
                <w:i w:val="0"/>
                <w:color w:val="000000"/>
                <w:sz w:val="24"/>
                <w:szCs w:val="24"/>
                <w:highlight w:val="none"/>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after="0" w:line="300" w:lineRule="exact"/>
              <w:ind w:left="0"/>
              <w:jc w:val="center"/>
              <w:rPr>
                <w:rFonts w:hint="eastAsia" w:ascii="仿宋_GB2312" w:hAnsi="仿宋_GB2312" w:eastAsia="仿宋_GB2312" w:cs="仿宋_GB2312"/>
                <w:i w:val="0"/>
                <w:color w:val="000000"/>
                <w:sz w:val="24"/>
                <w:szCs w:val="24"/>
                <w:highlight w:val="none"/>
                <w:u w:val="none"/>
              </w:rPr>
            </w:pPr>
          </w:p>
        </w:tc>
        <w:tc>
          <w:tcPr>
            <w:tcW w:w="95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合计</w:t>
            </w:r>
          </w:p>
        </w:tc>
        <w:tc>
          <w:tcPr>
            <w:tcW w:w="198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理论教学</w:t>
            </w:r>
          </w:p>
        </w:tc>
        <w:tc>
          <w:tcPr>
            <w:tcW w:w="176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实践教学</w:t>
            </w:r>
          </w:p>
        </w:tc>
      </w:tr>
      <w:tr>
        <w:tblPrEx>
          <w:shd w:val="clear" w:color="auto" w:fill="auto"/>
          <w:tblCellMar>
            <w:top w:w="0" w:type="dxa"/>
            <w:left w:w="0" w:type="dxa"/>
            <w:bottom w:w="0" w:type="dxa"/>
            <w:right w:w="0" w:type="dxa"/>
          </w:tblCellMar>
        </w:tblPrEx>
        <w:trPr>
          <w:trHeight w:val="968" w:hRule="atLeast"/>
        </w:trPr>
        <w:tc>
          <w:tcPr>
            <w:tcW w:w="252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after="0" w:line="300" w:lineRule="exact"/>
              <w:ind w:left="0"/>
              <w:jc w:val="center"/>
              <w:rPr>
                <w:rFonts w:hint="eastAsia" w:ascii="仿宋_GB2312" w:hAnsi="仿宋_GB2312" w:eastAsia="仿宋_GB2312" w:cs="仿宋_GB2312"/>
                <w:i w:val="0"/>
                <w:color w:val="000000"/>
                <w:sz w:val="24"/>
                <w:szCs w:val="24"/>
                <w:highlight w:val="none"/>
                <w:u w:val="none"/>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after="0" w:line="300" w:lineRule="exact"/>
              <w:ind w:left="0"/>
              <w:jc w:val="center"/>
              <w:rPr>
                <w:rFonts w:hint="eastAsia" w:ascii="仿宋_GB2312" w:hAnsi="仿宋_GB2312" w:eastAsia="仿宋_GB2312" w:cs="仿宋_GB2312"/>
                <w:i w:val="0"/>
                <w:color w:val="000000"/>
                <w:sz w:val="24"/>
                <w:szCs w:val="24"/>
                <w:highlight w:val="none"/>
                <w:u w:val="none"/>
              </w:rPr>
            </w:pPr>
          </w:p>
        </w:tc>
        <w:tc>
          <w:tcPr>
            <w:tcW w:w="6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after="0" w:line="300" w:lineRule="exact"/>
              <w:ind w:left="0"/>
              <w:jc w:val="center"/>
              <w:rPr>
                <w:rFonts w:hint="eastAsia" w:ascii="仿宋_GB2312" w:hAnsi="仿宋_GB2312" w:eastAsia="仿宋_GB2312" w:cs="仿宋_GB2312"/>
                <w:i w:val="0"/>
                <w:color w:val="000000"/>
                <w:sz w:val="24"/>
                <w:szCs w:val="24"/>
                <w:highlight w:val="none"/>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after="0" w:line="300" w:lineRule="exact"/>
              <w:ind w:left="0"/>
              <w:jc w:val="center"/>
              <w:rPr>
                <w:rFonts w:hint="eastAsia" w:ascii="仿宋_GB2312" w:hAnsi="仿宋_GB2312" w:eastAsia="仿宋_GB2312" w:cs="仿宋_GB2312"/>
                <w:i w:val="0"/>
                <w:color w:val="000000"/>
                <w:sz w:val="24"/>
                <w:szCs w:val="24"/>
                <w:highlight w:val="none"/>
                <w:u w:val="none"/>
              </w:rPr>
            </w:pPr>
          </w:p>
        </w:tc>
        <w:tc>
          <w:tcPr>
            <w:tcW w:w="9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after="0" w:line="300" w:lineRule="exact"/>
              <w:ind w:left="0"/>
              <w:jc w:val="center"/>
              <w:rPr>
                <w:rFonts w:hint="eastAsia" w:ascii="仿宋_GB2312" w:hAnsi="仿宋_GB2312" w:eastAsia="仿宋_GB2312" w:cs="仿宋_GB2312"/>
                <w:i w:val="0"/>
                <w:color w:val="000000"/>
                <w:sz w:val="24"/>
                <w:szCs w:val="24"/>
                <w:highlight w:val="none"/>
                <w:u w:val="none"/>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学时</w:t>
            </w: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占专业总学时比例（%）</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学时</w:t>
            </w:r>
          </w:p>
        </w:tc>
        <w:tc>
          <w:tcPr>
            <w:tcW w:w="104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ind w:left="0"/>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占专业总学时比例（%）</w:t>
            </w:r>
          </w:p>
        </w:tc>
      </w:tr>
      <w:tr>
        <w:tblPrEx>
          <w:shd w:val="clear" w:color="auto" w:fill="auto"/>
          <w:tblCellMar>
            <w:top w:w="0" w:type="dxa"/>
            <w:left w:w="0" w:type="dxa"/>
            <w:bottom w:w="0" w:type="dxa"/>
            <w:right w:w="0" w:type="dxa"/>
          </w:tblCellMar>
        </w:tblPrEx>
        <w:trPr>
          <w:trHeight w:val="290" w:hRule="atLeast"/>
        </w:trPr>
        <w:tc>
          <w:tcPr>
            <w:tcW w:w="252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公共基础课</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必修</w:t>
            </w:r>
          </w:p>
        </w:tc>
        <w:tc>
          <w:tcPr>
            <w:tcW w:w="6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42</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28.19%</w:t>
            </w:r>
          </w:p>
        </w:tc>
        <w:tc>
          <w:tcPr>
            <w:tcW w:w="95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794</w:t>
            </w:r>
          </w:p>
        </w:tc>
        <w:tc>
          <w:tcPr>
            <w:tcW w:w="96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454</w:t>
            </w: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16.20%</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340</w:t>
            </w:r>
          </w:p>
        </w:tc>
        <w:tc>
          <w:tcPr>
            <w:tcW w:w="104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12.13%</w:t>
            </w:r>
          </w:p>
        </w:tc>
      </w:tr>
      <w:tr>
        <w:tblPrEx>
          <w:shd w:val="clear" w:color="auto" w:fill="auto"/>
          <w:tblCellMar>
            <w:top w:w="0" w:type="dxa"/>
            <w:left w:w="0" w:type="dxa"/>
            <w:bottom w:w="0" w:type="dxa"/>
            <w:right w:w="0" w:type="dxa"/>
          </w:tblCellMar>
        </w:tblPrEx>
        <w:trPr>
          <w:trHeight w:val="290" w:hRule="atLeast"/>
        </w:trPr>
        <w:tc>
          <w:tcPr>
            <w:tcW w:w="252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color w:val="000000"/>
                <w:sz w:val="24"/>
                <w:szCs w:val="24"/>
                <w:highlight w:val="none"/>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选修</w:t>
            </w:r>
          </w:p>
        </w:tc>
        <w:tc>
          <w:tcPr>
            <w:tcW w:w="6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8</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5.37%</w:t>
            </w:r>
          </w:p>
        </w:tc>
        <w:tc>
          <w:tcPr>
            <w:tcW w:w="95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128</w:t>
            </w:r>
          </w:p>
        </w:tc>
        <w:tc>
          <w:tcPr>
            <w:tcW w:w="96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80</w:t>
            </w: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2.86%</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48</w:t>
            </w:r>
          </w:p>
        </w:tc>
        <w:tc>
          <w:tcPr>
            <w:tcW w:w="104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1.71%</w:t>
            </w:r>
          </w:p>
        </w:tc>
      </w:tr>
      <w:tr>
        <w:tblPrEx>
          <w:shd w:val="clear" w:color="auto" w:fill="auto"/>
          <w:tblCellMar>
            <w:top w:w="0" w:type="dxa"/>
            <w:left w:w="0" w:type="dxa"/>
            <w:bottom w:w="0" w:type="dxa"/>
            <w:right w:w="0" w:type="dxa"/>
          </w:tblCellMar>
        </w:tblPrEx>
        <w:trPr>
          <w:trHeight w:val="290" w:hRule="atLeast"/>
        </w:trPr>
        <w:tc>
          <w:tcPr>
            <w:tcW w:w="252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color w:val="000000"/>
                <w:sz w:val="24"/>
                <w:szCs w:val="24"/>
                <w:highlight w:val="none"/>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小计</w:t>
            </w:r>
          </w:p>
        </w:tc>
        <w:tc>
          <w:tcPr>
            <w:tcW w:w="6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50</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33.56%</w:t>
            </w:r>
          </w:p>
        </w:tc>
        <w:tc>
          <w:tcPr>
            <w:tcW w:w="95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922</w:t>
            </w:r>
          </w:p>
        </w:tc>
        <w:tc>
          <w:tcPr>
            <w:tcW w:w="96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534</w:t>
            </w: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19.06%</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388</w:t>
            </w:r>
          </w:p>
        </w:tc>
        <w:tc>
          <w:tcPr>
            <w:tcW w:w="104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13.85%</w:t>
            </w:r>
          </w:p>
        </w:tc>
      </w:tr>
      <w:tr>
        <w:tblPrEx>
          <w:shd w:val="clear" w:color="auto" w:fill="auto"/>
          <w:tblCellMar>
            <w:top w:w="0" w:type="dxa"/>
            <w:left w:w="0" w:type="dxa"/>
            <w:bottom w:w="0" w:type="dxa"/>
            <w:right w:w="0" w:type="dxa"/>
          </w:tblCellMar>
        </w:tblPrEx>
        <w:trPr>
          <w:trHeight w:val="290" w:hRule="atLeast"/>
        </w:trPr>
        <w:tc>
          <w:tcPr>
            <w:tcW w:w="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专业课</w:t>
            </w:r>
          </w:p>
        </w:tc>
        <w:tc>
          <w:tcPr>
            <w:tcW w:w="171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专业基础课</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必修</w:t>
            </w:r>
          </w:p>
        </w:tc>
        <w:tc>
          <w:tcPr>
            <w:tcW w:w="6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34</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22.82%</w:t>
            </w:r>
          </w:p>
        </w:tc>
        <w:tc>
          <w:tcPr>
            <w:tcW w:w="95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612</w:t>
            </w:r>
          </w:p>
        </w:tc>
        <w:tc>
          <w:tcPr>
            <w:tcW w:w="96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408</w:t>
            </w: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14.56%</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204</w:t>
            </w:r>
          </w:p>
        </w:tc>
        <w:tc>
          <w:tcPr>
            <w:tcW w:w="104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7.28%</w:t>
            </w:r>
          </w:p>
        </w:tc>
      </w:tr>
      <w:tr>
        <w:tblPrEx>
          <w:shd w:val="clear" w:color="auto" w:fill="auto"/>
          <w:tblCellMar>
            <w:top w:w="0" w:type="dxa"/>
            <w:left w:w="0" w:type="dxa"/>
            <w:bottom w:w="0" w:type="dxa"/>
            <w:right w:w="0" w:type="dxa"/>
          </w:tblCellMar>
        </w:tblPrEx>
        <w:trPr>
          <w:trHeight w:val="290" w:hRule="atLeast"/>
        </w:trPr>
        <w:tc>
          <w:tcPr>
            <w:tcW w:w="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color w:val="000000"/>
                <w:sz w:val="24"/>
                <w:szCs w:val="24"/>
                <w:highlight w:val="none"/>
                <w:u w:val="none"/>
              </w:rPr>
            </w:pPr>
          </w:p>
        </w:tc>
        <w:tc>
          <w:tcPr>
            <w:tcW w:w="171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专业核心课</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必修</w:t>
            </w:r>
          </w:p>
        </w:tc>
        <w:tc>
          <w:tcPr>
            <w:tcW w:w="6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32</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21.48%</w:t>
            </w:r>
          </w:p>
        </w:tc>
        <w:tc>
          <w:tcPr>
            <w:tcW w:w="95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576</w:t>
            </w:r>
          </w:p>
        </w:tc>
        <w:tc>
          <w:tcPr>
            <w:tcW w:w="96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268</w:t>
            </w: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9.56%</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308</w:t>
            </w:r>
          </w:p>
        </w:tc>
        <w:tc>
          <w:tcPr>
            <w:tcW w:w="104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10.99%</w:t>
            </w:r>
          </w:p>
        </w:tc>
      </w:tr>
      <w:tr>
        <w:tblPrEx>
          <w:shd w:val="clear" w:color="auto" w:fill="auto"/>
          <w:tblCellMar>
            <w:top w:w="0" w:type="dxa"/>
            <w:left w:w="0" w:type="dxa"/>
            <w:bottom w:w="0" w:type="dxa"/>
            <w:right w:w="0" w:type="dxa"/>
          </w:tblCellMar>
        </w:tblPrEx>
        <w:trPr>
          <w:trHeight w:val="349" w:hRule="atLeast"/>
        </w:trPr>
        <w:tc>
          <w:tcPr>
            <w:tcW w:w="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color w:val="000000"/>
                <w:sz w:val="24"/>
                <w:szCs w:val="24"/>
                <w:highlight w:val="none"/>
                <w:u w:val="none"/>
              </w:rPr>
            </w:pPr>
          </w:p>
        </w:tc>
        <w:tc>
          <w:tcPr>
            <w:tcW w:w="171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专业拓展课</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选修</w:t>
            </w:r>
          </w:p>
        </w:tc>
        <w:tc>
          <w:tcPr>
            <w:tcW w:w="6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10</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6.71%</w:t>
            </w:r>
          </w:p>
        </w:tc>
        <w:tc>
          <w:tcPr>
            <w:tcW w:w="95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180</w:t>
            </w:r>
          </w:p>
        </w:tc>
        <w:tc>
          <w:tcPr>
            <w:tcW w:w="96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90</w:t>
            </w: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3.21%</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90</w:t>
            </w:r>
          </w:p>
        </w:tc>
        <w:tc>
          <w:tcPr>
            <w:tcW w:w="104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3.21%</w:t>
            </w:r>
          </w:p>
        </w:tc>
      </w:tr>
      <w:tr>
        <w:tblPrEx>
          <w:shd w:val="clear" w:color="auto" w:fill="auto"/>
          <w:tblCellMar>
            <w:top w:w="0" w:type="dxa"/>
            <w:left w:w="0" w:type="dxa"/>
            <w:bottom w:w="0" w:type="dxa"/>
            <w:right w:w="0" w:type="dxa"/>
          </w:tblCellMar>
        </w:tblPrEx>
        <w:trPr>
          <w:trHeight w:val="290" w:hRule="atLeast"/>
        </w:trPr>
        <w:tc>
          <w:tcPr>
            <w:tcW w:w="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p>
        </w:tc>
        <w:tc>
          <w:tcPr>
            <w:tcW w:w="171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sz w:val="24"/>
                <w:szCs w:val="24"/>
                <w:highlight w:val="none"/>
              </w:rPr>
            </w:pPr>
            <w:r>
              <w:rPr>
                <w:rFonts w:hint="eastAsia" w:ascii="仿宋_GB2312" w:hAnsi="仿宋_GB2312" w:eastAsia="仿宋_GB2312" w:cs="仿宋_GB2312"/>
                <w:i w:val="0"/>
                <w:iCs w:val="0"/>
                <w:color w:val="000000"/>
                <w:sz w:val="24"/>
                <w:szCs w:val="24"/>
                <w:highlight w:val="none"/>
                <w:u w:val="none"/>
              </w:rPr>
              <w:t>实践</w:t>
            </w:r>
            <w:r>
              <w:rPr>
                <w:rFonts w:hint="eastAsia" w:ascii="仿宋_GB2312" w:hAnsi="仿宋_GB2312" w:eastAsia="仿宋_GB2312" w:cs="仿宋_GB2312"/>
                <w:i w:val="0"/>
                <w:iCs w:val="0"/>
                <w:color w:val="000000"/>
                <w:sz w:val="24"/>
                <w:szCs w:val="24"/>
                <w:highlight w:val="none"/>
                <w:u w:val="none"/>
                <w:lang w:val="en-US" w:eastAsia="zh-CN"/>
              </w:rPr>
              <w:t>性</w:t>
            </w:r>
            <w:r>
              <w:rPr>
                <w:rFonts w:hint="eastAsia" w:ascii="仿宋_GB2312" w:hAnsi="仿宋_GB2312" w:eastAsia="仿宋_GB2312" w:cs="仿宋_GB2312"/>
                <w:i w:val="0"/>
                <w:iCs w:val="0"/>
                <w:color w:val="000000"/>
                <w:sz w:val="24"/>
                <w:szCs w:val="24"/>
                <w:highlight w:val="none"/>
                <w:u w:val="none"/>
              </w:rPr>
              <w:t>教学环节</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必修</w:t>
            </w:r>
          </w:p>
        </w:tc>
        <w:tc>
          <w:tcPr>
            <w:tcW w:w="6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23</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15.44%</w:t>
            </w:r>
          </w:p>
        </w:tc>
        <w:tc>
          <w:tcPr>
            <w:tcW w:w="95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512</w:t>
            </w:r>
          </w:p>
        </w:tc>
        <w:tc>
          <w:tcPr>
            <w:tcW w:w="96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20</w:t>
            </w: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0.71%</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492</w:t>
            </w:r>
          </w:p>
        </w:tc>
        <w:tc>
          <w:tcPr>
            <w:tcW w:w="104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17.56%</w:t>
            </w:r>
          </w:p>
        </w:tc>
      </w:tr>
      <w:tr>
        <w:tblPrEx>
          <w:shd w:val="clear" w:color="auto" w:fill="auto"/>
          <w:tblCellMar>
            <w:top w:w="0" w:type="dxa"/>
            <w:left w:w="0" w:type="dxa"/>
            <w:bottom w:w="0" w:type="dxa"/>
            <w:right w:w="0" w:type="dxa"/>
          </w:tblCellMar>
        </w:tblPrEx>
        <w:trPr>
          <w:trHeight w:val="290" w:hRule="atLeast"/>
        </w:trPr>
        <w:tc>
          <w:tcPr>
            <w:tcW w:w="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p>
        </w:tc>
        <w:tc>
          <w:tcPr>
            <w:tcW w:w="237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sz w:val="24"/>
                <w:szCs w:val="24"/>
                <w:highlight w:val="none"/>
              </w:rPr>
            </w:pPr>
            <w:r>
              <w:rPr>
                <w:rFonts w:hint="eastAsia" w:ascii="仿宋_GB2312" w:hAnsi="仿宋_GB2312" w:eastAsia="仿宋_GB2312" w:cs="仿宋_GB2312"/>
                <w:i w:val="0"/>
                <w:color w:val="000000"/>
                <w:kern w:val="0"/>
                <w:sz w:val="24"/>
                <w:szCs w:val="24"/>
                <w:highlight w:val="none"/>
                <w:u w:val="none"/>
                <w:lang w:val="en-US" w:eastAsia="zh-CN" w:bidi="ar"/>
              </w:rPr>
              <w:t>小计</w:t>
            </w:r>
          </w:p>
        </w:tc>
        <w:tc>
          <w:tcPr>
            <w:tcW w:w="6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99</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66.44%</w:t>
            </w:r>
          </w:p>
        </w:tc>
        <w:tc>
          <w:tcPr>
            <w:tcW w:w="95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1880</w:t>
            </w:r>
          </w:p>
        </w:tc>
        <w:tc>
          <w:tcPr>
            <w:tcW w:w="96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786</w:t>
            </w: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28.05%</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1094</w:t>
            </w:r>
          </w:p>
        </w:tc>
        <w:tc>
          <w:tcPr>
            <w:tcW w:w="104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39.04%</w:t>
            </w:r>
          </w:p>
        </w:tc>
      </w:tr>
      <w:tr>
        <w:tblPrEx>
          <w:shd w:val="clear" w:color="auto" w:fill="auto"/>
          <w:tblCellMar>
            <w:top w:w="0" w:type="dxa"/>
            <w:left w:w="0" w:type="dxa"/>
            <w:bottom w:w="0" w:type="dxa"/>
            <w:right w:w="0" w:type="dxa"/>
          </w:tblCellMar>
        </w:tblPrEx>
        <w:trPr>
          <w:trHeight w:val="290" w:hRule="atLeast"/>
        </w:trPr>
        <w:tc>
          <w:tcPr>
            <w:tcW w:w="318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合计</w:t>
            </w:r>
          </w:p>
        </w:tc>
        <w:tc>
          <w:tcPr>
            <w:tcW w:w="6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149</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100.00%</w:t>
            </w:r>
          </w:p>
        </w:tc>
        <w:tc>
          <w:tcPr>
            <w:tcW w:w="95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2802</w:t>
            </w:r>
          </w:p>
        </w:tc>
        <w:tc>
          <w:tcPr>
            <w:tcW w:w="96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1320</w:t>
            </w: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47.11%</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1482</w:t>
            </w:r>
          </w:p>
        </w:tc>
        <w:tc>
          <w:tcPr>
            <w:tcW w:w="104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z w:val="24"/>
                <w:szCs w:val="24"/>
                <w:highlight w:val="none"/>
                <w:u w:val="none"/>
              </w:rPr>
            </w:pPr>
            <w:r>
              <w:rPr>
                <w:rFonts w:hint="eastAsia" w:ascii="仿宋_GB2312" w:hAnsi="仿宋_GB2312" w:eastAsia="仿宋_GB2312" w:cs="仿宋_GB2312"/>
                <w:i w:val="0"/>
                <w:color w:val="000000"/>
                <w:kern w:val="0"/>
                <w:sz w:val="24"/>
                <w:szCs w:val="24"/>
                <w:highlight w:val="none"/>
                <w:u w:val="none"/>
                <w:lang w:val="en-US" w:eastAsia="zh-CN" w:bidi="ar"/>
              </w:rPr>
              <w:t>52.89%</w:t>
            </w:r>
          </w:p>
        </w:tc>
      </w:tr>
    </w:tbl>
    <w:p>
      <w:pPr>
        <w:keepNext w:val="0"/>
        <w:keepLines w:val="0"/>
        <w:pageBreakBefore w:val="0"/>
        <w:widowControl w:val="0"/>
        <w:kinsoku/>
        <w:wordWrap/>
        <w:overflowPunct/>
        <w:topLinePunct w:val="0"/>
        <w:autoSpaceDE/>
        <w:autoSpaceDN/>
        <w:bidi w:val="0"/>
        <w:adjustRightInd/>
        <w:snapToGrid/>
        <w:spacing w:after="0" w:line="520" w:lineRule="exact"/>
        <w:ind w:left="0"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三</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rPr>
        <w:t>教学计划进程</w:t>
      </w:r>
    </w:p>
    <w:p>
      <w:pPr>
        <w:pStyle w:val="8"/>
        <w:keepNext w:val="0"/>
        <w:keepLines w:val="0"/>
        <w:pageBreakBefore w:val="0"/>
        <w:shd w:val="clear" w:color="auto" w:fill="FFFFFF"/>
        <w:kinsoku/>
        <w:wordWrap/>
        <w:topLinePunct w:val="0"/>
        <w:autoSpaceDE/>
        <w:autoSpaceDN/>
        <w:bidi w:val="0"/>
        <w:snapToGrid/>
        <w:spacing w:before="0" w:beforeAutospacing="0" w:after="0" w:afterAutospacing="0" w:line="520" w:lineRule="exact"/>
        <w:ind w:left="0"/>
        <w:jc w:val="center"/>
        <w:textAlignment w:val="auto"/>
        <w:rPr>
          <w:rFonts w:hint="eastAsia" w:ascii="楷体" w:hAnsi="楷体" w:eastAsia="楷体" w:cs="楷体"/>
          <w:color w:val="auto"/>
          <w:sz w:val="32"/>
          <w:szCs w:val="32"/>
          <w:highlight w:val="none"/>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 xml:space="preserve">10 </w:t>
      </w:r>
      <w:r>
        <w:rPr>
          <w:rFonts w:hint="eastAsia" w:ascii="仿宋_GB2312" w:hAnsi="仿宋_GB2312" w:eastAsia="仿宋_GB2312" w:cs="仿宋_GB2312"/>
          <w:color w:val="auto"/>
          <w:sz w:val="32"/>
          <w:szCs w:val="32"/>
          <w:highlight w:val="none"/>
          <w:shd w:val="clear" w:color="auto" w:fill="FFFFFF"/>
          <w:lang w:bidi="ar"/>
        </w:rPr>
        <w:t>教学计划进程安排表</w:t>
      </w:r>
    </w:p>
    <w:tbl>
      <w:tblPr>
        <w:tblStyle w:val="9"/>
        <w:tblW w:w="5924" w:type="pct"/>
        <w:jc w:val="center"/>
        <w:shd w:val="clear" w:color="auto" w:fill="auto"/>
        <w:tblLayout w:type="fixed"/>
        <w:tblCellMar>
          <w:top w:w="0" w:type="dxa"/>
          <w:left w:w="0" w:type="dxa"/>
          <w:bottom w:w="0" w:type="dxa"/>
          <w:right w:w="0" w:type="dxa"/>
        </w:tblCellMar>
      </w:tblPr>
      <w:tblGrid>
        <w:gridCol w:w="257"/>
        <w:gridCol w:w="536"/>
        <w:gridCol w:w="391"/>
        <w:gridCol w:w="382"/>
        <w:gridCol w:w="1079"/>
        <w:gridCol w:w="2035"/>
        <w:gridCol w:w="704"/>
        <w:gridCol w:w="638"/>
        <w:gridCol w:w="649"/>
        <w:gridCol w:w="638"/>
        <w:gridCol w:w="517"/>
        <w:gridCol w:w="517"/>
        <w:gridCol w:w="473"/>
        <w:gridCol w:w="462"/>
        <w:gridCol w:w="407"/>
        <w:gridCol w:w="426"/>
        <w:gridCol w:w="666"/>
      </w:tblGrid>
      <w:tr>
        <w:tblPrEx>
          <w:tblCellMar>
            <w:top w:w="0" w:type="dxa"/>
            <w:left w:w="0" w:type="dxa"/>
            <w:bottom w:w="0" w:type="dxa"/>
            <w:right w:w="0" w:type="dxa"/>
          </w:tblCellMar>
        </w:tblPrEx>
        <w:trPr>
          <w:trHeight w:val="312" w:hRule="atLeast"/>
          <w:jc w:val="center"/>
        </w:trPr>
        <w:tc>
          <w:tcPr>
            <w:tcW w:w="549" w:type="pct"/>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课程类型</w:t>
            </w:r>
          </w:p>
        </w:tc>
        <w:tc>
          <w:tcPr>
            <w:tcW w:w="177" w:type="pct"/>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序号</w:t>
            </w:r>
          </w:p>
        </w:tc>
        <w:tc>
          <w:tcPr>
            <w:tcW w:w="500" w:type="pct"/>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课程代码</w:t>
            </w:r>
          </w:p>
        </w:tc>
        <w:tc>
          <w:tcPr>
            <w:tcW w:w="944" w:type="pct"/>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课程名称</w:t>
            </w:r>
          </w:p>
        </w:tc>
        <w:tc>
          <w:tcPr>
            <w:tcW w:w="326" w:type="pct"/>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学分</w:t>
            </w:r>
          </w:p>
        </w:tc>
        <w:tc>
          <w:tcPr>
            <w:tcW w:w="893" w:type="pct"/>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教学学时数</w:t>
            </w:r>
          </w:p>
        </w:tc>
        <w:tc>
          <w:tcPr>
            <w:tcW w:w="1299" w:type="pct"/>
            <w:gridSpan w:val="6"/>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开课学期和周学时</w:t>
            </w:r>
          </w:p>
        </w:tc>
        <w:tc>
          <w:tcPr>
            <w:tcW w:w="308" w:type="pct"/>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考核</w:t>
            </w:r>
          </w:p>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类型</w:t>
            </w:r>
          </w:p>
        </w:tc>
      </w:tr>
      <w:tr>
        <w:tblPrEx>
          <w:shd w:val="clear" w:color="auto" w:fill="auto"/>
          <w:tblCellMar>
            <w:top w:w="0" w:type="dxa"/>
            <w:left w:w="0" w:type="dxa"/>
            <w:bottom w:w="0" w:type="dxa"/>
            <w:right w:w="0" w:type="dxa"/>
          </w:tblCellMar>
        </w:tblPrEx>
        <w:trPr>
          <w:trHeight w:val="312" w:hRule="atLeast"/>
          <w:jc w:val="center"/>
        </w:trPr>
        <w:tc>
          <w:tcPr>
            <w:tcW w:w="549"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77"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500"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944"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26"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893"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299"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r>
      <w:tr>
        <w:tblPrEx>
          <w:shd w:val="clear" w:color="auto" w:fill="auto"/>
          <w:tblCellMar>
            <w:top w:w="0" w:type="dxa"/>
            <w:left w:w="0" w:type="dxa"/>
            <w:bottom w:w="0" w:type="dxa"/>
            <w:right w:w="0" w:type="dxa"/>
          </w:tblCellMar>
        </w:tblPrEx>
        <w:trPr>
          <w:trHeight w:val="57" w:hRule="atLeast"/>
          <w:jc w:val="center"/>
        </w:trPr>
        <w:tc>
          <w:tcPr>
            <w:tcW w:w="549"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77"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500"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944"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26"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合计</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理论</w:t>
            </w:r>
          </w:p>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学时</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实践</w:t>
            </w:r>
          </w:p>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学时</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一</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二</w:t>
            </w: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三</w:t>
            </w:r>
          </w:p>
        </w:tc>
        <w:tc>
          <w:tcPr>
            <w:tcW w:w="21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四</w:t>
            </w:r>
          </w:p>
        </w:tc>
        <w:tc>
          <w:tcPr>
            <w:tcW w:w="18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五</w:t>
            </w: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六</w:t>
            </w:r>
          </w:p>
        </w:tc>
        <w:tc>
          <w:tcPr>
            <w:tcW w:w="30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r>
      <w:tr>
        <w:tblPrEx>
          <w:tblCellMar>
            <w:top w:w="0" w:type="dxa"/>
            <w:left w:w="0" w:type="dxa"/>
            <w:bottom w:w="0" w:type="dxa"/>
            <w:right w:w="0" w:type="dxa"/>
          </w:tblCellMar>
        </w:tblPrEx>
        <w:trPr>
          <w:trHeight w:val="57" w:hRule="atLeast"/>
          <w:jc w:val="center"/>
        </w:trPr>
        <w:tc>
          <w:tcPr>
            <w:tcW w:w="367" w:type="pct"/>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公共基础课</w:t>
            </w:r>
          </w:p>
        </w:tc>
        <w:tc>
          <w:tcPr>
            <w:tcW w:w="181" w:type="pct"/>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必修</w:t>
            </w: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w w:val="98"/>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1B410101211</w:t>
            </w:r>
          </w:p>
        </w:tc>
        <w:tc>
          <w:tcPr>
            <w:tcW w:w="94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思想道德与法治</w:t>
            </w:r>
          </w:p>
        </w:tc>
        <w:tc>
          <w:tcPr>
            <w:tcW w:w="32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48</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36</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12</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考试</w:t>
            </w:r>
          </w:p>
        </w:tc>
      </w:tr>
      <w:tr>
        <w:tblPrEx>
          <w:shd w:val="clear" w:color="auto" w:fill="auto"/>
          <w:tblCellMar>
            <w:top w:w="0" w:type="dxa"/>
            <w:left w:w="0" w:type="dxa"/>
            <w:bottom w:w="0" w:type="dxa"/>
            <w:right w:w="0" w:type="dxa"/>
          </w:tblCellMar>
        </w:tblPrEx>
        <w:trPr>
          <w:trHeight w:val="57" w:hRule="atLeast"/>
          <w:jc w:val="center"/>
        </w:trPr>
        <w:tc>
          <w:tcPr>
            <w:tcW w:w="36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1"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w w:val="98"/>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1B410101212</w:t>
            </w:r>
          </w:p>
        </w:tc>
        <w:tc>
          <w:tcPr>
            <w:tcW w:w="94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形势与政策</w:t>
            </w:r>
          </w:p>
        </w:tc>
        <w:tc>
          <w:tcPr>
            <w:tcW w:w="32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0</w:t>
            </w:r>
          </w:p>
        </w:tc>
        <w:tc>
          <w:tcPr>
            <w:tcW w:w="1299" w:type="pct"/>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1到4学期开课，每学期8学时。</w:t>
            </w:r>
          </w:p>
        </w:tc>
        <w:tc>
          <w:tcPr>
            <w:tcW w:w="30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shd w:val="clear" w:color="auto" w:fill="auto"/>
          <w:tblCellMar>
            <w:top w:w="0" w:type="dxa"/>
            <w:left w:w="0" w:type="dxa"/>
            <w:bottom w:w="0" w:type="dxa"/>
            <w:right w:w="0" w:type="dxa"/>
          </w:tblCellMar>
        </w:tblPrEx>
        <w:trPr>
          <w:trHeight w:val="57" w:hRule="atLeast"/>
          <w:jc w:val="center"/>
        </w:trPr>
        <w:tc>
          <w:tcPr>
            <w:tcW w:w="36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1"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23"/>
                <w:w w:val="100"/>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1B410101211</w:t>
            </w:r>
          </w:p>
        </w:tc>
        <w:tc>
          <w:tcPr>
            <w:tcW w:w="94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国家安全教育</w:t>
            </w:r>
          </w:p>
        </w:tc>
        <w:tc>
          <w:tcPr>
            <w:tcW w:w="32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16</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16</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0</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shd w:val="clear" w:color="auto" w:fill="auto"/>
          <w:tblCellMar>
            <w:top w:w="0" w:type="dxa"/>
            <w:left w:w="0" w:type="dxa"/>
            <w:bottom w:w="0" w:type="dxa"/>
            <w:right w:w="0" w:type="dxa"/>
          </w:tblCellMar>
        </w:tblPrEx>
        <w:trPr>
          <w:trHeight w:val="57" w:hRule="atLeast"/>
          <w:jc w:val="center"/>
        </w:trPr>
        <w:tc>
          <w:tcPr>
            <w:tcW w:w="36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1"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23"/>
                <w:w w:val="100"/>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1B410101212</w:t>
            </w:r>
          </w:p>
        </w:tc>
        <w:tc>
          <w:tcPr>
            <w:tcW w:w="94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军事理论</w:t>
            </w:r>
          </w:p>
        </w:tc>
        <w:tc>
          <w:tcPr>
            <w:tcW w:w="32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36</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36</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0</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shd w:val="clear" w:color="auto" w:fill="auto"/>
          <w:tblCellMar>
            <w:top w:w="0" w:type="dxa"/>
            <w:left w:w="0" w:type="dxa"/>
            <w:bottom w:w="0" w:type="dxa"/>
            <w:right w:w="0" w:type="dxa"/>
          </w:tblCellMar>
        </w:tblPrEx>
        <w:trPr>
          <w:trHeight w:val="57" w:hRule="atLeast"/>
          <w:jc w:val="center"/>
        </w:trPr>
        <w:tc>
          <w:tcPr>
            <w:tcW w:w="36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1"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23"/>
                <w:w w:val="100"/>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1B410101211</w:t>
            </w:r>
          </w:p>
        </w:tc>
        <w:tc>
          <w:tcPr>
            <w:tcW w:w="94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军训</w:t>
            </w:r>
          </w:p>
        </w:tc>
        <w:tc>
          <w:tcPr>
            <w:tcW w:w="32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112</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0</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112</w:t>
            </w:r>
          </w:p>
        </w:tc>
        <w:tc>
          <w:tcPr>
            <w:tcW w:w="1299" w:type="pct"/>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第1学期，实际训练时间不少于14天</w:t>
            </w:r>
          </w:p>
        </w:tc>
        <w:tc>
          <w:tcPr>
            <w:tcW w:w="30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shd w:val="clear" w:color="auto" w:fill="auto"/>
          <w:tblCellMar>
            <w:top w:w="0" w:type="dxa"/>
            <w:left w:w="0" w:type="dxa"/>
            <w:bottom w:w="0" w:type="dxa"/>
            <w:right w:w="0" w:type="dxa"/>
          </w:tblCellMar>
        </w:tblPrEx>
        <w:trPr>
          <w:trHeight w:val="57" w:hRule="atLeast"/>
          <w:jc w:val="center"/>
        </w:trPr>
        <w:tc>
          <w:tcPr>
            <w:tcW w:w="36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1"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6</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23"/>
                <w:w w:val="100"/>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1B410101212</w:t>
            </w:r>
          </w:p>
        </w:tc>
        <w:tc>
          <w:tcPr>
            <w:tcW w:w="94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计算机基础</w:t>
            </w:r>
          </w:p>
        </w:tc>
        <w:tc>
          <w:tcPr>
            <w:tcW w:w="32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64</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shd w:val="clear" w:color="auto" w:fill="auto"/>
          <w:tblCellMar>
            <w:top w:w="0" w:type="dxa"/>
            <w:left w:w="0" w:type="dxa"/>
            <w:bottom w:w="0" w:type="dxa"/>
            <w:right w:w="0" w:type="dxa"/>
          </w:tblCellMar>
        </w:tblPrEx>
        <w:trPr>
          <w:trHeight w:val="57" w:hRule="atLeast"/>
          <w:jc w:val="center"/>
        </w:trPr>
        <w:tc>
          <w:tcPr>
            <w:tcW w:w="36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1"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23"/>
                <w:w w:val="100"/>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1B410101211</w:t>
            </w:r>
          </w:p>
        </w:tc>
        <w:tc>
          <w:tcPr>
            <w:tcW w:w="94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高等数学</w:t>
            </w:r>
          </w:p>
        </w:tc>
        <w:tc>
          <w:tcPr>
            <w:tcW w:w="32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64</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64</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0</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8"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考试</w:t>
            </w:r>
          </w:p>
        </w:tc>
      </w:tr>
      <w:tr>
        <w:tblPrEx>
          <w:shd w:val="clear" w:color="auto" w:fill="auto"/>
          <w:tblCellMar>
            <w:top w:w="0" w:type="dxa"/>
            <w:left w:w="0" w:type="dxa"/>
            <w:bottom w:w="0" w:type="dxa"/>
            <w:right w:w="0" w:type="dxa"/>
          </w:tblCellMar>
        </w:tblPrEx>
        <w:trPr>
          <w:trHeight w:val="57" w:hRule="atLeast"/>
          <w:jc w:val="center"/>
        </w:trPr>
        <w:tc>
          <w:tcPr>
            <w:tcW w:w="36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1"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8</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23"/>
                <w:w w:val="100"/>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1B410101212</w:t>
            </w:r>
          </w:p>
        </w:tc>
        <w:tc>
          <w:tcPr>
            <w:tcW w:w="94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大学英语</w:t>
            </w:r>
          </w:p>
        </w:tc>
        <w:tc>
          <w:tcPr>
            <w:tcW w:w="32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8</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128</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104</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24</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考试</w:t>
            </w:r>
          </w:p>
        </w:tc>
      </w:tr>
      <w:tr>
        <w:tblPrEx>
          <w:shd w:val="clear" w:color="auto" w:fill="auto"/>
          <w:tblCellMar>
            <w:top w:w="0" w:type="dxa"/>
            <w:left w:w="0" w:type="dxa"/>
            <w:bottom w:w="0" w:type="dxa"/>
            <w:right w:w="0" w:type="dxa"/>
          </w:tblCellMar>
        </w:tblPrEx>
        <w:trPr>
          <w:trHeight w:val="57" w:hRule="atLeast"/>
          <w:jc w:val="center"/>
        </w:trPr>
        <w:tc>
          <w:tcPr>
            <w:tcW w:w="36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1"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9</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23"/>
                <w:w w:val="100"/>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1B410101211</w:t>
            </w:r>
          </w:p>
        </w:tc>
        <w:tc>
          <w:tcPr>
            <w:tcW w:w="94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大学体育</w:t>
            </w:r>
          </w:p>
        </w:tc>
        <w:tc>
          <w:tcPr>
            <w:tcW w:w="32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6</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108</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0</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108</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214"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CellMar>
            <w:top w:w="0" w:type="dxa"/>
            <w:left w:w="0" w:type="dxa"/>
            <w:bottom w:w="0" w:type="dxa"/>
            <w:right w:w="0" w:type="dxa"/>
          </w:tblCellMar>
        </w:tblPrEx>
        <w:trPr>
          <w:trHeight w:val="57" w:hRule="atLeast"/>
          <w:jc w:val="center"/>
        </w:trPr>
        <w:tc>
          <w:tcPr>
            <w:tcW w:w="36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1"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10</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23"/>
                <w:w w:val="100"/>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1B410101212</w:t>
            </w:r>
          </w:p>
        </w:tc>
        <w:tc>
          <w:tcPr>
            <w:tcW w:w="94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大学生职业发展与就业指导</w:t>
            </w:r>
          </w:p>
        </w:tc>
        <w:tc>
          <w:tcPr>
            <w:tcW w:w="32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38</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26</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12</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21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CellMar>
            <w:top w:w="0" w:type="dxa"/>
            <w:left w:w="0" w:type="dxa"/>
            <w:bottom w:w="0" w:type="dxa"/>
            <w:right w:w="0" w:type="dxa"/>
          </w:tblCellMar>
        </w:tblPrEx>
        <w:trPr>
          <w:trHeight w:val="57" w:hRule="atLeast"/>
          <w:jc w:val="center"/>
        </w:trPr>
        <w:tc>
          <w:tcPr>
            <w:tcW w:w="36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1"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11</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23"/>
                <w:w w:val="100"/>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1B410101211</w:t>
            </w:r>
          </w:p>
        </w:tc>
        <w:tc>
          <w:tcPr>
            <w:tcW w:w="94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大学生心理健康教育</w:t>
            </w:r>
          </w:p>
        </w:tc>
        <w:tc>
          <w:tcPr>
            <w:tcW w:w="32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20</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12</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shd w:val="clear" w:color="auto" w:fill="auto"/>
          <w:tblCellMar>
            <w:top w:w="0" w:type="dxa"/>
            <w:left w:w="0" w:type="dxa"/>
            <w:bottom w:w="0" w:type="dxa"/>
            <w:right w:w="0" w:type="dxa"/>
          </w:tblCellMar>
        </w:tblPrEx>
        <w:trPr>
          <w:trHeight w:val="57" w:hRule="atLeast"/>
          <w:jc w:val="center"/>
        </w:trPr>
        <w:tc>
          <w:tcPr>
            <w:tcW w:w="36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1"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12</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23"/>
                <w:w w:val="100"/>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1B410101212</w:t>
            </w:r>
          </w:p>
        </w:tc>
        <w:tc>
          <w:tcPr>
            <w:tcW w:w="94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劳动教育</w:t>
            </w:r>
          </w:p>
        </w:tc>
        <w:tc>
          <w:tcPr>
            <w:tcW w:w="32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default"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16</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0</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16</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CellMar>
            <w:top w:w="0" w:type="dxa"/>
            <w:left w:w="0" w:type="dxa"/>
            <w:bottom w:w="0" w:type="dxa"/>
            <w:right w:w="0" w:type="dxa"/>
          </w:tblCellMar>
        </w:tblPrEx>
        <w:trPr>
          <w:trHeight w:val="57" w:hRule="atLeast"/>
          <w:jc w:val="center"/>
        </w:trPr>
        <w:tc>
          <w:tcPr>
            <w:tcW w:w="36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1"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13</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23"/>
                <w:w w:val="100"/>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1B410101211</w:t>
            </w:r>
          </w:p>
        </w:tc>
        <w:tc>
          <w:tcPr>
            <w:tcW w:w="94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毛泽东思想和中国特色社会主义理论体系概论</w:t>
            </w:r>
          </w:p>
        </w:tc>
        <w:tc>
          <w:tcPr>
            <w:tcW w:w="32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28</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21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考试</w:t>
            </w:r>
          </w:p>
        </w:tc>
      </w:tr>
      <w:tr>
        <w:tblPrEx>
          <w:shd w:val="clear" w:color="auto" w:fill="auto"/>
          <w:tblCellMar>
            <w:top w:w="0" w:type="dxa"/>
            <w:left w:w="0" w:type="dxa"/>
            <w:bottom w:w="0" w:type="dxa"/>
            <w:right w:w="0" w:type="dxa"/>
          </w:tblCellMar>
        </w:tblPrEx>
        <w:trPr>
          <w:trHeight w:val="90" w:hRule="atLeast"/>
          <w:jc w:val="center"/>
        </w:trPr>
        <w:tc>
          <w:tcPr>
            <w:tcW w:w="36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1"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14</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23"/>
                <w:w w:val="100"/>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1B410101212</w:t>
            </w:r>
          </w:p>
        </w:tc>
        <w:tc>
          <w:tcPr>
            <w:tcW w:w="94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创新创业教育</w:t>
            </w:r>
          </w:p>
        </w:tc>
        <w:tc>
          <w:tcPr>
            <w:tcW w:w="32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16</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12</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shd w:val="clear" w:color="auto" w:fill="auto"/>
          <w:tblCellMar>
            <w:top w:w="0" w:type="dxa"/>
            <w:left w:w="0" w:type="dxa"/>
            <w:bottom w:w="0" w:type="dxa"/>
            <w:right w:w="0" w:type="dxa"/>
          </w:tblCellMar>
        </w:tblPrEx>
        <w:trPr>
          <w:trHeight w:val="57" w:hRule="atLeast"/>
          <w:jc w:val="center"/>
        </w:trPr>
        <w:tc>
          <w:tcPr>
            <w:tcW w:w="36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1"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15</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23"/>
                <w:w w:val="100"/>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1B410101211</w:t>
            </w:r>
          </w:p>
        </w:tc>
        <w:tc>
          <w:tcPr>
            <w:tcW w:w="94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习近平新时代中国特色社会主义思想概论</w:t>
            </w:r>
          </w:p>
        </w:tc>
        <w:tc>
          <w:tcPr>
            <w:tcW w:w="32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52</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48</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18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考试</w:t>
            </w:r>
          </w:p>
        </w:tc>
      </w:tr>
      <w:tr>
        <w:tblPrEx>
          <w:shd w:val="clear" w:color="auto" w:fill="auto"/>
          <w:tblCellMar>
            <w:top w:w="0" w:type="dxa"/>
            <w:left w:w="0" w:type="dxa"/>
            <w:bottom w:w="0" w:type="dxa"/>
            <w:right w:w="0" w:type="dxa"/>
          </w:tblCellMar>
        </w:tblPrEx>
        <w:trPr>
          <w:trHeight w:val="57" w:hRule="atLeast"/>
          <w:jc w:val="center"/>
        </w:trPr>
        <w:tc>
          <w:tcPr>
            <w:tcW w:w="36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1" w:type="pct"/>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选修</w:t>
            </w:r>
          </w:p>
        </w:tc>
        <w:tc>
          <w:tcPr>
            <w:tcW w:w="177" w:type="pct"/>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23"/>
                <w:w w:val="100"/>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1B410101212</w:t>
            </w:r>
          </w:p>
        </w:tc>
        <w:tc>
          <w:tcPr>
            <w:tcW w:w="94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中国民俗剪纸技法</w:t>
            </w:r>
          </w:p>
        </w:tc>
        <w:tc>
          <w:tcPr>
            <w:tcW w:w="32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8</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24</w:t>
            </w:r>
          </w:p>
        </w:tc>
        <w:tc>
          <w:tcPr>
            <w:tcW w:w="1299" w:type="pct"/>
            <w:gridSpan w:val="6"/>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公共选修课最低学分要求为8学分，其中要求2个学分为思政选修课学分。</w:t>
            </w:r>
          </w:p>
        </w:tc>
        <w:tc>
          <w:tcPr>
            <w:tcW w:w="30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shd w:val="clear" w:color="auto" w:fill="auto"/>
          <w:tblCellMar>
            <w:top w:w="0" w:type="dxa"/>
            <w:left w:w="0" w:type="dxa"/>
            <w:bottom w:w="0" w:type="dxa"/>
            <w:right w:w="0" w:type="dxa"/>
          </w:tblCellMar>
        </w:tblPrEx>
        <w:trPr>
          <w:trHeight w:val="57" w:hRule="atLeast"/>
          <w:jc w:val="center"/>
        </w:trPr>
        <w:tc>
          <w:tcPr>
            <w:tcW w:w="36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1"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77" w:type="pct"/>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23"/>
                <w:w w:val="100"/>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1B410101211</w:t>
            </w:r>
          </w:p>
        </w:tc>
        <w:tc>
          <w:tcPr>
            <w:tcW w:w="94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影视与鉴赏</w:t>
            </w:r>
          </w:p>
        </w:tc>
        <w:tc>
          <w:tcPr>
            <w:tcW w:w="32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8</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24</w:t>
            </w:r>
          </w:p>
        </w:tc>
        <w:tc>
          <w:tcPr>
            <w:tcW w:w="1299"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shd w:val="clear" w:color="auto" w:fill="auto"/>
          <w:tblCellMar>
            <w:top w:w="0" w:type="dxa"/>
            <w:left w:w="0" w:type="dxa"/>
            <w:bottom w:w="0" w:type="dxa"/>
            <w:right w:w="0" w:type="dxa"/>
          </w:tblCellMar>
        </w:tblPrEx>
        <w:trPr>
          <w:trHeight w:val="57" w:hRule="atLeast"/>
          <w:jc w:val="center"/>
        </w:trPr>
        <w:tc>
          <w:tcPr>
            <w:tcW w:w="36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1"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77" w:type="pct"/>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23"/>
                <w:w w:val="100"/>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1B410101212</w:t>
            </w:r>
          </w:p>
        </w:tc>
        <w:tc>
          <w:tcPr>
            <w:tcW w:w="94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中华优秀传统文化</w:t>
            </w:r>
          </w:p>
        </w:tc>
        <w:tc>
          <w:tcPr>
            <w:tcW w:w="32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0</w:t>
            </w:r>
          </w:p>
        </w:tc>
        <w:tc>
          <w:tcPr>
            <w:tcW w:w="1299"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shd w:val="clear" w:color="auto" w:fill="auto"/>
          <w:tblCellMar>
            <w:top w:w="0" w:type="dxa"/>
            <w:left w:w="0" w:type="dxa"/>
            <w:bottom w:w="0" w:type="dxa"/>
            <w:right w:w="0" w:type="dxa"/>
          </w:tblCellMar>
        </w:tblPrEx>
        <w:trPr>
          <w:trHeight w:val="57" w:hRule="atLeast"/>
          <w:jc w:val="center"/>
        </w:trPr>
        <w:tc>
          <w:tcPr>
            <w:tcW w:w="36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1"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77" w:type="pct"/>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23"/>
                <w:w w:val="100"/>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1B410101211</w:t>
            </w:r>
          </w:p>
        </w:tc>
        <w:tc>
          <w:tcPr>
            <w:tcW w:w="94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中国共产党简史</w:t>
            </w:r>
          </w:p>
        </w:tc>
        <w:tc>
          <w:tcPr>
            <w:tcW w:w="32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0</w:t>
            </w:r>
          </w:p>
        </w:tc>
        <w:tc>
          <w:tcPr>
            <w:tcW w:w="1299"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shd w:val="clear" w:color="auto" w:fill="auto"/>
          <w:tblCellMar>
            <w:top w:w="0" w:type="dxa"/>
            <w:left w:w="0" w:type="dxa"/>
            <w:bottom w:w="0" w:type="dxa"/>
            <w:right w:w="0" w:type="dxa"/>
          </w:tblCellMar>
        </w:tblPrEx>
        <w:trPr>
          <w:trHeight w:val="57" w:hRule="atLeast"/>
          <w:jc w:val="center"/>
        </w:trPr>
        <w:tc>
          <w:tcPr>
            <w:tcW w:w="36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1"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77" w:type="pct"/>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23"/>
                <w:w w:val="100"/>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1B410101212</w:t>
            </w:r>
          </w:p>
        </w:tc>
        <w:tc>
          <w:tcPr>
            <w:tcW w:w="94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改革开放简史</w:t>
            </w:r>
          </w:p>
        </w:tc>
        <w:tc>
          <w:tcPr>
            <w:tcW w:w="32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0</w:t>
            </w:r>
          </w:p>
        </w:tc>
        <w:tc>
          <w:tcPr>
            <w:tcW w:w="1299"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shd w:val="clear" w:color="auto" w:fill="auto"/>
          <w:tblCellMar>
            <w:top w:w="0" w:type="dxa"/>
            <w:left w:w="0" w:type="dxa"/>
            <w:bottom w:w="0" w:type="dxa"/>
            <w:right w:w="0" w:type="dxa"/>
          </w:tblCellMar>
        </w:tblPrEx>
        <w:trPr>
          <w:trHeight w:val="57" w:hRule="atLeast"/>
          <w:jc w:val="center"/>
        </w:trPr>
        <w:tc>
          <w:tcPr>
            <w:tcW w:w="36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1"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77" w:type="pct"/>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6</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23"/>
                <w:w w:val="100"/>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1B410101211</w:t>
            </w:r>
          </w:p>
        </w:tc>
        <w:tc>
          <w:tcPr>
            <w:tcW w:w="94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中华人民共和国简史</w:t>
            </w:r>
          </w:p>
        </w:tc>
        <w:tc>
          <w:tcPr>
            <w:tcW w:w="32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0</w:t>
            </w:r>
          </w:p>
        </w:tc>
        <w:tc>
          <w:tcPr>
            <w:tcW w:w="1299"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shd w:val="clear" w:color="auto" w:fill="auto"/>
          <w:tblCellMar>
            <w:top w:w="0" w:type="dxa"/>
            <w:left w:w="0" w:type="dxa"/>
            <w:bottom w:w="0" w:type="dxa"/>
            <w:right w:w="0" w:type="dxa"/>
          </w:tblCellMar>
        </w:tblPrEx>
        <w:trPr>
          <w:trHeight w:val="57" w:hRule="atLeast"/>
          <w:jc w:val="center"/>
        </w:trPr>
        <w:tc>
          <w:tcPr>
            <w:tcW w:w="36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1"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77" w:type="pct"/>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23"/>
                <w:w w:val="100"/>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1B410101212</w:t>
            </w:r>
          </w:p>
        </w:tc>
        <w:tc>
          <w:tcPr>
            <w:tcW w:w="94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社会主义发展简史</w:t>
            </w:r>
          </w:p>
        </w:tc>
        <w:tc>
          <w:tcPr>
            <w:tcW w:w="32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0</w:t>
            </w:r>
          </w:p>
        </w:tc>
        <w:tc>
          <w:tcPr>
            <w:tcW w:w="1299"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shd w:val="clear" w:color="auto" w:fill="auto"/>
          <w:tblCellMar>
            <w:top w:w="0" w:type="dxa"/>
            <w:left w:w="0" w:type="dxa"/>
            <w:bottom w:w="0" w:type="dxa"/>
            <w:right w:w="0" w:type="dxa"/>
          </w:tblCellMar>
        </w:tblPrEx>
        <w:trPr>
          <w:trHeight w:val="57" w:hRule="atLeast"/>
          <w:jc w:val="center"/>
        </w:trPr>
        <w:tc>
          <w:tcPr>
            <w:tcW w:w="36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1"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77" w:type="pct"/>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8</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23"/>
                <w:w w:val="100"/>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1B410101211</w:t>
            </w:r>
          </w:p>
        </w:tc>
        <w:tc>
          <w:tcPr>
            <w:tcW w:w="94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中华民族共同体</w:t>
            </w:r>
            <w:r>
              <w:rPr>
                <w:rFonts w:hint="eastAsia" w:ascii="仿宋_GB2312" w:hAnsi="仿宋_GB2312" w:eastAsia="仿宋_GB2312" w:cs="仿宋_GB2312"/>
                <w:i w:val="0"/>
                <w:color w:val="000000"/>
                <w:kern w:val="0"/>
                <w:sz w:val="20"/>
                <w:szCs w:val="20"/>
                <w:highlight w:val="none"/>
                <w:u w:val="none"/>
                <w:lang w:val="en-US" w:eastAsia="zh-CN" w:bidi="ar"/>
              </w:rPr>
              <w:br w:type="textWrapping"/>
            </w:r>
            <w:r>
              <w:rPr>
                <w:rFonts w:hint="eastAsia" w:ascii="仿宋_GB2312" w:hAnsi="仿宋_GB2312" w:eastAsia="仿宋_GB2312" w:cs="仿宋_GB2312"/>
                <w:i w:val="0"/>
                <w:color w:val="000000"/>
                <w:kern w:val="0"/>
                <w:sz w:val="20"/>
                <w:szCs w:val="20"/>
                <w:highlight w:val="none"/>
                <w:u w:val="none"/>
                <w:lang w:val="en-US" w:eastAsia="zh-CN" w:bidi="ar"/>
              </w:rPr>
              <w:t>概论</w:t>
            </w:r>
          </w:p>
        </w:tc>
        <w:tc>
          <w:tcPr>
            <w:tcW w:w="32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0</w:t>
            </w:r>
          </w:p>
        </w:tc>
        <w:tc>
          <w:tcPr>
            <w:tcW w:w="1299"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shd w:val="clear" w:color="auto" w:fill="auto"/>
          <w:tblCellMar>
            <w:top w:w="0" w:type="dxa"/>
            <w:left w:w="0" w:type="dxa"/>
            <w:bottom w:w="0" w:type="dxa"/>
            <w:right w:w="0" w:type="dxa"/>
          </w:tblCellMar>
        </w:tblPrEx>
        <w:trPr>
          <w:trHeight w:val="57" w:hRule="atLeast"/>
          <w:jc w:val="center"/>
        </w:trPr>
        <w:tc>
          <w:tcPr>
            <w:tcW w:w="36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1"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77" w:type="pct"/>
            <w:tcBorders>
              <w:top w:val="single" w:color="000000" w:sz="4" w:space="0"/>
              <w:left w:val="nil"/>
              <w:bottom w:val="single" w:color="auto"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9</w:t>
            </w:r>
          </w:p>
        </w:tc>
        <w:tc>
          <w:tcPr>
            <w:tcW w:w="500" w:type="pct"/>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23"/>
                <w:w w:val="100"/>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1B410101212</w:t>
            </w:r>
          </w:p>
        </w:tc>
        <w:tc>
          <w:tcPr>
            <w:tcW w:w="944" w:type="pct"/>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语文</w:t>
            </w:r>
          </w:p>
        </w:tc>
        <w:tc>
          <w:tcPr>
            <w:tcW w:w="326" w:type="pct"/>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296" w:type="pct"/>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301" w:type="pct"/>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296" w:type="pct"/>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0</w:t>
            </w:r>
          </w:p>
        </w:tc>
        <w:tc>
          <w:tcPr>
            <w:tcW w:w="1299"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shd w:val="clear" w:color="auto" w:fill="auto"/>
          <w:tblCellMar>
            <w:top w:w="0" w:type="dxa"/>
            <w:left w:w="0" w:type="dxa"/>
            <w:bottom w:w="0" w:type="dxa"/>
            <w:right w:w="0" w:type="dxa"/>
          </w:tblCellMar>
        </w:tblPrEx>
        <w:trPr>
          <w:trHeight w:val="269" w:hRule="atLeast"/>
          <w:jc w:val="center"/>
        </w:trPr>
        <w:tc>
          <w:tcPr>
            <w:tcW w:w="36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1" w:type="pct"/>
            <w:vMerge w:val="continue"/>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77" w:type="pc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10</w:t>
            </w:r>
          </w:p>
        </w:tc>
        <w:tc>
          <w:tcPr>
            <w:tcW w:w="500" w:type="pc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23"/>
                <w:w w:val="100"/>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1B410101211</w:t>
            </w:r>
          </w:p>
        </w:tc>
        <w:tc>
          <w:tcPr>
            <w:tcW w:w="944" w:type="pc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物理</w:t>
            </w:r>
          </w:p>
        </w:tc>
        <w:tc>
          <w:tcPr>
            <w:tcW w:w="326" w:type="pc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296" w:type="pc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301" w:type="pc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296" w:type="pc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0</w:t>
            </w:r>
          </w:p>
        </w:tc>
        <w:tc>
          <w:tcPr>
            <w:tcW w:w="1299" w:type="pct"/>
            <w:gridSpan w:val="6"/>
            <w:vMerge w:val="continue"/>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shd w:val="clear" w:color="auto" w:fill="auto"/>
          <w:tblCellMar>
            <w:top w:w="0" w:type="dxa"/>
            <w:left w:w="0" w:type="dxa"/>
            <w:bottom w:w="0" w:type="dxa"/>
            <w:right w:w="0" w:type="dxa"/>
          </w:tblCellMar>
        </w:tblPrEx>
        <w:trPr>
          <w:trHeight w:val="57" w:hRule="atLeast"/>
          <w:jc w:val="center"/>
        </w:trPr>
        <w:tc>
          <w:tcPr>
            <w:tcW w:w="36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1" w:type="pct"/>
            <w:vMerge w:val="continue"/>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77" w:type="pc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11</w:t>
            </w:r>
          </w:p>
        </w:tc>
        <w:tc>
          <w:tcPr>
            <w:tcW w:w="500" w:type="pc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23"/>
                <w:w w:val="100"/>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1B410101212</w:t>
            </w:r>
          </w:p>
        </w:tc>
        <w:tc>
          <w:tcPr>
            <w:tcW w:w="944" w:type="pc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化学</w:t>
            </w:r>
          </w:p>
        </w:tc>
        <w:tc>
          <w:tcPr>
            <w:tcW w:w="326" w:type="pc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296" w:type="pc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301" w:type="pc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296" w:type="pc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0</w:t>
            </w:r>
          </w:p>
        </w:tc>
        <w:tc>
          <w:tcPr>
            <w:tcW w:w="1299" w:type="pct"/>
            <w:gridSpan w:val="6"/>
            <w:vMerge w:val="continue"/>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CellMar>
            <w:top w:w="0" w:type="dxa"/>
            <w:left w:w="0" w:type="dxa"/>
            <w:bottom w:w="0" w:type="dxa"/>
            <w:right w:w="0" w:type="dxa"/>
          </w:tblCellMar>
        </w:tblPrEx>
        <w:trPr>
          <w:trHeight w:val="57" w:hRule="atLeast"/>
          <w:jc w:val="center"/>
        </w:trPr>
        <w:tc>
          <w:tcPr>
            <w:tcW w:w="36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1" w:type="pct"/>
            <w:vMerge w:val="continue"/>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77" w:type="pc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12</w:t>
            </w:r>
          </w:p>
        </w:tc>
        <w:tc>
          <w:tcPr>
            <w:tcW w:w="500" w:type="pct"/>
            <w:tcBorders>
              <w:top w:val="single" w:color="auto" w:sz="4" w:space="0"/>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23"/>
                <w:w w:val="100"/>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1B410101211</w:t>
            </w:r>
          </w:p>
        </w:tc>
        <w:tc>
          <w:tcPr>
            <w:tcW w:w="944" w:type="pc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职业素养</w:t>
            </w:r>
          </w:p>
        </w:tc>
        <w:tc>
          <w:tcPr>
            <w:tcW w:w="326" w:type="pc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296" w:type="pc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301" w:type="pc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296" w:type="pc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0</w:t>
            </w:r>
          </w:p>
        </w:tc>
        <w:tc>
          <w:tcPr>
            <w:tcW w:w="1299" w:type="pct"/>
            <w:gridSpan w:val="6"/>
            <w:vMerge w:val="continue"/>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shd w:val="clear" w:color="auto" w:fill="auto"/>
          <w:tblCellMar>
            <w:top w:w="0" w:type="dxa"/>
            <w:left w:w="0" w:type="dxa"/>
            <w:bottom w:w="0" w:type="dxa"/>
            <w:right w:w="0" w:type="dxa"/>
          </w:tblCellMar>
        </w:tblPrEx>
        <w:trPr>
          <w:trHeight w:val="57" w:hRule="atLeast"/>
          <w:jc w:val="center"/>
        </w:trPr>
        <w:tc>
          <w:tcPr>
            <w:tcW w:w="36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03" w:type="pct"/>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公共必修课程学分、学时小计</w:t>
            </w:r>
          </w:p>
        </w:tc>
        <w:tc>
          <w:tcPr>
            <w:tcW w:w="326" w:type="pct"/>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42</w:t>
            </w:r>
          </w:p>
        </w:tc>
        <w:tc>
          <w:tcPr>
            <w:tcW w:w="296" w:type="pct"/>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794</w:t>
            </w:r>
          </w:p>
        </w:tc>
        <w:tc>
          <w:tcPr>
            <w:tcW w:w="301" w:type="pct"/>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454</w:t>
            </w:r>
          </w:p>
        </w:tc>
        <w:tc>
          <w:tcPr>
            <w:tcW w:w="296" w:type="pct"/>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340</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r>
      <w:tr>
        <w:tblPrEx>
          <w:shd w:val="clear" w:color="auto" w:fill="auto"/>
          <w:tblCellMar>
            <w:top w:w="0" w:type="dxa"/>
            <w:left w:w="0" w:type="dxa"/>
            <w:bottom w:w="0" w:type="dxa"/>
            <w:right w:w="0" w:type="dxa"/>
          </w:tblCellMar>
        </w:tblPrEx>
        <w:trPr>
          <w:trHeight w:val="57" w:hRule="atLeast"/>
          <w:jc w:val="center"/>
        </w:trPr>
        <w:tc>
          <w:tcPr>
            <w:tcW w:w="36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03" w:type="pct"/>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公共必修课程学分、学时占比</w:t>
            </w:r>
          </w:p>
        </w:tc>
        <w:tc>
          <w:tcPr>
            <w:tcW w:w="32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28.19%</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28.34%</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16.20%</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12.13%</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r>
      <w:tr>
        <w:tblPrEx>
          <w:shd w:val="clear" w:color="auto" w:fill="auto"/>
          <w:tblCellMar>
            <w:top w:w="0" w:type="dxa"/>
            <w:left w:w="0" w:type="dxa"/>
            <w:bottom w:w="0" w:type="dxa"/>
            <w:right w:w="0" w:type="dxa"/>
          </w:tblCellMar>
        </w:tblPrEx>
        <w:trPr>
          <w:trHeight w:val="57" w:hRule="atLeast"/>
          <w:jc w:val="center"/>
        </w:trPr>
        <w:tc>
          <w:tcPr>
            <w:tcW w:w="36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03" w:type="pct"/>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公共选修课程学分、学时小计</w:t>
            </w:r>
          </w:p>
        </w:tc>
        <w:tc>
          <w:tcPr>
            <w:tcW w:w="32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8</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128</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80</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48</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r>
      <w:tr>
        <w:tblPrEx>
          <w:shd w:val="clear" w:color="auto" w:fill="auto"/>
          <w:tblCellMar>
            <w:top w:w="0" w:type="dxa"/>
            <w:left w:w="0" w:type="dxa"/>
            <w:bottom w:w="0" w:type="dxa"/>
            <w:right w:w="0" w:type="dxa"/>
          </w:tblCellMar>
        </w:tblPrEx>
        <w:trPr>
          <w:trHeight w:val="57" w:hRule="atLeast"/>
          <w:jc w:val="center"/>
        </w:trPr>
        <w:tc>
          <w:tcPr>
            <w:tcW w:w="36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03" w:type="pct"/>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公共选修课程学分、学时占比</w:t>
            </w:r>
          </w:p>
        </w:tc>
        <w:tc>
          <w:tcPr>
            <w:tcW w:w="32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5.37%</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4.57%</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2.86%</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1.71%</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r>
      <w:tr>
        <w:tblPrEx>
          <w:shd w:val="clear" w:color="auto" w:fill="auto"/>
          <w:tblCellMar>
            <w:top w:w="0" w:type="dxa"/>
            <w:left w:w="0" w:type="dxa"/>
            <w:bottom w:w="0" w:type="dxa"/>
            <w:right w:w="0" w:type="dxa"/>
          </w:tblCellMar>
        </w:tblPrEx>
        <w:trPr>
          <w:trHeight w:val="57" w:hRule="atLeast"/>
          <w:jc w:val="center"/>
        </w:trPr>
        <w:tc>
          <w:tcPr>
            <w:tcW w:w="119" w:type="pct"/>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专业课</w:t>
            </w:r>
          </w:p>
        </w:tc>
        <w:tc>
          <w:tcPr>
            <w:tcW w:w="248" w:type="pct"/>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专业基础课</w:t>
            </w:r>
          </w:p>
        </w:tc>
        <w:tc>
          <w:tcPr>
            <w:tcW w:w="181" w:type="pct"/>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必修</w:t>
            </w: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23"/>
                <w:w w:val="100"/>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5A530701303</w:t>
            </w:r>
          </w:p>
        </w:tc>
        <w:tc>
          <w:tcPr>
            <w:tcW w:w="94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管理学基础</w:t>
            </w:r>
          </w:p>
        </w:tc>
        <w:tc>
          <w:tcPr>
            <w:tcW w:w="326" w:type="pct"/>
            <w:tcBorders>
              <w:top w:val="single" w:color="000000" w:sz="4" w:space="0"/>
              <w:left w:val="single" w:color="000000" w:sz="4" w:space="0"/>
              <w:bottom w:val="single" w:color="000000" w:sz="4" w:space="0"/>
              <w:right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72</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72</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0</w:t>
            </w:r>
          </w:p>
        </w:tc>
        <w:tc>
          <w:tcPr>
            <w:tcW w:w="239" w:type="pct"/>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考试</w:t>
            </w:r>
          </w:p>
        </w:tc>
      </w:tr>
      <w:tr>
        <w:tblPrEx>
          <w:shd w:val="clear" w:color="auto" w:fill="auto"/>
          <w:tblCellMar>
            <w:top w:w="0" w:type="dxa"/>
            <w:left w:w="0" w:type="dxa"/>
            <w:bottom w:w="0" w:type="dxa"/>
            <w:right w:w="0" w:type="dxa"/>
          </w:tblCellMar>
        </w:tblPrEx>
        <w:trPr>
          <w:trHeight w:val="57" w:hRule="atLeast"/>
          <w:jc w:val="center"/>
        </w:trPr>
        <w:tc>
          <w:tcPr>
            <w:tcW w:w="119" w:type="pct"/>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48"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1"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23"/>
                <w:w w:val="100"/>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5B440703302</w:t>
            </w:r>
          </w:p>
        </w:tc>
        <w:tc>
          <w:tcPr>
            <w:tcW w:w="94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建筑识图与CAD</w:t>
            </w:r>
          </w:p>
        </w:tc>
        <w:tc>
          <w:tcPr>
            <w:tcW w:w="326" w:type="pct"/>
            <w:tcBorders>
              <w:top w:val="single" w:color="000000" w:sz="4" w:space="0"/>
              <w:left w:val="single" w:color="000000" w:sz="4" w:space="0"/>
              <w:bottom w:val="single" w:color="000000" w:sz="4" w:space="0"/>
              <w:right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72</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36</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36</w:t>
            </w:r>
          </w:p>
        </w:tc>
        <w:tc>
          <w:tcPr>
            <w:tcW w:w="239" w:type="pct"/>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shd w:val="clear" w:color="auto" w:fill="auto"/>
          <w:tblCellMar>
            <w:top w:w="0" w:type="dxa"/>
            <w:left w:w="0" w:type="dxa"/>
            <w:bottom w:w="0" w:type="dxa"/>
            <w:right w:w="0" w:type="dxa"/>
          </w:tblCellMar>
        </w:tblPrEx>
        <w:trPr>
          <w:trHeight w:val="57" w:hRule="atLeast"/>
          <w:jc w:val="center"/>
        </w:trPr>
        <w:tc>
          <w:tcPr>
            <w:tcW w:w="119" w:type="pct"/>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48"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1"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23"/>
                <w:w w:val="100"/>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5B440703303</w:t>
            </w:r>
          </w:p>
        </w:tc>
        <w:tc>
          <w:tcPr>
            <w:tcW w:w="94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物业管理法律法规</w:t>
            </w:r>
          </w:p>
        </w:tc>
        <w:tc>
          <w:tcPr>
            <w:tcW w:w="326" w:type="pct"/>
            <w:tcBorders>
              <w:top w:val="single" w:color="000000" w:sz="4" w:space="0"/>
              <w:left w:val="single" w:color="000000" w:sz="4" w:space="0"/>
              <w:bottom w:val="single" w:color="000000" w:sz="4" w:space="0"/>
              <w:right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72</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56</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16</w:t>
            </w:r>
          </w:p>
        </w:tc>
        <w:tc>
          <w:tcPr>
            <w:tcW w:w="239" w:type="pct"/>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9" w:type="pct"/>
            <w:tcBorders>
              <w:top w:val="nil"/>
              <w:left w:val="nil"/>
              <w:bottom w:val="nil"/>
              <w:right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考试</w:t>
            </w:r>
          </w:p>
        </w:tc>
      </w:tr>
      <w:tr>
        <w:tblPrEx>
          <w:tblCellMar>
            <w:top w:w="0" w:type="dxa"/>
            <w:left w:w="0" w:type="dxa"/>
            <w:bottom w:w="0" w:type="dxa"/>
            <w:right w:w="0" w:type="dxa"/>
          </w:tblCellMar>
        </w:tblPrEx>
        <w:trPr>
          <w:trHeight w:val="57" w:hRule="atLeast"/>
          <w:jc w:val="center"/>
        </w:trPr>
        <w:tc>
          <w:tcPr>
            <w:tcW w:w="119" w:type="pct"/>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48"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1"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23"/>
                <w:w w:val="100"/>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5B440703304</w:t>
            </w:r>
          </w:p>
        </w:tc>
        <w:tc>
          <w:tcPr>
            <w:tcW w:w="94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物业财务管理</w:t>
            </w:r>
          </w:p>
        </w:tc>
        <w:tc>
          <w:tcPr>
            <w:tcW w:w="326" w:type="pct"/>
            <w:tcBorders>
              <w:top w:val="single" w:color="000000" w:sz="4" w:space="0"/>
              <w:left w:val="single" w:color="000000" w:sz="4" w:space="0"/>
              <w:bottom w:val="single" w:color="000000" w:sz="4" w:space="0"/>
              <w:right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72</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48</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24</w:t>
            </w:r>
          </w:p>
        </w:tc>
        <w:tc>
          <w:tcPr>
            <w:tcW w:w="239" w:type="pct"/>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考试</w:t>
            </w:r>
          </w:p>
        </w:tc>
      </w:tr>
      <w:tr>
        <w:tblPrEx>
          <w:shd w:val="clear" w:color="auto" w:fill="auto"/>
          <w:tblCellMar>
            <w:top w:w="0" w:type="dxa"/>
            <w:left w:w="0" w:type="dxa"/>
            <w:bottom w:w="0" w:type="dxa"/>
            <w:right w:w="0" w:type="dxa"/>
          </w:tblCellMar>
        </w:tblPrEx>
        <w:trPr>
          <w:trHeight w:val="57" w:hRule="atLeast"/>
          <w:jc w:val="center"/>
        </w:trPr>
        <w:tc>
          <w:tcPr>
            <w:tcW w:w="119" w:type="pct"/>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48"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1"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23"/>
                <w:w w:val="100"/>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5B440703305</w:t>
            </w:r>
          </w:p>
        </w:tc>
        <w:tc>
          <w:tcPr>
            <w:tcW w:w="94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物业信息化管理</w:t>
            </w:r>
          </w:p>
        </w:tc>
        <w:tc>
          <w:tcPr>
            <w:tcW w:w="326" w:type="pct"/>
            <w:tcBorders>
              <w:top w:val="single" w:color="000000" w:sz="4" w:space="0"/>
              <w:left w:val="single" w:color="000000" w:sz="4" w:space="0"/>
              <w:bottom w:val="single" w:color="000000" w:sz="4" w:space="0"/>
              <w:right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72</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48</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24</w:t>
            </w:r>
          </w:p>
        </w:tc>
        <w:tc>
          <w:tcPr>
            <w:tcW w:w="239" w:type="pct"/>
            <w:tcBorders>
              <w:top w:val="single" w:color="000000" w:sz="4" w:space="0"/>
              <w:left w:val="nil"/>
              <w:bottom w:val="nil"/>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39" w:type="pc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219" w:type="pc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4" w:type="pc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8" w:type="pc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考试</w:t>
            </w:r>
          </w:p>
        </w:tc>
      </w:tr>
      <w:tr>
        <w:tblPrEx>
          <w:shd w:val="clear" w:color="auto" w:fill="auto"/>
          <w:tblCellMar>
            <w:top w:w="0" w:type="dxa"/>
            <w:left w:w="0" w:type="dxa"/>
            <w:bottom w:w="0" w:type="dxa"/>
            <w:right w:w="0" w:type="dxa"/>
          </w:tblCellMar>
        </w:tblPrEx>
        <w:trPr>
          <w:trHeight w:val="57" w:hRule="atLeast"/>
          <w:jc w:val="center"/>
        </w:trPr>
        <w:tc>
          <w:tcPr>
            <w:tcW w:w="119" w:type="pct"/>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48"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1"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default"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6</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23"/>
                <w:w w:val="100"/>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5B440703309</w:t>
            </w:r>
          </w:p>
        </w:tc>
        <w:tc>
          <w:tcPr>
            <w:tcW w:w="94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物业档案管理</w:t>
            </w:r>
          </w:p>
        </w:tc>
        <w:tc>
          <w:tcPr>
            <w:tcW w:w="326" w:type="pct"/>
            <w:tcBorders>
              <w:top w:val="single" w:color="000000" w:sz="4" w:space="0"/>
              <w:left w:val="single" w:color="000000" w:sz="4" w:space="0"/>
              <w:bottom w:val="single" w:color="000000" w:sz="4" w:space="0"/>
              <w:right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36</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20</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16</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97" w:type="pct"/>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考试</w:t>
            </w:r>
          </w:p>
        </w:tc>
      </w:tr>
      <w:tr>
        <w:tblPrEx>
          <w:shd w:val="clear" w:color="auto" w:fill="auto"/>
          <w:tblCellMar>
            <w:top w:w="0" w:type="dxa"/>
            <w:left w:w="0" w:type="dxa"/>
            <w:bottom w:w="0" w:type="dxa"/>
            <w:right w:w="0" w:type="dxa"/>
          </w:tblCellMar>
        </w:tblPrEx>
        <w:trPr>
          <w:trHeight w:val="57" w:hRule="atLeast"/>
          <w:jc w:val="center"/>
        </w:trPr>
        <w:tc>
          <w:tcPr>
            <w:tcW w:w="119" w:type="pct"/>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48"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1"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default"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23"/>
                <w:w w:val="100"/>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5B440703306</w:t>
            </w:r>
          </w:p>
        </w:tc>
        <w:tc>
          <w:tcPr>
            <w:tcW w:w="94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物业统计技术</w:t>
            </w:r>
          </w:p>
        </w:tc>
        <w:tc>
          <w:tcPr>
            <w:tcW w:w="326" w:type="pct"/>
            <w:tcBorders>
              <w:top w:val="single" w:color="000000" w:sz="4" w:space="0"/>
              <w:left w:val="single" w:color="000000" w:sz="4" w:space="0"/>
              <w:bottom w:val="single" w:color="000000" w:sz="4" w:space="0"/>
              <w:right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72</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48</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24</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21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97" w:type="pct"/>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考试</w:t>
            </w:r>
          </w:p>
        </w:tc>
      </w:tr>
      <w:tr>
        <w:tblPrEx>
          <w:tblCellMar>
            <w:top w:w="0" w:type="dxa"/>
            <w:left w:w="0" w:type="dxa"/>
            <w:bottom w:w="0" w:type="dxa"/>
            <w:right w:w="0" w:type="dxa"/>
          </w:tblCellMar>
        </w:tblPrEx>
        <w:trPr>
          <w:trHeight w:val="57" w:hRule="atLeast"/>
          <w:jc w:val="center"/>
        </w:trPr>
        <w:tc>
          <w:tcPr>
            <w:tcW w:w="119" w:type="pct"/>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48"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1"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8</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23"/>
                <w:w w:val="100"/>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5B440703307</w:t>
            </w:r>
          </w:p>
        </w:tc>
        <w:tc>
          <w:tcPr>
            <w:tcW w:w="94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物业电工电子技术</w:t>
            </w:r>
          </w:p>
        </w:tc>
        <w:tc>
          <w:tcPr>
            <w:tcW w:w="326" w:type="pct"/>
            <w:tcBorders>
              <w:top w:val="single" w:color="000000" w:sz="4" w:space="0"/>
              <w:left w:val="single" w:color="000000" w:sz="4" w:space="0"/>
              <w:bottom w:val="single" w:color="000000" w:sz="4" w:space="0"/>
              <w:right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72</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24</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48</w:t>
            </w:r>
          </w:p>
        </w:tc>
        <w:tc>
          <w:tcPr>
            <w:tcW w:w="239" w:type="pct"/>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21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shd w:val="clear" w:color="auto" w:fill="auto"/>
          <w:tblCellMar>
            <w:top w:w="0" w:type="dxa"/>
            <w:left w:w="0" w:type="dxa"/>
            <w:bottom w:w="0" w:type="dxa"/>
            <w:right w:w="0" w:type="dxa"/>
          </w:tblCellMar>
        </w:tblPrEx>
        <w:trPr>
          <w:trHeight w:val="57" w:hRule="atLeast"/>
          <w:jc w:val="center"/>
        </w:trPr>
        <w:tc>
          <w:tcPr>
            <w:tcW w:w="119" w:type="pct"/>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48"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1"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9</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23"/>
                <w:w w:val="100"/>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5B440703308</w:t>
            </w:r>
          </w:p>
        </w:tc>
        <w:tc>
          <w:tcPr>
            <w:tcW w:w="94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工程建设法规</w:t>
            </w:r>
          </w:p>
        </w:tc>
        <w:tc>
          <w:tcPr>
            <w:tcW w:w="326" w:type="pct"/>
            <w:tcBorders>
              <w:top w:val="single" w:color="000000" w:sz="4" w:space="0"/>
              <w:left w:val="single" w:color="000000" w:sz="4" w:space="0"/>
              <w:bottom w:val="single" w:color="000000" w:sz="4" w:space="0"/>
              <w:right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72</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56</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16</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18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97" w:type="pct"/>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考试</w:t>
            </w:r>
          </w:p>
        </w:tc>
      </w:tr>
      <w:tr>
        <w:tblPrEx>
          <w:tblCellMar>
            <w:top w:w="0" w:type="dxa"/>
            <w:left w:w="0" w:type="dxa"/>
            <w:bottom w:w="0" w:type="dxa"/>
            <w:right w:w="0" w:type="dxa"/>
          </w:tblCellMar>
        </w:tblPrEx>
        <w:trPr>
          <w:trHeight w:val="57" w:hRule="atLeast"/>
          <w:jc w:val="center"/>
        </w:trPr>
        <w:tc>
          <w:tcPr>
            <w:tcW w:w="119" w:type="pct"/>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48" w:type="pct"/>
            <w:vMerge w:val="restart"/>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专业核心课</w:t>
            </w:r>
          </w:p>
        </w:tc>
        <w:tc>
          <w:tcPr>
            <w:tcW w:w="181" w:type="pct"/>
            <w:vMerge w:val="restart"/>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必修</w:t>
            </w: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23"/>
                <w:w w:val="100"/>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5B440703401</w:t>
            </w:r>
          </w:p>
        </w:tc>
        <w:tc>
          <w:tcPr>
            <w:tcW w:w="94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现代物业管理实务</w:t>
            </w:r>
          </w:p>
        </w:tc>
        <w:tc>
          <w:tcPr>
            <w:tcW w:w="326" w:type="pct"/>
            <w:tcBorders>
              <w:top w:val="single" w:color="000000" w:sz="4" w:space="0"/>
              <w:left w:val="single" w:color="000000" w:sz="4" w:space="0"/>
              <w:bottom w:val="single" w:color="000000" w:sz="4" w:space="0"/>
              <w:right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72</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36</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36</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97" w:type="pct"/>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考试</w:t>
            </w:r>
          </w:p>
        </w:tc>
      </w:tr>
      <w:tr>
        <w:tblPrEx>
          <w:shd w:val="clear" w:color="auto" w:fill="auto"/>
          <w:tblCellMar>
            <w:top w:w="0" w:type="dxa"/>
            <w:left w:w="0" w:type="dxa"/>
            <w:bottom w:w="0" w:type="dxa"/>
            <w:right w:w="0" w:type="dxa"/>
          </w:tblCellMar>
        </w:tblPrEx>
        <w:trPr>
          <w:trHeight w:val="57" w:hRule="atLeast"/>
          <w:jc w:val="center"/>
        </w:trPr>
        <w:tc>
          <w:tcPr>
            <w:tcW w:w="119" w:type="pct"/>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48" w:type="pct"/>
            <w:vMerge w:val="continue"/>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1" w:type="pct"/>
            <w:vMerge w:val="continue"/>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23"/>
                <w:w w:val="100"/>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5B440703402</w:t>
            </w:r>
          </w:p>
        </w:tc>
        <w:tc>
          <w:tcPr>
            <w:tcW w:w="94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物业管理招投标技术</w:t>
            </w:r>
          </w:p>
        </w:tc>
        <w:tc>
          <w:tcPr>
            <w:tcW w:w="326" w:type="pct"/>
            <w:tcBorders>
              <w:top w:val="single" w:color="000000" w:sz="4" w:space="0"/>
              <w:left w:val="single" w:color="000000" w:sz="4" w:space="0"/>
              <w:bottom w:val="single" w:color="000000" w:sz="4" w:space="0"/>
              <w:right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72</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24</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48</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97" w:type="pct"/>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CellMar>
            <w:top w:w="0" w:type="dxa"/>
            <w:left w:w="0" w:type="dxa"/>
            <w:bottom w:w="0" w:type="dxa"/>
            <w:right w:w="0" w:type="dxa"/>
          </w:tblCellMar>
        </w:tblPrEx>
        <w:trPr>
          <w:trHeight w:val="57" w:hRule="atLeast"/>
          <w:jc w:val="center"/>
        </w:trPr>
        <w:tc>
          <w:tcPr>
            <w:tcW w:w="119" w:type="pct"/>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48" w:type="pct"/>
            <w:vMerge w:val="continue"/>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1" w:type="pct"/>
            <w:vMerge w:val="continue"/>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23"/>
                <w:w w:val="100"/>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5B440703403</w:t>
            </w:r>
          </w:p>
        </w:tc>
        <w:tc>
          <w:tcPr>
            <w:tcW w:w="94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房屋建筑结构与维护</w:t>
            </w:r>
          </w:p>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管理</w:t>
            </w:r>
          </w:p>
        </w:tc>
        <w:tc>
          <w:tcPr>
            <w:tcW w:w="326" w:type="pct"/>
            <w:tcBorders>
              <w:top w:val="single" w:color="000000" w:sz="4" w:space="0"/>
              <w:left w:val="single" w:color="000000" w:sz="4" w:space="0"/>
              <w:bottom w:val="single" w:color="000000" w:sz="4" w:space="0"/>
              <w:right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72</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36</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36</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97" w:type="pct"/>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考试</w:t>
            </w:r>
          </w:p>
        </w:tc>
      </w:tr>
      <w:tr>
        <w:tblPrEx>
          <w:shd w:val="clear" w:color="auto" w:fill="auto"/>
          <w:tblCellMar>
            <w:top w:w="0" w:type="dxa"/>
            <w:left w:w="0" w:type="dxa"/>
            <w:bottom w:w="0" w:type="dxa"/>
            <w:right w:w="0" w:type="dxa"/>
          </w:tblCellMar>
        </w:tblPrEx>
        <w:trPr>
          <w:trHeight w:val="57" w:hRule="atLeast"/>
          <w:jc w:val="center"/>
        </w:trPr>
        <w:tc>
          <w:tcPr>
            <w:tcW w:w="119" w:type="pct"/>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48" w:type="pct"/>
            <w:vMerge w:val="continue"/>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1" w:type="pct"/>
            <w:vMerge w:val="continue"/>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23"/>
                <w:w w:val="100"/>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5B440703404</w:t>
            </w:r>
          </w:p>
        </w:tc>
        <w:tc>
          <w:tcPr>
            <w:tcW w:w="94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物业设施设备管理</w:t>
            </w:r>
          </w:p>
        </w:tc>
        <w:tc>
          <w:tcPr>
            <w:tcW w:w="326" w:type="pct"/>
            <w:tcBorders>
              <w:top w:val="single" w:color="000000" w:sz="4" w:space="0"/>
              <w:left w:val="single" w:color="000000" w:sz="4" w:space="0"/>
              <w:bottom w:val="single" w:color="000000" w:sz="4" w:space="0"/>
              <w:right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72</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48</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24</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21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97" w:type="pct"/>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考试</w:t>
            </w:r>
          </w:p>
        </w:tc>
      </w:tr>
      <w:tr>
        <w:tblPrEx>
          <w:shd w:val="clear" w:color="auto" w:fill="auto"/>
          <w:tblCellMar>
            <w:top w:w="0" w:type="dxa"/>
            <w:left w:w="0" w:type="dxa"/>
            <w:bottom w:w="0" w:type="dxa"/>
            <w:right w:w="0" w:type="dxa"/>
          </w:tblCellMar>
        </w:tblPrEx>
        <w:trPr>
          <w:trHeight w:val="57" w:hRule="atLeast"/>
          <w:jc w:val="center"/>
        </w:trPr>
        <w:tc>
          <w:tcPr>
            <w:tcW w:w="119" w:type="pct"/>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48" w:type="pct"/>
            <w:vMerge w:val="continue"/>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1" w:type="pct"/>
            <w:vMerge w:val="continue"/>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23"/>
                <w:w w:val="100"/>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5B440703405</w:t>
            </w:r>
          </w:p>
        </w:tc>
        <w:tc>
          <w:tcPr>
            <w:tcW w:w="94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物业客户服务与管理</w:t>
            </w:r>
          </w:p>
        </w:tc>
        <w:tc>
          <w:tcPr>
            <w:tcW w:w="326" w:type="pct"/>
            <w:tcBorders>
              <w:top w:val="single" w:color="000000" w:sz="4" w:space="0"/>
              <w:left w:val="single" w:color="000000" w:sz="4" w:space="0"/>
              <w:bottom w:val="single" w:color="000000" w:sz="4" w:space="0"/>
              <w:right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72</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36</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36</w:t>
            </w:r>
          </w:p>
        </w:tc>
        <w:tc>
          <w:tcPr>
            <w:tcW w:w="239" w:type="pct"/>
            <w:tcBorders>
              <w:top w:val="nil"/>
              <w:left w:val="nil"/>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39" w:type="pct"/>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9" w:type="pct"/>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214" w:type="pct"/>
            <w:tcBorders>
              <w:top w:val="nil"/>
              <w:left w:val="nil"/>
              <w:bottom w:val="nil"/>
              <w:right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8" w:type="pct"/>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考试</w:t>
            </w:r>
          </w:p>
        </w:tc>
      </w:tr>
      <w:tr>
        <w:tblPrEx>
          <w:shd w:val="clear" w:color="auto" w:fill="auto"/>
          <w:tblCellMar>
            <w:top w:w="0" w:type="dxa"/>
            <w:left w:w="0" w:type="dxa"/>
            <w:bottom w:w="0" w:type="dxa"/>
            <w:right w:w="0" w:type="dxa"/>
          </w:tblCellMar>
        </w:tblPrEx>
        <w:trPr>
          <w:trHeight w:val="57" w:hRule="atLeast"/>
          <w:jc w:val="center"/>
        </w:trPr>
        <w:tc>
          <w:tcPr>
            <w:tcW w:w="119" w:type="pct"/>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48" w:type="pct"/>
            <w:vMerge w:val="continue"/>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1" w:type="pct"/>
            <w:vMerge w:val="continue"/>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6</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23"/>
                <w:w w:val="100"/>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5B440703406</w:t>
            </w:r>
          </w:p>
        </w:tc>
        <w:tc>
          <w:tcPr>
            <w:tcW w:w="94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物业空间营造与管理</w:t>
            </w:r>
          </w:p>
        </w:tc>
        <w:tc>
          <w:tcPr>
            <w:tcW w:w="326" w:type="pct"/>
            <w:tcBorders>
              <w:top w:val="single" w:color="000000" w:sz="4" w:space="0"/>
              <w:left w:val="single" w:color="000000" w:sz="4" w:space="0"/>
              <w:bottom w:val="single" w:color="000000" w:sz="4" w:space="0"/>
              <w:right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72</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36</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36</w:t>
            </w:r>
          </w:p>
        </w:tc>
        <w:tc>
          <w:tcPr>
            <w:tcW w:w="239" w:type="pct"/>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18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考试</w:t>
            </w:r>
          </w:p>
        </w:tc>
      </w:tr>
      <w:tr>
        <w:tblPrEx>
          <w:shd w:val="clear" w:color="auto" w:fill="auto"/>
          <w:tblCellMar>
            <w:top w:w="0" w:type="dxa"/>
            <w:left w:w="0" w:type="dxa"/>
            <w:bottom w:w="0" w:type="dxa"/>
            <w:right w:w="0" w:type="dxa"/>
          </w:tblCellMar>
        </w:tblPrEx>
        <w:trPr>
          <w:trHeight w:val="57" w:hRule="atLeast"/>
          <w:jc w:val="center"/>
        </w:trPr>
        <w:tc>
          <w:tcPr>
            <w:tcW w:w="119" w:type="pct"/>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48" w:type="pct"/>
            <w:vMerge w:val="continue"/>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1" w:type="pct"/>
            <w:vMerge w:val="continue"/>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23"/>
                <w:w w:val="100"/>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5B440703407</w:t>
            </w:r>
          </w:p>
        </w:tc>
        <w:tc>
          <w:tcPr>
            <w:tcW w:w="94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物业经营管理</w:t>
            </w:r>
          </w:p>
        </w:tc>
        <w:tc>
          <w:tcPr>
            <w:tcW w:w="326" w:type="pct"/>
            <w:tcBorders>
              <w:top w:val="single" w:color="000000" w:sz="4" w:space="0"/>
              <w:left w:val="single" w:color="000000" w:sz="4" w:space="0"/>
              <w:bottom w:val="single" w:color="000000" w:sz="4" w:space="0"/>
              <w:right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72</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16</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56</w:t>
            </w:r>
          </w:p>
        </w:tc>
        <w:tc>
          <w:tcPr>
            <w:tcW w:w="239" w:type="pct"/>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18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考试</w:t>
            </w:r>
          </w:p>
        </w:tc>
      </w:tr>
      <w:tr>
        <w:tblPrEx>
          <w:shd w:val="clear" w:color="auto" w:fill="auto"/>
          <w:tblCellMar>
            <w:top w:w="0" w:type="dxa"/>
            <w:left w:w="0" w:type="dxa"/>
            <w:bottom w:w="0" w:type="dxa"/>
            <w:right w:w="0" w:type="dxa"/>
          </w:tblCellMar>
        </w:tblPrEx>
        <w:trPr>
          <w:trHeight w:val="57" w:hRule="atLeast"/>
          <w:jc w:val="center"/>
        </w:trPr>
        <w:tc>
          <w:tcPr>
            <w:tcW w:w="119" w:type="pct"/>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48" w:type="pct"/>
            <w:vMerge w:val="continue"/>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1" w:type="pct"/>
            <w:vMerge w:val="continue"/>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8</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23"/>
                <w:w w:val="100"/>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5B440703408</w:t>
            </w:r>
          </w:p>
        </w:tc>
        <w:tc>
          <w:tcPr>
            <w:tcW w:w="94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楼宇智能化管理</w:t>
            </w:r>
          </w:p>
        </w:tc>
        <w:tc>
          <w:tcPr>
            <w:tcW w:w="326" w:type="pct"/>
            <w:tcBorders>
              <w:top w:val="single" w:color="000000" w:sz="4" w:space="0"/>
              <w:left w:val="single" w:color="000000" w:sz="4" w:space="0"/>
              <w:bottom w:val="single" w:color="000000" w:sz="4" w:space="0"/>
              <w:right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72</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36</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36</w:t>
            </w:r>
          </w:p>
        </w:tc>
        <w:tc>
          <w:tcPr>
            <w:tcW w:w="239" w:type="pct"/>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18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考试</w:t>
            </w:r>
          </w:p>
        </w:tc>
      </w:tr>
      <w:tr>
        <w:tblPrEx>
          <w:tblCellMar>
            <w:top w:w="0" w:type="dxa"/>
            <w:left w:w="0" w:type="dxa"/>
            <w:bottom w:w="0" w:type="dxa"/>
            <w:right w:w="0" w:type="dxa"/>
          </w:tblCellMar>
        </w:tblPrEx>
        <w:trPr>
          <w:trHeight w:val="57" w:hRule="atLeast"/>
          <w:jc w:val="center"/>
        </w:trPr>
        <w:tc>
          <w:tcPr>
            <w:tcW w:w="119" w:type="pct"/>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48" w:type="pct"/>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专业拓展课</w:t>
            </w:r>
          </w:p>
        </w:tc>
        <w:tc>
          <w:tcPr>
            <w:tcW w:w="181" w:type="pct"/>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选修</w:t>
            </w: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23"/>
                <w:w w:val="100"/>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5B440703501</w:t>
            </w:r>
          </w:p>
        </w:tc>
        <w:tc>
          <w:tcPr>
            <w:tcW w:w="94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BIM技术运维管理</w:t>
            </w:r>
          </w:p>
        </w:tc>
        <w:tc>
          <w:tcPr>
            <w:tcW w:w="32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default"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36</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86" w:type="pct"/>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专业拓展课最低学分要求为10学分</w:t>
            </w:r>
          </w:p>
        </w:tc>
        <w:tc>
          <w:tcPr>
            <w:tcW w:w="308" w:type="pc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shd w:val="clear" w:color="auto" w:fill="auto"/>
          <w:tblCellMar>
            <w:top w:w="0" w:type="dxa"/>
            <w:left w:w="0" w:type="dxa"/>
            <w:bottom w:w="0" w:type="dxa"/>
            <w:right w:w="0" w:type="dxa"/>
          </w:tblCellMar>
        </w:tblPrEx>
        <w:trPr>
          <w:trHeight w:val="57" w:hRule="atLeast"/>
          <w:jc w:val="center"/>
        </w:trPr>
        <w:tc>
          <w:tcPr>
            <w:tcW w:w="119" w:type="pct"/>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48"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1"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23"/>
                <w:w w:val="100"/>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5B440703502</w:t>
            </w:r>
          </w:p>
        </w:tc>
        <w:tc>
          <w:tcPr>
            <w:tcW w:w="94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物业服务营销</w:t>
            </w:r>
          </w:p>
        </w:tc>
        <w:tc>
          <w:tcPr>
            <w:tcW w:w="32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36</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8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shd w:val="clear" w:color="auto" w:fill="auto"/>
          <w:tblCellMar>
            <w:top w:w="0" w:type="dxa"/>
            <w:left w:w="0" w:type="dxa"/>
            <w:bottom w:w="0" w:type="dxa"/>
            <w:right w:w="0" w:type="dxa"/>
          </w:tblCellMar>
        </w:tblPrEx>
        <w:trPr>
          <w:trHeight w:val="57" w:hRule="atLeast"/>
          <w:jc w:val="center"/>
        </w:trPr>
        <w:tc>
          <w:tcPr>
            <w:tcW w:w="119" w:type="pct"/>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48"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1"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23"/>
                <w:w w:val="100"/>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5B440703503</w:t>
            </w:r>
          </w:p>
        </w:tc>
        <w:tc>
          <w:tcPr>
            <w:tcW w:w="94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物业价值评估技术</w:t>
            </w:r>
          </w:p>
        </w:tc>
        <w:tc>
          <w:tcPr>
            <w:tcW w:w="32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36</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8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shd w:val="clear" w:color="auto" w:fill="auto"/>
          <w:tblCellMar>
            <w:top w:w="0" w:type="dxa"/>
            <w:left w:w="0" w:type="dxa"/>
            <w:bottom w:w="0" w:type="dxa"/>
            <w:right w:w="0" w:type="dxa"/>
          </w:tblCellMar>
        </w:tblPrEx>
        <w:trPr>
          <w:trHeight w:val="57" w:hRule="atLeast"/>
          <w:jc w:val="center"/>
        </w:trPr>
        <w:tc>
          <w:tcPr>
            <w:tcW w:w="119" w:type="pct"/>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48"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1"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23"/>
                <w:w w:val="100"/>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5B440703504</w:t>
            </w:r>
          </w:p>
        </w:tc>
        <w:tc>
          <w:tcPr>
            <w:tcW w:w="94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现代社区服务</w:t>
            </w:r>
          </w:p>
        </w:tc>
        <w:tc>
          <w:tcPr>
            <w:tcW w:w="32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36</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8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shd w:val="clear" w:color="auto" w:fill="auto"/>
          <w:tblCellMar>
            <w:top w:w="0" w:type="dxa"/>
            <w:left w:w="0" w:type="dxa"/>
            <w:bottom w:w="0" w:type="dxa"/>
            <w:right w:w="0" w:type="dxa"/>
          </w:tblCellMar>
        </w:tblPrEx>
        <w:trPr>
          <w:trHeight w:val="57" w:hRule="atLeast"/>
          <w:jc w:val="center"/>
        </w:trPr>
        <w:tc>
          <w:tcPr>
            <w:tcW w:w="119" w:type="pct"/>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48"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1"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23"/>
                <w:w w:val="100"/>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5B440703505</w:t>
            </w:r>
          </w:p>
        </w:tc>
        <w:tc>
          <w:tcPr>
            <w:tcW w:w="94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物联网技术与应用</w:t>
            </w:r>
          </w:p>
        </w:tc>
        <w:tc>
          <w:tcPr>
            <w:tcW w:w="32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36</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8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CellMar>
            <w:top w:w="0" w:type="dxa"/>
            <w:left w:w="0" w:type="dxa"/>
            <w:bottom w:w="0" w:type="dxa"/>
            <w:right w:w="0" w:type="dxa"/>
          </w:tblCellMar>
        </w:tblPrEx>
        <w:trPr>
          <w:trHeight w:val="57" w:hRule="atLeast"/>
          <w:jc w:val="center"/>
        </w:trPr>
        <w:tc>
          <w:tcPr>
            <w:tcW w:w="119" w:type="pct"/>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48"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1"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6</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23"/>
                <w:w w:val="100"/>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5B440703506</w:t>
            </w:r>
          </w:p>
        </w:tc>
        <w:tc>
          <w:tcPr>
            <w:tcW w:w="94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绿色建筑运维管理</w:t>
            </w:r>
          </w:p>
        </w:tc>
        <w:tc>
          <w:tcPr>
            <w:tcW w:w="32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36</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8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shd w:val="clear" w:color="auto" w:fill="auto"/>
          <w:tblCellMar>
            <w:top w:w="0" w:type="dxa"/>
            <w:left w:w="0" w:type="dxa"/>
            <w:bottom w:w="0" w:type="dxa"/>
            <w:right w:w="0" w:type="dxa"/>
          </w:tblCellMar>
        </w:tblPrEx>
        <w:trPr>
          <w:trHeight w:val="57" w:hRule="atLeast"/>
          <w:jc w:val="center"/>
        </w:trPr>
        <w:tc>
          <w:tcPr>
            <w:tcW w:w="119" w:type="pct"/>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48"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1"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23"/>
                <w:w w:val="100"/>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5B440703507</w:t>
            </w:r>
          </w:p>
        </w:tc>
        <w:tc>
          <w:tcPr>
            <w:tcW w:w="94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物业服务质量管理</w:t>
            </w:r>
          </w:p>
        </w:tc>
        <w:tc>
          <w:tcPr>
            <w:tcW w:w="32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36</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8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shd w:val="clear" w:color="auto" w:fill="auto"/>
          <w:tblCellMar>
            <w:top w:w="0" w:type="dxa"/>
            <w:left w:w="0" w:type="dxa"/>
            <w:bottom w:w="0" w:type="dxa"/>
            <w:right w:w="0" w:type="dxa"/>
          </w:tblCellMar>
        </w:tblPrEx>
        <w:trPr>
          <w:trHeight w:val="57" w:hRule="atLeast"/>
          <w:jc w:val="center"/>
        </w:trPr>
        <w:tc>
          <w:tcPr>
            <w:tcW w:w="119" w:type="pct"/>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48"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1"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8</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23"/>
                <w:w w:val="100"/>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5B440703508</w:t>
            </w:r>
          </w:p>
        </w:tc>
        <w:tc>
          <w:tcPr>
            <w:tcW w:w="94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物业风险识别与管理</w:t>
            </w:r>
          </w:p>
        </w:tc>
        <w:tc>
          <w:tcPr>
            <w:tcW w:w="32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36</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8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shd w:val="clear" w:color="auto" w:fill="auto"/>
          <w:tblCellMar>
            <w:top w:w="0" w:type="dxa"/>
            <w:left w:w="0" w:type="dxa"/>
            <w:bottom w:w="0" w:type="dxa"/>
            <w:right w:w="0" w:type="dxa"/>
          </w:tblCellMar>
        </w:tblPrEx>
        <w:trPr>
          <w:trHeight w:val="57" w:hRule="atLeast"/>
          <w:jc w:val="center"/>
        </w:trPr>
        <w:tc>
          <w:tcPr>
            <w:tcW w:w="119" w:type="pct"/>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48"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1"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9</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23"/>
                <w:w w:val="100"/>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5B440703509</w:t>
            </w:r>
          </w:p>
        </w:tc>
        <w:tc>
          <w:tcPr>
            <w:tcW w:w="94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物业消防管理</w:t>
            </w:r>
          </w:p>
        </w:tc>
        <w:tc>
          <w:tcPr>
            <w:tcW w:w="32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36</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8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shd w:val="clear" w:color="auto" w:fill="auto"/>
          <w:tblCellMar>
            <w:top w:w="0" w:type="dxa"/>
            <w:left w:w="0" w:type="dxa"/>
            <w:bottom w:w="0" w:type="dxa"/>
            <w:right w:w="0" w:type="dxa"/>
          </w:tblCellMar>
        </w:tblPrEx>
        <w:trPr>
          <w:trHeight w:val="57" w:hRule="atLeast"/>
          <w:jc w:val="center"/>
        </w:trPr>
        <w:tc>
          <w:tcPr>
            <w:tcW w:w="119" w:type="pct"/>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48"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1"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10</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23"/>
                <w:w w:val="100"/>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5B440703510</w:t>
            </w:r>
          </w:p>
        </w:tc>
        <w:tc>
          <w:tcPr>
            <w:tcW w:w="94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中西方建筑文化</w:t>
            </w:r>
          </w:p>
        </w:tc>
        <w:tc>
          <w:tcPr>
            <w:tcW w:w="32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36</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8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shd w:val="clear" w:color="auto" w:fill="auto"/>
          <w:tblCellMar>
            <w:top w:w="0" w:type="dxa"/>
            <w:left w:w="0" w:type="dxa"/>
            <w:bottom w:w="0" w:type="dxa"/>
            <w:right w:w="0" w:type="dxa"/>
          </w:tblCellMar>
        </w:tblPrEx>
        <w:trPr>
          <w:trHeight w:val="57" w:hRule="atLeast"/>
          <w:jc w:val="center"/>
        </w:trPr>
        <w:tc>
          <w:tcPr>
            <w:tcW w:w="119" w:type="pct"/>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48"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1"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11</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23"/>
                <w:w w:val="100"/>
                <w:kern w:val="0"/>
                <w:sz w:val="20"/>
                <w:szCs w:val="20"/>
                <w:highlight w:val="none"/>
                <w:u w:val="none"/>
                <w:lang w:val="en-US" w:eastAsia="zh-CN" w:bidi="ar"/>
              </w:rPr>
            </w:pPr>
            <w:r>
              <w:rPr>
                <w:rFonts w:hint="eastAsia" w:ascii="仿宋_GB2312" w:hAnsi="仿宋_GB2312" w:eastAsia="仿宋_GB2312" w:cs="仿宋_GB2312"/>
                <w:i w:val="0"/>
                <w:color w:val="000000"/>
                <w:spacing w:val="-23"/>
                <w:w w:val="100"/>
                <w:kern w:val="0"/>
                <w:sz w:val="20"/>
                <w:szCs w:val="20"/>
                <w:highlight w:val="none"/>
                <w:u w:val="none"/>
                <w:lang w:val="en-US" w:eastAsia="zh-CN" w:bidi="ar"/>
              </w:rPr>
              <w:t>6B500606508</w:t>
            </w:r>
          </w:p>
        </w:tc>
        <w:tc>
          <w:tcPr>
            <w:tcW w:w="94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工程制图</w:t>
            </w:r>
          </w:p>
        </w:tc>
        <w:tc>
          <w:tcPr>
            <w:tcW w:w="32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36</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8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shd w:val="clear" w:color="auto" w:fill="auto"/>
          <w:tblCellMar>
            <w:top w:w="0" w:type="dxa"/>
            <w:left w:w="0" w:type="dxa"/>
            <w:bottom w:w="0" w:type="dxa"/>
            <w:right w:w="0" w:type="dxa"/>
          </w:tblCellMar>
        </w:tblPrEx>
        <w:trPr>
          <w:trHeight w:val="601" w:hRule="atLeast"/>
          <w:jc w:val="center"/>
        </w:trPr>
        <w:tc>
          <w:tcPr>
            <w:tcW w:w="119" w:type="pct"/>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48" w:type="pct"/>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实践性教学环节</w:t>
            </w:r>
          </w:p>
        </w:tc>
        <w:tc>
          <w:tcPr>
            <w:tcW w:w="181" w:type="pct"/>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必修</w:t>
            </w: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11"/>
                <w:w w:val="100"/>
                <w:kern w:val="0"/>
                <w:sz w:val="20"/>
                <w:szCs w:val="20"/>
                <w:highlight w:val="none"/>
                <w:u w:val="none"/>
                <w:lang w:val="en-US" w:eastAsia="zh-CN" w:bidi="ar"/>
              </w:rPr>
            </w:pPr>
            <w:r>
              <w:rPr>
                <w:rFonts w:hint="eastAsia" w:ascii="仿宋_GB2312" w:hAnsi="仿宋_GB2312" w:eastAsia="仿宋_GB2312" w:cs="仿宋_GB2312"/>
                <w:i w:val="0"/>
                <w:color w:val="000000"/>
                <w:spacing w:val="-11"/>
                <w:w w:val="100"/>
                <w:kern w:val="0"/>
                <w:sz w:val="20"/>
                <w:szCs w:val="20"/>
                <w:highlight w:val="none"/>
                <w:u w:val="none"/>
                <w:lang w:val="en-US" w:eastAsia="zh-CN" w:bidi="ar"/>
              </w:rPr>
              <w:t>1B410101601</w:t>
            </w:r>
          </w:p>
        </w:tc>
        <w:tc>
          <w:tcPr>
            <w:tcW w:w="94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毕业设计</w:t>
            </w:r>
          </w:p>
        </w:tc>
        <w:tc>
          <w:tcPr>
            <w:tcW w:w="32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w:t>
            </w:r>
          </w:p>
        </w:tc>
        <w:tc>
          <w:tcPr>
            <w:tcW w:w="296" w:type="pct"/>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80</w:t>
            </w:r>
          </w:p>
        </w:tc>
        <w:tc>
          <w:tcPr>
            <w:tcW w:w="301" w:type="pct"/>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20</w:t>
            </w:r>
          </w:p>
        </w:tc>
        <w:tc>
          <w:tcPr>
            <w:tcW w:w="296" w:type="pct"/>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60</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20</w:t>
            </w: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CellMar>
            <w:top w:w="0" w:type="dxa"/>
            <w:left w:w="0" w:type="dxa"/>
            <w:bottom w:w="0" w:type="dxa"/>
            <w:right w:w="0" w:type="dxa"/>
          </w:tblCellMar>
        </w:tblPrEx>
        <w:trPr>
          <w:trHeight w:val="675" w:hRule="atLeast"/>
          <w:jc w:val="center"/>
        </w:trPr>
        <w:tc>
          <w:tcPr>
            <w:tcW w:w="119" w:type="pct"/>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48"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1"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7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50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spacing w:val="-11"/>
                <w:w w:val="100"/>
                <w:kern w:val="0"/>
                <w:sz w:val="20"/>
                <w:szCs w:val="20"/>
                <w:highlight w:val="none"/>
                <w:u w:val="none"/>
                <w:lang w:val="en-US" w:eastAsia="zh-CN" w:bidi="ar"/>
              </w:rPr>
            </w:pPr>
            <w:r>
              <w:rPr>
                <w:rFonts w:hint="eastAsia" w:ascii="仿宋_GB2312" w:hAnsi="仿宋_GB2312" w:eastAsia="仿宋_GB2312" w:cs="仿宋_GB2312"/>
                <w:i w:val="0"/>
                <w:color w:val="000000"/>
                <w:spacing w:val="-11"/>
                <w:w w:val="100"/>
                <w:kern w:val="0"/>
                <w:sz w:val="20"/>
                <w:szCs w:val="20"/>
                <w:highlight w:val="none"/>
                <w:u w:val="none"/>
                <w:lang w:val="en-US" w:eastAsia="zh-CN" w:bidi="ar"/>
              </w:rPr>
              <w:t>1C410101602</w:t>
            </w:r>
          </w:p>
        </w:tc>
        <w:tc>
          <w:tcPr>
            <w:tcW w:w="94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岗位实习</w:t>
            </w:r>
          </w:p>
        </w:tc>
        <w:tc>
          <w:tcPr>
            <w:tcW w:w="32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432</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0</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432</w:t>
            </w:r>
          </w:p>
        </w:tc>
        <w:tc>
          <w:tcPr>
            <w:tcW w:w="239" w:type="pct"/>
            <w:tcBorders>
              <w:top w:val="single" w:color="000000" w:sz="4" w:space="0"/>
              <w:left w:val="single" w:color="000000" w:sz="4" w:space="0"/>
              <w:bottom w:val="nil"/>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39" w:type="pct"/>
            <w:tcBorders>
              <w:top w:val="single" w:color="000000" w:sz="4" w:space="0"/>
              <w:left w:val="single" w:color="000000" w:sz="4" w:space="0"/>
              <w:bottom w:val="nil"/>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9" w:type="pct"/>
            <w:tcBorders>
              <w:top w:val="single" w:color="000000" w:sz="4" w:space="0"/>
              <w:left w:val="single" w:color="000000" w:sz="4" w:space="0"/>
              <w:bottom w:val="nil"/>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4" w:type="pct"/>
            <w:tcBorders>
              <w:top w:val="single" w:color="000000" w:sz="4" w:space="0"/>
              <w:left w:val="single" w:color="000000" w:sz="4" w:space="0"/>
              <w:bottom w:val="nil"/>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8" w:type="pct"/>
            <w:tcBorders>
              <w:top w:val="single" w:color="000000" w:sz="4" w:space="0"/>
              <w:left w:val="single" w:color="000000" w:sz="4" w:space="0"/>
              <w:bottom w:val="nil"/>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nil"/>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tblPrEx>
          <w:tblCellMar>
            <w:top w:w="0" w:type="dxa"/>
            <w:left w:w="0" w:type="dxa"/>
            <w:bottom w:w="0" w:type="dxa"/>
            <w:right w:w="0" w:type="dxa"/>
          </w:tblCellMar>
        </w:tblPrEx>
        <w:trPr>
          <w:trHeight w:val="57" w:hRule="atLeast"/>
          <w:jc w:val="center"/>
        </w:trPr>
        <w:tc>
          <w:tcPr>
            <w:tcW w:w="2171" w:type="pct"/>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专业必修课程学分、学时小计</w:t>
            </w: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89</w:t>
            </w:r>
          </w:p>
        </w:tc>
        <w:tc>
          <w:tcPr>
            <w:tcW w:w="296"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1700</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696</w:t>
            </w:r>
          </w:p>
        </w:tc>
        <w:tc>
          <w:tcPr>
            <w:tcW w:w="296"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1004</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r>
      <w:tr>
        <w:tblPrEx>
          <w:shd w:val="clear" w:color="auto" w:fill="auto"/>
          <w:tblCellMar>
            <w:top w:w="0" w:type="dxa"/>
            <w:left w:w="0" w:type="dxa"/>
            <w:bottom w:w="0" w:type="dxa"/>
            <w:right w:w="0" w:type="dxa"/>
          </w:tblCellMar>
        </w:tblPrEx>
        <w:trPr>
          <w:trHeight w:val="57" w:hRule="atLeast"/>
          <w:jc w:val="center"/>
        </w:trPr>
        <w:tc>
          <w:tcPr>
            <w:tcW w:w="2171" w:type="pct"/>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专业必修课程学分、学时占比</w:t>
            </w:r>
          </w:p>
        </w:tc>
        <w:tc>
          <w:tcPr>
            <w:tcW w:w="32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59.73%</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60.67%</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24.84%</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35.83%</w:t>
            </w:r>
          </w:p>
        </w:tc>
        <w:tc>
          <w:tcPr>
            <w:tcW w:w="239" w:type="pct"/>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39" w:type="pct"/>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9" w:type="pct"/>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4" w:type="pct"/>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8" w:type="pct"/>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97" w:type="pct"/>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r>
      <w:tr>
        <w:tblPrEx>
          <w:shd w:val="clear" w:color="auto" w:fill="auto"/>
          <w:tblCellMar>
            <w:top w:w="0" w:type="dxa"/>
            <w:left w:w="0" w:type="dxa"/>
            <w:bottom w:w="0" w:type="dxa"/>
            <w:right w:w="0" w:type="dxa"/>
          </w:tblCellMar>
        </w:tblPrEx>
        <w:trPr>
          <w:trHeight w:val="57" w:hRule="atLeast"/>
          <w:jc w:val="center"/>
        </w:trPr>
        <w:tc>
          <w:tcPr>
            <w:tcW w:w="2171" w:type="pct"/>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专业拓展课程学分、学时小计</w:t>
            </w:r>
          </w:p>
        </w:tc>
        <w:tc>
          <w:tcPr>
            <w:tcW w:w="32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10</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180</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90</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90</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r>
      <w:tr>
        <w:tblPrEx>
          <w:tblCellMar>
            <w:top w:w="0" w:type="dxa"/>
            <w:left w:w="0" w:type="dxa"/>
            <w:bottom w:w="0" w:type="dxa"/>
            <w:right w:w="0" w:type="dxa"/>
          </w:tblCellMar>
        </w:tblPrEx>
        <w:trPr>
          <w:trHeight w:val="57" w:hRule="atLeast"/>
          <w:jc w:val="center"/>
        </w:trPr>
        <w:tc>
          <w:tcPr>
            <w:tcW w:w="2171" w:type="pct"/>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专业拓展课程学分、学时占比</w:t>
            </w:r>
          </w:p>
        </w:tc>
        <w:tc>
          <w:tcPr>
            <w:tcW w:w="32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6.71%</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6.42%</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3.21%</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3.21%</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r>
      <w:tr>
        <w:tblPrEx>
          <w:tblCellMar>
            <w:top w:w="0" w:type="dxa"/>
            <w:left w:w="0" w:type="dxa"/>
            <w:bottom w:w="0" w:type="dxa"/>
            <w:right w:w="0" w:type="dxa"/>
          </w:tblCellMar>
        </w:tblPrEx>
        <w:trPr>
          <w:trHeight w:val="57" w:hRule="atLeast"/>
          <w:jc w:val="center"/>
        </w:trPr>
        <w:tc>
          <w:tcPr>
            <w:tcW w:w="2171" w:type="pct"/>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总学分、学时合计</w:t>
            </w:r>
          </w:p>
        </w:tc>
        <w:tc>
          <w:tcPr>
            <w:tcW w:w="32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149</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2802</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1320</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1482</w:t>
            </w: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3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8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r>
    </w:tbl>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outlineLvl w:val="0"/>
        <w:rPr>
          <w:rFonts w:hint="default"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九</w:t>
      </w:r>
      <w:r>
        <w:rPr>
          <w:rFonts w:hint="eastAsia" w:ascii="黑体" w:hAnsi="黑体" w:eastAsia="黑体" w:cs="黑体"/>
          <w:color w:val="auto"/>
          <w:sz w:val="32"/>
          <w:szCs w:val="32"/>
          <w:highlight w:val="none"/>
        </w:rPr>
        <w:t>、</w:t>
      </w:r>
      <w:r>
        <w:rPr>
          <w:rFonts w:hint="eastAsia" w:ascii="黑体" w:hAnsi="黑体" w:eastAsia="黑体" w:cs="黑体"/>
          <w:color w:val="auto"/>
          <w:sz w:val="32"/>
          <w:szCs w:val="32"/>
          <w:highlight w:val="none"/>
          <w:lang w:val="en-US" w:eastAsia="zh-CN"/>
        </w:rPr>
        <w:t>师资队伍</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按照“四有好老师”“四个相统一”“四个引路人”的要求建设专业教师队伍，将师德师风作为教师队伍建设的第一标准。</w:t>
      </w:r>
    </w:p>
    <w:p>
      <w:pPr>
        <w:keepNext w:val="0"/>
        <w:keepLines w:val="0"/>
        <w:pageBreakBefore w:val="0"/>
        <w:widowControl w:val="0"/>
        <w:numPr>
          <w:ilvl w:val="0"/>
          <w:numId w:val="3"/>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default"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队伍结构</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专业教师团队现有专任教师9人，获取职称人数为5人。其中副高及以上职称1人，中级职称3人，初级职称1人。双师型专任教师1人，</w:t>
      </w:r>
      <w:r>
        <w:rPr>
          <w:rFonts w:hint="eastAsia" w:ascii="仿宋_GB2312" w:hAnsi="仿宋_GB2312" w:eastAsia="仿宋_GB2312" w:cs="仿宋_GB2312"/>
          <w:b w:val="0"/>
          <w:bCs w:val="0"/>
          <w:color w:val="auto"/>
          <w:sz w:val="32"/>
          <w:szCs w:val="32"/>
          <w:highlight w:val="none"/>
        </w:rPr>
        <w:t>具有研究生学位</w:t>
      </w:r>
      <w:r>
        <w:rPr>
          <w:rFonts w:hint="eastAsia" w:ascii="仿宋_GB2312" w:hAnsi="仿宋_GB2312" w:eastAsia="仿宋_GB2312" w:cs="仿宋_GB2312"/>
          <w:b w:val="0"/>
          <w:bCs w:val="0"/>
          <w:color w:val="auto"/>
          <w:sz w:val="32"/>
          <w:szCs w:val="32"/>
          <w:highlight w:val="none"/>
          <w:lang w:eastAsia="zh-CN"/>
        </w:rPr>
        <w:t>教师</w:t>
      </w:r>
      <w:r>
        <w:rPr>
          <w:rFonts w:hint="eastAsia" w:ascii="仿宋_GB2312" w:hAnsi="仿宋_GB2312" w:eastAsia="仿宋_GB2312" w:cs="仿宋_GB2312"/>
          <w:b w:val="0"/>
          <w:bCs w:val="0"/>
          <w:color w:val="auto"/>
          <w:sz w:val="32"/>
          <w:szCs w:val="32"/>
          <w:highlight w:val="none"/>
          <w:lang w:val="en-US" w:eastAsia="zh-CN"/>
        </w:rPr>
        <w:t>1人。</w:t>
      </w:r>
      <w:r>
        <w:rPr>
          <w:rFonts w:hint="eastAsia" w:ascii="仿宋_GB2312" w:hAnsi="仿宋_GB2312" w:eastAsia="仿宋_GB2312" w:cs="仿宋_GB2312"/>
          <w:b w:val="0"/>
          <w:bCs w:val="0"/>
          <w:color w:val="auto"/>
          <w:sz w:val="32"/>
          <w:szCs w:val="32"/>
          <w:highlight w:val="none"/>
          <w:lang w:eastAsia="zh-CN"/>
        </w:rPr>
        <w:t>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pPr>
        <w:keepNext w:val="0"/>
        <w:keepLines w:val="0"/>
        <w:pageBreakBefore w:val="0"/>
        <w:widowControl w:val="0"/>
        <w:numPr>
          <w:ilvl w:val="0"/>
          <w:numId w:val="3"/>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专业带头人</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专业带头人原则上应具有副高及以上职称，能够较好地把握国内外现代物业管理行业、专业发展，能广泛联系行业企业，了解行业企业对本专业人才的需求实际，教学设计、专业研究能力强，组织开展教科研工作能力强，在本区域或本领域具有一定的专业影响力。本专业带头人为陈晓文，副高职称，负责本专业的规划与建设、主持专业人才培养方案、课程标准的制定与修订、教材、专业教学标准、专业认证体系的建设工作、负责本专业教学改革和实践技能培养方案的制定等工作。</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楷体" w:cs="楷体"/>
          <w:color w:val="auto"/>
          <w:sz w:val="32"/>
          <w:szCs w:val="32"/>
          <w:highlight w:val="none"/>
          <w:lang w:val="en-US" w:eastAsia="zh-CN"/>
        </w:rPr>
      </w:pP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三</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专任教师</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专任教师应具有高校教师资格</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有理想信念、有道德情操、有扎实学识、有仁爱之心</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具有</w:t>
      </w:r>
      <w:r>
        <w:rPr>
          <w:rFonts w:hint="eastAsia" w:ascii="仿宋_GB2312" w:hAnsi="仿宋_GB2312" w:eastAsia="仿宋_GB2312" w:cs="仿宋_GB2312"/>
          <w:b w:val="0"/>
          <w:bCs w:val="0"/>
          <w:color w:val="auto"/>
          <w:sz w:val="32"/>
          <w:szCs w:val="32"/>
          <w:highlight w:val="none"/>
          <w:lang w:val="en-US" w:eastAsia="zh-CN"/>
        </w:rPr>
        <w:t>现代物业管理</w:t>
      </w:r>
      <w:r>
        <w:rPr>
          <w:rFonts w:hint="eastAsia" w:ascii="仿宋_GB2312" w:hAnsi="仿宋_GB2312" w:eastAsia="仿宋_GB2312" w:cs="仿宋_GB2312"/>
          <w:b w:val="0"/>
          <w:bCs w:val="0"/>
          <w:color w:val="auto"/>
          <w:sz w:val="32"/>
          <w:szCs w:val="32"/>
          <w:highlight w:val="none"/>
        </w:rPr>
        <w:t>等相关专业本科及以上学历</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具有扎实的本专业相关理论功底和实践能力</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具有较</w:t>
      </w:r>
      <w:r>
        <w:rPr>
          <w:rFonts w:hint="eastAsia" w:ascii="仿宋_GB2312" w:hAnsi="仿宋_GB2312" w:eastAsia="仿宋_GB2312" w:cs="仿宋_GB2312"/>
          <w:b w:val="0"/>
          <w:bCs w:val="0"/>
          <w:color w:val="auto"/>
          <w:sz w:val="32"/>
          <w:szCs w:val="32"/>
          <w:highlight w:val="none"/>
          <w:lang w:eastAsia="zh-CN"/>
        </w:rPr>
        <w:t>强的</w:t>
      </w:r>
      <w:r>
        <w:rPr>
          <w:rFonts w:hint="eastAsia" w:ascii="仿宋_GB2312" w:hAnsi="仿宋_GB2312" w:eastAsia="仿宋_GB2312" w:cs="仿宋_GB2312"/>
          <w:b w:val="0"/>
          <w:bCs w:val="0"/>
          <w:color w:val="auto"/>
          <w:sz w:val="32"/>
          <w:szCs w:val="32"/>
          <w:highlight w:val="none"/>
        </w:rPr>
        <w:t>信息化教学能力，能够开展课程教学改革和科学研究</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有每5年累计不少于6个月的企业实践经历。</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四</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rPr>
        <w:t>兼职教师</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楷体" w:cs="楷体"/>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val="en-US" w:eastAsia="zh-CN"/>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楷体" w:hAnsi="楷体" w:eastAsia="楷体" w:cs="楷体"/>
          <w:color w:val="auto"/>
          <w:sz w:val="32"/>
          <w:szCs w:val="32"/>
          <w:highlight w:val="none"/>
        </w:rPr>
      </w:pPr>
      <w:r>
        <w:rPr>
          <w:rFonts w:hint="eastAsia" w:ascii="黑体" w:hAnsi="黑体" w:eastAsia="黑体" w:cs="黑体"/>
          <w:color w:val="auto"/>
          <w:sz w:val="32"/>
          <w:szCs w:val="32"/>
          <w:highlight w:val="none"/>
          <w:lang w:val="en-US" w:eastAsia="zh-CN"/>
        </w:rPr>
        <w:t>十、教学条件</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val="en-US" w:eastAsia="zh-CN"/>
        </w:rPr>
        <w:t>一</w:t>
      </w:r>
      <w:r>
        <w:rPr>
          <w:rFonts w:hint="eastAsia" w:ascii="楷体" w:hAnsi="楷体" w:eastAsia="楷体" w:cs="楷体"/>
          <w:color w:val="auto"/>
          <w:sz w:val="32"/>
          <w:szCs w:val="32"/>
          <w:highlight w:val="none"/>
        </w:rPr>
        <w:t>）教学设施</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教学设施主要包括能够满足正常的课程教学、实习实训所需的专业教室、校内实训室和校外实训基地等。</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1.专业教室要求</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学校为该专业配备公共教室（配备有多媒体设施）、多媒体教室等，满足理论教学要求。</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sz w:val="32"/>
          <w:szCs w:val="32"/>
          <w:highlight w:val="none"/>
        </w:rPr>
        <w:t>配有黑（白）板、多媒体计算机、投影设备、音响设备，安装应急照明装置并保持良好状态，符合紧急疏散要求，标志明显，逃生通道畅通无阻。</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sz w:val="32"/>
          <w:szCs w:val="32"/>
          <w:highlight w:val="none"/>
        </w:rPr>
        <w:t>2.校内实训资源</w:t>
      </w:r>
    </w:p>
    <w:p>
      <w:pPr>
        <w:keepNext w:val="0"/>
        <w:keepLines w:val="0"/>
        <w:pageBreakBefore w:val="0"/>
        <w:widowControl w:val="0"/>
        <w:kinsoku/>
        <w:wordWrap/>
        <w:overflowPunct w:val="0"/>
        <w:topLinePunct w:val="0"/>
        <w:autoSpaceDE/>
        <w:autoSpaceDN/>
        <w:bidi w:val="0"/>
        <w:adjustRightInd w:val="0"/>
        <w:snapToGrid/>
        <w:spacing w:after="0" w:line="520" w:lineRule="exact"/>
        <w:ind w:left="0"/>
        <w:jc w:val="center"/>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sz w:val="32"/>
          <w:szCs w:val="32"/>
          <w:highlight w:val="none"/>
        </w:rPr>
        <w:t>表1</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kern w:val="0"/>
          <w:sz w:val="32"/>
          <w:szCs w:val="32"/>
          <w:highlight w:val="none"/>
        </w:rPr>
        <w:t>校内实训资源列表</w:t>
      </w:r>
    </w:p>
    <w:tbl>
      <w:tblPr>
        <w:tblStyle w:val="10"/>
        <w:tblW w:w="93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5"/>
        <w:gridCol w:w="1413"/>
        <w:gridCol w:w="1671"/>
        <w:gridCol w:w="2850"/>
        <w:gridCol w:w="1660"/>
        <w:gridCol w:w="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6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序号</w:t>
            </w:r>
          </w:p>
        </w:tc>
        <w:tc>
          <w:tcPr>
            <w:tcW w:w="1413"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6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实验实训室名称</w:t>
            </w:r>
          </w:p>
        </w:tc>
        <w:tc>
          <w:tcPr>
            <w:tcW w:w="1671"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6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实训适用课程</w:t>
            </w:r>
          </w:p>
        </w:tc>
        <w:tc>
          <w:tcPr>
            <w:tcW w:w="2850"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6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实训项目</w:t>
            </w:r>
          </w:p>
        </w:tc>
        <w:tc>
          <w:tcPr>
            <w:tcW w:w="1660"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6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主要设备名称及配置数量</w:t>
            </w:r>
          </w:p>
        </w:tc>
        <w:tc>
          <w:tcPr>
            <w:tcW w:w="979"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6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工位数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35"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6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1413"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6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计算机实验中心</w:t>
            </w:r>
          </w:p>
        </w:tc>
        <w:tc>
          <w:tcPr>
            <w:tcW w:w="1671"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6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建筑识图与CAD、物业信息化管理</w:t>
            </w:r>
          </w:p>
        </w:tc>
        <w:tc>
          <w:tcPr>
            <w:tcW w:w="2850"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60" w:lineRule="exac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1.AutoCAD绘图实训；</w:t>
            </w:r>
          </w:p>
          <w:p>
            <w:pPr>
              <w:pStyle w:val="3"/>
              <w:keepNext w:val="0"/>
              <w:keepLines w:val="0"/>
              <w:pageBreakBefore w:val="0"/>
              <w:widowControl/>
              <w:suppressLineNumbers w:val="0"/>
              <w:kinsoku/>
              <w:wordWrap/>
              <w:topLinePunct w:val="0"/>
              <w:autoSpaceDE/>
              <w:autoSpaceDN/>
              <w:bidi w:val="0"/>
              <w:snapToGrid/>
              <w:spacing w:before="0" w:beforeAutospacing="0" w:after="0" w:afterAutospacing="0" w:line="360" w:lineRule="exact"/>
              <w:ind w:left="0" w:right="0" w:firstLine="0"/>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kern w:val="2"/>
                <w:sz w:val="24"/>
                <w:szCs w:val="24"/>
                <w:highlight w:val="none"/>
                <w:lang w:val="en-US" w:eastAsia="zh-CN" w:bidi="ar-SA"/>
              </w:rPr>
              <w:t>2.基础信息化操作实训；</w:t>
            </w:r>
          </w:p>
          <w:p>
            <w:pPr>
              <w:pStyle w:val="3"/>
              <w:keepNext w:val="0"/>
              <w:keepLines w:val="0"/>
              <w:pageBreakBefore w:val="0"/>
              <w:widowControl/>
              <w:suppressLineNumbers w:val="0"/>
              <w:shd w:val="clear" w:fill="FFFFFF"/>
              <w:kinsoku/>
              <w:wordWrap/>
              <w:topLinePunct w:val="0"/>
              <w:autoSpaceDE/>
              <w:autoSpaceDN/>
              <w:bidi w:val="0"/>
              <w:snapToGrid/>
              <w:spacing w:before="0" w:beforeAutospacing="0" w:after="0" w:afterAutospacing="0" w:line="360" w:lineRule="exact"/>
              <w:ind w:left="0" w:right="0" w:firstLine="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val="0"/>
                <w:bCs w:val="0"/>
                <w:color w:val="auto"/>
                <w:kern w:val="2"/>
                <w:sz w:val="24"/>
                <w:szCs w:val="24"/>
                <w:highlight w:val="none"/>
                <w:lang w:val="en-US" w:eastAsia="zh-CN" w:bidi="ar-SA"/>
              </w:rPr>
              <w:t>3.客户服务信息化实训。</w:t>
            </w:r>
          </w:p>
        </w:tc>
        <w:tc>
          <w:tcPr>
            <w:tcW w:w="1660"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6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微型计算机60台</w:t>
            </w:r>
          </w:p>
        </w:tc>
        <w:tc>
          <w:tcPr>
            <w:tcW w:w="979"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60" w:lineRule="exact"/>
              <w:ind w:left="0"/>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36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60个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735"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6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1413"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6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会计电算化实训室</w:t>
            </w:r>
          </w:p>
        </w:tc>
        <w:tc>
          <w:tcPr>
            <w:tcW w:w="1671"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6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物业财务</w:t>
            </w:r>
          </w:p>
          <w:p>
            <w:pPr>
              <w:keepNext w:val="0"/>
              <w:keepLines w:val="0"/>
              <w:pageBreakBefore w:val="0"/>
              <w:widowControl w:val="0"/>
              <w:kinsoku/>
              <w:wordWrap/>
              <w:overflowPunct w:val="0"/>
              <w:topLinePunct w:val="0"/>
              <w:autoSpaceDE/>
              <w:autoSpaceDN/>
              <w:bidi w:val="0"/>
              <w:adjustRightInd w:val="0"/>
              <w:snapToGrid/>
              <w:spacing w:after="0" w:line="36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管理</w:t>
            </w:r>
          </w:p>
        </w:tc>
        <w:tc>
          <w:tcPr>
            <w:tcW w:w="2850" w:type="dxa"/>
            <w:noWrap w:val="0"/>
            <w:vAlign w:val="center"/>
          </w:tcPr>
          <w:p>
            <w:pPr>
              <w:pStyle w:val="3"/>
              <w:keepNext w:val="0"/>
              <w:keepLines w:val="0"/>
              <w:pageBreakBefore w:val="0"/>
              <w:widowControl/>
              <w:numPr>
                <w:ilvl w:val="0"/>
                <w:numId w:val="4"/>
              </w:numPr>
              <w:suppressLineNumbers w:val="0"/>
              <w:shd w:val="clear" w:fill="FFFFFF"/>
              <w:kinsoku/>
              <w:wordWrap/>
              <w:topLinePunct w:val="0"/>
              <w:autoSpaceDE/>
              <w:autoSpaceDN/>
              <w:bidi w:val="0"/>
              <w:snapToGrid/>
              <w:spacing w:before="0" w:beforeAutospacing="0" w:after="0" w:afterAutospacing="0" w:line="360" w:lineRule="exact"/>
              <w:ind w:left="0" w:right="0" w:firstLine="0"/>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kern w:val="2"/>
                <w:sz w:val="24"/>
                <w:szCs w:val="24"/>
                <w:highlight w:val="none"/>
                <w:lang w:val="en-US" w:eastAsia="zh-CN" w:bidi="ar-SA"/>
              </w:rPr>
              <w:t>基本财务知识与技能实训；</w:t>
            </w:r>
          </w:p>
          <w:p>
            <w:pPr>
              <w:pStyle w:val="4"/>
              <w:keepNext w:val="0"/>
              <w:keepLines w:val="0"/>
              <w:pageBreakBefore w:val="0"/>
              <w:widowControl/>
              <w:suppressLineNumbers w:val="0"/>
              <w:shd w:val="clear" w:fill="FFFFFF"/>
              <w:kinsoku/>
              <w:wordWrap/>
              <w:topLinePunct w:val="0"/>
              <w:autoSpaceDE/>
              <w:autoSpaceDN/>
              <w:bidi w:val="0"/>
              <w:snapToGrid/>
              <w:spacing w:before="0" w:beforeAutospacing="0" w:after="0" w:afterAutospacing="0" w:line="360" w:lineRule="exact"/>
              <w:ind w:left="0" w:right="0" w:firstLine="0"/>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kern w:val="2"/>
                <w:sz w:val="24"/>
                <w:szCs w:val="24"/>
                <w:highlight w:val="none"/>
                <w:lang w:val="en-US" w:eastAsia="zh-CN" w:bidi="ar-SA"/>
              </w:rPr>
              <w:t>2.会计原理与财务报表实训</w:t>
            </w:r>
          </w:p>
          <w:p>
            <w:pPr>
              <w:pStyle w:val="4"/>
              <w:keepNext w:val="0"/>
              <w:keepLines w:val="0"/>
              <w:pageBreakBefore w:val="0"/>
              <w:widowControl/>
              <w:suppressLineNumbers w:val="0"/>
              <w:shd w:val="clear" w:fill="FFFFFF"/>
              <w:kinsoku/>
              <w:wordWrap/>
              <w:topLinePunct w:val="0"/>
              <w:autoSpaceDE/>
              <w:autoSpaceDN/>
              <w:bidi w:val="0"/>
              <w:snapToGrid/>
              <w:spacing w:before="0" w:beforeAutospacing="0" w:after="0" w:afterAutospacing="0" w:line="360" w:lineRule="exact"/>
              <w:ind w:left="0" w:right="0" w:firstLine="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highlight w:val="none"/>
                <w:lang w:val="en-US" w:eastAsia="zh-CN"/>
              </w:rPr>
              <w:t>3.</w:t>
            </w:r>
            <w:r>
              <w:rPr>
                <w:rFonts w:hint="eastAsia" w:ascii="仿宋_GB2312" w:hAnsi="仿宋_GB2312" w:eastAsia="仿宋_GB2312" w:cs="仿宋_GB2312"/>
                <w:b w:val="0"/>
                <w:bCs w:val="0"/>
                <w:color w:val="auto"/>
                <w:kern w:val="2"/>
                <w:sz w:val="24"/>
                <w:szCs w:val="24"/>
                <w:highlight w:val="none"/>
                <w:lang w:val="en-US" w:eastAsia="zh-CN" w:bidi="ar-SA"/>
              </w:rPr>
              <w:t>预算编制实训。</w:t>
            </w:r>
          </w:p>
        </w:tc>
        <w:tc>
          <w:tcPr>
            <w:tcW w:w="1660"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6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微型计算机60台</w:t>
            </w:r>
          </w:p>
        </w:tc>
        <w:tc>
          <w:tcPr>
            <w:tcW w:w="979"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6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60个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6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1413"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6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洽谈签约室</w:t>
            </w:r>
          </w:p>
        </w:tc>
        <w:tc>
          <w:tcPr>
            <w:tcW w:w="1671"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6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物业客户服务与管理</w:t>
            </w:r>
          </w:p>
        </w:tc>
        <w:tc>
          <w:tcPr>
            <w:tcW w:w="2850" w:type="dxa"/>
            <w:noWrap w:val="0"/>
            <w:vAlign w:val="center"/>
          </w:tcPr>
          <w:p>
            <w:pPr>
              <w:keepNext w:val="0"/>
              <w:keepLines w:val="0"/>
              <w:pageBreakBefore w:val="0"/>
              <w:widowControl w:val="0"/>
              <w:numPr>
                <w:ilvl w:val="0"/>
                <w:numId w:val="5"/>
              </w:numPr>
              <w:kinsoku/>
              <w:wordWrap/>
              <w:overflowPunct w:val="0"/>
              <w:topLinePunct w:val="0"/>
              <w:autoSpaceDE/>
              <w:autoSpaceDN/>
              <w:bidi w:val="0"/>
              <w:adjustRightInd w:val="0"/>
              <w:snapToGrid/>
              <w:spacing w:after="0" w:line="360" w:lineRule="exac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沟通方式训练；</w:t>
            </w:r>
          </w:p>
          <w:p>
            <w:pPr>
              <w:keepNext w:val="0"/>
              <w:keepLines w:val="0"/>
              <w:pageBreakBefore w:val="0"/>
              <w:widowControl w:val="0"/>
              <w:numPr>
                <w:ilvl w:val="0"/>
                <w:numId w:val="5"/>
              </w:numPr>
              <w:kinsoku/>
              <w:wordWrap/>
              <w:overflowPunct w:val="0"/>
              <w:topLinePunct w:val="0"/>
              <w:autoSpaceDE/>
              <w:autoSpaceDN/>
              <w:bidi w:val="0"/>
              <w:adjustRightInd w:val="0"/>
              <w:snapToGrid/>
              <w:spacing w:after="0" w:line="360" w:lineRule="exac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投诉和纠纷处理；</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360" w:lineRule="exact"/>
              <w:ind w:left="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3.安全管理实践。</w:t>
            </w:r>
          </w:p>
        </w:tc>
        <w:tc>
          <w:tcPr>
            <w:tcW w:w="1660"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6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多媒体1套、会议桌</w:t>
            </w:r>
          </w:p>
        </w:tc>
        <w:tc>
          <w:tcPr>
            <w:tcW w:w="979"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60" w:lineRule="exact"/>
              <w:ind w:left="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17个</w:t>
            </w:r>
          </w:p>
        </w:tc>
      </w:tr>
    </w:tbl>
    <w:p>
      <w:pPr>
        <w:pStyle w:val="4"/>
        <w:keepNext w:val="0"/>
        <w:keepLines w:val="0"/>
        <w:pageBreakBefore w:val="0"/>
        <w:widowControl/>
        <w:kinsoku/>
        <w:wordWrap/>
        <w:topLinePunct w:val="0"/>
        <w:autoSpaceDE/>
        <w:autoSpaceDN/>
        <w:bidi w:val="0"/>
        <w:snapToGrid/>
        <w:spacing w:before="0" w:after="0" w:line="520" w:lineRule="exact"/>
        <w:ind w:lef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3.校外实训资源</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（1）校外实训基地基本要求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具有稳定的校外实训基地2个以上；能够开展</w:t>
      </w:r>
      <w:r>
        <w:rPr>
          <w:rFonts w:hint="eastAsia" w:ascii="仿宋_GB2312" w:hAnsi="仿宋_GB2312" w:cs="仿宋_GB2312"/>
          <w:color w:val="auto"/>
          <w:sz w:val="28"/>
          <w:szCs w:val="28"/>
          <w:highlight w:val="none"/>
        </w:rPr>
        <w:t>物业客户服务技巧</w:t>
      </w:r>
      <w:r>
        <w:rPr>
          <w:rFonts w:hint="eastAsia" w:ascii="仿宋_GB2312" w:hAnsi="仿宋_GB2312" w:eastAsia="仿宋_GB2312" w:cs="仿宋_GB2312"/>
          <w:b w:val="0"/>
          <w:bCs w:val="0"/>
          <w:color w:val="auto"/>
          <w:sz w:val="32"/>
          <w:szCs w:val="32"/>
          <w:highlight w:val="none"/>
          <w:lang w:val="en-US" w:eastAsia="zh-CN"/>
        </w:rPr>
        <w:t>等实训活动；实训设施齐备，实训岗位、实训指导教师确定，实训管理及实施规章制度齐全。</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（2）学生实习基地基本要求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具有稳定的校外实习基地2个以上；能提供物业管理等相关实习岗位，能涵盖当前相关产业的主流技术，可接纳一定规模的学生实习；能够配备相应数量的指导教师对学生实习进行指导和管理；有保证实习生日常工作、学习、生活的规章制度，有安全、保险保障。</w:t>
      </w:r>
      <w:bookmarkStart w:id="8" w:name="_GoBack"/>
      <w:bookmarkEnd w:id="8"/>
    </w:p>
    <w:p>
      <w:pPr>
        <w:pageBreakBefore w:val="0"/>
        <w:kinsoku/>
        <w:wordWrap/>
        <w:overflowPunct w:val="0"/>
        <w:topLinePunct w:val="0"/>
        <w:autoSpaceDE/>
        <w:autoSpaceDN/>
        <w:bidi w:val="0"/>
        <w:adjustRightInd w:val="0"/>
        <w:snapToGrid/>
        <w:spacing w:after="0" w:line="520" w:lineRule="exact"/>
        <w:ind w:left="0"/>
        <w:jc w:val="center"/>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表1</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 xml:space="preserve"> 校外实习基地一览表</w:t>
      </w:r>
    </w:p>
    <w:tbl>
      <w:tblPr>
        <w:tblStyle w:val="10"/>
        <w:tblpPr w:leftFromText="180" w:rightFromText="180" w:vertAnchor="text" w:horzAnchor="page" w:tblpX="1373" w:tblpY="2"/>
        <w:tblOverlap w:val="never"/>
        <w:tblW w:w="94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7"/>
        <w:gridCol w:w="2845"/>
        <w:gridCol w:w="2127"/>
        <w:gridCol w:w="1028"/>
        <w:gridCol w:w="1282"/>
        <w:gridCol w:w="13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7"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序号</w:t>
            </w:r>
          </w:p>
        </w:tc>
        <w:tc>
          <w:tcPr>
            <w:tcW w:w="2845"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lang w:val="en-US" w:eastAsia="zh-CN"/>
              </w:rPr>
              <w:t>校外实习基地</w:t>
            </w:r>
          </w:p>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名称</w:t>
            </w:r>
          </w:p>
        </w:tc>
        <w:tc>
          <w:tcPr>
            <w:tcW w:w="2127"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合作企业</w:t>
            </w:r>
          </w:p>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名称</w:t>
            </w:r>
          </w:p>
        </w:tc>
        <w:tc>
          <w:tcPr>
            <w:tcW w:w="1028"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用途</w:t>
            </w:r>
          </w:p>
        </w:tc>
        <w:tc>
          <w:tcPr>
            <w:tcW w:w="1282"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合作深度</w:t>
            </w:r>
          </w:p>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要求</w:t>
            </w:r>
          </w:p>
        </w:tc>
        <w:tc>
          <w:tcPr>
            <w:tcW w:w="1311"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接纳学生</w:t>
            </w:r>
          </w:p>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实习人次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7"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1</w:t>
            </w:r>
          </w:p>
        </w:tc>
        <w:tc>
          <w:tcPr>
            <w:tcW w:w="2845"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广西工程职业学院</w:t>
            </w:r>
            <w:r>
              <w:rPr>
                <w:rFonts w:hint="eastAsia" w:ascii="仿宋_GB2312" w:hAnsi="仿宋_GB2312" w:eastAsia="仿宋_GB2312" w:cs="仿宋_GB2312"/>
                <w:color w:val="auto"/>
                <w:sz w:val="24"/>
                <w:szCs w:val="24"/>
                <w:highlight w:val="none"/>
                <w:shd w:val="clear" w:color="auto" w:fill="FFFFFF"/>
                <w:lang w:bidi="ar"/>
              </w:rPr>
              <w:t>现代物业管理</w:t>
            </w:r>
            <w:r>
              <w:rPr>
                <w:rFonts w:hint="eastAsia" w:ascii="仿宋_GB2312" w:hAnsi="仿宋_GB2312" w:eastAsia="仿宋_GB2312" w:cs="仿宋_GB2312"/>
                <w:b w:val="0"/>
                <w:bCs w:val="0"/>
                <w:color w:val="auto"/>
                <w:sz w:val="24"/>
                <w:szCs w:val="24"/>
                <w:highlight w:val="none"/>
                <w:lang w:val="en-US" w:eastAsia="zh-CN"/>
              </w:rPr>
              <w:t>专业校外实习基地</w:t>
            </w:r>
          </w:p>
        </w:tc>
        <w:tc>
          <w:tcPr>
            <w:tcW w:w="2127"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广西盛世家园物业服务有限责任</w:t>
            </w:r>
          </w:p>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公司</w:t>
            </w:r>
          </w:p>
        </w:tc>
        <w:tc>
          <w:tcPr>
            <w:tcW w:w="1028"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岗位</w:t>
            </w:r>
          </w:p>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实习</w:t>
            </w:r>
          </w:p>
        </w:tc>
        <w:tc>
          <w:tcPr>
            <w:tcW w:w="1282"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深度合作</w:t>
            </w:r>
          </w:p>
        </w:tc>
        <w:tc>
          <w:tcPr>
            <w:tcW w:w="1311"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7"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2</w:t>
            </w:r>
          </w:p>
        </w:tc>
        <w:tc>
          <w:tcPr>
            <w:tcW w:w="2845"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广西工程职业学院</w:t>
            </w:r>
            <w:r>
              <w:rPr>
                <w:rFonts w:hint="eastAsia" w:ascii="仿宋_GB2312" w:hAnsi="仿宋_GB2312" w:eastAsia="仿宋_GB2312" w:cs="仿宋_GB2312"/>
                <w:color w:val="auto"/>
                <w:sz w:val="24"/>
                <w:szCs w:val="24"/>
                <w:highlight w:val="none"/>
                <w:shd w:val="clear" w:color="auto" w:fill="FFFFFF"/>
                <w:lang w:bidi="ar"/>
              </w:rPr>
              <w:t>现代物业管理</w:t>
            </w:r>
            <w:r>
              <w:rPr>
                <w:rFonts w:hint="eastAsia" w:ascii="仿宋_GB2312" w:hAnsi="仿宋_GB2312" w:eastAsia="仿宋_GB2312" w:cs="仿宋_GB2312"/>
                <w:b w:val="0"/>
                <w:bCs w:val="0"/>
                <w:color w:val="auto"/>
                <w:sz w:val="24"/>
                <w:szCs w:val="24"/>
                <w:highlight w:val="none"/>
                <w:lang w:val="en-US" w:eastAsia="zh-CN"/>
              </w:rPr>
              <w:t>专业校外实习基地</w:t>
            </w:r>
          </w:p>
        </w:tc>
        <w:tc>
          <w:tcPr>
            <w:tcW w:w="2127"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广西安信物业服务有限公司</w:t>
            </w:r>
          </w:p>
        </w:tc>
        <w:tc>
          <w:tcPr>
            <w:tcW w:w="1028"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岗位</w:t>
            </w:r>
          </w:p>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实习</w:t>
            </w:r>
          </w:p>
        </w:tc>
        <w:tc>
          <w:tcPr>
            <w:tcW w:w="1282"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深度合作</w:t>
            </w:r>
          </w:p>
        </w:tc>
        <w:tc>
          <w:tcPr>
            <w:tcW w:w="1311"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7"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3</w:t>
            </w:r>
          </w:p>
        </w:tc>
        <w:tc>
          <w:tcPr>
            <w:tcW w:w="2845"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广西工程职业学院</w:t>
            </w:r>
            <w:r>
              <w:rPr>
                <w:rFonts w:hint="eastAsia" w:ascii="仿宋_GB2312" w:hAnsi="仿宋_GB2312" w:eastAsia="仿宋_GB2312" w:cs="仿宋_GB2312"/>
                <w:color w:val="auto"/>
                <w:sz w:val="24"/>
                <w:szCs w:val="24"/>
                <w:highlight w:val="none"/>
                <w:shd w:val="clear" w:color="auto" w:fill="FFFFFF"/>
                <w:lang w:bidi="ar"/>
              </w:rPr>
              <w:t>现代物业管理</w:t>
            </w:r>
            <w:r>
              <w:rPr>
                <w:rFonts w:hint="eastAsia" w:ascii="仿宋_GB2312" w:hAnsi="仿宋_GB2312" w:eastAsia="仿宋_GB2312" w:cs="仿宋_GB2312"/>
                <w:b w:val="0"/>
                <w:bCs w:val="0"/>
                <w:color w:val="auto"/>
                <w:sz w:val="24"/>
                <w:szCs w:val="24"/>
                <w:highlight w:val="none"/>
                <w:lang w:val="en-US" w:eastAsia="zh-CN"/>
              </w:rPr>
              <w:t>专业校外实习基地</w:t>
            </w:r>
          </w:p>
        </w:tc>
        <w:tc>
          <w:tcPr>
            <w:tcW w:w="2127"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碧桂园生活服务集团股份有限公司柳州分公司</w:t>
            </w:r>
          </w:p>
        </w:tc>
        <w:tc>
          <w:tcPr>
            <w:tcW w:w="1028"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岗位</w:t>
            </w:r>
          </w:p>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实习</w:t>
            </w:r>
          </w:p>
        </w:tc>
        <w:tc>
          <w:tcPr>
            <w:tcW w:w="1282"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深度合作</w:t>
            </w:r>
          </w:p>
        </w:tc>
        <w:tc>
          <w:tcPr>
            <w:tcW w:w="1311"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7"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4</w:t>
            </w:r>
          </w:p>
        </w:tc>
        <w:tc>
          <w:tcPr>
            <w:tcW w:w="2845"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广西工程职业学院</w:t>
            </w:r>
            <w:r>
              <w:rPr>
                <w:rFonts w:hint="eastAsia" w:ascii="仿宋_GB2312" w:hAnsi="仿宋_GB2312" w:eastAsia="仿宋_GB2312" w:cs="仿宋_GB2312"/>
                <w:color w:val="auto"/>
                <w:sz w:val="24"/>
                <w:szCs w:val="24"/>
                <w:highlight w:val="none"/>
                <w:shd w:val="clear" w:color="auto" w:fill="FFFFFF"/>
                <w:lang w:bidi="ar"/>
              </w:rPr>
              <w:t>现代物业管理</w:t>
            </w:r>
            <w:r>
              <w:rPr>
                <w:rFonts w:hint="eastAsia" w:ascii="仿宋_GB2312" w:hAnsi="仿宋_GB2312" w:eastAsia="仿宋_GB2312" w:cs="仿宋_GB2312"/>
                <w:b w:val="0"/>
                <w:bCs w:val="0"/>
                <w:color w:val="auto"/>
                <w:sz w:val="24"/>
                <w:szCs w:val="24"/>
                <w:highlight w:val="none"/>
                <w:lang w:val="en-US" w:eastAsia="zh-CN"/>
              </w:rPr>
              <w:t>专业校外实习基地</w:t>
            </w:r>
          </w:p>
        </w:tc>
        <w:tc>
          <w:tcPr>
            <w:tcW w:w="2127"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rPr>
              <w:t>平果博才物业服务有限公司</w:t>
            </w:r>
          </w:p>
        </w:tc>
        <w:tc>
          <w:tcPr>
            <w:tcW w:w="1028"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岗位</w:t>
            </w:r>
          </w:p>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实习</w:t>
            </w:r>
          </w:p>
        </w:tc>
        <w:tc>
          <w:tcPr>
            <w:tcW w:w="1282"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深度合作</w:t>
            </w:r>
          </w:p>
        </w:tc>
        <w:tc>
          <w:tcPr>
            <w:tcW w:w="1311"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7"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5</w:t>
            </w:r>
          </w:p>
        </w:tc>
        <w:tc>
          <w:tcPr>
            <w:tcW w:w="2845"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广西工程职业学院</w:t>
            </w:r>
            <w:r>
              <w:rPr>
                <w:rFonts w:hint="eastAsia" w:ascii="仿宋_GB2312" w:hAnsi="仿宋_GB2312" w:eastAsia="仿宋_GB2312" w:cs="仿宋_GB2312"/>
                <w:color w:val="auto"/>
                <w:sz w:val="24"/>
                <w:szCs w:val="24"/>
                <w:highlight w:val="none"/>
                <w:shd w:val="clear" w:color="auto" w:fill="FFFFFF"/>
                <w:lang w:bidi="ar"/>
              </w:rPr>
              <w:t>现代物业管理</w:t>
            </w:r>
            <w:r>
              <w:rPr>
                <w:rFonts w:hint="eastAsia" w:ascii="仿宋_GB2312" w:hAnsi="仿宋_GB2312" w:eastAsia="仿宋_GB2312" w:cs="仿宋_GB2312"/>
                <w:b w:val="0"/>
                <w:bCs w:val="0"/>
                <w:color w:val="auto"/>
                <w:sz w:val="24"/>
                <w:szCs w:val="24"/>
                <w:highlight w:val="none"/>
                <w:lang w:val="en-US" w:eastAsia="zh-CN"/>
              </w:rPr>
              <w:t>专业校外实习基地</w:t>
            </w:r>
          </w:p>
        </w:tc>
        <w:tc>
          <w:tcPr>
            <w:tcW w:w="2127"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b w:val="0"/>
                <w:bCs w:val="0"/>
                <w:color w:val="auto"/>
                <w:sz w:val="24"/>
                <w:szCs w:val="24"/>
                <w:highlight w:val="none"/>
                <w:vertAlign w:val="baseline"/>
              </w:rPr>
              <w:t>广西军弘保安服务有限公司</w:t>
            </w:r>
          </w:p>
        </w:tc>
        <w:tc>
          <w:tcPr>
            <w:tcW w:w="1028"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岗位</w:t>
            </w:r>
          </w:p>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实习</w:t>
            </w:r>
          </w:p>
        </w:tc>
        <w:tc>
          <w:tcPr>
            <w:tcW w:w="1282"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深度合作</w:t>
            </w:r>
          </w:p>
        </w:tc>
        <w:tc>
          <w:tcPr>
            <w:tcW w:w="1311" w:type="dxa"/>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jc w:val="center"/>
              <w:textAlignment w:val="auto"/>
              <w:rPr>
                <w:rFonts w:hint="eastAsia" w:ascii="仿宋_GB2312" w:hAnsi="仿宋_GB2312" w:eastAsia="仿宋_GB2312" w:cs="仿宋_GB2312"/>
                <w:b w:val="0"/>
                <w:bCs w:val="0"/>
                <w:color w:val="auto"/>
                <w:sz w:val="24"/>
                <w:szCs w:val="24"/>
                <w:highlight w:val="none"/>
                <w:vertAlign w:val="baseline"/>
                <w:lang w:val="en-US" w:eastAsia="zh-CN"/>
              </w:rPr>
            </w:pPr>
            <w:r>
              <w:rPr>
                <w:rFonts w:hint="eastAsia" w:ascii="仿宋_GB2312" w:hAnsi="仿宋_GB2312" w:eastAsia="仿宋_GB2312" w:cs="仿宋_GB2312"/>
                <w:b w:val="0"/>
                <w:bCs w:val="0"/>
                <w:color w:val="auto"/>
                <w:sz w:val="24"/>
                <w:szCs w:val="24"/>
                <w:highlight w:val="none"/>
                <w:vertAlign w:val="baseline"/>
                <w:lang w:val="en-US" w:eastAsia="zh-CN"/>
              </w:rPr>
              <w:t>30</w:t>
            </w:r>
          </w:p>
        </w:tc>
      </w:tr>
    </w:tbl>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val="en-US" w:eastAsia="zh-CN"/>
        </w:rPr>
        <w:t>二</w:t>
      </w:r>
      <w:r>
        <w:rPr>
          <w:rFonts w:hint="eastAsia" w:ascii="楷体" w:hAnsi="楷体" w:eastAsia="楷体" w:cs="楷体"/>
          <w:color w:val="auto"/>
          <w:sz w:val="32"/>
          <w:szCs w:val="32"/>
          <w:highlight w:val="none"/>
        </w:rPr>
        <w:t>）教学资源</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教学资源主要包括能满足学生专业学习、教师专业教学研究和教学实施所需的教材、图书文献及数字教学资源等。</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1.教材选用基本要求</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选用近五年内出版的高职高专国家级规划教材、自治区级规划教材、高职高专类出版教材。</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图书文献配备基本要求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图书文献配备能满足人才培养、专业建设、教科研等工作的需要，方便师生查询、借阅。专业类文献主要包括：物业管理相关行业政策法规、行业标准、技术规范以及</w:t>
      </w:r>
      <w:r>
        <w:rPr>
          <w:rFonts w:hint="eastAsia" w:ascii="仿宋_GB2312" w:hAnsi="仿宋_GB2312" w:eastAsia="仿宋_GB2312" w:cs="仿宋_GB2312"/>
          <w:color w:val="auto"/>
          <w:spacing w:val="-2"/>
          <w:sz w:val="32"/>
          <w:szCs w:val="32"/>
          <w:highlight w:val="none"/>
        </w:rPr>
        <w:t>物业财务管理、物业信息管理、物业管理综合服务与案例分析</w:t>
      </w:r>
      <w:r>
        <w:rPr>
          <w:rFonts w:hint="eastAsia" w:ascii="仿宋_GB2312" w:hAnsi="仿宋_GB2312" w:eastAsia="仿宋_GB2312" w:cs="仿宋_GB2312"/>
          <w:b w:val="0"/>
          <w:bCs w:val="0"/>
          <w:color w:val="auto"/>
          <w:sz w:val="32"/>
          <w:szCs w:val="32"/>
          <w:highlight w:val="none"/>
          <w:lang w:val="en-US" w:eastAsia="zh-CN"/>
        </w:rPr>
        <w:t>等与服务相关专业类图书和实务案例类图书。专业图书资料（含电子图书）不低于500册，5种以上现代物业管理类专业学术期刊，并能保持每年更新。</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数字教学资源配置基本要求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建设、配备与专业相关的音视频素材、教学课件、数字化教学案例库、虚拟仿真软件、数字教材等专业教学资源库，应种类丰富、形式多样、使用便捷、动态更新，能满足教学要求。</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val="en-US" w:eastAsia="zh-CN"/>
        </w:rPr>
        <w:t>三</w:t>
      </w:r>
      <w:r>
        <w:rPr>
          <w:rFonts w:hint="eastAsia" w:ascii="楷体" w:hAnsi="楷体" w:eastAsia="楷体" w:cs="楷体"/>
          <w:color w:val="auto"/>
          <w:sz w:val="32"/>
          <w:szCs w:val="32"/>
          <w:highlight w:val="none"/>
        </w:rPr>
        <w:t>）教学方法</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楷体" w:hAnsi="楷体" w:eastAsia="楷体" w:cs="楷体"/>
          <w:color w:val="auto"/>
          <w:sz w:val="32"/>
          <w:szCs w:val="32"/>
          <w:highlight w:val="none"/>
        </w:rPr>
      </w:pPr>
      <w:r>
        <w:rPr>
          <w:rFonts w:hint="default" w:ascii="仿宋_GB2312" w:hAnsi="仿宋_GB2312" w:eastAsia="仿宋_GB2312" w:cs="仿宋_GB2312"/>
          <w:b w:val="0"/>
          <w:bCs w:val="0"/>
          <w:color w:val="auto"/>
          <w:sz w:val="32"/>
          <w:szCs w:val="32"/>
          <w:highlight w:val="none"/>
          <w:lang w:val="en-US" w:eastAsia="zh-CN"/>
        </w:rPr>
        <w:t>根据不同课程的性质</w:t>
      </w:r>
      <w:r>
        <w:rPr>
          <w:rFonts w:hint="eastAsia" w:ascii="仿宋_GB2312" w:hAnsi="仿宋_GB2312" w:eastAsia="仿宋_GB2312" w:cs="仿宋_GB2312"/>
          <w:b w:val="0"/>
          <w:bCs w:val="0"/>
          <w:color w:val="auto"/>
          <w:sz w:val="32"/>
          <w:szCs w:val="32"/>
          <w:highlight w:val="none"/>
          <w:lang w:val="en-US" w:eastAsia="zh-CN"/>
        </w:rPr>
        <w:t>特点</w:t>
      </w:r>
      <w:r>
        <w:rPr>
          <w:rFonts w:hint="default" w:ascii="仿宋_GB2312" w:hAnsi="仿宋_GB2312" w:eastAsia="仿宋_GB2312" w:cs="仿宋_GB2312"/>
          <w:b w:val="0"/>
          <w:bCs w:val="0"/>
          <w:color w:val="auto"/>
          <w:sz w:val="32"/>
          <w:szCs w:val="32"/>
          <w:highlight w:val="none"/>
          <w:lang w:val="en-US" w:eastAsia="zh-CN"/>
        </w:rPr>
        <w:t>，在保留传统讲授法、演示法、讨论法、问答法、案例分析法等的基础上</w:t>
      </w:r>
      <w:r>
        <w:rPr>
          <w:rFonts w:hint="eastAsia" w:ascii="仿宋_GB2312" w:hAnsi="仿宋_GB2312" w:eastAsia="仿宋_GB2312" w:cs="仿宋_GB2312"/>
          <w:b w:val="0"/>
          <w:bCs w:val="0"/>
          <w:color w:val="auto"/>
          <w:sz w:val="32"/>
          <w:szCs w:val="32"/>
          <w:highlight w:val="none"/>
          <w:lang w:val="en-US" w:eastAsia="zh-CN"/>
        </w:rPr>
        <w:t>，</w:t>
      </w:r>
      <w:r>
        <w:rPr>
          <w:rFonts w:hint="default" w:ascii="仿宋_GB2312" w:hAnsi="仿宋_GB2312" w:eastAsia="仿宋_GB2312" w:cs="仿宋_GB2312"/>
          <w:b w:val="0"/>
          <w:bCs w:val="0"/>
          <w:color w:val="auto"/>
          <w:sz w:val="32"/>
          <w:szCs w:val="32"/>
          <w:highlight w:val="none"/>
          <w:lang w:val="en-US" w:eastAsia="zh-CN"/>
        </w:rPr>
        <w:t>应充分利用信息化教学资源，尽量将项目驱动法、探究式教学、翻转课堂等新型教学模式及方法引入课堂，遵循“学生为主体，教师为主导”的原则，积极探索多种教学方法。</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val="en-US" w:eastAsia="zh-CN"/>
        </w:rPr>
        <w:t>四</w:t>
      </w:r>
      <w:r>
        <w:rPr>
          <w:rFonts w:hint="eastAsia" w:ascii="楷体" w:hAnsi="楷体" w:eastAsia="楷体" w:cs="楷体"/>
          <w:color w:val="auto"/>
          <w:sz w:val="32"/>
          <w:szCs w:val="32"/>
          <w:highlight w:val="none"/>
        </w:rPr>
        <w:t>）学习评价</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1.课程考核方法</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课程的考核一般分为考试评价、考查评价、鉴定评价、评语评价和答辩评价五种形式。考核评价须根据国家有关规定、课程标准及教学特点确定相应形式，可采取笔试、技能测试、机考、口试、面试等中的一种或多种方式进行。</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课程成绩评定根据学生参与度、作业质量、实训效果与期末考核等项目确定不同比例进行综合评定，评定标准如下：</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）A类课程成绩构成（纯理论）</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课程总成绩=期末卷面考试成绩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+平时成绩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）B类课程成绩构成（理论+实践）</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课程总成绩=理论部分期末卷面考试成</w:t>
      </w:r>
      <w:r>
        <w:rPr>
          <w:rFonts w:hint="eastAsia" w:ascii="仿宋_GB2312" w:hAnsi="仿宋_GB2312" w:eastAsia="仿宋_GB2312" w:cs="仿宋_GB2312"/>
          <w:color w:val="auto"/>
          <w:sz w:val="32"/>
          <w:szCs w:val="32"/>
          <w:highlight w:val="none"/>
          <w:lang w:val="en-US" w:eastAsia="zh-CN"/>
        </w:rPr>
        <w:t>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40%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+技能成绩（30%）+平时成绩（30%）</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）C类课程成绩构成</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纯实践）</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课程总成绩=技能成绩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+平时成绩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2.教学评价方式</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bCs w:val="0"/>
          <w:color w:val="auto"/>
          <w:sz w:val="32"/>
          <w:szCs w:val="32"/>
          <w:highlight w:val="none"/>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w:t>
      </w:r>
      <w:r>
        <w:rPr>
          <w:rFonts w:hint="eastAsia" w:ascii="仿宋_GB2312" w:hAnsi="仿宋_GB2312" w:eastAsia="仿宋_GB2312" w:cs="仿宋_GB2312"/>
          <w:b w:val="0"/>
          <w:bCs w:val="0"/>
          <w:color w:val="auto"/>
          <w:sz w:val="32"/>
          <w:szCs w:val="32"/>
          <w:highlight w:val="none"/>
          <w:lang w:eastAsia="zh-CN"/>
        </w:rPr>
        <w:t>以</w:t>
      </w:r>
      <w:r>
        <w:rPr>
          <w:rFonts w:hint="eastAsia" w:ascii="仿宋_GB2312" w:hAnsi="仿宋_GB2312" w:eastAsia="仿宋_GB2312" w:cs="仿宋_GB2312"/>
          <w:b w:val="0"/>
          <w:bCs w:val="0"/>
          <w:color w:val="auto"/>
          <w:sz w:val="32"/>
          <w:szCs w:val="32"/>
          <w:highlight w:val="none"/>
        </w:rPr>
        <w:t>学科成绩为核心，改变到以岗位能力为核心的轨道上来。本着为行业企业服务的原则，努力缩小或消除学校评价与企业评价之间的差异。</w:t>
      </w:r>
    </w:p>
    <w:p>
      <w:pPr>
        <w:keepNext w:val="0"/>
        <w:keepLines w:val="0"/>
        <w:pageBreakBefore w:val="0"/>
        <w:widowControl w:val="0"/>
        <w:numPr>
          <w:ilvl w:val="0"/>
          <w:numId w:val="6"/>
        </w:numPr>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rPr>
        <w:t>质量</w:t>
      </w:r>
      <w:r>
        <w:rPr>
          <w:rFonts w:hint="eastAsia" w:ascii="黑体" w:hAnsi="黑体" w:eastAsia="黑体" w:cs="黑体"/>
          <w:b w:val="0"/>
          <w:bCs w:val="0"/>
          <w:color w:val="auto"/>
          <w:sz w:val="32"/>
          <w:szCs w:val="32"/>
          <w:highlight w:val="none"/>
          <w:lang w:val="en-US" w:eastAsia="zh-CN"/>
        </w:rPr>
        <w:t>保障</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2.完善教学管理机制，加强日常教学组织运行与管理</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定期开展课程建设水平和教学质量诊断与改进，建立健全巡课、听课、评教、评学等制度，建立与企业联动的实践教学环节督导制度，严明教学纪律，强化教学组织功能，定期开展公开课、示范课等教研活动。</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3.建立毕业生跟踪反馈机制及社会评价机制，并对生源情况、在校生学业水平、毕业生就业情况等进行分析，定期评价人才培养质量和培养目标达成情况。</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黑体" w:hAnsi="黑体" w:eastAsia="黑体" w:cs="黑体"/>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4.</w:t>
      </w:r>
      <w:r>
        <w:rPr>
          <w:rFonts w:hint="eastAsia" w:ascii="仿宋_GB2312" w:hAnsi="仿宋_GB2312" w:eastAsia="仿宋_GB2312" w:cs="仿宋_GB2312"/>
          <w:b w:val="0"/>
          <w:bCs w:val="0"/>
          <w:color w:val="auto"/>
          <w:sz w:val="32"/>
          <w:szCs w:val="32"/>
          <w:highlight w:val="none"/>
        </w:rPr>
        <w:t>充分利用评价分析结果有效改进专业教学，持续提高 人才培养质量。</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黑体" w:hAnsi="黑体" w:eastAsia="黑体" w:cs="黑体"/>
          <w:b w:val="0"/>
          <w:bCs w:val="0"/>
          <w:color w:val="1D41D5"/>
          <w:sz w:val="32"/>
          <w:szCs w:val="32"/>
          <w:highlight w:val="none"/>
          <w:lang w:eastAsia="zh-CN"/>
        </w:rPr>
      </w:pPr>
      <w:r>
        <w:rPr>
          <w:rFonts w:hint="eastAsia" w:ascii="黑体" w:hAnsi="黑体" w:eastAsia="黑体" w:cs="黑体"/>
          <w:b w:val="0"/>
          <w:bCs w:val="0"/>
          <w:color w:val="auto"/>
          <w:sz w:val="32"/>
          <w:szCs w:val="32"/>
          <w:highlight w:val="none"/>
          <w:lang w:val="en-US" w:eastAsia="zh-CN"/>
        </w:rPr>
        <w:t>十二、</w:t>
      </w:r>
      <w:r>
        <w:rPr>
          <w:rFonts w:hint="eastAsia" w:ascii="黑体" w:hAnsi="黑体" w:eastAsia="黑体" w:cs="黑体"/>
          <w:b w:val="0"/>
          <w:bCs w:val="0"/>
          <w:color w:val="auto"/>
          <w:sz w:val="32"/>
          <w:szCs w:val="32"/>
          <w:highlight w:val="none"/>
        </w:rPr>
        <w:t>毕业要求</w:t>
      </w:r>
    </w:p>
    <w:p>
      <w:pPr>
        <w:keepNext w:val="0"/>
        <w:keepLines w:val="0"/>
        <w:pageBreakBefore w:val="0"/>
        <w:widowControl w:val="0"/>
        <w:numPr>
          <w:ilvl w:val="0"/>
          <w:numId w:val="7"/>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楷体" w:hAnsi="楷体" w:eastAsia="楷体" w:cs="楷体"/>
          <w:color w:val="auto"/>
          <w:kern w:val="2"/>
          <w:sz w:val="32"/>
          <w:szCs w:val="32"/>
          <w:highlight w:val="none"/>
          <w:lang w:val="en-US" w:eastAsia="zh-CN" w:bidi="ar-SA"/>
        </w:rPr>
      </w:pPr>
      <w:r>
        <w:rPr>
          <w:rFonts w:hint="eastAsia" w:ascii="楷体" w:hAnsi="楷体" w:eastAsia="楷体" w:cs="楷体"/>
          <w:color w:val="auto"/>
          <w:kern w:val="2"/>
          <w:sz w:val="32"/>
          <w:szCs w:val="32"/>
          <w:highlight w:val="none"/>
          <w:lang w:val="en-US" w:eastAsia="zh-CN" w:bidi="ar-SA"/>
        </w:rPr>
        <w:t>学分要求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专业要求学生根据人才培养方案确定的目标和培养规格，完成规定的实习实训，全部课程考核合格且修满至少149学分。其中，必修课131学分，选修课18学分。公共必修课42学分，公共选修课8学分。专业必修课87学分，专业选修课10学分。</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color w:val="auto"/>
          <w:kern w:val="2"/>
          <w:sz w:val="32"/>
          <w:szCs w:val="32"/>
          <w:highlight w:val="none"/>
          <w:lang w:val="en-US" w:eastAsia="zh-CN" w:bidi="ar-SA"/>
        </w:rPr>
      </w:pPr>
      <w:r>
        <w:rPr>
          <w:rFonts w:hint="eastAsia" w:ascii="楷体" w:hAnsi="楷体" w:eastAsia="楷体" w:cs="楷体"/>
          <w:color w:val="auto"/>
          <w:kern w:val="2"/>
          <w:sz w:val="32"/>
          <w:szCs w:val="32"/>
          <w:highlight w:val="none"/>
          <w:lang w:val="en-US" w:eastAsia="zh-CN" w:bidi="ar-SA"/>
        </w:rPr>
        <w:t>（二）综合素质要求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经鉴定思想品德符合要求，掌握本专业知识和技术技能，积极参加社会实践活动，具备职业综合素质和行动能力。</w:t>
      </w:r>
    </w:p>
    <w:p>
      <w:pPr>
        <w:pageBreakBefore w:val="0"/>
        <w:kinsoku/>
        <w:wordWrap/>
        <w:topLinePunct w:val="0"/>
        <w:autoSpaceDE/>
        <w:autoSpaceDN/>
        <w:bidi w:val="0"/>
        <w:spacing w:after="0" w:line="520" w:lineRule="exact"/>
        <w:ind w:left="0"/>
        <w:textAlignment w:val="auto"/>
        <w:rPr>
          <w:color w:val="auto"/>
          <w:highlight w:val="none"/>
        </w:rPr>
      </w:pPr>
    </w:p>
    <w:p>
      <w:pPr>
        <w:pageBreakBefore w:val="0"/>
        <w:kinsoku/>
        <w:wordWrap/>
        <w:topLinePunct w:val="0"/>
        <w:autoSpaceDE/>
        <w:autoSpaceDN/>
        <w:bidi w:val="0"/>
        <w:spacing w:after="0"/>
        <w:ind w:left="0"/>
      </w:pPr>
    </w:p>
    <w:sectPr>
      <w:footerReference r:id="rId4" w:type="default"/>
      <w:pgSz w:w="11906" w:h="16838"/>
      <w:pgMar w:top="1417" w:right="1417" w:bottom="1417" w:left="141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51DD3BD-D1EF-468F-B0DC-B5D5CEB5CCB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0F451F2C-533E-48E8-BF7F-033F269E6F36}"/>
  </w:font>
  <w:font w:name="华文新魏">
    <w:altName w:val="宋体"/>
    <w:panose1 w:val="02010800040101010101"/>
    <w:charset w:val="86"/>
    <w:family w:val="auto"/>
    <w:pitch w:val="default"/>
    <w:sig w:usb0="00000000" w:usb1="00000000" w:usb2="00000000" w:usb3="00000000" w:csb0="00000000" w:csb1="00000000"/>
    <w:embedRegular r:id="rId3" w:fontKey="{80755068-3EAD-49FD-95C8-854BFC9EC84A}"/>
  </w:font>
  <w:font w:name="方正小标宋简体">
    <w:panose1 w:val="03000509000000000000"/>
    <w:charset w:val="86"/>
    <w:family w:val="script"/>
    <w:pitch w:val="default"/>
    <w:sig w:usb0="00000001" w:usb1="080E0000" w:usb2="00000000" w:usb3="00000000" w:csb0="00040000" w:csb1="00000000"/>
    <w:embedRegular r:id="rId4" w:fontKey="{BDFF0FDE-DB9F-401E-B1E1-FE387E3E7060}"/>
  </w:font>
  <w:font w:name="仿宋_GB2312">
    <w:panose1 w:val="02010609030101010101"/>
    <w:charset w:val="86"/>
    <w:family w:val="modern"/>
    <w:pitch w:val="default"/>
    <w:sig w:usb0="00000001" w:usb1="080E0000" w:usb2="00000000" w:usb3="00000000" w:csb0="00040000" w:csb1="00000000"/>
    <w:embedRegular r:id="rId5" w:fontKey="{E7664E17-3133-455E-9B99-08DEF86F20FA}"/>
  </w:font>
  <w:font w:name="楷体">
    <w:panose1 w:val="02010609060101010101"/>
    <w:charset w:val="86"/>
    <w:family w:val="modern"/>
    <w:pitch w:val="default"/>
    <w:sig w:usb0="800002BF" w:usb1="38CF7CFA" w:usb2="00000016" w:usb3="00000000" w:csb0="00040001" w:csb1="00000000"/>
    <w:embedRegular r:id="rId6" w:fontKey="{EA36056C-B9C8-4B60-94BB-476AED10655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p>
                    <w:pPr>
                      <w:pStyle w:val="6"/>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47E1C1"/>
    <w:multiLevelType w:val="singleLevel"/>
    <w:tmpl w:val="8847E1C1"/>
    <w:lvl w:ilvl="0" w:tentative="0">
      <w:start w:val="1"/>
      <w:numFmt w:val="chineseCounting"/>
      <w:suff w:val="nothing"/>
      <w:lvlText w:val="（%1）"/>
      <w:lvlJc w:val="left"/>
      <w:rPr>
        <w:rFonts w:hint="eastAsia"/>
      </w:rPr>
    </w:lvl>
  </w:abstractNum>
  <w:abstractNum w:abstractNumId="1">
    <w:nsid w:val="966C98F0"/>
    <w:multiLevelType w:val="singleLevel"/>
    <w:tmpl w:val="966C98F0"/>
    <w:lvl w:ilvl="0" w:tentative="0">
      <w:start w:val="1"/>
      <w:numFmt w:val="decimal"/>
      <w:lvlText w:val="%1."/>
      <w:lvlJc w:val="left"/>
      <w:pPr>
        <w:tabs>
          <w:tab w:val="left" w:pos="312"/>
        </w:tabs>
      </w:pPr>
    </w:lvl>
  </w:abstractNum>
  <w:abstractNum w:abstractNumId="2">
    <w:nsid w:val="A58FA17A"/>
    <w:multiLevelType w:val="singleLevel"/>
    <w:tmpl w:val="A58FA17A"/>
    <w:lvl w:ilvl="0" w:tentative="0">
      <w:start w:val="1"/>
      <w:numFmt w:val="decimal"/>
      <w:lvlText w:val="%1."/>
      <w:lvlJc w:val="left"/>
      <w:pPr>
        <w:tabs>
          <w:tab w:val="left" w:pos="312"/>
        </w:tabs>
      </w:pPr>
    </w:lvl>
  </w:abstractNum>
  <w:abstractNum w:abstractNumId="3">
    <w:nsid w:val="B0156924"/>
    <w:multiLevelType w:val="singleLevel"/>
    <w:tmpl w:val="B0156924"/>
    <w:lvl w:ilvl="0" w:tentative="0">
      <w:start w:val="1"/>
      <w:numFmt w:val="decimal"/>
      <w:lvlText w:val="%1."/>
      <w:lvlJc w:val="left"/>
      <w:pPr>
        <w:tabs>
          <w:tab w:val="left" w:pos="312"/>
        </w:tabs>
      </w:pPr>
    </w:lvl>
  </w:abstractNum>
  <w:abstractNum w:abstractNumId="4">
    <w:nsid w:val="EB2D466B"/>
    <w:multiLevelType w:val="singleLevel"/>
    <w:tmpl w:val="EB2D466B"/>
    <w:lvl w:ilvl="0" w:tentative="0">
      <w:start w:val="1"/>
      <w:numFmt w:val="chineseCounting"/>
      <w:suff w:val="nothing"/>
      <w:lvlText w:val="（%1）"/>
      <w:lvlJc w:val="left"/>
      <w:rPr>
        <w:rFonts w:hint="eastAsia"/>
      </w:rPr>
    </w:lvl>
  </w:abstractNum>
  <w:abstractNum w:abstractNumId="5">
    <w:nsid w:val="4005274C"/>
    <w:multiLevelType w:val="singleLevel"/>
    <w:tmpl w:val="4005274C"/>
    <w:lvl w:ilvl="0" w:tentative="0">
      <w:start w:val="1"/>
      <w:numFmt w:val="chineseCounting"/>
      <w:suff w:val="nothing"/>
      <w:lvlText w:val="（%1）"/>
      <w:lvlJc w:val="left"/>
      <w:pPr>
        <w:ind w:left="640" w:firstLine="0"/>
      </w:pPr>
      <w:rPr>
        <w:rFonts w:hint="eastAsia"/>
      </w:rPr>
    </w:lvl>
  </w:abstractNum>
  <w:abstractNum w:abstractNumId="6">
    <w:nsid w:val="57211A40"/>
    <w:multiLevelType w:val="singleLevel"/>
    <w:tmpl w:val="57211A40"/>
    <w:lvl w:ilvl="0" w:tentative="0">
      <w:start w:val="11"/>
      <w:numFmt w:val="chineseCounting"/>
      <w:suff w:val="nothing"/>
      <w:lvlText w:val="%1、"/>
      <w:lvlJc w:val="left"/>
      <w:rPr>
        <w:rFonts w:hint="eastAsia"/>
      </w:rPr>
    </w:lvl>
  </w:abstractNum>
  <w:num w:numId="1">
    <w:abstractNumId w:val="0"/>
  </w:num>
  <w:num w:numId="2">
    <w:abstractNumId w:val="1"/>
  </w:num>
  <w:num w:numId="3">
    <w:abstractNumId w:val="4"/>
  </w:num>
  <w:num w:numId="4">
    <w:abstractNumId w:val="2"/>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ODNhNmM0OTAwZDVjMTAyN2Q2MmIyMTg0YmNmNzQifQ=="/>
  </w:docVars>
  <w:rsids>
    <w:rsidRoot w:val="00FA77F6"/>
    <w:rsid w:val="00090E00"/>
    <w:rsid w:val="000A7541"/>
    <w:rsid w:val="0015300C"/>
    <w:rsid w:val="001673E5"/>
    <w:rsid w:val="001A7FBE"/>
    <w:rsid w:val="00283E45"/>
    <w:rsid w:val="002D15C0"/>
    <w:rsid w:val="003531B3"/>
    <w:rsid w:val="003D3CE4"/>
    <w:rsid w:val="005645D8"/>
    <w:rsid w:val="005A2BBB"/>
    <w:rsid w:val="006A1AE0"/>
    <w:rsid w:val="0071110E"/>
    <w:rsid w:val="00A12741"/>
    <w:rsid w:val="00A165B0"/>
    <w:rsid w:val="00A23811"/>
    <w:rsid w:val="00AB71CC"/>
    <w:rsid w:val="00B14C0C"/>
    <w:rsid w:val="00B46AB6"/>
    <w:rsid w:val="00B91791"/>
    <w:rsid w:val="00C3446C"/>
    <w:rsid w:val="00C4271B"/>
    <w:rsid w:val="00D03D56"/>
    <w:rsid w:val="00E2700A"/>
    <w:rsid w:val="00ED3BD8"/>
    <w:rsid w:val="00F52A8D"/>
    <w:rsid w:val="00F63617"/>
    <w:rsid w:val="00F82685"/>
    <w:rsid w:val="00FA77F6"/>
    <w:rsid w:val="00FB052B"/>
    <w:rsid w:val="01514167"/>
    <w:rsid w:val="01786F4B"/>
    <w:rsid w:val="01AA3877"/>
    <w:rsid w:val="01DD60AD"/>
    <w:rsid w:val="0224362A"/>
    <w:rsid w:val="02661E94"/>
    <w:rsid w:val="027B769C"/>
    <w:rsid w:val="02CD5374"/>
    <w:rsid w:val="03304250"/>
    <w:rsid w:val="03A07894"/>
    <w:rsid w:val="03DD4B8B"/>
    <w:rsid w:val="04806B11"/>
    <w:rsid w:val="048C3708"/>
    <w:rsid w:val="04BC3FEE"/>
    <w:rsid w:val="051223C4"/>
    <w:rsid w:val="059C5BCD"/>
    <w:rsid w:val="062E0F1B"/>
    <w:rsid w:val="06471FDD"/>
    <w:rsid w:val="06B40425"/>
    <w:rsid w:val="06C90C44"/>
    <w:rsid w:val="070954E4"/>
    <w:rsid w:val="07322345"/>
    <w:rsid w:val="07EF6488"/>
    <w:rsid w:val="07FF1232"/>
    <w:rsid w:val="082F2519"/>
    <w:rsid w:val="084C7436"/>
    <w:rsid w:val="08B80523"/>
    <w:rsid w:val="08C10FC7"/>
    <w:rsid w:val="08DA7138"/>
    <w:rsid w:val="08F70DAF"/>
    <w:rsid w:val="09075A53"/>
    <w:rsid w:val="094D790A"/>
    <w:rsid w:val="095347F5"/>
    <w:rsid w:val="09684744"/>
    <w:rsid w:val="09BA3DAF"/>
    <w:rsid w:val="09CB082F"/>
    <w:rsid w:val="09D45935"/>
    <w:rsid w:val="0A1E4E03"/>
    <w:rsid w:val="0A634F0B"/>
    <w:rsid w:val="0AC72ADA"/>
    <w:rsid w:val="0AC91212"/>
    <w:rsid w:val="0AFF69E2"/>
    <w:rsid w:val="0B582739"/>
    <w:rsid w:val="0B64718D"/>
    <w:rsid w:val="0B9E269F"/>
    <w:rsid w:val="0BB93035"/>
    <w:rsid w:val="0C0A3BA0"/>
    <w:rsid w:val="0CE642FD"/>
    <w:rsid w:val="0D3000CB"/>
    <w:rsid w:val="0DE924A0"/>
    <w:rsid w:val="0E2350DD"/>
    <w:rsid w:val="0E5E6115"/>
    <w:rsid w:val="0ED4462A"/>
    <w:rsid w:val="0F386966"/>
    <w:rsid w:val="0FA47B58"/>
    <w:rsid w:val="0FA67D74"/>
    <w:rsid w:val="0FD20B69"/>
    <w:rsid w:val="0FE4089C"/>
    <w:rsid w:val="10093E5F"/>
    <w:rsid w:val="10152804"/>
    <w:rsid w:val="101822F4"/>
    <w:rsid w:val="10234F21"/>
    <w:rsid w:val="10907DB4"/>
    <w:rsid w:val="10914580"/>
    <w:rsid w:val="10A6525C"/>
    <w:rsid w:val="10EE36A0"/>
    <w:rsid w:val="116752E1"/>
    <w:rsid w:val="123E24E6"/>
    <w:rsid w:val="12485112"/>
    <w:rsid w:val="127F665A"/>
    <w:rsid w:val="12DC3AAD"/>
    <w:rsid w:val="12F708E7"/>
    <w:rsid w:val="13203999"/>
    <w:rsid w:val="134E6759"/>
    <w:rsid w:val="135C5E82"/>
    <w:rsid w:val="139B5716"/>
    <w:rsid w:val="13C77F07"/>
    <w:rsid w:val="13F454F6"/>
    <w:rsid w:val="13F91ADD"/>
    <w:rsid w:val="140D7D73"/>
    <w:rsid w:val="14382F65"/>
    <w:rsid w:val="14A800EA"/>
    <w:rsid w:val="15001CD4"/>
    <w:rsid w:val="150317C5"/>
    <w:rsid w:val="15202377"/>
    <w:rsid w:val="15542020"/>
    <w:rsid w:val="15A93BC8"/>
    <w:rsid w:val="15C86CDD"/>
    <w:rsid w:val="165F0C7D"/>
    <w:rsid w:val="1699418F"/>
    <w:rsid w:val="16995FBA"/>
    <w:rsid w:val="16A42B33"/>
    <w:rsid w:val="16DC051F"/>
    <w:rsid w:val="170B4961"/>
    <w:rsid w:val="1740285C"/>
    <w:rsid w:val="1749510D"/>
    <w:rsid w:val="1796247C"/>
    <w:rsid w:val="18CB084B"/>
    <w:rsid w:val="18DF6EA4"/>
    <w:rsid w:val="190B0C48"/>
    <w:rsid w:val="19157F4D"/>
    <w:rsid w:val="19481E9C"/>
    <w:rsid w:val="19AF3CC9"/>
    <w:rsid w:val="1A262FB5"/>
    <w:rsid w:val="1AE45BF4"/>
    <w:rsid w:val="1BAE7956"/>
    <w:rsid w:val="1BCC19A4"/>
    <w:rsid w:val="1BF93A5C"/>
    <w:rsid w:val="1C27223D"/>
    <w:rsid w:val="1C6F14EE"/>
    <w:rsid w:val="1CB25FAA"/>
    <w:rsid w:val="1D0377EB"/>
    <w:rsid w:val="1D24677C"/>
    <w:rsid w:val="1DD51824"/>
    <w:rsid w:val="1E0D2131"/>
    <w:rsid w:val="1E112400"/>
    <w:rsid w:val="1E4B3DFE"/>
    <w:rsid w:val="1E91399D"/>
    <w:rsid w:val="1EA77665"/>
    <w:rsid w:val="1ECC6B87"/>
    <w:rsid w:val="1F334045"/>
    <w:rsid w:val="1F3A7811"/>
    <w:rsid w:val="1F5350F7"/>
    <w:rsid w:val="1FB17C46"/>
    <w:rsid w:val="1FB21E1D"/>
    <w:rsid w:val="1FBC2C9C"/>
    <w:rsid w:val="207417C9"/>
    <w:rsid w:val="20943C19"/>
    <w:rsid w:val="20AA343C"/>
    <w:rsid w:val="20AD7038"/>
    <w:rsid w:val="20BE4D41"/>
    <w:rsid w:val="20E56222"/>
    <w:rsid w:val="210E0F0E"/>
    <w:rsid w:val="217010C5"/>
    <w:rsid w:val="2170143C"/>
    <w:rsid w:val="21D7200F"/>
    <w:rsid w:val="21EB3D26"/>
    <w:rsid w:val="22123047"/>
    <w:rsid w:val="223461B5"/>
    <w:rsid w:val="22967FAA"/>
    <w:rsid w:val="22A00653"/>
    <w:rsid w:val="22E26EBD"/>
    <w:rsid w:val="2338088B"/>
    <w:rsid w:val="236773C3"/>
    <w:rsid w:val="237D0994"/>
    <w:rsid w:val="23954DD6"/>
    <w:rsid w:val="23D42CAA"/>
    <w:rsid w:val="23F535D9"/>
    <w:rsid w:val="245711E5"/>
    <w:rsid w:val="249D12EE"/>
    <w:rsid w:val="24E76143"/>
    <w:rsid w:val="24F353B2"/>
    <w:rsid w:val="25130E08"/>
    <w:rsid w:val="267A11BB"/>
    <w:rsid w:val="26E07FCC"/>
    <w:rsid w:val="26FE3B9A"/>
    <w:rsid w:val="27075144"/>
    <w:rsid w:val="27286E69"/>
    <w:rsid w:val="27441EF5"/>
    <w:rsid w:val="27AE3812"/>
    <w:rsid w:val="27F5401D"/>
    <w:rsid w:val="284063E8"/>
    <w:rsid w:val="28557849"/>
    <w:rsid w:val="285A12A4"/>
    <w:rsid w:val="289A5B44"/>
    <w:rsid w:val="28BD30CD"/>
    <w:rsid w:val="290C6A42"/>
    <w:rsid w:val="296E1A2F"/>
    <w:rsid w:val="297C3DE6"/>
    <w:rsid w:val="29B449E4"/>
    <w:rsid w:val="29C72B81"/>
    <w:rsid w:val="29F55728"/>
    <w:rsid w:val="2ADC1E54"/>
    <w:rsid w:val="2AFF6F62"/>
    <w:rsid w:val="2B0F281A"/>
    <w:rsid w:val="2B8D373E"/>
    <w:rsid w:val="2BF11F1F"/>
    <w:rsid w:val="2C29790B"/>
    <w:rsid w:val="2C802418"/>
    <w:rsid w:val="2CB341C7"/>
    <w:rsid w:val="2CC66F08"/>
    <w:rsid w:val="2CDE24A4"/>
    <w:rsid w:val="2CEB2E12"/>
    <w:rsid w:val="2CF46CAB"/>
    <w:rsid w:val="2D5704A8"/>
    <w:rsid w:val="2D8165B1"/>
    <w:rsid w:val="2D964B2C"/>
    <w:rsid w:val="2DAC4350"/>
    <w:rsid w:val="2DC83619"/>
    <w:rsid w:val="2DE47F8D"/>
    <w:rsid w:val="2E830B85"/>
    <w:rsid w:val="2F083808"/>
    <w:rsid w:val="2F34284F"/>
    <w:rsid w:val="2F436F36"/>
    <w:rsid w:val="2F7A2E0A"/>
    <w:rsid w:val="2F8D1F5F"/>
    <w:rsid w:val="2FA96B3D"/>
    <w:rsid w:val="2FD933F6"/>
    <w:rsid w:val="30A6152A"/>
    <w:rsid w:val="30A77050"/>
    <w:rsid w:val="30C23C4E"/>
    <w:rsid w:val="30DC27D6"/>
    <w:rsid w:val="3115220C"/>
    <w:rsid w:val="31342FDA"/>
    <w:rsid w:val="318A49A8"/>
    <w:rsid w:val="31A83FF1"/>
    <w:rsid w:val="31AA329C"/>
    <w:rsid w:val="31D2634F"/>
    <w:rsid w:val="321D581C"/>
    <w:rsid w:val="32DB4270"/>
    <w:rsid w:val="32F32A21"/>
    <w:rsid w:val="32F92E4C"/>
    <w:rsid w:val="32FA3DAF"/>
    <w:rsid w:val="33260700"/>
    <w:rsid w:val="33266952"/>
    <w:rsid w:val="33AE06F6"/>
    <w:rsid w:val="33B93C14"/>
    <w:rsid w:val="341329FE"/>
    <w:rsid w:val="348B3F97"/>
    <w:rsid w:val="34B65AB4"/>
    <w:rsid w:val="34C46423"/>
    <w:rsid w:val="34EA50C0"/>
    <w:rsid w:val="357449D1"/>
    <w:rsid w:val="359871BA"/>
    <w:rsid w:val="35CE67F4"/>
    <w:rsid w:val="35E93C67"/>
    <w:rsid w:val="35F379D4"/>
    <w:rsid w:val="364315C9"/>
    <w:rsid w:val="36657792"/>
    <w:rsid w:val="370E7E29"/>
    <w:rsid w:val="376B0DD8"/>
    <w:rsid w:val="3770165B"/>
    <w:rsid w:val="37960DB8"/>
    <w:rsid w:val="37AD2573"/>
    <w:rsid w:val="381153F4"/>
    <w:rsid w:val="38481119"/>
    <w:rsid w:val="38877EE4"/>
    <w:rsid w:val="38C22C79"/>
    <w:rsid w:val="390E0EFB"/>
    <w:rsid w:val="39372651"/>
    <w:rsid w:val="39A700C1"/>
    <w:rsid w:val="39E60BE9"/>
    <w:rsid w:val="3A451367"/>
    <w:rsid w:val="3A60099C"/>
    <w:rsid w:val="3A7A7584"/>
    <w:rsid w:val="3AB50B0C"/>
    <w:rsid w:val="3AEA4709"/>
    <w:rsid w:val="3B4007CD"/>
    <w:rsid w:val="3B9B7924"/>
    <w:rsid w:val="3BF47BCA"/>
    <w:rsid w:val="3C17152E"/>
    <w:rsid w:val="3D0047E4"/>
    <w:rsid w:val="3D766728"/>
    <w:rsid w:val="3D9F7A2D"/>
    <w:rsid w:val="3DC7076B"/>
    <w:rsid w:val="3DD27E02"/>
    <w:rsid w:val="3E4D7489"/>
    <w:rsid w:val="3E725142"/>
    <w:rsid w:val="3E9410AF"/>
    <w:rsid w:val="3EB92D70"/>
    <w:rsid w:val="3F6A4DBB"/>
    <w:rsid w:val="3F785DC7"/>
    <w:rsid w:val="3FF86C17"/>
    <w:rsid w:val="3FFC1167"/>
    <w:rsid w:val="40077B0C"/>
    <w:rsid w:val="404B5C4A"/>
    <w:rsid w:val="40664832"/>
    <w:rsid w:val="4084115C"/>
    <w:rsid w:val="4099592E"/>
    <w:rsid w:val="40B53BBC"/>
    <w:rsid w:val="40B557B9"/>
    <w:rsid w:val="40C8470D"/>
    <w:rsid w:val="413D6362"/>
    <w:rsid w:val="41540B2E"/>
    <w:rsid w:val="415648A7"/>
    <w:rsid w:val="4165554A"/>
    <w:rsid w:val="41727207"/>
    <w:rsid w:val="41A42FA1"/>
    <w:rsid w:val="41BB6E00"/>
    <w:rsid w:val="41CF62FB"/>
    <w:rsid w:val="41DE5079"/>
    <w:rsid w:val="422A57D8"/>
    <w:rsid w:val="423A12D1"/>
    <w:rsid w:val="42817701"/>
    <w:rsid w:val="428611BC"/>
    <w:rsid w:val="42B86E9B"/>
    <w:rsid w:val="42D35CD5"/>
    <w:rsid w:val="43105F3B"/>
    <w:rsid w:val="436463B1"/>
    <w:rsid w:val="43713C1A"/>
    <w:rsid w:val="43792ACE"/>
    <w:rsid w:val="43A538C3"/>
    <w:rsid w:val="43C755E8"/>
    <w:rsid w:val="44380293"/>
    <w:rsid w:val="447D65EE"/>
    <w:rsid w:val="44A43B7B"/>
    <w:rsid w:val="44B71B00"/>
    <w:rsid w:val="44B862E9"/>
    <w:rsid w:val="455530C7"/>
    <w:rsid w:val="4602706C"/>
    <w:rsid w:val="46511C24"/>
    <w:rsid w:val="46733805"/>
    <w:rsid w:val="46B856BC"/>
    <w:rsid w:val="46B9427F"/>
    <w:rsid w:val="46EE10DD"/>
    <w:rsid w:val="46F661E4"/>
    <w:rsid w:val="47103740"/>
    <w:rsid w:val="471C3E9C"/>
    <w:rsid w:val="4803505C"/>
    <w:rsid w:val="480A0199"/>
    <w:rsid w:val="482A083B"/>
    <w:rsid w:val="483A0F8A"/>
    <w:rsid w:val="48A57EC2"/>
    <w:rsid w:val="48AE4FC8"/>
    <w:rsid w:val="48BA396D"/>
    <w:rsid w:val="48BD16AF"/>
    <w:rsid w:val="48DF1625"/>
    <w:rsid w:val="48E56510"/>
    <w:rsid w:val="49395702"/>
    <w:rsid w:val="49843F7B"/>
    <w:rsid w:val="49A63EF1"/>
    <w:rsid w:val="4A1420C3"/>
    <w:rsid w:val="4A3C6604"/>
    <w:rsid w:val="4AA20B5D"/>
    <w:rsid w:val="4AD8632C"/>
    <w:rsid w:val="4AF018C8"/>
    <w:rsid w:val="4AF15640"/>
    <w:rsid w:val="4AFA62A3"/>
    <w:rsid w:val="4B726781"/>
    <w:rsid w:val="4B8516DF"/>
    <w:rsid w:val="4BED7F65"/>
    <w:rsid w:val="4C0272E2"/>
    <w:rsid w:val="4C0C0983"/>
    <w:rsid w:val="4C1149B8"/>
    <w:rsid w:val="4C675BBA"/>
    <w:rsid w:val="4D135D42"/>
    <w:rsid w:val="4D1473C4"/>
    <w:rsid w:val="4D5A571F"/>
    <w:rsid w:val="4E291BE9"/>
    <w:rsid w:val="4E514358"/>
    <w:rsid w:val="4E5C7274"/>
    <w:rsid w:val="4F225FB1"/>
    <w:rsid w:val="4F365D17"/>
    <w:rsid w:val="4F585C8E"/>
    <w:rsid w:val="4F6B3C13"/>
    <w:rsid w:val="4F7D56F4"/>
    <w:rsid w:val="4FC7696F"/>
    <w:rsid w:val="4FCE6B88"/>
    <w:rsid w:val="509C4C8B"/>
    <w:rsid w:val="50AC6CAA"/>
    <w:rsid w:val="5135219E"/>
    <w:rsid w:val="51562CC5"/>
    <w:rsid w:val="516947B0"/>
    <w:rsid w:val="518E78C7"/>
    <w:rsid w:val="51C30881"/>
    <w:rsid w:val="51D535C6"/>
    <w:rsid w:val="51F078E9"/>
    <w:rsid w:val="51FE1E87"/>
    <w:rsid w:val="522105B9"/>
    <w:rsid w:val="5259656B"/>
    <w:rsid w:val="53326445"/>
    <w:rsid w:val="535B634F"/>
    <w:rsid w:val="53762B86"/>
    <w:rsid w:val="53807561"/>
    <w:rsid w:val="53C71634"/>
    <w:rsid w:val="53CC0232"/>
    <w:rsid w:val="542919A7"/>
    <w:rsid w:val="559B0B35"/>
    <w:rsid w:val="55D87B28"/>
    <w:rsid w:val="56397652"/>
    <w:rsid w:val="565A22EB"/>
    <w:rsid w:val="565C2507"/>
    <w:rsid w:val="566118CC"/>
    <w:rsid w:val="56A23A63"/>
    <w:rsid w:val="56F95FA8"/>
    <w:rsid w:val="572D5C52"/>
    <w:rsid w:val="57804908"/>
    <w:rsid w:val="5785783C"/>
    <w:rsid w:val="58337298"/>
    <w:rsid w:val="58680DC2"/>
    <w:rsid w:val="588673C8"/>
    <w:rsid w:val="58E02A3F"/>
    <w:rsid w:val="5900361E"/>
    <w:rsid w:val="592B4413"/>
    <w:rsid w:val="592F7A5F"/>
    <w:rsid w:val="59345076"/>
    <w:rsid w:val="59575208"/>
    <w:rsid w:val="595C12A3"/>
    <w:rsid w:val="59814033"/>
    <w:rsid w:val="5996188C"/>
    <w:rsid w:val="59C77C98"/>
    <w:rsid w:val="59DE1485"/>
    <w:rsid w:val="5A7978D1"/>
    <w:rsid w:val="5A9F0C15"/>
    <w:rsid w:val="5AD36B10"/>
    <w:rsid w:val="5AE64A95"/>
    <w:rsid w:val="5B137EF8"/>
    <w:rsid w:val="5B1F1DFE"/>
    <w:rsid w:val="5B322D65"/>
    <w:rsid w:val="5B9C33A6"/>
    <w:rsid w:val="5BBC75A4"/>
    <w:rsid w:val="5BCC4E68"/>
    <w:rsid w:val="5C0E6052"/>
    <w:rsid w:val="5C38700F"/>
    <w:rsid w:val="5C4E644E"/>
    <w:rsid w:val="5C5023BF"/>
    <w:rsid w:val="5C606182"/>
    <w:rsid w:val="5C8C341B"/>
    <w:rsid w:val="5C9B365E"/>
    <w:rsid w:val="5CD1707F"/>
    <w:rsid w:val="5D01298C"/>
    <w:rsid w:val="5D206DB4"/>
    <w:rsid w:val="5D292A17"/>
    <w:rsid w:val="5E043D85"/>
    <w:rsid w:val="5E510503"/>
    <w:rsid w:val="5E6F6B50"/>
    <w:rsid w:val="5E7540E3"/>
    <w:rsid w:val="5E8B1BDC"/>
    <w:rsid w:val="5E93321A"/>
    <w:rsid w:val="5E9B7945"/>
    <w:rsid w:val="5EBD5B0D"/>
    <w:rsid w:val="5F07293D"/>
    <w:rsid w:val="5F1B4F3C"/>
    <w:rsid w:val="5F2B6F1B"/>
    <w:rsid w:val="5F335DCF"/>
    <w:rsid w:val="5F475456"/>
    <w:rsid w:val="5F4C0C3F"/>
    <w:rsid w:val="5FC058B5"/>
    <w:rsid w:val="5FC51EB4"/>
    <w:rsid w:val="5FE1582B"/>
    <w:rsid w:val="5FF23595"/>
    <w:rsid w:val="5FF437B1"/>
    <w:rsid w:val="601C4AB5"/>
    <w:rsid w:val="608D150F"/>
    <w:rsid w:val="611D2893"/>
    <w:rsid w:val="613D1187"/>
    <w:rsid w:val="614442C4"/>
    <w:rsid w:val="61750921"/>
    <w:rsid w:val="617A5F38"/>
    <w:rsid w:val="61926DDD"/>
    <w:rsid w:val="61F07FA8"/>
    <w:rsid w:val="62386256"/>
    <w:rsid w:val="626B7C40"/>
    <w:rsid w:val="62C05BCC"/>
    <w:rsid w:val="62D11B87"/>
    <w:rsid w:val="62E80EC0"/>
    <w:rsid w:val="631D301E"/>
    <w:rsid w:val="631F49AF"/>
    <w:rsid w:val="632717A7"/>
    <w:rsid w:val="6384309D"/>
    <w:rsid w:val="638D0589"/>
    <w:rsid w:val="63CE39A4"/>
    <w:rsid w:val="63D27965"/>
    <w:rsid w:val="63FA0C41"/>
    <w:rsid w:val="64025D70"/>
    <w:rsid w:val="642124B8"/>
    <w:rsid w:val="643017E4"/>
    <w:rsid w:val="644840CB"/>
    <w:rsid w:val="64966BE4"/>
    <w:rsid w:val="65165F77"/>
    <w:rsid w:val="6595594A"/>
    <w:rsid w:val="65FE0EE5"/>
    <w:rsid w:val="66241E22"/>
    <w:rsid w:val="663F14FE"/>
    <w:rsid w:val="66707909"/>
    <w:rsid w:val="66B141AA"/>
    <w:rsid w:val="67470A9D"/>
    <w:rsid w:val="6773145F"/>
    <w:rsid w:val="67B90B06"/>
    <w:rsid w:val="67FA56DC"/>
    <w:rsid w:val="681A3FD0"/>
    <w:rsid w:val="6888718C"/>
    <w:rsid w:val="68B25FB7"/>
    <w:rsid w:val="68F4037D"/>
    <w:rsid w:val="69164798"/>
    <w:rsid w:val="69D77881"/>
    <w:rsid w:val="69D837FB"/>
    <w:rsid w:val="6A097B5E"/>
    <w:rsid w:val="6A164E4E"/>
    <w:rsid w:val="6A246A40"/>
    <w:rsid w:val="6A9C6F1F"/>
    <w:rsid w:val="6ABA1153"/>
    <w:rsid w:val="6AF44665"/>
    <w:rsid w:val="6BDB75D3"/>
    <w:rsid w:val="6BF344D5"/>
    <w:rsid w:val="6BF80185"/>
    <w:rsid w:val="6C2B055A"/>
    <w:rsid w:val="6C3735DE"/>
    <w:rsid w:val="6C423AF6"/>
    <w:rsid w:val="6C8A72E3"/>
    <w:rsid w:val="6C923EBF"/>
    <w:rsid w:val="6D1D49F8"/>
    <w:rsid w:val="6D8F2D6B"/>
    <w:rsid w:val="6DC24899"/>
    <w:rsid w:val="6E0C43BB"/>
    <w:rsid w:val="6E304406"/>
    <w:rsid w:val="6E335D98"/>
    <w:rsid w:val="6E5B0FF3"/>
    <w:rsid w:val="6EF07839"/>
    <w:rsid w:val="6F2F65B3"/>
    <w:rsid w:val="6F5F0B87"/>
    <w:rsid w:val="6FA83C70"/>
    <w:rsid w:val="6FC4358D"/>
    <w:rsid w:val="6FF128C8"/>
    <w:rsid w:val="6FF60E7F"/>
    <w:rsid w:val="70744F5D"/>
    <w:rsid w:val="713C6D66"/>
    <w:rsid w:val="71DD2CB4"/>
    <w:rsid w:val="71EA0570"/>
    <w:rsid w:val="72011973"/>
    <w:rsid w:val="72563E57"/>
    <w:rsid w:val="72DA6836"/>
    <w:rsid w:val="72F21DD2"/>
    <w:rsid w:val="72FF629D"/>
    <w:rsid w:val="730022F6"/>
    <w:rsid w:val="732301DD"/>
    <w:rsid w:val="732950C8"/>
    <w:rsid w:val="735E76C4"/>
    <w:rsid w:val="73C60B68"/>
    <w:rsid w:val="73FD2CDB"/>
    <w:rsid w:val="74024296"/>
    <w:rsid w:val="74185868"/>
    <w:rsid w:val="741B0EB4"/>
    <w:rsid w:val="742510D0"/>
    <w:rsid w:val="74257F85"/>
    <w:rsid w:val="744F0B5E"/>
    <w:rsid w:val="7483242D"/>
    <w:rsid w:val="74866F5F"/>
    <w:rsid w:val="749A44CF"/>
    <w:rsid w:val="74F55BA9"/>
    <w:rsid w:val="74F6722B"/>
    <w:rsid w:val="751A53DD"/>
    <w:rsid w:val="753D30AC"/>
    <w:rsid w:val="75504B8E"/>
    <w:rsid w:val="758D4034"/>
    <w:rsid w:val="75D240D4"/>
    <w:rsid w:val="76191423"/>
    <w:rsid w:val="76326989"/>
    <w:rsid w:val="76562678"/>
    <w:rsid w:val="7718792D"/>
    <w:rsid w:val="77D965A0"/>
    <w:rsid w:val="77FC484A"/>
    <w:rsid w:val="782C5979"/>
    <w:rsid w:val="7847671C"/>
    <w:rsid w:val="789254BD"/>
    <w:rsid w:val="79002D6F"/>
    <w:rsid w:val="790263F9"/>
    <w:rsid w:val="791660EE"/>
    <w:rsid w:val="79354D7A"/>
    <w:rsid w:val="79494343"/>
    <w:rsid w:val="795C4163"/>
    <w:rsid w:val="796E3EA9"/>
    <w:rsid w:val="79751DE3"/>
    <w:rsid w:val="79777D47"/>
    <w:rsid w:val="799314ED"/>
    <w:rsid w:val="79BD47BC"/>
    <w:rsid w:val="7A1E674C"/>
    <w:rsid w:val="7B821819"/>
    <w:rsid w:val="7BAC4AE8"/>
    <w:rsid w:val="7BCC3D72"/>
    <w:rsid w:val="7C9C690A"/>
    <w:rsid w:val="7D1172F8"/>
    <w:rsid w:val="7D664357"/>
    <w:rsid w:val="7D7B6E68"/>
    <w:rsid w:val="7DAC0DCF"/>
    <w:rsid w:val="7E372159"/>
    <w:rsid w:val="7E837D82"/>
    <w:rsid w:val="7EAF501B"/>
    <w:rsid w:val="7EBE068F"/>
    <w:rsid w:val="7EF2238B"/>
    <w:rsid w:val="7F080287"/>
    <w:rsid w:val="7F1255AA"/>
    <w:rsid w:val="7F2B63C8"/>
    <w:rsid w:val="7F491DA9"/>
    <w:rsid w:val="7F7E679B"/>
    <w:rsid w:val="7FB623D9"/>
    <w:rsid w:val="7FE70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widowControl/>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next w:val="1"/>
    <w:semiHidden/>
    <w:unhideWhenUsed/>
    <w:qFormat/>
    <w:uiPriority w:val="0"/>
    <w:pPr>
      <w:widowControl w:val="0"/>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qFormat/>
    <w:uiPriority w:val="9"/>
    <w:pPr>
      <w:keepNext/>
      <w:keepLines/>
      <w:spacing w:before="40"/>
      <w:outlineLvl w:val="2"/>
    </w:pPr>
    <w:rPr>
      <w:rFonts w:ascii="Calibri Light" w:hAnsi="Calibri Light"/>
      <w:color w:val="0D0D0D"/>
      <w:sz w:val="24"/>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Body Text"/>
    <w:basedOn w:val="1"/>
    <w:semiHidden/>
    <w:qFormat/>
    <w:uiPriority w:val="0"/>
    <w:rPr>
      <w:rFonts w:ascii="宋体" w:hAnsi="宋体" w:cs="宋体"/>
      <w:szCs w:val="21"/>
      <w:lang w:eastAsia="en-US"/>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0"/>
    <w:rPr>
      <w:b/>
    </w:rPr>
  </w:style>
  <w:style w:type="paragraph" w:customStyle="1" w:styleId="13">
    <w:name w:val="Table Text"/>
    <w:basedOn w:val="1"/>
    <w:semiHidden/>
    <w:qFormat/>
    <w:uiPriority w:val="0"/>
    <w:rPr>
      <w:rFonts w:ascii="宋体" w:hAnsi="宋体" w:cs="宋体"/>
      <w:sz w:val="18"/>
      <w:szCs w:val="18"/>
      <w:lang w:eastAsia="en-US"/>
    </w:rPr>
  </w:style>
  <w:style w:type="table" w:customStyle="1" w:styleId="1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39</Pages>
  <Words>3367</Words>
  <Characters>3455</Characters>
  <Lines>1850</Lines>
  <Paragraphs>1270</Paragraphs>
  <TotalTime>13</TotalTime>
  <ScaleCrop>false</ScaleCrop>
  <LinksUpToDate>false</LinksUpToDate>
  <CharactersWithSpaces>3488</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ll</cp:lastModifiedBy>
  <cp:lastPrinted>2024-09-18T02:55:00Z</cp:lastPrinted>
  <dcterms:modified xsi:type="dcterms:W3CDTF">2025-09-26T09:26:42Z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E411FA56B1494CCF9900DEEFBB413298_13</vt:lpwstr>
  </property>
  <property fmtid="{D5CDD505-2E9C-101B-9397-08002B2CF9AE}" pid="4" name="KSOTemplateDocerSaveRecord">
    <vt:lpwstr>eyJoZGlkIjoiZTlkMGRkODA2ODczM2MyMjE5MDExMmZhMGNiOWRiOTgiLCJ1c2VySWQiOiIyNTQyMjExNzQifQ==</vt:lpwstr>
  </property>
</Properties>
</file>