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rPr>
          <w:rFonts w:hint="eastAsia" w:ascii="仿宋" w:hAnsi="仿宋" w:eastAsia="仿宋"/>
          <w:szCs w:val="32"/>
        </w:rPr>
      </w:pPr>
      <w:r>
        <w:rPr>
          <w:rFonts w:ascii="宋体" w:hAnsi="宋体" w:cs="宋体"/>
          <w:sz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11"/>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rPr>
          <w:rFonts w:hint="eastAsia" w:ascii="华文新魏" w:hAnsi="仿宋" w:eastAsia="华文新魏"/>
          <w:b/>
          <w:sz w:val="100"/>
          <w:szCs w:val="100"/>
        </w:rPr>
      </w:pPr>
    </w:p>
    <w:p>
      <w:pPr>
        <w:overflowPunct w:val="0"/>
        <w:adjustRightInd w:val="0"/>
        <w:snapToGrid w:val="0"/>
        <w:spacing w:line="900" w:lineRule="exact"/>
        <w:jc w:val="center"/>
        <w:rPr>
          <w:rFonts w:hint="eastAsia" w:ascii="黑体" w:hAnsi="黑体" w:eastAsia="黑体" w:cs="黑体"/>
          <w:bCs/>
          <w:sz w:val="72"/>
          <w:szCs w:val="72"/>
        </w:rPr>
      </w:pPr>
      <w:r>
        <w:rPr>
          <w:rFonts w:hint="eastAsia" w:ascii="黑体" w:hAnsi="黑体" w:eastAsia="黑体" w:cs="黑体"/>
          <w:bCs/>
          <w:sz w:val="72"/>
          <w:szCs w:val="72"/>
        </w:rPr>
        <w:t>202</w:t>
      </w:r>
      <w:r>
        <w:rPr>
          <w:rFonts w:hint="eastAsia" w:ascii="黑体" w:hAnsi="黑体" w:eastAsia="黑体" w:cs="黑体"/>
          <w:bCs/>
          <w:sz w:val="72"/>
          <w:szCs w:val="72"/>
          <w:lang w:val="en-US" w:eastAsia="zh-CN"/>
        </w:rPr>
        <w:t>5</w:t>
      </w:r>
      <w:r>
        <w:rPr>
          <w:rFonts w:hint="eastAsia" w:ascii="黑体" w:hAnsi="黑体" w:eastAsia="黑体" w:cs="黑体"/>
          <w:bCs/>
          <w:sz w:val="72"/>
          <w:szCs w:val="72"/>
        </w:rPr>
        <w:t>级现代家政服务与管理（照护方向）专业人才</w:t>
      </w:r>
    </w:p>
    <w:p>
      <w:pPr>
        <w:overflowPunct w:val="0"/>
        <w:adjustRightInd w:val="0"/>
        <w:snapToGrid w:val="0"/>
        <w:spacing w:line="900" w:lineRule="exact"/>
        <w:jc w:val="center"/>
        <w:rPr>
          <w:rFonts w:hint="eastAsia" w:ascii="黑体" w:hAnsi="黑体" w:eastAsia="黑体" w:cs="黑体"/>
          <w:bCs/>
          <w:sz w:val="72"/>
          <w:szCs w:val="72"/>
        </w:rPr>
      </w:pPr>
      <w:r>
        <w:rPr>
          <w:rFonts w:hint="eastAsia" w:ascii="黑体" w:hAnsi="黑体" w:eastAsia="黑体" w:cs="黑体"/>
          <w:bCs/>
          <w:sz w:val="72"/>
          <w:szCs w:val="72"/>
        </w:rPr>
        <w:t>培养方案</w:t>
      </w:r>
    </w:p>
    <w:p>
      <w:pPr>
        <w:widowControl/>
        <w:overflowPunct w:val="0"/>
        <w:adjustRightInd w:val="0"/>
        <w:snapToGrid w:val="0"/>
        <w:jc w:val="center"/>
        <w:rPr>
          <w:rFonts w:hint="eastAsia" w:ascii="黑体" w:hAnsi="黑体" w:eastAsia="黑体" w:cs="黑体"/>
          <w:b/>
          <w:bCs/>
          <w:kern w:val="0"/>
          <w:sz w:val="52"/>
          <w:szCs w:val="52"/>
        </w:rPr>
      </w:pPr>
    </w:p>
    <w:p>
      <w:pPr>
        <w:widowControl/>
        <w:overflowPunct w:val="0"/>
        <w:adjustRightInd w:val="0"/>
        <w:snapToGrid w:val="0"/>
        <w:jc w:val="center"/>
        <w:rPr>
          <w:rFonts w:hint="eastAsia" w:ascii="黑体" w:hAnsi="黑体" w:eastAsia="黑体" w:cs="黑体"/>
          <w:b/>
          <w:bCs/>
          <w:kern w:val="0"/>
          <w:sz w:val="52"/>
          <w:szCs w:val="52"/>
        </w:rPr>
      </w:pPr>
      <w:r>
        <w:rPr>
          <w:rFonts w:hint="eastAsia" w:ascii="黑体" w:hAnsi="黑体" w:eastAsia="黑体" w:cs="黑体"/>
          <w:b/>
          <w:bCs/>
          <w:kern w:val="0"/>
          <w:sz w:val="52"/>
          <w:szCs w:val="52"/>
        </w:rPr>
        <w:t>经济管理学院</w:t>
      </w:r>
    </w:p>
    <w:p>
      <w:pPr>
        <w:widowControl/>
        <w:overflowPunct w:val="0"/>
        <w:adjustRightInd w:val="0"/>
        <w:snapToGrid w:val="0"/>
        <w:jc w:val="center"/>
        <w:rPr>
          <w:rFonts w:hint="eastAsia" w:ascii="黑体" w:hAnsi="黑体" w:eastAsia="黑体" w:cs="黑体"/>
          <w:b/>
          <w:bCs/>
          <w:kern w:val="0"/>
          <w:sz w:val="52"/>
          <w:szCs w:val="52"/>
        </w:rPr>
      </w:pPr>
    </w:p>
    <w:p>
      <w:pPr>
        <w:widowControl/>
        <w:overflowPunct w:val="0"/>
        <w:adjustRightInd w:val="0"/>
        <w:snapToGrid w:val="0"/>
        <w:rPr>
          <w:rFonts w:hint="eastAsia" w:ascii="黑体" w:hAnsi="黑体" w:eastAsia="黑体" w:cs="黑体"/>
          <w:b/>
          <w:bCs/>
          <w:kern w:val="0"/>
          <w:sz w:val="52"/>
          <w:szCs w:val="52"/>
        </w:rPr>
      </w:pPr>
    </w:p>
    <w:p>
      <w:pPr>
        <w:widowControl/>
        <w:overflowPunct w:val="0"/>
        <w:adjustRightInd w:val="0"/>
        <w:snapToGrid w:val="0"/>
        <w:jc w:val="center"/>
        <w:rPr>
          <w:rFonts w:hint="eastAsia" w:ascii="黑体" w:hAnsi="黑体" w:eastAsia="黑体" w:cs="黑体"/>
          <w:b/>
          <w:bCs/>
          <w:kern w:val="0"/>
          <w:sz w:val="52"/>
          <w:szCs w:val="52"/>
        </w:rPr>
      </w:pPr>
      <w:r>
        <w:rPr>
          <w:rFonts w:hint="eastAsia" w:ascii="黑体" w:hAnsi="黑体" w:eastAsia="黑体" w:cs="黑体"/>
          <w:b/>
          <w:bCs/>
          <w:kern w:val="0"/>
          <w:sz w:val="52"/>
          <w:szCs w:val="52"/>
        </w:rPr>
        <w:t>2025年</w:t>
      </w:r>
      <w:r>
        <w:rPr>
          <w:rFonts w:hint="eastAsia" w:ascii="黑体" w:hAnsi="黑体" w:eastAsia="黑体" w:cs="黑体"/>
          <w:b/>
          <w:bCs/>
          <w:kern w:val="0"/>
          <w:sz w:val="52"/>
          <w:szCs w:val="52"/>
          <w:lang w:val="en-US" w:eastAsia="zh-CN"/>
        </w:rPr>
        <w:t>4</w:t>
      </w:r>
      <w:r>
        <w:rPr>
          <w:rFonts w:hint="eastAsia" w:ascii="黑体" w:hAnsi="黑体" w:eastAsia="黑体" w:cs="黑体"/>
          <w:b/>
          <w:bCs/>
          <w:kern w:val="0"/>
          <w:sz w:val="52"/>
          <w:szCs w:val="52"/>
        </w:rPr>
        <w:t>月</w:t>
      </w:r>
    </w:p>
    <w:p>
      <w:pPr>
        <w:widowControl/>
        <w:overflowPunct w:val="0"/>
        <w:adjustRightInd w:val="0"/>
        <w:snapToGrid w:val="0"/>
        <w:jc w:val="center"/>
        <w:rPr>
          <w:rFonts w:hint="eastAsia" w:ascii="黑体" w:hAnsi="黑体" w:eastAsia="黑体" w:cs="黑体"/>
          <w:b/>
          <w:bCs/>
          <w:kern w:val="0"/>
          <w:sz w:val="52"/>
          <w:szCs w:val="52"/>
        </w:rPr>
      </w:pPr>
    </w:p>
    <w:p>
      <w:pPr>
        <w:widowControl/>
        <w:overflowPunct w:val="0"/>
        <w:adjustRightInd w:val="0"/>
        <w:snapToGrid w:val="0"/>
        <w:jc w:val="center"/>
        <w:rPr>
          <w:rFonts w:hint="eastAsia" w:ascii="黑体" w:hAnsi="黑体" w:eastAsia="黑体" w:cs="黑体"/>
          <w:b/>
          <w:bCs/>
          <w:kern w:val="0"/>
          <w:sz w:val="52"/>
          <w:szCs w:val="52"/>
        </w:rPr>
      </w:pPr>
    </w:p>
    <w:p>
      <w:pPr>
        <w:widowControl/>
        <w:overflowPunct w:val="0"/>
        <w:adjustRightInd w:val="0"/>
        <w:snapToGrid w:val="0"/>
        <w:jc w:val="center"/>
        <w:rPr>
          <w:rFonts w:hint="eastAsia" w:ascii="黑体" w:hAnsi="黑体" w:eastAsia="黑体" w:cs="黑体"/>
          <w:b/>
          <w:bCs/>
          <w:kern w:val="0"/>
          <w:sz w:val="52"/>
          <w:szCs w:val="52"/>
        </w:rPr>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984" w:header="851" w:footer="992" w:gutter="0"/>
          <w:pgNumType w:start="1"/>
          <w:cols w:space="425" w:num="1"/>
          <w:docGrid w:type="lines" w:linePitch="312" w:charSpace="0"/>
        </w:sectPr>
      </w:pP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现代家政服务与管理（照护方向）专业</w:t>
      </w:r>
    </w:p>
    <w:p>
      <w:pPr>
        <w:overflowPunct w:val="0"/>
        <w:adjustRightInd w:val="0"/>
        <w:snapToGrid w:val="0"/>
        <w:spacing w:after="0" w:line="52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880" w:firstLineChars="200"/>
        <w:jc w:val="center"/>
        <w:textAlignment w:val="auto"/>
        <w:rPr>
          <w:rFonts w:hint="eastAsia" w:ascii="方正小标宋简体" w:hAnsi="方正小标宋简体" w:eastAsia="方正小标宋简体" w:cs="方正小标宋简体"/>
          <w:bCs/>
          <w:sz w:val="44"/>
          <w:szCs w:val="44"/>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一、专业名称及代码</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专业名称：现代家政服务与管理（照护方向</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专业代码：</w:t>
      </w:r>
      <w:r>
        <w:rPr>
          <w:rFonts w:ascii="仿宋_GB2312" w:hAnsi="仿宋_GB2312" w:eastAsia="仿宋_GB2312" w:cs="仿宋_GB2312"/>
          <w:sz w:val="32"/>
          <w:szCs w:val="32"/>
          <w:highlight w:val="none"/>
        </w:rPr>
        <w:t>590301</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中等职业学校毕业、普通高级中学毕业或具备同等学力。</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三、基本修业年限</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标准修业年限为3年，弹性学分有效修业年限为2-5年。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四、职业面向</w:t>
      </w:r>
    </w:p>
    <w:p>
      <w:pPr>
        <w:overflowPunct w:val="0"/>
        <w:adjustRightInd w:val="0"/>
        <w:spacing w:after="0" w:line="520" w:lineRule="exact"/>
        <w:jc w:val="center"/>
        <w:rPr>
          <w:rFonts w:hint="eastAsia" w:ascii="仿宋" w:hAnsi="仿宋" w:eastAsia="仿宋"/>
          <w:sz w:val="32"/>
          <w:szCs w:val="32"/>
          <w:highlight w:val="none"/>
        </w:rPr>
      </w:pPr>
      <w:r>
        <w:rPr>
          <w:rFonts w:hint="eastAsia" w:ascii="仿宋_GB2312" w:hAnsi="仿宋_GB2312" w:eastAsia="仿宋_GB2312" w:cs="仿宋_GB2312"/>
          <w:sz w:val="32"/>
          <w:szCs w:val="32"/>
          <w:highlight w:val="none"/>
        </w:rPr>
        <w:t>表1</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23"/>
        <w:gridCol w:w="1284"/>
        <w:gridCol w:w="1852"/>
        <w:gridCol w:w="2060"/>
        <w:gridCol w:w="1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所属专业大类</w:t>
            </w:r>
          </w:p>
          <w:p>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（代码）</w:t>
            </w:r>
          </w:p>
        </w:tc>
        <w:tc>
          <w:tcPr>
            <w:tcW w:w="1523" w:type="dxa"/>
            <w:vAlign w:val="center"/>
          </w:tcPr>
          <w:p>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所属专业类</w:t>
            </w:r>
          </w:p>
          <w:p>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（代码）</w:t>
            </w:r>
          </w:p>
        </w:tc>
        <w:tc>
          <w:tcPr>
            <w:tcW w:w="1284" w:type="dxa"/>
            <w:vAlign w:val="center"/>
          </w:tcPr>
          <w:p>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对应行业（代码）</w:t>
            </w:r>
          </w:p>
        </w:tc>
        <w:tc>
          <w:tcPr>
            <w:tcW w:w="1852" w:type="dxa"/>
            <w:vAlign w:val="center"/>
          </w:tcPr>
          <w:p>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主要职业类别（代码）</w:t>
            </w:r>
          </w:p>
        </w:tc>
        <w:tc>
          <w:tcPr>
            <w:tcW w:w="2060" w:type="dxa"/>
            <w:vAlign w:val="center"/>
          </w:tcPr>
          <w:p>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主要岗位（群）或技术领域</w:t>
            </w:r>
          </w:p>
        </w:tc>
        <w:tc>
          <w:tcPr>
            <w:tcW w:w="1866" w:type="dxa"/>
            <w:vAlign w:val="center"/>
          </w:tcPr>
          <w:p>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pPr>
              <w:overflowPunct w:val="0"/>
              <w:adjustRightInd w:val="0"/>
              <w:spacing w:line="360" w:lineRule="exact"/>
              <w:jc w:val="center"/>
              <w:rPr>
                <w:rFonts w:hint="eastAsia" w:ascii="仿宋_GB2312" w:hAnsi="仿宋_GB2312" w:eastAsia="仿宋_GB2312" w:cs="仿宋_GB2312"/>
                <w:sz w:val="24"/>
              </w:rPr>
            </w:pPr>
            <w:bookmarkStart w:id="0" w:name="OLE_LINK1" w:colFirst="0" w:colLast="5"/>
            <w:r>
              <w:rPr>
                <w:rFonts w:hint="eastAsia" w:ascii="仿宋_GB2312" w:hAnsi="仿宋_GB2312" w:eastAsia="仿宋_GB2312" w:cs="仿宋_GB2312"/>
                <w:sz w:val="24"/>
              </w:rPr>
              <w:t>公共管理与服务大类（59）</w:t>
            </w:r>
          </w:p>
        </w:tc>
        <w:tc>
          <w:tcPr>
            <w:tcW w:w="1523" w:type="dxa"/>
            <w:vAlign w:val="center"/>
          </w:tcPr>
          <w:p>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公共服务类（5903）</w:t>
            </w:r>
          </w:p>
        </w:tc>
        <w:tc>
          <w:tcPr>
            <w:tcW w:w="1284" w:type="dxa"/>
            <w:vAlign w:val="center"/>
          </w:tcPr>
          <w:p>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居民服务业（80）</w:t>
            </w:r>
          </w:p>
        </w:tc>
        <w:tc>
          <w:tcPr>
            <w:tcW w:w="1852" w:type="dxa"/>
            <w:vAlign w:val="center"/>
          </w:tcPr>
          <w:p>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家政服务员（4-10-01-06）</w:t>
            </w:r>
          </w:p>
        </w:tc>
        <w:tc>
          <w:tcPr>
            <w:tcW w:w="2060" w:type="dxa"/>
            <w:vAlign w:val="center"/>
          </w:tcPr>
          <w:p>
            <w:pPr>
              <w:overflowPunct w:val="0"/>
              <w:adjustRightInd w:val="0"/>
              <w:spacing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家庭整理与收纳、家宴策划与组织、家庭成员照护、家 政人员培训、家政服务机构管理</w:t>
            </w:r>
          </w:p>
        </w:tc>
        <w:tc>
          <w:tcPr>
            <w:tcW w:w="1866" w:type="dxa"/>
            <w:vAlign w:val="center"/>
          </w:tcPr>
          <w:p>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幼儿照护、母婴护理、产后恢复、家政服务员</w:t>
            </w:r>
          </w:p>
        </w:tc>
      </w:tr>
      <w:bookmarkEnd w:id="0"/>
    </w:tbl>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五、培养目标</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黑体" w:hAnsi="黑体" w:eastAsia="黑体" w:cs="黑体"/>
          <w:sz w:val="32"/>
          <w:szCs w:val="32"/>
        </w:rPr>
      </w:pPr>
      <w:r>
        <w:rPr>
          <w:rFonts w:hint="eastAsia" w:ascii="仿宋_GB2312" w:hAnsi="仿宋_GB2312" w:eastAsia="仿宋_GB2312" w:cs="仿宋_GB2312"/>
          <w:sz w:val="32"/>
          <w:szCs w:val="32"/>
        </w:rPr>
        <w:t>本专业培养能够践行社会主义核心价值观，传承技能文明，德智体美劳全面发展，立足广西、服务区域经济社会发展，依托广西工程职业学院“服务区域经济发展、培育优秀工程人才”的办学特色，培养具有扎实专业技能和职业素养的高素质技术技能人才。学生将掌握一定的科学文化水平，良好的人文素养、科学素养、数字素养、职业道德、创新意识，发扬学校“熔炼工匠精神、铸就一流技艺”为核心的文化价值与精神特征，培育爱岗敬业的职业精神和精益求精的工匠精神。强化就业创业能力和可持续发展的能力，掌握本专业知识和技术技能，具备职业综合素质和行动能力。毕业生将面向居民服务业，能够胜任整理收纳师、家务服务员、婴幼儿发展引导员、养老护理员、保育师、职业培训师等工作，通过学校“熔炼大国工匠精神”作为办学之魂，为广西及周边地区现代服务业发展提供高素质技术技能人才支撑。</w:t>
      </w:r>
      <w:r>
        <w:rPr>
          <w:rFonts w:hint="eastAsia" w:ascii="黑体" w:hAnsi="黑体" w:eastAsia="黑体" w:cs="黑体"/>
          <w:sz w:val="32"/>
          <w:szCs w:val="32"/>
        </w:rPr>
        <w:t>六、培养规格</w:t>
      </w:r>
    </w:p>
    <w:p>
      <w:pPr>
        <w:pStyle w:val="3"/>
        <w:keepNext w:val="0"/>
        <w:keepLines w:val="0"/>
        <w:pageBreakBefore w:val="0"/>
        <w:widowControl w:val="0"/>
        <w:kinsoku/>
        <w:wordWrap/>
        <w:topLinePunct w:val="0"/>
        <w:autoSpaceDE/>
        <w:autoSpaceDN/>
        <w:bidi w:val="0"/>
        <w:spacing w:after="0" w:line="520" w:lineRule="exac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本专业学生应在系统学习本专业知识并完成有关实习实训基础上，全面提升知识、能力、素质，掌握并实际运用岗位（群）需要的专业核心技术技能，实现德智体美劳全面发展，总体上须达到以下要求：</w:t>
      </w:r>
    </w:p>
    <w:p>
      <w:pPr>
        <w:pStyle w:val="15"/>
        <w:keepNext w:val="0"/>
        <w:keepLines w:val="0"/>
        <w:pageBreakBefore w:val="0"/>
        <w:widowControl w:val="0"/>
        <w:numPr>
          <w:ilvl w:val="0"/>
          <w:numId w:val="1"/>
        </w:numPr>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知识目标</w:t>
      </w:r>
    </w:p>
    <w:p>
      <w:pPr>
        <w:pStyle w:val="3"/>
        <w:keepNext w:val="0"/>
        <w:keepLines w:val="0"/>
        <w:pageBreakBefore w:val="0"/>
        <w:widowControl w:val="0"/>
        <w:kinsoku/>
        <w:wordWrap/>
        <w:topLinePunct w:val="0"/>
        <w:autoSpaceDE/>
        <w:autoSpaceDN/>
        <w:bidi w:val="0"/>
        <w:spacing w:after="0" w:line="520" w:lineRule="exac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（1）熟知与本专业对应职业活动相关的国家法律、行业规定，了解相关行业文化，秉持爱岗敬业的职业精神，恪守职业道德准则与行为规范，具备强烈的社会责任感和担当精神。</w:t>
      </w:r>
    </w:p>
    <w:p>
      <w:pPr>
        <w:pStyle w:val="3"/>
        <w:keepNext w:val="0"/>
        <w:keepLines w:val="0"/>
        <w:pageBreakBefore w:val="0"/>
        <w:widowControl w:val="0"/>
        <w:kinsoku/>
        <w:wordWrap/>
        <w:topLinePunct w:val="0"/>
        <w:autoSpaceDE/>
        <w:autoSpaceDN/>
        <w:bidi w:val="0"/>
        <w:spacing w:after="0" w:line="520" w:lineRule="exac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（2）扎实掌握支撑本专业学习及可持续发展所必备的语文、数学、外语（如英语等）、信息技术等文化基础知识，拥有良好的人文素养与科学素养，具备科学规划职业生涯的能力。 </w:t>
      </w:r>
    </w:p>
    <w:p>
      <w:pPr>
        <w:pStyle w:val="3"/>
        <w:keepNext w:val="0"/>
        <w:keepLines w:val="0"/>
        <w:pageBreakBefore w:val="0"/>
        <w:widowControl w:val="0"/>
        <w:kinsoku/>
        <w:wordWrap/>
        <w:topLinePunct w:val="0"/>
        <w:autoSpaceDE/>
        <w:autoSpaceDN/>
        <w:bidi w:val="0"/>
        <w:spacing w:after="0" w:line="520" w:lineRule="exac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（3）具备出色的语言表达、文字表达及沟通合作能力，拥有较强的集体意识和团队合作意识，学习一门外语并能将其与本专业相结合加以运用。</w:t>
      </w:r>
    </w:p>
    <w:p>
      <w:pPr>
        <w:pStyle w:val="3"/>
        <w:keepNext w:val="0"/>
        <w:keepLines w:val="0"/>
        <w:pageBreakBefore w:val="0"/>
        <w:widowControl w:val="0"/>
        <w:kinsoku/>
        <w:wordWrap/>
        <w:topLinePunct w:val="0"/>
        <w:autoSpaceDE/>
        <w:autoSpaceDN/>
        <w:bidi w:val="0"/>
        <w:spacing w:after="0" w:line="520" w:lineRule="exac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系统掌握现代家政学导论、人体结构与生理、家庭营养与膳食配餐、母婴、幼儿、老年人等家庭成员照护、婴幼儿早期发展指导、家政人员培训、家政新媒体营销、家政电子商务等方面的专业基础理论知识。</w:t>
      </w:r>
    </w:p>
    <w:p>
      <w:pPr>
        <w:pStyle w:val="15"/>
        <w:keepNext w:val="0"/>
        <w:keepLines w:val="0"/>
        <w:pageBreakBefore w:val="0"/>
        <w:widowControl w:val="0"/>
        <w:numPr>
          <w:ilvl w:val="0"/>
          <w:numId w:val="1"/>
        </w:numPr>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能力目标</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熟练掌握家庭收纳与整理、家庭插花与茶艺、孕产妇生活照护与营养配餐、婴幼儿生活照护与早期发展指导、老年人生活照护与安全看护、家政人员培训等技术技能，具备娴熟服务家庭及家庭成员的实践能力。</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（2）掌握信息技术基础知识，具备适应本行业数字化和智能化发展需求的数字技能。</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楷体" w:hAnsi="楷体" w:eastAsia="楷体" w:cs="楷体"/>
          <w:sz w:val="32"/>
          <w:szCs w:val="32"/>
        </w:rPr>
      </w:pPr>
      <w:r>
        <w:rPr>
          <w:rFonts w:hint="eastAsia" w:ascii="仿宋_GB2312" w:hAnsi="仿宋_GB2312" w:eastAsia="仿宋_GB2312" w:cs="仿宋_GB2312"/>
          <w:sz w:val="32"/>
          <w:szCs w:val="32"/>
        </w:rPr>
        <w:t>（3）具备探究学习、终身学习及可持续发展的能力，拥有整合知识并综合运用知识分析和解决问题的能力。</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（二）能力目标</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熟练掌握家庭收纳与整理、家庭插花与茶艺、孕产妇生活照护与营养配餐、婴幼儿生活照护与早期发展指导、老年人生活照护与安全看护、家政人员培训等技术技能，具备娴熟服务家庭及家庭成员的实践能力。</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（2）掌握信息技术基础知识，具备适应本行业数字化和智能化发展需求的数字技能。</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（3）具备探究学习、终身学习及可持续发展的能力，拥有整合知识并综合运用知识分析和解决问题的能力。</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（三）素质目标</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（1）坚定拥护中国共产党领导和中国特色社会主义制度，以习近平新时代中国特色社会主义思想为指引，积极践行社会主义核心价值观。具有坚定的理想信念、深厚的爱国情感和强烈的中华民族自豪感。</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（2）熟知身体运动的基本知识，至少掌握一项体育运动技能，达到国家大学生体质健康测试合格标准。养成良好的运动、卫生和行为习惯，具备一定的心理调适能力。</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（3）掌握必备的美育知识，具备一定的文化修养和审美能力，至少形成一项艺术特长或爱好。</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（4）树立正确的劳动观，尊重劳动、热爱劳动，具备与本专业职业发展相适配的劳动素养。大力弘扬劳模精神、劳动精神、工匠精神，彰显劳动光荣、技能宝贵、创造伟大的时代风尚。</w:t>
      </w:r>
    </w:p>
    <w:p>
      <w:pPr>
        <w:keepNext w:val="0"/>
        <w:keepLines w:val="0"/>
        <w:pageBreakBefore w:val="0"/>
        <w:widowControl w:val="0"/>
        <w:kinsoku/>
        <w:wordWrap/>
        <w:topLinePunct w:val="0"/>
        <w:autoSpaceDE/>
        <w:autoSpaceDN/>
        <w:bidi w:val="0"/>
        <w:adjustRightInd w:val="0"/>
        <w:snapToGrid w:val="0"/>
        <w:spacing w:after="0" w:line="520" w:lineRule="exact"/>
        <w:ind w:left="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七、课程设置</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主要包括公共基础课程和专业课程。</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楷体" w:hAnsi="楷体" w:eastAsia="楷体" w:cs="楷体"/>
          <w:color w:val="000000"/>
          <w:sz w:val="32"/>
          <w:szCs w:val="32"/>
        </w:rPr>
      </w:pPr>
      <w:r>
        <w:rPr>
          <w:rFonts w:hint="eastAsia" w:ascii="楷体" w:hAnsi="楷体" w:eastAsia="楷体" w:cs="楷体"/>
          <w:color w:val="000000"/>
          <w:sz w:val="32"/>
          <w:szCs w:val="32"/>
        </w:rPr>
        <w:t>（一）公共基础课程</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仿宋_GB2312" w:hAnsi="仿宋_GB2312" w:eastAsia="仿宋_GB2312" w:cs="仿宋_GB2312"/>
          <w:color w:val="000000"/>
          <w:sz w:val="32"/>
          <w:szCs w:val="32"/>
        </w:rPr>
      </w:pPr>
      <w:bookmarkStart w:id="1" w:name="_Toc90734974"/>
      <w:r>
        <w:rPr>
          <w:rFonts w:hint="eastAsia" w:ascii="仿宋_GB2312" w:hAnsi="仿宋_GB2312" w:eastAsia="仿宋_GB2312" w:cs="仿宋_GB2312"/>
          <w:color w:val="000000"/>
          <w:sz w:val="32"/>
          <w:szCs w:val="32"/>
        </w:rPr>
        <w:t>分为公共必修课和公共选修课。</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000000"/>
          <w:sz w:val="32"/>
          <w:szCs w:val="32"/>
        </w:rPr>
        <w:t>必修课程包括</w:t>
      </w:r>
      <w:bookmarkEnd w:id="1"/>
      <w:r>
        <w:rPr>
          <w:rFonts w:hint="eastAsia" w:ascii="仿宋_GB2312" w:hAnsi="仿宋_GB2312" w:eastAsia="仿宋_GB2312" w:cs="仿宋_GB2312"/>
          <w:color w:val="000000"/>
          <w:sz w:val="32"/>
          <w:szCs w:val="32"/>
        </w:rPr>
        <w:t>：思想道德与法治、形势与政策、国家安全教</w:t>
      </w:r>
      <w:r>
        <w:rPr>
          <w:rFonts w:hint="eastAsia" w:ascii="仿宋_GB2312" w:hAnsi="仿宋_GB2312" w:eastAsia="仿宋_GB2312" w:cs="仿宋_GB2312"/>
          <w:color w:val="auto"/>
          <w:sz w:val="32"/>
          <w:szCs w:val="32"/>
        </w:rPr>
        <w:t>育、军事理论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军训、计算机基础、大学英语、大学体育、大学生职业发展与就业指导、大学生心理健康教育、劳动教育、毛泽东思想和中国特色社会主义理论体系概论、创新创业教育、习近平新时代中国特色社会主义思想概论。</w:t>
      </w:r>
    </w:p>
    <w:p>
      <w:pPr>
        <w:keepNext w:val="0"/>
        <w:keepLines w:val="0"/>
        <w:pageBreakBefore w:val="0"/>
        <w:widowControl w:val="0"/>
        <w:kinsoku/>
        <w:wordWrap/>
        <w:overflowPunct w:val="0"/>
        <w:topLinePunct w:val="0"/>
        <w:autoSpaceDE/>
        <w:autoSpaceDN/>
        <w:bidi w:val="0"/>
        <w:adjustRightInd w:val="0"/>
        <w:spacing w:after="0" w:line="520" w:lineRule="exact"/>
        <w:ind w:lef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选修课程包括：中国民俗剪纸技法、影视与鉴赏、中国共产党简史、中华人民共和国简史、改革开放简史、</w:t>
      </w:r>
      <w:r>
        <w:rPr>
          <w:rFonts w:hint="eastAsia" w:ascii="仿宋_GB2312" w:hAnsi="仿宋_GB2312" w:eastAsia="仿宋_GB2312" w:cs="仿宋_GB2312"/>
          <w:color w:val="auto"/>
          <w:sz w:val="32"/>
          <w:szCs w:val="32"/>
          <w:highlight w:val="none"/>
        </w:rPr>
        <w:t>社会主义发展简史</w:t>
      </w:r>
      <w:r>
        <w:rPr>
          <w:rFonts w:hint="eastAsia" w:ascii="仿宋_GB2312" w:hAnsi="仿宋_GB2312" w:eastAsia="仿宋_GB2312" w:cs="仿宋_GB2312"/>
          <w:color w:val="auto"/>
          <w:sz w:val="32"/>
          <w:szCs w:val="32"/>
        </w:rPr>
        <w:t>、中华优秀传统文化、中华民族共同体概论、语文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职业人文基础、</w:t>
      </w:r>
      <w:r>
        <w:rPr>
          <w:rFonts w:hint="eastAsia" w:ascii="仿宋_GB2312" w:hAnsi="仿宋_GB2312" w:eastAsia="仿宋_GB2312" w:cs="仿宋_GB2312"/>
          <w:color w:val="auto"/>
          <w:sz w:val="32"/>
          <w:szCs w:val="32"/>
        </w:rPr>
        <w:t>高等数学。</w:t>
      </w:r>
    </w:p>
    <w:p>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表2</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公共基础课课程目标、主要教学内容与要求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410"/>
        <w:gridCol w:w="2700"/>
        <w:gridCol w:w="2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line="360" w:lineRule="exact"/>
              <w:jc w:val="center"/>
              <w:rPr>
                <w:rFonts w:hint="eastAsia" w:ascii="仿宋_GB2312" w:hAnsi="仿宋_GB2312" w:eastAsia="仿宋_GB2312" w:cs="仿宋_GB2312"/>
                <w:color w:val="auto"/>
                <w:sz w:val="24"/>
              </w:rPr>
            </w:pPr>
            <w:bookmarkStart w:id="2" w:name="_Toc90734979"/>
            <w:bookmarkStart w:id="3" w:name="_Toc2022"/>
            <w:r>
              <w:rPr>
                <w:rFonts w:hint="eastAsia" w:ascii="仿宋_GB2312" w:hAnsi="仿宋_GB2312" w:eastAsia="仿宋_GB2312" w:cs="仿宋_GB2312"/>
                <w:color w:val="auto"/>
                <w:sz w:val="24"/>
              </w:rPr>
              <w:t>序号</w:t>
            </w:r>
            <w:bookmarkEnd w:id="2"/>
            <w:bookmarkEnd w:id="3"/>
          </w:p>
        </w:tc>
        <w:tc>
          <w:tcPr>
            <w:tcW w:w="752" w:type="dxa"/>
            <w:vAlign w:val="center"/>
          </w:tcPr>
          <w:p>
            <w:pPr>
              <w:spacing w:line="360" w:lineRule="exact"/>
              <w:jc w:val="center"/>
              <w:rPr>
                <w:rFonts w:hint="eastAsia" w:ascii="仿宋_GB2312" w:hAnsi="仿宋_GB2312" w:eastAsia="仿宋_GB2312" w:cs="仿宋_GB2312"/>
                <w:color w:val="auto"/>
                <w:sz w:val="24"/>
              </w:rPr>
            </w:pPr>
            <w:bookmarkStart w:id="4" w:name="_Toc90734980"/>
            <w:bookmarkStart w:id="5" w:name="_Toc2635"/>
            <w:r>
              <w:rPr>
                <w:rFonts w:hint="eastAsia" w:ascii="仿宋_GB2312" w:hAnsi="仿宋_GB2312" w:eastAsia="仿宋_GB2312" w:cs="仿宋_GB2312"/>
                <w:color w:val="auto"/>
                <w:sz w:val="24"/>
              </w:rPr>
              <w:t>课程名称</w:t>
            </w:r>
            <w:bookmarkEnd w:id="4"/>
            <w:bookmarkEnd w:id="5"/>
          </w:p>
        </w:tc>
        <w:tc>
          <w:tcPr>
            <w:tcW w:w="4410" w:type="dxa"/>
            <w:vAlign w:val="center"/>
          </w:tcPr>
          <w:p>
            <w:pPr>
              <w:spacing w:line="360" w:lineRule="exact"/>
              <w:jc w:val="center"/>
              <w:rPr>
                <w:rFonts w:hint="eastAsia" w:ascii="仿宋_GB2312" w:hAnsi="仿宋_GB2312" w:eastAsia="仿宋_GB2312" w:cs="仿宋_GB2312"/>
                <w:color w:val="auto"/>
                <w:sz w:val="24"/>
              </w:rPr>
            </w:pPr>
            <w:bookmarkStart w:id="6" w:name="_Toc24608"/>
            <w:bookmarkStart w:id="7" w:name="_Toc90734981"/>
            <w:r>
              <w:rPr>
                <w:rFonts w:hint="eastAsia" w:ascii="仿宋_GB2312" w:hAnsi="仿宋_GB2312" w:eastAsia="仿宋_GB2312" w:cs="仿宋_GB2312"/>
                <w:color w:val="auto"/>
                <w:sz w:val="24"/>
              </w:rPr>
              <w:t>课程目标</w:t>
            </w:r>
            <w:bookmarkEnd w:id="6"/>
            <w:bookmarkEnd w:id="7"/>
          </w:p>
        </w:tc>
        <w:tc>
          <w:tcPr>
            <w:tcW w:w="2700" w:type="dxa"/>
            <w:vAlign w:val="center"/>
          </w:tcPr>
          <w:p>
            <w:pPr>
              <w:spacing w:line="360" w:lineRule="exact"/>
              <w:jc w:val="center"/>
              <w:rPr>
                <w:rFonts w:hint="eastAsia" w:ascii="仿宋_GB2312" w:hAnsi="仿宋_GB2312" w:eastAsia="仿宋_GB2312" w:cs="仿宋_GB2312"/>
                <w:color w:val="auto"/>
                <w:sz w:val="24"/>
              </w:rPr>
            </w:pPr>
            <w:bookmarkStart w:id="8" w:name="_Toc23051"/>
            <w:bookmarkStart w:id="9" w:name="_Toc90734982"/>
            <w:r>
              <w:rPr>
                <w:rFonts w:hint="eastAsia" w:ascii="仿宋_GB2312" w:hAnsi="仿宋_GB2312" w:eastAsia="仿宋_GB2312" w:cs="仿宋_GB2312"/>
                <w:color w:val="auto"/>
                <w:sz w:val="24"/>
              </w:rPr>
              <w:t>主要教学内容</w:t>
            </w:r>
            <w:bookmarkEnd w:id="8"/>
            <w:bookmarkEnd w:id="9"/>
          </w:p>
        </w:tc>
        <w:tc>
          <w:tcPr>
            <w:tcW w:w="2404"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507" w:type="dxa"/>
            <w:vAlign w:val="center"/>
          </w:tcPr>
          <w:p>
            <w:pPr>
              <w:spacing w:after="0"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52" w:type="dxa"/>
            <w:vAlign w:val="center"/>
          </w:tcPr>
          <w:p>
            <w:pPr>
              <w:spacing w:after="0" w:line="30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思想道德与法治</w:t>
            </w:r>
          </w:p>
        </w:tc>
        <w:tc>
          <w:tcPr>
            <w:tcW w:w="4410" w:type="dxa"/>
            <w:vAlign w:val="top"/>
          </w:tcPr>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系统掌握本课程的基本原理和理论，了解新时代、人生观、远大理想、中国精神、社会主义核心价值观、道德规范、法治等相关内容，构建起个人与国家、社会，个人与职业、婚姻家庭之间命运共同体内在关联的 科学认知体系。</w:t>
            </w:r>
          </w:p>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：能够运用基本原理和理论分析判断是非、明辨善恶；认真审视和正视自身言行举止，弃“恶”扬善，从“我”做起、从日常小事做起、从现在做起，逐渐养成自觉践行社会主义核心价值观的习惯。</w:t>
            </w:r>
          </w:p>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700" w:type="dxa"/>
            <w:vAlign w:val="top"/>
          </w:tcPr>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课程包括三大知识模块：一是思想政治教育，包括绪论、第一至四章，旨在引导帮助大学生树立正确的人生观，确立科学的理想信念，弘扬以爱国主义为核心的民族精神和以改革创新为核心的时代精神，积极培育和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404" w:type="dxa"/>
            <w:vAlign w:val="top"/>
          </w:tcPr>
          <w:p>
            <w:pPr>
              <w:spacing w:after="0" w:line="300" w:lineRule="exact"/>
              <w:jc w:val="both"/>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通过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after="0"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752" w:type="dxa"/>
            <w:vAlign w:val="center"/>
          </w:tcPr>
          <w:p>
            <w:pPr>
              <w:spacing w:after="0"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形势与政策</w:t>
            </w:r>
          </w:p>
        </w:tc>
        <w:tc>
          <w:tcPr>
            <w:tcW w:w="4410" w:type="dxa"/>
            <w:vAlign w:val="top"/>
          </w:tcPr>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引导和帮助学生掌握认识形势与政策问题的基本理论和基础知识，包括科学分析形势与政策的方法论、形势发展变化的规律、政策的产生和发展、政策的本质和特征等基础知识；了解国内外重大事件和热点、难点问题，紧跟时代脉搏，融入变革潮流；重点是了解党的二十大以来形成的一系列政策体系，理解党的路线、方针、政策的正确性。</w:t>
            </w:r>
          </w:p>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培养学生掌握正确分析形势和理解政策的能力，特别是对国内外重大事件、敏感问题、社会热点、难点、疑点问题的思考、分析和判断能力。</w:t>
            </w:r>
          </w:p>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使学生感知国情民意，体会党的路线方针政策的正确，把对形势与政策的认识统一到党和国家的科学判断上和正确决策上，不断增强“四个意识”、坚定“四个自信”、做到“两个维护”，为实现中华民族伟大复兴而发奋学习。</w:t>
            </w:r>
          </w:p>
        </w:tc>
        <w:tc>
          <w:tcPr>
            <w:tcW w:w="2700" w:type="dxa"/>
            <w:vAlign w:val="top"/>
          </w:tcPr>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根据新时代面临的新情况新问题，针对学生关注的热点问题和思想特点，涵盖国际形势、国内形势、社会热点、国家政策等内容。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04" w:type="dxa"/>
            <w:vAlign w:val="top"/>
          </w:tcPr>
          <w:p>
            <w:pPr>
              <w:widowControl/>
              <w:spacing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lang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观点</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pPr>
              <w:spacing w:after="0"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752" w:type="dxa"/>
            <w:vAlign w:val="center"/>
          </w:tcPr>
          <w:p>
            <w:pPr>
              <w:spacing w:after="0" w:line="30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国家安全教育</w:t>
            </w:r>
          </w:p>
        </w:tc>
        <w:tc>
          <w:tcPr>
            <w:tcW w:w="4410" w:type="dxa"/>
            <w:vAlign w:val="top"/>
          </w:tcPr>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知识目标：</w:t>
            </w:r>
            <w:r>
              <w:rPr>
                <w:rFonts w:hint="eastAsia" w:ascii="仿宋_GB2312" w:hAnsi="仿宋_GB2312" w:eastAsia="仿宋_GB2312" w:cs="仿宋_GB2312"/>
                <w:color w:val="auto"/>
                <w:sz w:val="24"/>
              </w:rPr>
              <w:t>让学生系统掌握总体国家安全观的内涵和精神实质，理解中国特色国家安全体系，新时代我国国家安全面临的复杂形势，掌握筑牢其他各领域国家安全屏障的具体方法和途径。</w:t>
            </w:r>
          </w:p>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能力目标：</w:t>
            </w:r>
            <w:r>
              <w:rPr>
                <w:rFonts w:hint="eastAsia" w:ascii="仿宋_GB2312" w:hAnsi="仿宋_GB2312" w:eastAsia="仿宋_GB2312" w:cs="仿宋_GB2312"/>
                <w:color w:val="auto"/>
                <w:sz w:val="24"/>
              </w:rPr>
              <w:t>能够建立总体国家安全观，树立中国特色社会主义理想信念，能够做到国家利益至上，维护国家主权、安全和发展利益，能够维护国家正当权益，绝不牺牲国家核心利益；能够增强政治认同，不信谣、不传谣，能够对危害政治安全的违法行为进行举报；能够以实际行动维护国家安全；</w:t>
            </w:r>
          </w:p>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素质目标：</w:t>
            </w:r>
            <w:r>
              <w:rPr>
                <w:rFonts w:hint="eastAsia" w:ascii="仿宋_GB2312" w:hAnsi="仿宋_GB2312" w:eastAsia="仿宋_GB2312" w:cs="仿宋_GB2312"/>
                <w:color w:val="auto"/>
                <w:sz w:val="24"/>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课程思政育人目标：</w:t>
            </w:r>
            <w:r>
              <w:rPr>
                <w:rFonts w:hint="eastAsia" w:ascii="仿宋_GB2312" w:hAnsi="仿宋_GB2312" w:eastAsia="仿宋_GB2312" w:cs="仿宋_GB2312"/>
                <w:color w:val="auto"/>
                <w:sz w:val="24"/>
              </w:rPr>
              <w:t>提升学生的国家安全意识，培养学生将理论知识与实践相结合的能力，引导学生运用马克思主义的立场、观点、方法以及总体国家安全观</w:t>
            </w:r>
            <w:r>
              <w:rPr>
                <w:rFonts w:hint="eastAsia" w:ascii="仿宋_GB2312" w:hAnsi="仿宋_GB2312" w:eastAsia="仿宋_GB2312" w:cs="仿宋_GB2312"/>
                <w:color w:val="auto"/>
                <w:sz w:val="24"/>
                <w:lang w:val="en-US" w:eastAsia="zh-CN"/>
              </w:rPr>
              <w:t>分析和解决问题</w:t>
            </w:r>
            <w:r>
              <w:rPr>
                <w:rFonts w:hint="eastAsia" w:ascii="仿宋_GB2312" w:hAnsi="仿宋_GB2312" w:eastAsia="仿宋_GB2312" w:cs="仿宋_GB2312"/>
                <w:color w:val="auto"/>
                <w:sz w:val="24"/>
              </w:rPr>
              <w:t>，构建起维护国家安全的实践能力。使学生树立国家安全底线思维</w:t>
            </w:r>
            <w:r>
              <w:rPr>
                <w:rFonts w:hint="eastAsia" w:ascii="仿宋_GB2312" w:hAnsi="仿宋_GB2312" w:eastAsia="仿宋_GB2312" w:cs="仿宋_GB2312"/>
                <w:color w:val="auto"/>
                <w:spacing w:val="-6"/>
                <w:sz w:val="24"/>
              </w:rPr>
              <w:t>，将国家安全意识转化为自觉行动，强化责任担当。</w:t>
            </w:r>
          </w:p>
        </w:tc>
        <w:tc>
          <w:tcPr>
            <w:tcW w:w="2700" w:type="dxa"/>
            <w:vAlign w:val="top"/>
          </w:tcPr>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404" w:type="dxa"/>
            <w:vAlign w:val="top"/>
          </w:tcPr>
          <w:p>
            <w:pPr>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 w:hRule="atLeast"/>
          <w:jc w:val="center"/>
        </w:trPr>
        <w:tc>
          <w:tcPr>
            <w:tcW w:w="507" w:type="dxa"/>
            <w:vAlign w:val="center"/>
          </w:tcPr>
          <w:p>
            <w:pPr>
              <w:spacing w:after="0" w:line="30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rPr>
              <w:t>军事理论</w:t>
            </w:r>
          </w:p>
        </w:tc>
        <w:tc>
          <w:tcPr>
            <w:tcW w:w="4410"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bCs/>
                <w:color w:val="auto"/>
                <w:kern w:val="0"/>
                <w:sz w:val="24"/>
                <w:shd w:val="clear" w:color="auto" w:fill="FFFFFF"/>
                <w:lang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700"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0"/>
                <w:sz w:val="24"/>
                <w:shd w:val="clear" w:color="auto" w:fill="FFFFFF"/>
                <w:lang w:bidi="ar"/>
              </w:rPr>
            </w:pPr>
          </w:p>
        </w:tc>
        <w:tc>
          <w:tcPr>
            <w:tcW w:w="2404" w:type="dxa"/>
            <w:vAlign w:val="top"/>
          </w:tcPr>
          <w:p>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0"/>
                <w:sz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 w:hRule="atLeast"/>
          <w:jc w:val="center"/>
        </w:trPr>
        <w:tc>
          <w:tcPr>
            <w:tcW w:w="507" w:type="dxa"/>
            <w:vAlign w:val="center"/>
          </w:tcPr>
          <w:p>
            <w:pPr>
              <w:spacing w:after="0" w:line="3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5</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highlight w:val="none"/>
                <w:lang w:val="en-US" w:eastAsia="zh-CN"/>
              </w:rPr>
              <w:t>军训</w:t>
            </w:r>
          </w:p>
        </w:tc>
        <w:tc>
          <w:tcPr>
            <w:tcW w:w="4410" w:type="dxa"/>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hd w:val="clear" w:color="auto" w:fill="FFFFFF"/>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700"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0"/>
                <w:sz w:val="24"/>
                <w:shd w:val="clear" w:color="auto" w:fill="FFFFFF"/>
                <w:lang w:bidi="ar"/>
              </w:rPr>
            </w:pPr>
          </w:p>
        </w:tc>
        <w:tc>
          <w:tcPr>
            <w:tcW w:w="2404" w:type="dxa"/>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0"/>
                <w:sz w:val="24"/>
                <w:shd w:val="clear" w:color="auto" w:fill="FFFFFF"/>
                <w:lang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5" w:hRule="atLeast"/>
          <w:jc w:val="center"/>
        </w:trPr>
        <w:tc>
          <w:tcPr>
            <w:tcW w:w="507" w:type="dxa"/>
            <w:vAlign w:val="center"/>
          </w:tcPr>
          <w:p>
            <w:pPr>
              <w:widowControl/>
              <w:shd w:val="clear" w:color="auto" w:fill="FFFFFF"/>
              <w:spacing w:after="0" w:line="300" w:lineRule="exact"/>
              <w:jc w:val="left"/>
              <w:rPr>
                <w:rFonts w:hint="eastAsia" w:ascii="仿宋_GB2312" w:hAnsi="仿宋_GB2312" w:eastAsia="仿宋_GB2312" w:cs="仿宋_GB2312"/>
                <w:color w:val="auto"/>
                <w:kern w:val="0"/>
                <w:sz w:val="24"/>
                <w:shd w:val="clear" w:color="auto" w:fill="FFFFFF"/>
                <w:lang w:eastAsia="zh-CN" w:bidi="ar"/>
              </w:rPr>
            </w:pPr>
            <w:r>
              <w:rPr>
                <w:rFonts w:hint="eastAsia" w:ascii="仿宋_GB2312" w:hAnsi="仿宋_GB2312" w:eastAsia="仿宋_GB2312" w:cs="仿宋_GB2312"/>
                <w:color w:val="auto"/>
                <w:kern w:val="0"/>
                <w:sz w:val="24"/>
                <w:shd w:val="clear" w:color="auto" w:fill="FFFFFF"/>
                <w:lang w:val="en-US" w:eastAsia="zh-CN" w:bidi="ar"/>
              </w:rPr>
              <w:t>6</w:t>
            </w:r>
          </w:p>
        </w:tc>
        <w:tc>
          <w:tcPr>
            <w:tcW w:w="752" w:type="dxa"/>
            <w:vAlign w:val="center"/>
          </w:tcPr>
          <w:p>
            <w:pPr>
              <w:widowControl/>
              <w:shd w:val="clear" w:color="auto" w:fill="FFFFFF"/>
              <w:spacing w:after="0" w:line="300" w:lineRule="exact"/>
              <w:jc w:val="left"/>
              <w:rPr>
                <w:rFonts w:hint="eastAsia" w:ascii="仿宋_GB2312" w:hAnsi="仿宋_GB2312" w:eastAsia="仿宋_GB2312" w:cs="仿宋_GB2312"/>
                <w:color w:val="auto"/>
                <w:kern w:val="0"/>
                <w:sz w:val="24"/>
                <w:shd w:val="clear" w:color="auto" w:fill="FFFFFF"/>
                <w:lang w:bidi="ar"/>
              </w:rPr>
            </w:pPr>
            <w:r>
              <w:rPr>
                <w:rFonts w:hint="eastAsia" w:ascii="仿宋_GB2312" w:hAnsi="仿宋_GB2312" w:eastAsia="仿宋_GB2312" w:cs="仿宋_GB2312"/>
                <w:color w:val="auto"/>
                <w:kern w:val="0"/>
                <w:sz w:val="24"/>
                <w:shd w:val="clear" w:color="auto" w:fill="FFFFFF"/>
                <w:lang w:bidi="ar"/>
              </w:rPr>
              <w:t>计算机基础</w:t>
            </w:r>
          </w:p>
        </w:tc>
        <w:tc>
          <w:tcPr>
            <w:tcW w:w="4410" w:type="dxa"/>
            <w:vAlign w:val="top"/>
          </w:tcPr>
          <w:p>
            <w:pPr>
              <w:widowControl/>
              <w:shd w:val="clear" w:color="auto" w:fill="FFFFFF"/>
              <w:spacing w:after="0" w:line="300" w:lineRule="exact"/>
              <w:jc w:val="both"/>
              <w:rPr>
                <w:rFonts w:hint="eastAsia" w:ascii="仿宋_GB2312" w:hAnsi="仿宋_GB2312" w:eastAsia="仿宋_GB2312" w:cs="仿宋_GB2312"/>
                <w:color w:val="auto"/>
                <w:kern w:val="0"/>
                <w:sz w:val="24"/>
                <w:shd w:val="clear" w:color="auto" w:fill="FFFFFF"/>
                <w:lang w:bidi="ar"/>
              </w:rPr>
            </w:pPr>
            <w:r>
              <w:rPr>
                <w:rFonts w:hint="eastAsia" w:ascii="仿宋_GB2312" w:hAnsi="仿宋_GB2312" w:eastAsia="仿宋_GB2312" w:cs="仿宋_GB2312"/>
                <w:b/>
                <w:bCs/>
                <w:color w:val="auto"/>
                <w:kern w:val="0"/>
                <w:sz w:val="24"/>
                <w:shd w:val="clear" w:color="auto" w:fill="FFFFFF"/>
                <w:lang w:bidi="ar"/>
              </w:rPr>
              <w:t>知识目标：</w:t>
            </w:r>
            <w:r>
              <w:rPr>
                <w:rFonts w:hint="eastAsia" w:ascii="仿宋_GB2312" w:hAnsi="仿宋_GB2312" w:eastAsia="仿宋_GB2312" w:cs="仿宋_GB2312"/>
                <w:color w:val="auto"/>
                <w:kern w:val="0"/>
                <w:sz w:val="24"/>
                <w:shd w:val="clear" w:color="auto" w:fill="FFFFFF"/>
                <w:lang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widowControl/>
              <w:shd w:val="clear" w:color="auto" w:fill="FFFFFF"/>
              <w:spacing w:after="0" w:line="300" w:lineRule="exact"/>
              <w:jc w:val="both"/>
              <w:rPr>
                <w:rFonts w:hint="eastAsia" w:ascii="仿宋_GB2312" w:hAnsi="仿宋_GB2312" w:eastAsia="仿宋_GB2312" w:cs="仿宋_GB2312"/>
                <w:color w:val="auto"/>
                <w:kern w:val="0"/>
                <w:sz w:val="24"/>
                <w:shd w:val="clear" w:color="auto" w:fill="FFFFFF"/>
                <w:lang w:bidi="ar"/>
              </w:rPr>
            </w:pPr>
            <w:r>
              <w:rPr>
                <w:rFonts w:hint="eastAsia" w:ascii="仿宋_GB2312" w:hAnsi="仿宋_GB2312" w:eastAsia="仿宋_GB2312" w:cs="仿宋_GB2312"/>
                <w:b/>
                <w:bCs/>
                <w:color w:val="auto"/>
                <w:kern w:val="0"/>
                <w:sz w:val="24"/>
                <w:shd w:val="clear" w:color="auto" w:fill="FFFFFF"/>
                <w:lang w:bidi="ar"/>
              </w:rPr>
              <w:t>能力目标：</w:t>
            </w:r>
            <w:r>
              <w:rPr>
                <w:rFonts w:hint="eastAsia" w:ascii="仿宋_GB2312" w:hAnsi="仿宋_GB2312" w:eastAsia="仿宋_GB2312" w:cs="仿宋_GB2312"/>
                <w:color w:val="auto"/>
                <w:kern w:val="0"/>
                <w:sz w:val="24"/>
                <w:shd w:val="clear" w:color="auto" w:fill="FFFFFF"/>
                <w:lang w:bidi="ar"/>
              </w:rPr>
              <w:t>培养计算机基本操作能力，熟练使用办公软件处理文档。提升网络应用和信息检索水平，具备解决常见计算机问题的技能。</w:t>
            </w:r>
          </w:p>
          <w:p>
            <w:pPr>
              <w:widowControl/>
              <w:shd w:val="clear" w:color="auto" w:fill="FFFFFF"/>
              <w:spacing w:after="0" w:line="300" w:lineRule="exact"/>
              <w:jc w:val="both"/>
              <w:rPr>
                <w:rFonts w:hint="eastAsia" w:ascii="仿宋_GB2312" w:hAnsi="仿宋_GB2312" w:eastAsia="仿宋_GB2312" w:cs="仿宋_GB2312"/>
                <w:color w:val="auto"/>
                <w:kern w:val="0"/>
                <w:sz w:val="24"/>
                <w:shd w:val="clear" w:color="auto" w:fill="FFFFFF"/>
                <w:lang w:bidi="ar"/>
              </w:rPr>
            </w:pPr>
            <w:r>
              <w:rPr>
                <w:rFonts w:hint="eastAsia" w:ascii="仿宋_GB2312" w:hAnsi="仿宋_GB2312" w:eastAsia="仿宋_GB2312" w:cs="仿宋_GB2312"/>
                <w:b/>
                <w:bCs/>
                <w:color w:val="auto"/>
                <w:kern w:val="0"/>
                <w:sz w:val="24"/>
                <w:shd w:val="clear" w:color="auto" w:fill="FFFFFF"/>
                <w:lang w:bidi="ar"/>
              </w:rPr>
              <w:t>素质目标：</w:t>
            </w:r>
            <w:r>
              <w:rPr>
                <w:rFonts w:hint="eastAsia" w:ascii="仿宋_GB2312" w:hAnsi="仿宋_GB2312" w:eastAsia="仿宋_GB2312" w:cs="仿宋_GB2312"/>
                <w:color w:val="auto"/>
                <w:kern w:val="0"/>
                <w:sz w:val="24"/>
                <w:shd w:val="clear" w:color="auto" w:fill="FFFFFF"/>
                <w:lang w:bidi="ar"/>
              </w:rPr>
              <w:t>培养信息素养和数字思维，提高自主学习新技术能力。树立信息安全意识，养成规范使用计算机的良好习惯。</w:t>
            </w:r>
          </w:p>
          <w:p>
            <w:pPr>
              <w:widowControl/>
              <w:spacing w:after="0"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kern w:val="0"/>
                <w:sz w:val="24"/>
                <w:shd w:val="clear" w:color="auto" w:fill="FFFFFF"/>
                <w:lang w:bidi="ar"/>
              </w:rPr>
              <w:t>课程思政育人目标：</w:t>
            </w:r>
            <w:r>
              <w:rPr>
                <w:rFonts w:hint="eastAsia" w:ascii="仿宋_GB2312" w:hAnsi="仿宋_GB2312" w:eastAsia="仿宋_GB2312" w:cs="仿宋_GB2312"/>
                <w:color w:val="auto"/>
                <w:kern w:val="0"/>
                <w:sz w:val="24"/>
                <w:shd w:val="clear" w:color="auto" w:fill="FFFFFF"/>
                <w:lang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color w:val="auto"/>
                <w:sz w:val="24"/>
              </w:rPr>
              <w:t>最终实现“德才兼备、知行合一”的技术人才培养目标，为行业发展与社会进步输送兼具职业道德素养与专业技术能力的复合型人才。</w:t>
            </w:r>
          </w:p>
        </w:tc>
        <w:tc>
          <w:tcPr>
            <w:tcW w:w="2700" w:type="dxa"/>
            <w:vAlign w:val="top"/>
          </w:tcPr>
          <w:p>
            <w:pPr>
              <w:spacing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404" w:type="dxa"/>
            <w:vAlign w:val="top"/>
          </w:tcPr>
          <w:p>
            <w:pPr>
              <w:spacing w:line="3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7</w:t>
            </w:r>
          </w:p>
        </w:tc>
        <w:tc>
          <w:tcPr>
            <w:tcW w:w="752" w:type="dxa"/>
            <w:vAlign w:val="center"/>
          </w:tcPr>
          <w:p>
            <w:pPr>
              <w:widowControl/>
              <w:shd w:val="clear" w:color="auto" w:fill="FFFFFF"/>
              <w:spacing w:after="0" w:line="300" w:lineRule="exact"/>
              <w:jc w:val="left"/>
              <w:rPr>
                <w:rFonts w:hint="eastAsia" w:ascii="仿宋_GB2312" w:hAnsi="仿宋_GB2312" w:eastAsia="仿宋_GB2312" w:cs="仿宋_GB2312"/>
                <w:kern w:val="0"/>
                <w:sz w:val="24"/>
                <w:shd w:val="clear" w:color="auto" w:fill="FFFFFF"/>
                <w:lang w:bidi="ar"/>
              </w:rPr>
            </w:pPr>
            <w:r>
              <w:rPr>
                <w:rFonts w:hint="eastAsia" w:ascii="仿宋_GB2312" w:hAnsi="仿宋_GB2312" w:eastAsia="仿宋_GB2312" w:cs="仿宋_GB2312"/>
                <w:kern w:val="0"/>
                <w:sz w:val="24"/>
                <w:shd w:val="clear" w:color="auto" w:fill="FFFFFF"/>
                <w:lang w:bidi="ar"/>
              </w:rPr>
              <w:t>大学英语</w:t>
            </w:r>
          </w:p>
        </w:tc>
        <w:tc>
          <w:tcPr>
            <w:tcW w:w="4410" w:type="dxa"/>
            <w:vAlign w:val="top"/>
          </w:tcPr>
          <w:p>
            <w:pPr>
              <w:widowControl/>
              <w:shd w:val="clear" w:color="auto" w:fill="FFFFFF"/>
              <w:spacing w:after="0" w:line="300" w:lineRule="exact"/>
              <w:jc w:val="both"/>
              <w:rPr>
                <w:rFonts w:hint="eastAsia" w:ascii="仿宋_GB2312" w:hAnsi="仿宋_GB2312" w:eastAsia="仿宋_GB2312" w:cs="仿宋_GB2312"/>
                <w:kern w:val="0"/>
                <w:sz w:val="24"/>
                <w:shd w:val="clear" w:color="auto" w:fill="FFFFFF"/>
                <w:lang w:bidi="ar"/>
              </w:rPr>
            </w:pPr>
            <w:r>
              <w:rPr>
                <w:rFonts w:hint="eastAsia" w:ascii="仿宋_GB2312" w:hAnsi="仿宋_GB2312" w:eastAsia="仿宋_GB2312" w:cs="仿宋_GB2312"/>
                <w:b/>
                <w:bCs/>
                <w:kern w:val="0"/>
                <w:sz w:val="24"/>
                <w:shd w:val="clear" w:color="auto" w:fill="FFFFFF"/>
                <w:lang w:bidi="ar"/>
              </w:rPr>
              <w:t>知识目标：</w:t>
            </w:r>
            <w:r>
              <w:rPr>
                <w:rFonts w:hint="eastAsia" w:ascii="仿宋_GB2312" w:hAnsi="仿宋_GB2312" w:eastAsia="仿宋_GB2312" w:cs="仿宋_GB2312"/>
                <w:kern w:val="0"/>
                <w:sz w:val="24"/>
                <w:shd w:val="clear" w:color="auto" w:fill="FFFFFF"/>
                <w:lang w:bidi="ar"/>
              </w:rPr>
              <w:t>掌握基础词汇和核心语法，学习职场英语表达。了解英语国家文化常识，熟悉专业相关术语。</w:t>
            </w:r>
          </w:p>
          <w:p>
            <w:pPr>
              <w:widowControl/>
              <w:spacing w:after="0" w:line="300" w:lineRule="exact"/>
              <w:jc w:val="both"/>
              <w:rPr>
                <w:rFonts w:hint="eastAsia" w:ascii="仿宋_GB2312" w:hAnsi="仿宋_GB2312" w:eastAsia="仿宋_GB2312" w:cs="仿宋_GB2312"/>
                <w:kern w:val="0"/>
                <w:sz w:val="24"/>
                <w:shd w:val="clear" w:color="auto" w:fill="FFFFFF"/>
              </w:rPr>
            </w:pPr>
            <w:r>
              <w:rPr>
                <w:rFonts w:hint="eastAsia" w:ascii="仿宋_GB2312" w:hAnsi="仿宋_GB2312" w:eastAsia="仿宋_GB2312" w:cs="仿宋_GB2312"/>
                <w:b/>
                <w:bCs/>
                <w:kern w:val="0"/>
                <w:sz w:val="24"/>
                <w:shd w:val="clear" w:color="auto" w:fill="FFFFFF"/>
                <w:lang w:bidi="ar"/>
              </w:rPr>
              <w:t>能力目标：</w:t>
            </w:r>
            <w:r>
              <w:rPr>
                <w:rFonts w:hint="eastAsia" w:ascii="仿宋_GB2312" w:hAnsi="仿宋_GB2312" w:eastAsia="仿宋_GB2312" w:cs="仿宋_GB2312"/>
                <w:kern w:val="0"/>
                <w:sz w:val="24"/>
                <w:shd w:val="clear" w:color="auto" w:fill="FFFFFF"/>
                <w:lang w:bidi="ar"/>
              </w:rPr>
              <w:t>培养学生掌握语言基础知识和语言技能、具备基本的英语听、说、读、写、译能力，增强其跨文化交际意识和沟通能力，为适应未来职业需求。</w:t>
            </w:r>
          </w:p>
          <w:p>
            <w:pPr>
              <w:widowControl/>
              <w:shd w:val="clear" w:color="auto" w:fill="FFFFFF"/>
              <w:spacing w:after="0" w:line="300" w:lineRule="exact"/>
              <w:jc w:val="both"/>
              <w:rPr>
                <w:rFonts w:hint="eastAsia" w:ascii="仿宋_GB2312" w:hAnsi="仿宋_GB2312" w:eastAsia="仿宋_GB2312" w:cs="仿宋_GB2312"/>
                <w:kern w:val="0"/>
                <w:sz w:val="24"/>
                <w:shd w:val="clear" w:color="auto" w:fill="FFFFFF"/>
                <w:lang w:bidi="ar"/>
              </w:rPr>
            </w:pPr>
            <w:r>
              <w:rPr>
                <w:rFonts w:hint="eastAsia" w:ascii="仿宋_GB2312" w:hAnsi="仿宋_GB2312" w:eastAsia="仿宋_GB2312" w:cs="仿宋_GB2312"/>
                <w:b/>
                <w:bCs/>
                <w:kern w:val="0"/>
                <w:sz w:val="24"/>
                <w:shd w:val="clear" w:color="auto" w:fill="FFFFFF"/>
                <w:lang w:bidi="ar"/>
              </w:rPr>
              <w:t>素质目标：</w:t>
            </w:r>
            <w:r>
              <w:rPr>
                <w:rFonts w:hint="eastAsia" w:ascii="仿宋_GB2312" w:hAnsi="仿宋_GB2312" w:eastAsia="仿宋_GB2312" w:cs="仿宋_GB2312"/>
                <w:kern w:val="0"/>
                <w:sz w:val="24"/>
                <w:shd w:val="clear" w:color="auto" w:fill="FFFFFF"/>
                <w:lang w:bidi="ar"/>
              </w:rPr>
              <w:t>培养自主学习意识，增强跨文化理解能力。树立终身学习理念，提高团队协作和沟通能力。</w:t>
            </w:r>
          </w:p>
          <w:p>
            <w:pPr>
              <w:widowControl/>
              <w:shd w:val="clear" w:color="auto" w:fill="FFFFFF"/>
              <w:spacing w:after="0" w:line="300" w:lineRule="exact"/>
              <w:jc w:val="both"/>
              <w:rPr>
                <w:rFonts w:hint="eastAsia" w:ascii="仿宋_GB2312" w:hAnsi="仿宋_GB2312" w:eastAsia="仿宋_GB2312" w:cs="仿宋_GB2312"/>
                <w:b/>
                <w:bCs/>
                <w:kern w:val="0"/>
                <w:sz w:val="24"/>
                <w:shd w:val="clear" w:color="auto" w:fill="FFFFFF"/>
                <w:lang w:bidi="ar"/>
              </w:rPr>
            </w:pPr>
            <w:r>
              <w:rPr>
                <w:rFonts w:hint="eastAsia" w:ascii="仿宋_GB2312" w:hAnsi="仿宋_GB2312" w:eastAsia="仿宋_GB2312" w:cs="仿宋_GB2312"/>
                <w:b/>
                <w:bCs/>
                <w:kern w:val="0"/>
                <w:sz w:val="24"/>
                <w:shd w:val="clear" w:color="auto" w:fill="FFFFFF"/>
                <w:lang w:bidi="ar"/>
              </w:rPr>
              <w:t>课程思政育人目标：</w:t>
            </w:r>
            <w:r>
              <w:rPr>
                <w:rFonts w:hint="eastAsia" w:ascii="仿宋_GB2312" w:hAnsi="仿宋_GB2312" w:eastAsia="仿宋_GB2312" w:cs="仿宋_GB2312"/>
                <w:kern w:val="0"/>
                <w:sz w:val="24"/>
                <w:shd w:val="clear" w:color="auto" w:fill="FFFFFF"/>
                <w:lang w:bidi="ar"/>
              </w:rPr>
              <w:t>融入工匠精神教育，培养职业操守。通过中外文化对比，培养学生树立正确的世界观、人生观、价值观，明辨西方文化与价值观，增强文化自信和爱国情怀。</w:t>
            </w:r>
          </w:p>
        </w:tc>
        <w:tc>
          <w:tcPr>
            <w:tcW w:w="2700" w:type="dxa"/>
            <w:vAlign w:val="top"/>
          </w:tcPr>
          <w:p>
            <w:pPr>
              <w:widowControl/>
              <w:shd w:val="clear" w:color="auto" w:fill="FFFFFF"/>
              <w:spacing w:after="0" w:line="300" w:lineRule="exact"/>
              <w:jc w:val="both"/>
              <w:rPr>
                <w:rFonts w:hint="eastAsia" w:ascii="仿宋_GB2312" w:hAnsi="仿宋_GB2312" w:eastAsia="仿宋_GB2312" w:cs="仿宋_GB2312"/>
                <w:kern w:val="0"/>
                <w:sz w:val="24"/>
                <w:shd w:val="clear" w:color="auto" w:fill="FFFFFF"/>
                <w:lang w:bidi="ar"/>
              </w:rPr>
            </w:pPr>
            <w:r>
              <w:rPr>
                <w:rFonts w:hint="eastAsia" w:ascii="仿宋_GB2312" w:hAnsi="仿宋_GB2312" w:eastAsia="仿宋_GB2312" w:cs="仿宋_GB2312"/>
                <w:kern w:val="0"/>
                <w:sz w:val="24"/>
                <w:shd w:val="clear" w:color="auto" w:fill="FFFFFF"/>
                <w:lang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404" w:type="dxa"/>
            <w:vAlign w:val="top"/>
          </w:tcPr>
          <w:p>
            <w:pPr>
              <w:widowControl/>
              <w:shd w:val="clear" w:color="auto" w:fill="FFFFFF"/>
              <w:spacing w:after="0" w:line="300" w:lineRule="exact"/>
              <w:jc w:val="both"/>
              <w:rPr>
                <w:rFonts w:hint="eastAsia" w:ascii="仿宋_GB2312" w:hAnsi="仿宋_GB2312" w:eastAsia="仿宋_GB2312" w:cs="仿宋_GB2312"/>
                <w:kern w:val="0"/>
                <w:sz w:val="24"/>
                <w:shd w:val="clear" w:color="auto" w:fill="FFFFFF"/>
                <w:lang w:bidi="ar"/>
              </w:rPr>
            </w:pPr>
            <w:r>
              <w:rPr>
                <w:rFonts w:hint="eastAsia" w:ascii="仿宋_GB2312" w:hAnsi="仿宋_GB2312" w:eastAsia="仿宋_GB2312" w:cs="仿宋_GB2312"/>
                <w:sz w:val="24"/>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8</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大学体育</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掌握体育运动基本理论知识，了解常见运动项目的规则与要领。学习科学锻炼方法和运动损伤预防知识，为终身体育锻炼奠定理论基础。</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发展学生基础运动技能，提升速度、力量、耐力等身体素质。培养1-2项运动特长，提升体育运动能力，提高职业体能水平。增强团队协作能力和体育竞赛组织能力。</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遵守体育道德规范和行为准则，发扬体育精神，塑造良好的体育品格，增强责任意识、规则意识和团队意识。</w:t>
            </w:r>
          </w:p>
          <w:p>
            <w:pPr>
              <w:spacing w:after="0" w:line="300" w:lineRule="exact"/>
              <w:jc w:val="both"/>
              <w:rPr>
                <w:rFonts w:hint="eastAsia" w:ascii="仿宋_GB2312" w:hAnsi="仿宋_GB2312" w:eastAsia="仿宋_GB2312" w:cs="仿宋_GB2312"/>
                <w:sz w:val="24"/>
                <w:shd w:val="clear" w:color="auto" w:fill="FFFFFF"/>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700" w:type="dxa"/>
            <w:vAlign w:val="top"/>
          </w:tcPr>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基础体能训练提升身体素质；球类、田径等专项技能教学；特色项目如武术、健身操等。融入职业体能训练，结合专业特点设计教学内容。</w:t>
            </w:r>
          </w:p>
        </w:tc>
        <w:tc>
          <w:tcPr>
            <w:tcW w:w="2404" w:type="dxa"/>
            <w:vAlign w:val="top"/>
          </w:tcPr>
          <w:p>
            <w:pPr>
              <w:spacing w:line="300" w:lineRule="exact"/>
              <w:jc w:val="both"/>
              <w:rPr>
                <w:rFonts w:hint="eastAsia" w:ascii="仿宋_GB2312" w:hAnsi="仿宋_GB2312" w:eastAsia="仿宋_GB2312" w:cs="仿宋_GB2312"/>
                <w:sz w:val="24"/>
                <w:shd w:val="clear" w:color="auto" w:fill="FFFFFF"/>
              </w:rPr>
            </w:pPr>
            <w:r>
              <w:rPr>
                <w:rFonts w:hint="eastAsia" w:ascii="仿宋_GB2312" w:hAnsi="仿宋_GB2312" w:eastAsia="仿宋_GB2312" w:cs="仿宋_GB2312"/>
                <w:sz w:val="24"/>
              </w:rPr>
              <w:t>教师需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9</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大学生职业发展与就业指导</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掌握职业生涯规划基本理论，了解就业政策与劳动法规。学习求职材料制作规范，熟悉职场礼仪与职业素养要求。</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培养职业规划与决策能力，提升简历制作与面试技巧，提高学生求职应职技巧，增强就业信息获取能力，掌握职场适应与职业发展方法。</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分析当前大学生面临的就业形势，帮助学生及时了解就业市场的需求形势和国家、地方有关大学生就业的政策，按照社会需求确立就业心理，树立正确的就业观念和就业取向。</w:t>
            </w:r>
          </w:p>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通过加强就业形势和政策的宣传教育，引导广大学生深刻认识到党和国家</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以人民为中心</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的发展理念，切实增强对国家保就业、稳增长工作的信心</w:t>
            </w:r>
            <w:r>
              <w:rPr>
                <w:rFonts w:hint="eastAsia" w:ascii="仿宋_GB2312" w:hAnsi="仿宋_GB2312" w:eastAsia="仿宋_GB2312" w:cs="仿宋_GB2312"/>
                <w:spacing w:val="-6"/>
                <w:sz w:val="24"/>
              </w:rPr>
              <w:t>，充分感知国家在相关领域的坚实能力</w:t>
            </w:r>
            <w:r>
              <w:rPr>
                <w:rFonts w:hint="eastAsia" w:ascii="仿宋_GB2312" w:hAnsi="仿宋_GB2312" w:eastAsia="仿宋_GB2312" w:cs="仿宋_GB2312"/>
                <w:sz w:val="24"/>
              </w:rPr>
              <w:t>。</w:t>
            </w:r>
          </w:p>
        </w:tc>
        <w:tc>
          <w:tcPr>
            <w:tcW w:w="2700" w:type="dxa"/>
            <w:vAlign w:val="top"/>
          </w:tcPr>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404" w:type="dxa"/>
            <w:vAlign w:val="top"/>
          </w:tcPr>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spacing w:after="0" w:line="300" w:lineRule="exact"/>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10</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大学生心理健康教育</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掌握心理健康基本概念和标准，了解常见心理问题表现及成因。掌握情绪管理、压力应对等心理调适方法，增强自我认知能力。</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培养学生情绪调节与压力管理能力，提升人际沟通与冲突解决水平。使学生掌握心理自助技巧，具备初步心理问题识别与求助能力。</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：培养学生积极乐观的人生态度，增强心理韧性和适应能力。树立正确的自我认知，形成健康的生活方式与行为习惯。</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700" w:type="dxa"/>
            <w:vAlign w:val="top"/>
          </w:tcPr>
          <w:p>
            <w:pPr>
              <w:spacing w:line="300" w:lineRule="exact"/>
              <w:jc w:val="both"/>
              <w:rPr>
                <w:rFonts w:hint="eastAsia" w:ascii="仿宋_GB2312" w:hAnsi="仿宋_GB2312" w:eastAsia="仿宋_GB2312" w:cs="仿宋_GB2312"/>
                <w:sz w:val="24"/>
                <w:shd w:val="clear" w:color="auto" w:fill="FFFFFF"/>
              </w:rPr>
            </w:pPr>
            <w:r>
              <w:rPr>
                <w:rFonts w:hint="eastAsia" w:ascii="仿宋_GB2312" w:hAnsi="仿宋_GB2312" w:eastAsia="仿宋_GB2312" w:cs="仿宋_GB2312"/>
                <w:sz w:val="24"/>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404" w:type="dxa"/>
            <w:vAlign w:val="top"/>
          </w:tcPr>
          <w:p>
            <w:pPr>
              <w:spacing w:line="300" w:lineRule="exact"/>
              <w:jc w:val="both"/>
              <w:rPr>
                <w:rFonts w:hint="eastAsia" w:ascii="仿宋_GB2312" w:hAnsi="仿宋_GB2312" w:eastAsia="仿宋_GB2312" w:cs="仿宋_GB2312"/>
                <w:sz w:val="24"/>
                <w:shd w:val="clear" w:color="auto" w:fill="FFFFFF"/>
              </w:rPr>
            </w:pPr>
            <w:r>
              <w:rPr>
                <w:rFonts w:hint="eastAsia" w:ascii="仿宋_GB2312" w:hAnsi="仿宋_GB2312" w:eastAsia="仿宋_GB2312" w:cs="仿宋_GB2312"/>
                <w:sz w:val="24"/>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1</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劳动教育</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：培养基本劳动技能，提升实践操作能力。掌握团队协作方法，增强问题解决与创新应用能力，适应未来职业劳动需求。</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：培育吃苦耐劳精神，树立劳动光荣意识。增强责任担当，培养勤俭节约品质，形成尊重劳动、热爱劳动的良好品格。</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弘扬劳模精神与工匠精神，强化劳动育人功能。引导学生做社会主义核心价值观的积极践行者，培养新时代坚定的马克思主义者和具有工匠精神的社会主义建设者。</w:t>
            </w:r>
          </w:p>
        </w:tc>
        <w:tc>
          <w:tcPr>
            <w:tcW w:w="2700" w:type="dxa"/>
            <w:vAlign w:val="top"/>
          </w:tcPr>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主要包括工具使用、设备操作等基础训练；实践环节组织校园服务、专业实习等多样化活动。结合专业特色，设计职业劳动项目，融入新技术、新工艺内容，提升学生劳动素养与职业适应能力。</w:t>
            </w:r>
          </w:p>
        </w:tc>
        <w:tc>
          <w:tcPr>
            <w:tcW w:w="2404" w:type="dxa"/>
            <w:vAlign w:val="top"/>
          </w:tcPr>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2</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毛泽东思想和中国特色社会主义理论体系概论</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 xml:space="preserve">全面理解马克思主义中国化理论成果的科学内涵、理论体系、思想精髓、精神实质；系统把握马克思主义中国化理论成果所蕴含的马克思主义立场、观点和方法。   </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学会用马克思主义中国化理论成果分析和解决现实问题，把理论与实践、理想与现实、主观与客观统一起来，自觉投身于中国特色社会主义伟大实践。</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：引导大学生树立科学的世界观、历史观、大局观，深刻理解“中国共产党为什么能” “马克思主义为什么行”“中国特色社会主义为什么好”，自觉增强“四个意识”、坚定“四个自信”、做到“两个维护”，努力学习</w:t>
            </w:r>
            <w:r>
              <w:rPr>
                <w:rFonts w:hint="eastAsia" w:ascii="仿宋_GB2312" w:hAnsi="仿宋_GB2312" w:eastAsia="仿宋_GB2312" w:cs="仿宋_GB2312"/>
                <w:sz w:val="24"/>
                <w:shd w:val="clear" w:color="auto" w:fill="FFFFFF"/>
              </w:rPr>
              <w:t>文化知识，增强自己的本领，</w:t>
            </w:r>
            <w:r>
              <w:rPr>
                <w:rFonts w:hint="eastAsia" w:ascii="仿宋_GB2312" w:hAnsi="仿宋_GB2312" w:eastAsia="仿宋_GB2312" w:cs="仿宋_GB2312"/>
                <w:sz w:val="24"/>
              </w:rPr>
              <w:t>为实现中华民族伟大复兴中国梦而努力。</w:t>
            </w:r>
          </w:p>
        </w:tc>
        <w:tc>
          <w:tcPr>
            <w:tcW w:w="270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spacing w:after="0" w:line="300" w:lineRule="exact"/>
              <w:jc w:val="both"/>
              <w:rPr>
                <w:rFonts w:hint="eastAsia" w:ascii="仿宋_GB2312" w:hAnsi="仿宋_GB2312" w:eastAsia="仿宋_GB2312" w:cs="仿宋_GB2312"/>
                <w:sz w:val="24"/>
              </w:rPr>
            </w:pPr>
          </w:p>
          <w:p>
            <w:pPr>
              <w:spacing w:after="0" w:line="300" w:lineRule="exact"/>
              <w:jc w:val="both"/>
              <w:rPr>
                <w:rFonts w:hint="eastAsia" w:ascii="仿宋_GB2312" w:hAnsi="仿宋_GB2312" w:eastAsia="仿宋_GB2312" w:cs="仿宋_GB2312"/>
                <w:sz w:val="24"/>
              </w:rPr>
            </w:pPr>
          </w:p>
        </w:tc>
        <w:tc>
          <w:tcPr>
            <w:tcW w:w="2404"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3"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3</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创新创业教育</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熟悉创新思维的内涵及其基本训练方法；了解商业模式设计要点，掌握常用的创新方法；掌握保护创新成果的方法；了解创新创业政策法规。</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 xml:space="preserve"> 培养创新思维与机会识别能力，提升商业计划书撰写水平。增强资源整合与项目管理能力，掌握创业风险防范与应对方法。</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培育开拓进取精神，树立正确的创业价值观。增强团队协作意识，培养抗压能力与责任担当，形成积极向上的创业心态。</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融入企业家精神教育，强化社会责任意识。通过创新创业案例培育家国情怀，引导学生将个人发展融入国家创新驱动发展战略。</w:t>
            </w:r>
          </w:p>
        </w:tc>
        <w:tc>
          <w:tcPr>
            <w:tcW w:w="2700" w:type="dxa"/>
            <w:vAlign w:val="top"/>
          </w:tcPr>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404" w:type="dxa"/>
            <w:vAlign w:val="top"/>
          </w:tcPr>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4</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习近平新时代中国特色社会主义思想概论</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：深刻理解习近平新时代中国特色社会主义思想是马克思主义中国化的最新理论成果；系统把握习近平新时代中国特色社会主义思想的核心观点和基本方略。</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提升大学生运用所学新思想、新理论分析和解决现实问题的能力；增强大学生全面贯彻党的基本理论和基本方略的自觉性和主动性。</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 xml:space="preserve">引导大学生自觉运用习近平新时代中国特色社会主义思想武装头脑，积极投身到建设新时代中国特色社会主义的伟大历史进程中，实现中国梦。 帮助大学生增强“四个意识”、坚定“四个自信”、做到“两个维护”。 </w:t>
            </w:r>
          </w:p>
        </w:tc>
        <w:tc>
          <w:tcPr>
            <w:tcW w:w="270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课程主要的知识模块包括：习近平新时代中国特色社会主义思想及其历史地位、坚持和发展中国特色社会主义的总任务、 “五位一体”总体布局、“四个全面”战略布局、实现中华民族伟大复兴的重要保障、中国特色大国外交、坚持和加强党的领导等内容。</w:t>
            </w:r>
          </w:p>
        </w:tc>
        <w:tc>
          <w:tcPr>
            <w:tcW w:w="2404"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通过教师的混合式教学 、史论结合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5</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中国民俗剪纸技法</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kern w:val="0"/>
                <w:sz w:val="24"/>
                <w:shd w:val="clear" w:color="auto" w:fill="FFFFFF"/>
                <w:lang w:bidi="ar"/>
              </w:rPr>
              <w:t>了解剪纸的历史与文化内涵和掌握剪纸的基本知识。</w:t>
            </w:r>
            <w:r>
              <w:rPr>
                <w:rFonts w:hint="eastAsia" w:ascii="仿宋_GB2312" w:hAnsi="仿宋_GB2312" w:eastAsia="仿宋_GB2312" w:cs="仿宋_GB2312"/>
                <w:sz w:val="24"/>
              </w:rPr>
              <w:t>掌握剪纸艺术的历史渊源与文化内涵，了解不同地域的剪纸风格特点。学习传统剪纸纹样寓意，掌握基础剪纸工具使用方法与安全规范。</w:t>
            </w:r>
          </w:p>
          <w:p>
            <w:pPr>
              <w:spacing w:after="0" w:line="300" w:lineRule="exact"/>
              <w:jc w:val="both"/>
              <w:rPr>
                <w:rFonts w:hint="eastAsia" w:ascii="仿宋_GB2312" w:hAnsi="仿宋_GB2312" w:eastAsia="仿宋_GB2312" w:cs="仿宋_GB2312"/>
                <w:kern w:val="0"/>
                <w:sz w:val="24"/>
                <w:shd w:val="clear" w:color="auto" w:fill="FFFFFF"/>
                <w:lang w:bidi="ar"/>
              </w:rPr>
            </w:pPr>
            <w:r>
              <w:rPr>
                <w:rFonts w:hint="eastAsia" w:ascii="仿宋_GB2312" w:hAnsi="仿宋_GB2312" w:eastAsia="仿宋_GB2312" w:cs="仿宋_GB2312"/>
                <w:b/>
                <w:bCs/>
                <w:sz w:val="24"/>
              </w:rPr>
              <w:t>能力目标：</w:t>
            </w:r>
            <w:r>
              <w:rPr>
                <w:rFonts w:hint="eastAsia" w:ascii="仿宋_GB2312" w:hAnsi="仿宋_GB2312" w:eastAsia="仿宋_GB2312" w:cs="仿宋_GB2312"/>
                <w:kern w:val="0"/>
                <w:sz w:val="24"/>
                <w:shd w:val="clear" w:color="auto" w:fill="FFFFFF"/>
                <w:lang w:bidi="ar"/>
              </w:rPr>
              <w:t>学生能够熟练掌握剪纸的基本技法、剪纸的构图技巧，</w:t>
            </w:r>
            <w:r>
              <w:rPr>
                <w:rFonts w:hint="eastAsia" w:ascii="仿宋_GB2312" w:hAnsi="仿宋_GB2312" w:eastAsia="仿宋_GB2312" w:cs="仿宋_GB2312"/>
                <w:sz w:val="24"/>
              </w:rPr>
              <w:t>培养图案设计与剪刀运用能力，掌握对称、连续等基础剪纸技法。</w:t>
            </w:r>
            <w:r>
              <w:rPr>
                <w:rFonts w:hint="eastAsia" w:ascii="仿宋_GB2312" w:hAnsi="仿宋_GB2312" w:eastAsia="仿宋_GB2312" w:cs="仿宋_GB2312"/>
                <w:kern w:val="0"/>
                <w:sz w:val="24"/>
                <w:shd w:val="clear" w:color="auto" w:fill="FFFFFF"/>
                <w:lang w:bidi="ar"/>
              </w:rPr>
              <w:t>学会运用多种剪纸技法进行创作，鼓励学生在传统剪纸技法的基础上进行创新，结合现代设计理念和元素，创作出具有时代感和个性的剪纸作品。</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培育耐心细致的工作态度，提升审美鉴赏能力。增强文化自信，传承非遗技艺，培养创新思维与艺术表现力。</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通过剪纸艺术，弘扬中华优秀传统文化，增强民族自豪感。在技艺传承中培育工匠精神，树立文化传承的责任意识。</w:t>
            </w:r>
          </w:p>
        </w:tc>
        <w:tc>
          <w:tcPr>
            <w:tcW w:w="2700" w:type="dxa"/>
            <w:vAlign w:val="top"/>
          </w:tcPr>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404" w:type="dxa"/>
            <w:vAlign w:val="top"/>
          </w:tcPr>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6</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影视与鉴赏</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kern w:val="0"/>
                <w:sz w:val="24"/>
                <w:shd w:val="clear" w:color="auto" w:fill="FFFFFF"/>
                <w:lang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sz w:val="24"/>
              </w:rPr>
              <w:t>掌握影视创作基本流程。</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培养影视作品分析鉴赏能力，提升视听语言理解水平。掌握影视评论写作方法，具备基础影视审美判断能力。</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培育艺术审美情趣，提高文化修养水平。增强创新思维能力，树立正确的价值观和艺术观。</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通过优秀影视作品弘扬社会主义核心价值观。在艺术鉴赏中增强文化自信，培养家国情怀和人文精神。</w:t>
            </w:r>
          </w:p>
        </w:tc>
        <w:tc>
          <w:tcPr>
            <w:tcW w:w="2700" w:type="dxa"/>
            <w:vAlign w:val="top"/>
          </w:tcPr>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404" w:type="dxa"/>
            <w:vAlign w:val="top"/>
          </w:tcPr>
          <w:p>
            <w:pPr>
              <w:spacing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7</w:t>
            </w:r>
          </w:p>
        </w:tc>
        <w:tc>
          <w:tcPr>
            <w:tcW w:w="752" w:type="dxa"/>
            <w:vAlign w:val="center"/>
          </w:tcPr>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中国共产党简史</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把握中国共产党历史发展脉络，了解中国共产党百年奋斗的重大历史成就与历史经验；了解中国共产党是如何团结带领中国人民克服千难万险，创造了一个又一个彪炳史册的人间奇迹；了解一代又一代优秀中国共产党人的为民情怀与高尚情操。</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700" w:type="dxa"/>
            <w:vAlign w:val="top"/>
          </w:tcPr>
          <w:p>
            <w:pPr>
              <w:spacing w:after="0" w:line="30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r>
              <w:rPr>
                <w:rFonts w:hint="eastAsia" w:ascii="仿宋_GB2312" w:hAnsi="仿宋_GB2312" w:eastAsia="仿宋_GB2312" w:cs="仿宋_GB2312"/>
                <w:sz w:val="24"/>
                <w:lang w:eastAsia="zh-CN"/>
              </w:rPr>
              <w:t>。</w:t>
            </w:r>
          </w:p>
        </w:tc>
        <w:tc>
          <w:tcPr>
            <w:tcW w:w="2404"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通过教师的理论讲授和丰富的史料佐证，以及线上线下参观历史纪念馆，引导学生树立正确的历史观，做到“学史明理、学史增信、学史崇德、学史力行”，感悟党的伟大，做“青春心向党 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8</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中华人民共和国简史</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kern w:val="0"/>
                <w:sz w:val="24"/>
                <w:shd w:val="clear" w:color="auto" w:fill="FFFFFF"/>
                <w:lang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widowControl/>
              <w:shd w:val="clear" w:color="auto" w:fill="FFFFFF"/>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kern w:val="0"/>
                <w:sz w:val="24"/>
                <w:shd w:val="clear" w:color="auto" w:fill="FFFFFF"/>
                <w:lang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widowControl/>
              <w:shd w:val="clear" w:color="auto" w:fill="FFFFFF"/>
              <w:spacing w:after="0" w:line="300" w:lineRule="exact"/>
              <w:jc w:val="both"/>
              <w:rPr>
                <w:rFonts w:hint="eastAsia" w:ascii="仿宋_GB2312" w:hAnsi="仿宋_GB2312" w:eastAsia="仿宋_GB2312" w:cs="仿宋_GB2312"/>
                <w:kern w:val="0"/>
                <w:sz w:val="24"/>
                <w:shd w:val="clear" w:color="auto" w:fill="FFFFFF"/>
                <w:lang w:bidi="ar"/>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引导学生</w:t>
            </w:r>
            <w:r>
              <w:rPr>
                <w:rFonts w:hint="eastAsia" w:ascii="仿宋_GB2312" w:hAnsi="仿宋_GB2312" w:eastAsia="仿宋_GB2312" w:cs="仿宋_GB2312"/>
                <w:kern w:val="0"/>
                <w:sz w:val="24"/>
                <w:shd w:val="clear" w:color="auto" w:fill="FFFFFF"/>
                <w:lang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p>
            <w:pPr>
              <w:widowControl/>
              <w:shd w:val="clear" w:color="auto" w:fill="FFFFFF"/>
              <w:spacing w:after="0" w:line="300" w:lineRule="exact"/>
              <w:jc w:val="both"/>
              <w:rPr>
                <w:rFonts w:hint="eastAsia" w:ascii="仿宋_GB2312" w:hAnsi="仿宋_GB2312" w:eastAsia="仿宋_GB2312" w:cs="仿宋_GB2312"/>
                <w:kern w:val="0"/>
                <w:sz w:val="24"/>
                <w:shd w:val="clear" w:color="auto" w:fill="FFFFFF"/>
                <w:lang w:bidi="ar"/>
              </w:rPr>
            </w:pPr>
          </w:p>
          <w:p>
            <w:pPr>
              <w:widowControl/>
              <w:shd w:val="clear" w:color="auto" w:fill="FFFFFF"/>
              <w:spacing w:after="0" w:line="300" w:lineRule="exact"/>
              <w:jc w:val="both"/>
              <w:rPr>
                <w:rFonts w:hint="eastAsia" w:ascii="仿宋_GB2312" w:hAnsi="仿宋_GB2312" w:eastAsia="仿宋_GB2312" w:cs="仿宋_GB2312"/>
                <w:kern w:val="0"/>
                <w:sz w:val="24"/>
                <w:shd w:val="clear" w:color="auto" w:fill="FFFFFF"/>
                <w:lang w:bidi="ar"/>
              </w:rPr>
            </w:pPr>
          </w:p>
        </w:tc>
        <w:tc>
          <w:tcPr>
            <w:tcW w:w="270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课程主要包括：新中国成立和社会主义基本制度的确立、社会主义建设的艰辛探索和曲折发展、改革开放与中国特色社会主义的开创、建立社会主义市场经济体制和把中国特色社会主义全面推向21世纪、</w:t>
            </w:r>
            <w:r>
              <w:rPr>
                <w:rFonts w:hint="eastAsia" w:ascii="仿宋_GB2312" w:hAnsi="仿宋_GB2312" w:eastAsia="仿宋_GB2312" w:cs="仿宋_GB2312"/>
                <w:sz w:val="24"/>
                <w:highlight w:val="none"/>
              </w:rPr>
              <w:t>全面建设小康社会</w:t>
            </w:r>
            <w:r>
              <w:rPr>
                <w:rFonts w:hint="eastAsia" w:ascii="仿宋_GB2312" w:hAnsi="仿宋_GB2312" w:eastAsia="仿宋_GB2312" w:cs="仿宋_GB2312"/>
                <w:sz w:val="24"/>
              </w:rPr>
              <w:t>与新的形势下坚持和发展中国特色社会主义、中国特色社会主义进入新时代和实现中华民族伟大复兴的中国梦、决胜全面建成小康社会和开启全面建成社会主义现代化强国新征程</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等方面。通过学习，学生将深入了解中华人民共和国在各个历史阶段的发展变化，认识到中国特色社会主义道路的历史必然性和正确性，增强对国家的热爱和对未来的信心。</w:t>
            </w:r>
          </w:p>
        </w:tc>
        <w:tc>
          <w:tcPr>
            <w:tcW w:w="2404"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通过课堂讲解、案例分析、小组讨论、模拟实践等方式，促进学生进一步增强民族自尊心、自信心和自豪感，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w:t>
            </w:r>
            <w:r>
              <w:rPr>
                <w:rFonts w:hint="eastAsia" w:ascii="仿宋_GB2312" w:hAnsi="仿宋_GB2312" w:eastAsia="仿宋_GB2312" w:cs="仿宋_GB2312"/>
                <w:sz w:val="24"/>
                <w:lang w:val="en-US" w:eastAsia="zh-CN"/>
              </w:rPr>
              <w:t>9</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改革开放简史</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70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内容涵盖改革开放拉开大幕、改革开放全面展开、改革开放开创新局面、改革开放在科学发展中深化、改革开放进入新时代、坚定不移推进全面深化改革、坚定不移扩大高水平对外开放等。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04"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通过专题讲授法、情境教学法、案例教学法等，让学生能够系统把握中国改革开放事业的辉煌成就、重大贡献、重要经验和深刻启示。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spacing w:after="0" w:line="300" w:lineRule="exact"/>
              <w:jc w:val="center"/>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20</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highlight w:val="none"/>
              </w:rPr>
              <w:t>社会主义发展简史</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帮助大学生重点了解空想社会主义的产生和发展，了解科学社会主义的产生和发展，了解世界和中国对社会主义道路和制度的探索和实践，了解新时代中国特色社会主义的理论创造和伟大实践，从而增强对社会主义制度的认识与信心。</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w:t>
            </w:r>
            <w:r>
              <w:rPr>
                <w:rFonts w:hint="eastAsia" w:ascii="仿宋_GB2312" w:hAnsi="仿宋_GB2312" w:eastAsia="仿宋_GB2312" w:cs="仿宋_GB2312"/>
                <w:sz w:val="24"/>
                <w:highlight w:val="none"/>
              </w:rPr>
              <w:t>界线</w:t>
            </w:r>
            <w:r>
              <w:rPr>
                <w:rFonts w:hint="eastAsia" w:ascii="仿宋_GB2312" w:hAnsi="仿宋_GB2312" w:eastAsia="仿宋_GB2312" w:cs="仿宋_GB2312"/>
                <w:spacing w:val="-6"/>
                <w:sz w:val="24"/>
              </w:rPr>
              <w:t>，提高大学生的鉴别、分析和批判能力。</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帮助大学生正确认识和理解社会主义制度的优越性，进一步增强大学生道路自信、理论自信、制度自信、文化自信，进一步提升大学生坚持和发展中国特色社会主义理论的自觉性和坚定性。</w:t>
            </w:r>
          </w:p>
        </w:tc>
        <w:tc>
          <w:tcPr>
            <w:tcW w:w="270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内容涵盖空想社会主义的产生与发展、科学社会主义的创立、社会主义从理论到实践、社会主义在多国发展、中国特色社会主义的开创与发展。通过学习，学生将了解社会主义思想的起源、发展和变革，掌握社会主义制度在不同国家的实践经验和教训，为理解和坚持中国特色社会主义提供历史依据和理论支持。</w:t>
            </w:r>
          </w:p>
        </w:tc>
        <w:tc>
          <w:tcPr>
            <w:tcW w:w="2404"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堂教学应采用启发式、研讨式、案例式、参与式、体验式、实践式等方法，充分调动学生的主体作用。在课程组织上应将理论讲授和社会实践融合在一起，贴近生活，贴近实际，使学生在现实生活中感受到历史的气息，既能激发学生的学习情趣，又有利于提高学生的认知、动手和研究能力，进而增强学生的爱国情怀、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2"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2</w:t>
            </w:r>
            <w:r>
              <w:rPr>
                <w:rFonts w:hint="eastAsia" w:ascii="仿宋_GB2312" w:hAnsi="仿宋_GB2312" w:eastAsia="仿宋_GB2312" w:cs="仿宋_GB2312"/>
                <w:sz w:val="24"/>
                <w:lang w:val="en-US" w:eastAsia="zh-CN"/>
              </w:rPr>
              <w:t>1</w:t>
            </w:r>
          </w:p>
        </w:tc>
        <w:tc>
          <w:tcPr>
            <w:tcW w:w="752" w:type="dxa"/>
            <w:vAlign w:val="center"/>
          </w:tcPr>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中华优秀传统文化</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并传承中华优秀传统文化的基本内涵、主要内容、基本精神，了解了中国传统哲学、文学、仪式文化精髓，扩大学生视野，读懂更多的经典名著名篇，熟悉中国古代的艺术、科技、文化成果，弘扬中国传统礼仪、风俗及美食文化。</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掌握鉴赏中华优秀传统文化及其载体的能力；养成传统美德、树立文化自信、掌握文化精粹；培养发掘中华优秀传统文化的生成规律和闪光点的能力；能坚持创造性转化、创新性发展中华优秀传统文化。</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学生具有对中华优秀传统文化的热爱敬畏之情；具有强烈的民族精神、人文精神和科学精神；弘扬中华优秀传统文化，树立中华优秀传统文化是我们每一个中国人的血脉和灵魂的情感；提升人格修养，培养文化情怀，具有较好的审美情趣和审美能力，具备一定的优秀传统文化素养。</w:t>
            </w:r>
          </w:p>
        </w:tc>
        <w:tc>
          <w:tcPr>
            <w:tcW w:w="270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spacing w:after="0" w:line="300" w:lineRule="exact"/>
              <w:jc w:val="both"/>
              <w:rPr>
                <w:rFonts w:hint="eastAsia" w:ascii="仿宋_GB2312" w:hAnsi="仿宋_GB2312" w:eastAsia="仿宋_GB2312" w:cs="仿宋_GB2312"/>
                <w:sz w:val="24"/>
              </w:rPr>
            </w:pPr>
          </w:p>
        </w:tc>
        <w:tc>
          <w:tcPr>
            <w:tcW w:w="2404"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sz w:val="24"/>
              </w:rPr>
            </w:pPr>
          </w:p>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2</w:t>
            </w:r>
            <w:r>
              <w:rPr>
                <w:rFonts w:hint="eastAsia" w:ascii="仿宋_GB2312" w:hAnsi="仿宋_GB2312" w:eastAsia="仿宋_GB2312" w:cs="仿宋_GB2312"/>
                <w:sz w:val="24"/>
                <w:lang w:val="en-US" w:eastAsia="zh-CN"/>
              </w:rPr>
              <w:t>2</w:t>
            </w:r>
          </w:p>
        </w:tc>
        <w:tc>
          <w:tcPr>
            <w:tcW w:w="752" w:type="dxa"/>
            <w:vAlign w:val="center"/>
          </w:tcPr>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p>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中华民族共同体概论</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w:t>
            </w:r>
            <w:r>
              <w:rPr>
                <w:rFonts w:hint="eastAsia" w:ascii="仿宋_GB2312" w:hAnsi="仿宋_GB2312" w:eastAsia="仿宋_GB2312" w:cs="仿宋_GB2312"/>
                <w:kern w:val="0"/>
                <w:sz w:val="24"/>
                <w:shd w:val="clear" w:color="auto" w:fill="FFFFFF"/>
                <w:lang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w:t>
            </w:r>
            <w:r>
              <w:rPr>
                <w:rFonts w:hint="eastAsia" w:ascii="仿宋_GB2312" w:hAnsi="仿宋_GB2312" w:eastAsia="仿宋_GB2312" w:cs="仿宋_GB2312"/>
                <w:kern w:val="0"/>
                <w:sz w:val="24"/>
                <w:shd w:val="clear" w:color="auto" w:fill="FFFFFF"/>
                <w:lang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sz w:val="24"/>
              </w:rPr>
              <w:t>紧扣铸牢中华民族共同体意识的基本任务，自觉推动中华民族共同体建设。</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70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404"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达到增强学生学习知识、理论的兴趣和钻研理论的热情、提高学生运用所学知识分析问题和解决问题的能力，</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2</w:t>
            </w:r>
            <w:r>
              <w:rPr>
                <w:rFonts w:hint="eastAsia" w:ascii="仿宋_GB2312" w:hAnsi="仿宋_GB2312" w:eastAsia="仿宋_GB2312" w:cs="仿宋_GB2312"/>
                <w:sz w:val="24"/>
                <w:lang w:val="en-US" w:eastAsia="zh-CN"/>
              </w:rPr>
              <w:t>3</w:t>
            </w:r>
          </w:p>
        </w:tc>
        <w:tc>
          <w:tcPr>
            <w:tcW w:w="752" w:type="dxa"/>
            <w:vAlign w:val="center"/>
          </w:tcPr>
          <w:p>
            <w:pPr>
              <w:spacing w:after="0" w:line="3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语文</w:t>
            </w:r>
          </w:p>
        </w:tc>
        <w:tc>
          <w:tcPr>
            <w:tcW w:w="441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掌握现代汉语基础知识和常用文体特征，了解文学鉴赏基本方法</w:t>
            </w:r>
            <w:r>
              <w:rPr>
                <w:rFonts w:hint="eastAsia" w:ascii="仿宋_GB2312" w:hAnsi="仿宋_GB2312" w:eastAsia="仿宋_GB2312" w:cs="仿宋_GB2312"/>
                <w:spacing w:val="-6"/>
                <w:sz w:val="24"/>
              </w:rPr>
              <w:t>。学习实用写作规范，提升语言表达准确性，培养基础文学素养。</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：培养阅读理解与书面表达能力，提升职场应用写作水平。增强口语交际能力，掌握专业文献阅读方法，适应职业发展需求。</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培育人文精神与审美情趣，提高文化修养。增强逻辑思维与创新意识，树立终身学习理念。</w:t>
            </w:r>
          </w:p>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通过经典作品传承中华优秀传统文化，培育文化自信。在语言训练中融入社会主义核心价值观教育。</w:t>
            </w:r>
          </w:p>
        </w:tc>
        <w:tc>
          <w:tcPr>
            <w:tcW w:w="2700"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404" w:type="dxa"/>
            <w:vAlign w:val="top"/>
          </w:tcPr>
          <w:p>
            <w:pPr>
              <w:spacing w:after="0" w:line="30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教师需采用任务驱动教学法，设计真实语言应用场景。学生需积极参与课堂活动，完成实践训练任务。教学中要注重学用结合，突出职业导向，强化语言应用能力培养，提升学生人文素养和职业竞争力。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spacing w:after="0" w:line="3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2</w:t>
            </w:r>
            <w:r>
              <w:rPr>
                <w:rFonts w:hint="eastAsia" w:ascii="仿宋_GB2312" w:hAnsi="仿宋_GB2312" w:eastAsia="仿宋_GB2312" w:cs="仿宋_GB2312"/>
                <w:sz w:val="24"/>
                <w:lang w:val="en-US" w:eastAsia="zh-CN"/>
              </w:rPr>
              <w:t>4</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szCs w:val="24"/>
                <w:lang w:val="en-US" w:eastAsia="zh-CN"/>
              </w:rPr>
              <w:t>物理</w:t>
            </w:r>
          </w:p>
        </w:tc>
        <w:tc>
          <w:tcPr>
            <w:tcW w:w="441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掌握力学、热学、电磁学等经典物理核心概念与规律，了解其在高新技术和工程实践中的具体应用，构建必要的物理知识体系。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能够运用物理原理分析和解决生产生活中的实际问题，具备基本的实验操作、数据处理和科学思维能力，提升技术应用与创新意识。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培养严谨求实的科学态度、精益求精的工匠精神和探索未知的好奇心，为未来职业发展和终身学习奠定坚实基础。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通过物理学史和科学家故事，弘扬科学精神和爱国情怀，培养职业道德、团队协作意识与社会责任感。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27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40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25</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szCs w:val="24"/>
                <w:lang w:val="en-US" w:eastAsia="zh-CN"/>
              </w:rPr>
              <w:t>化学</w:t>
            </w:r>
          </w:p>
        </w:tc>
        <w:tc>
          <w:tcPr>
            <w:tcW w:w="441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掌握物质结构、溶液化学、反应速率、电解质溶液等基本化学原理，熟悉常见元素及其化合物的性质与重要反应律。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能够规范进行基础化学实验操作，具备分析处理实验数据、鉴别常见物质及解决化工生产中一般性化学问题的实践能力。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培养严谨细致、实事求是的科学作风，树立环保、安全、节约的意识，为未来从事相关技术工作奠定良好的职业素养基础。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通过我国古代化工成就与现代科技发展案例，增强民族自豪感，培养绿色化学理念、社会责任感和职业道德。</w:t>
            </w:r>
          </w:p>
        </w:tc>
        <w:tc>
          <w:tcPr>
            <w:tcW w:w="27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40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26</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sz w:val="24"/>
                <w:highlight w:val="none"/>
              </w:rPr>
            </w:pPr>
            <w:r>
              <w:rPr>
                <w:rFonts w:hint="default" w:ascii="仿宋_GB2312" w:hAnsi="仿宋_GB2312" w:eastAsia="仿宋_GB2312" w:cs="仿宋_GB2312"/>
                <w:color w:val="auto"/>
                <w:sz w:val="24"/>
                <w:szCs w:val="24"/>
                <w:highlight w:val="none"/>
                <w:lang w:val="en-US" w:eastAsia="zh-CN"/>
              </w:rPr>
              <w:t>职业人文基础</w:t>
            </w:r>
          </w:p>
        </w:tc>
        <w:tc>
          <w:tcPr>
            <w:tcW w:w="441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：掌握人文社科的基本概念、理论；了解人文素养在职业发展中的重要性相关知识。</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能够运用人文知识分析职业场景中的文化现象、人际互动等问题；具备良好的文字表达和口头交流能力，能清晰阐述人文观点。</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培养学生对不同文化、价值观的尊重与包容，提升审美情趣和文化修养；塑造学生诚实守信、敬业负责的职业态度。</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
                <w:bCs/>
                <w:color w:val="auto"/>
                <w:kern w:val="2"/>
                <w:sz w:val="24"/>
                <w:szCs w:val="24"/>
                <w:highlight w:val="none"/>
                <w:lang w:val="en-US" w:eastAsia="zh-CN" w:bidi="ar-SA"/>
              </w:rPr>
              <w:t>课程思政育人目标：</w:t>
            </w:r>
            <w:r>
              <w:rPr>
                <w:rFonts w:hint="eastAsia" w:ascii="仿宋_GB2312" w:hAnsi="仿宋_GB2312" w:eastAsia="仿宋_GB2312" w:cs="仿宋_GB2312"/>
                <w:color w:val="auto"/>
                <w:kern w:val="2"/>
                <w:sz w:val="24"/>
                <w:szCs w:val="24"/>
                <w:highlight w:val="none"/>
                <w:lang w:val="en-US" w:eastAsia="zh-CN" w:bidi="ar-SA"/>
              </w:rPr>
              <w:t>引导学生从人文历史中汲取精神力量，树立正确的世界观、人生观、价值观；培养学生的社会责任感和家国情怀，明白职业发展与社会文化传承的紧密联系。</w:t>
            </w:r>
          </w:p>
        </w:tc>
        <w:tc>
          <w:tcPr>
            <w:tcW w:w="27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rPr>
            </w:pPr>
            <w:r>
              <w:rPr>
                <w:rFonts w:hint="default" w:ascii="仿宋_GB2312" w:hAnsi="仿宋_GB2312" w:eastAsia="仿宋_GB2312" w:cs="仿宋_GB2312"/>
                <w:color w:val="auto"/>
                <w:sz w:val="24"/>
                <w:szCs w:val="24"/>
                <w:lang w:val="en-US" w:eastAsia="zh-CN"/>
              </w:rPr>
              <w:t>课程将系统讲解现代职场伦理规范与职业行为准则，深入分析不同行业的企业文化特征与职场人际关系处理策略，通过典型案例研习职场礼仪与职业形象管理要点，结合实践训练职场文书写作与商务沟通技巧，并引入职业心理健康维护与压力应对的实用方法。</w:t>
            </w:r>
          </w:p>
        </w:tc>
        <w:tc>
          <w:tcPr>
            <w:tcW w:w="2404"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rPr>
            </w:pPr>
            <w:r>
              <w:rPr>
                <w:rFonts w:hint="default" w:ascii="仿宋_GB2312" w:hAnsi="仿宋_GB2312" w:eastAsia="仿宋_GB2312" w:cs="仿宋_GB2312"/>
                <w:color w:val="auto"/>
                <w:sz w:val="24"/>
                <w:szCs w:val="24"/>
                <w:lang w:val="en-US" w:eastAsia="zh-CN"/>
              </w:rPr>
              <w:t>通过系统的案例分析训练，使学生能够准确识别职场中的伦理困境并提出合理解决方案；通过角色扮演和情景模拟，培养学生达到在跨部门协作中有效沟通、化解冲突的能力；通过职业文书写作实训，使学生掌握规范的商务邮件、工作报告等实用文体的撰写技巧；最终使学生具备在真实职场环境中展现专业素养和人文关怀的综合能力</w:t>
            </w:r>
            <w:r>
              <w:rPr>
                <w:rFonts w:hint="eastAsia" w:ascii="仿宋_GB2312" w:hAnsi="仿宋_GB2312" w:eastAsia="仿宋_GB2312" w:cs="仿宋_GB2312"/>
                <w:color w:val="auto"/>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27</w:t>
            </w:r>
          </w:p>
        </w:tc>
        <w:tc>
          <w:tcPr>
            <w:tcW w:w="752" w:type="dxa"/>
            <w:shd w:val="clear" w:color="auto" w:fill="auto"/>
            <w:vAlign w:val="center"/>
          </w:tcPr>
          <w:p>
            <w:pPr>
              <w:widowControl/>
              <w:shd w:val="clear" w:color="auto" w:fill="FFFFFF"/>
              <w:spacing w:after="0" w:line="300" w:lineRule="exact"/>
              <w:jc w:val="left"/>
              <w:rPr>
                <w:rFonts w:hint="eastAsia" w:ascii="仿宋_GB2312" w:hAnsi="仿宋_GB2312" w:eastAsia="仿宋_GB2312" w:cs="仿宋_GB2312"/>
                <w:kern w:val="0"/>
                <w:sz w:val="24"/>
                <w:shd w:val="clear" w:color="auto" w:fill="FFFFFF"/>
                <w:lang w:bidi="ar"/>
              </w:rPr>
            </w:pPr>
          </w:p>
          <w:p>
            <w:pPr>
              <w:widowControl/>
              <w:shd w:val="clear" w:color="auto" w:fill="FFFFFF"/>
              <w:spacing w:after="0" w:line="300" w:lineRule="exact"/>
              <w:jc w:val="left"/>
              <w:rPr>
                <w:rFonts w:hint="eastAsia" w:ascii="仿宋_GB2312" w:hAnsi="仿宋_GB2312" w:eastAsia="仿宋_GB2312" w:cs="仿宋_GB2312"/>
                <w:kern w:val="0"/>
                <w:sz w:val="24"/>
                <w:shd w:val="clear" w:color="auto" w:fill="FFFFFF"/>
                <w:lang w:bidi="ar"/>
              </w:rPr>
            </w:pPr>
          </w:p>
          <w:p>
            <w:pPr>
              <w:widowControl/>
              <w:shd w:val="clear" w:color="auto" w:fill="FFFFFF"/>
              <w:spacing w:after="0" w:line="300" w:lineRule="exact"/>
              <w:jc w:val="left"/>
              <w:rPr>
                <w:rFonts w:hint="eastAsia" w:ascii="仿宋_GB2312" w:hAnsi="仿宋_GB2312" w:eastAsia="仿宋_GB2312" w:cs="仿宋_GB2312"/>
                <w:kern w:val="0"/>
                <w:sz w:val="24"/>
                <w:shd w:val="clear" w:color="auto" w:fill="FFFFFF"/>
                <w:lang w:bidi="ar"/>
              </w:rPr>
            </w:pPr>
          </w:p>
          <w:p>
            <w:pPr>
              <w:widowControl/>
              <w:shd w:val="clear" w:color="auto" w:fill="FFFFFF"/>
              <w:spacing w:after="0" w:line="300" w:lineRule="exact"/>
              <w:jc w:val="left"/>
              <w:rPr>
                <w:rFonts w:hint="eastAsia" w:ascii="仿宋_GB2312" w:hAnsi="仿宋_GB2312" w:eastAsia="仿宋_GB2312" w:cs="仿宋_GB2312"/>
                <w:kern w:val="0"/>
                <w:sz w:val="24"/>
                <w:shd w:val="clear" w:color="auto" w:fill="FFFFFF"/>
                <w:lang w:bidi="ar"/>
              </w:rPr>
            </w:pPr>
          </w:p>
          <w:p>
            <w:pPr>
              <w:widowControl/>
              <w:shd w:val="clear" w:color="auto" w:fill="FFFFFF"/>
              <w:spacing w:after="0" w:line="300" w:lineRule="exact"/>
              <w:jc w:val="left"/>
              <w:rPr>
                <w:rFonts w:hint="eastAsia" w:ascii="仿宋_GB2312" w:hAnsi="仿宋_GB2312" w:eastAsia="仿宋_GB2312" w:cs="仿宋_GB2312"/>
                <w:kern w:val="0"/>
                <w:sz w:val="24"/>
                <w:shd w:val="clear" w:color="auto" w:fill="FFFFFF"/>
                <w:lang w:bidi="ar"/>
              </w:rPr>
            </w:pPr>
          </w:p>
          <w:p>
            <w:pPr>
              <w:widowControl/>
              <w:shd w:val="clear" w:color="auto" w:fill="FFFFFF"/>
              <w:spacing w:after="0" w:line="300" w:lineRule="exact"/>
              <w:jc w:val="left"/>
              <w:rPr>
                <w:rFonts w:hint="eastAsia" w:ascii="仿宋_GB2312" w:hAnsi="仿宋_GB2312" w:eastAsia="仿宋_GB2312" w:cs="仿宋_GB2312"/>
                <w:kern w:val="0"/>
                <w:sz w:val="24"/>
                <w:shd w:val="clear" w:color="auto" w:fill="FFFFFF"/>
                <w:lang w:bidi="ar"/>
              </w:rPr>
            </w:pPr>
          </w:p>
          <w:p>
            <w:pPr>
              <w:widowControl/>
              <w:shd w:val="clear" w:color="auto" w:fill="FFFFFF"/>
              <w:spacing w:after="0" w:line="300" w:lineRule="exact"/>
              <w:jc w:val="left"/>
              <w:rPr>
                <w:rFonts w:hint="default" w:ascii="仿宋_GB2312" w:hAnsi="仿宋_GB2312" w:eastAsia="仿宋_GB2312" w:cs="仿宋_GB2312"/>
                <w:kern w:val="0"/>
                <w:sz w:val="24"/>
                <w:szCs w:val="24"/>
                <w:shd w:val="clear" w:color="auto" w:fill="FFFFFF"/>
                <w:lang w:val="en-US" w:eastAsia="zh-CN" w:bidi="ar"/>
              </w:rPr>
            </w:pPr>
            <w:r>
              <w:rPr>
                <w:rFonts w:hint="eastAsia" w:ascii="仿宋_GB2312" w:hAnsi="仿宋_GB2312" w:eastAsia="仿宋_GB2312" w:cs="仿宋_GB2312"/>
                <w:kern w:val="0"/>
                <w:sz w:val="24"/>
                <w:shd w:val="clear" w:color="auto" w:fill="FFFFFF"/>
                <w:lang w:bidi="ar"/>
              </w:rPr>
              <w:t>高等数学</w:t>
            </w:r>
          </w:p>
        </w:tc>
        <w:tc>
          <w:tcPr>
            <w:tcW w:w="4410" w:type="dxa"/>
            <w:shd w:val="clear" w:color="auto" w:fill="auto"/>
            <w:vAlign w:val="top"/>
          </w:tcPr>
          <w:p>
            <w:pPr>
              <w:widowControl/>
              <w:shd w:val="clear" w:color="auto" w:fill="FFFFFF"/>
              <w:spacing w:after="0" w:line="300" w:lineRule="exact"/>
              <w:jc w:val="both"/>
              <w:rPr>
                <w:rFonts w:hint="eastAsia" w:ascii="仿宋_GB2312" w:hAnsi="仿宋_GB2312" w:eastAsia="仿宋_GB2312" w:cs="仿宋_GB2312"/>
                <w:kern w:val="0"/>
                <w:sz w:val="24"/>
                <w:shd w:val="clear" w:color="auto" w:fill="FFFFFF"/>
                <w:lang w:bidi="ar"/>
              </w:rPr>
            </w:pPr>
            <w:r>
              <w:rPr>
                <w:rFonts w:hint="eastAsia" w:ascii="仿宋_GB2312" w:hAnsi="仿宋_GB2312" w:eastAsia="仿宋_GB2312" w:cs="仿宋_GB2312"/>
                <w:b/>
                <w:bCs/>
                <w:kern w:val="0"/>
                <w:sz w:val="24"/>
                <w:shd w:val="clear" w:color="auto" w:fill="FFFFFF"/>
                <w:lang w:bidi="ar"/>
              </w:rPr>
              <w:t>知识目标：</w:t>
            </w:r>
            <w:r>
              <w:rPr>
                <w:rFonts w:hint="eastAsia" w:ascii="仿宋_GB2312" w:hAnsi="仿宋_GB2312" w:eastAsia="仿宋_GB2312" w:cs="仿宋_GB2312"/>
                <w:kern w:val="0"/>
                <w:sz w:val="24"/>
                <w:shd w:val="clear" w:color="auto" w:fill="FFFFFF"/>
                <w:lang w:bidi="ar"/>
              </w:rPr>
              <w:t>掌握函数、极限、导数等基础概念，理解微积分基本理论、数学建模方法，为专业课程奠定必要数学基础。</w:t>
            </w:r>
          </w:p>
          <w:p>
            <w:pPr>
              <w:widowControl/>
              <w:shd w:val="clear" w:color="auto" w:fill="FFFFFF"/>
              <w:spacing w:after="0" w:line="300" w:lineRule="exact"/>
              <w:jc w:val="both"/>
              <w:rPr>
                <w:rFonts w:hint="eastAsia" w:ascii="仿宋_GB2312" w:hAnsi="仿宋_GB2312" w:eastAsia="仿宋_GB2312" w:cs="仿宋_GB2312"/>
                <w:kern w:val="0"/>
                <w:sz w:val="24"/>
                <w:shd w:val="clear" w:color="auto" w:fill="FFFFFF"/>
                <w:lang w:bidi="ar"/>
              </w:rPr>
            </w:pPr>
            <w:r>
              <w:rPr>
                <w:rFonts w:hint="eastAsia" w:ascii="仿宋_GB2312" w:hAnsi="仿宋_GB2312" w:eastAsia="仿宋_GB2312" w:cs="仿宋_GB2312"/>
                <w:b/>
                <w:bCs/>
                <w:kern w:val="0"/>
                <w:sz w:val="24"/>
                <w:shd w:val="clear" w:color="auto" w:fill="FFFFFF"/>
                <w:lang w:bidi="ar"/>
              </w:rPr>
              <w:t>能力目标：</w:t>
            </w:r>
            <w:r>
              <w:rPr>
                <w:rFonts w:hint="eastAsia" w:ascii="仿宋_GB2312" w:hAnsi="仿宋_GB2312" w:eastAsia="仿宋_GB2312" w:cs="仿宋_GB2312"/>
                <w:kern w:val="0"/>
                <w:sz w:val="24"/>
                <w:shd w:val="clear" w:color="auto" w:fill="FFFFFF"/>
                <w:lang w:bidi="ar"/>
              </w:rPr>
              <w:t>培养数学运算和逻辑推理能力，提升运用数学工具解决实际问题的水平。增强数据分析和建模能力，适应未来职业发展需求。</w:t>
            </w:r>
          </w:p>
          <w:p>
            <w:pPr>
              <w:widowControl/>
              <w:shd w:val="clear" w:color="auto" w:fill="FFFFFF"/>
              <w:spacing w:after="0" w:line="300" w:lineRule="exact"/>
              <w:jc w:val="both"/>
              <w:rPr>
                <w:rFonts w:hint="eastAsia" w:ascii="仿宋_GB2312" w:hAnsi="仿宋_GB2312" w:eastAsia="仿宋_GB2312" w:cs="仿宋_GB2312"/>
                <w:kern w:val="0"/>
                <w:sz w:val="24"/>
                <w:shd w:val="clear" w:color="auto" w:fill="FFFFFF"/>
                <w:lang w:bidi="ar"/>
              </w:rPr>
            </w:pPr>
            <w:r>
              <w:rPr>
                <w:rFonts w:hint="eastAsia" w:ascii="仿宋_GB2312" w:hAnsi="仿宋_GB2312" w:eastAsia="仿宋_GB2312" w:cs="仿宋_GB2312"/>
                <w:b/>
                <w:bCs/>
                <w:kern w:val="0"/>
                <w:sz w:val="24"/>
                <w:shd w:val="clear" w:color="auto" w:fill="FFFFFF"/>
                <w:lang w:bidi="ar"/>
              </w:rPr>
              <w:t>素质目标：</w:t>
            </w:r>
            <w:r>
              <w:rPr>
                <w:rFonts w:hint="eastAsia" w:ascii="仿宋_GB2312" w:hAnsi="仿宋_GB2312" w:eastAsia="仿宋_GB2312" w:cs="仿宋_GB2312"/>
                <w:kern w:val="0"/>
                <w:sz w:val="24"/>
                <w:shd w:val="clear" w:color="auto" w:fill="FFFFFF"/>
                <w:lang w:bidi="ar"/>
              </w:rPr>
              <w:t>培养严谨求实的科学态度，提高抽象思维和创新能力。树立理论联系实际的观念，增强持续学习和自主探究意识。</w:t>
            </w:r>
          </w:p>
          <w:p>
            <w:pPr>
              <w:widowControl/>
              <w:shd w:val="clear" w:color="auto" w:fill="FFFFFF"/>
              <w:spacing w:after="0" w:line="300" w:lineRule="exact"/>
              <w:jc w:val="both"/>
              <w:rPr>
                <w:rFonts w:hint="eastAsia" w:ascii="仿宋_GB2312" w:hAnsi="仿宋_GB2312" w:eastAsia="仿宋_GB2312" w:cs="仿宋_GB2312"/>
                <w:kern w:val="0"/>
                <w:sz w:val="24"/>
                <w:szCs w:val="24"/>
                <w:shd w:val="clear" w:color="auto" w:fill="FFFFFF"/>
                <w:lang w:val="en-US" w:eastAsia="zh-CN" w:bidi="ar"/>
              </w:rPr>
            </w:pPr>
            <w:r>
              <w:rPr>
                <w:rFonts w:hint="eastAsia" w:ascii="仿宋_GB2312" w:hAnsi="仿宋_GB2312" w:eastAsia="仿宋_GB2312" w:cs="仿宋_GB2312"/>
                <w:b/>
                <w:bCs/>
                <w:kern w:val="0"/>
                <w:sz w:val="24"/>
                <w:shd w:val="clear" w:color="auto" w:fill="FFFFFF"/>
                <w:lang w:bidi="ar"/>
              </w:rPr>
              <w:t>课程思政育人目标：</w:t>
            </w:r>
            <w:r>
              <w:rPr>
                <w:rFonts w:hint="eastAsia" w:ascii="仿宋_GB2312" w:hAnsi="仿宋_GB2312" w:eastAsia="仿宋_GB2312" w:cs="仿宋_GB2312"/>
                <w:kern w:val="0"/>
                <w:sz w:val="24"/>
                <w:shd w:val="clear" w:color="auto" w:fill="FFFFFF"/>
                <w:lang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700" w:type="dxa"/>
            <w:shd w:val="clear" w:color="auto" w:fill="auto"/>
            <w:vAlign w:val="top"/>
          </w:tcPr>
          <w:p>
            <w:pPr>
              <w:widowControl/>
              <w:shd w:val="clear" w:color="auto" w:fill="FFFFFF"/>
              <w:spacing w:after="0" w:line="300" w:lineRule="exact"/>
              <w:jc w:val="both"/>
              <w:rPr>
                <w:rFonts w:hint="default" w:ascii="仿宋_GB2312" w:hAnsi="仿宋_GB2312" w:eastAsia="仿宋_GB2312" w:cs="仿宋_GB2312"/>
                <w:kern w:val="0"/>
                <w:sz w:val="24"/>
                <w:szCs w:val="24"/>
                <w:shd w:val="clear" w:color="auto" w:fill="FFFFFF"/>
                <w:lang w:val="en-US" w:eastAsia="zh-CN" w:bidi="ar"/>
              </w:rPr>
            </w:pPr>
            <w:r>
              <w:rPr>
                <w:rFonts w:hint="eastAsia" w:ascii="仿宋_GB2312" w:hAnsi="仿宋_GB2312" w:eastAsia="仿宋_GB2312" w:cs="仿宋_GB2312"/>
                <w:kern w:val="0"/>
                <w:sz w:val="24"/>
                <w:shd w:val="clear" w:color="auto" w:fill="FFFFFF"/>
                <w:lang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404" w:type="dxa"/>
            <w:shd w:val="clear" w:color="auto" w:fill="auto"/>
            <w:vAlign w:val="top"/>
          </w:tcPr>
          <w:p>
            <w:pPr>
              <w:widowControl/>
              <w:shd w:val="clear" w:color="auto" w:fill="FFFFFF"/>
              <w:spacing w:after="0" w:line="300" w:lineRule="exact"/>
              <w:jc w:val="both"/>
              <w:rPr>
                <w:rFonts w:hint="default" w:ascii="仿宋_GB2312" w:hAnsi="仿宋_GB2312" w:eastAsia="仿宋_GB2312" w:cs="仿宋_GB2312"/>
                <w:kern w:val="0"/>
                <w:sz w:val="24"/>
                <w:szCs w:val="24"/>
                <w:shd w:val="clear" w:color="auto" w:fill="FFFFFF"/>
                <w:lang w:val="en-US" w:eastAsia="zh-CN" w:bidi="ar"/>
              </w:rPr>
            </w:pPr>
            <w:r>
              <w:rPr>
                <w:rFonts w:hint="eastAsia" w:ascii="仿宋_GB2312" w:hAnsi="仿宋_GB2312" w:eastAsia="仿宋_GB2312" w:cs="仿宋_GB2312"/>
                <w:kern w:val="0"/>
                <w:sz w:val="24"/>
                <w:shd w:val="clear" w:color="auto" w:fill="FFFFFF"/>
                <w:lang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bl>
    <w:p>
      <w:pPr>
        <w:keepNext/>
        <w:keepLines/>
        <w:pageBreakBefore w:val="0"/>
        <w:widowControl/>
        <w:kinsoku/>
        <w:wordWrap/>
        <w:overflowPunct/>
        <w:topLinePunct w:val="0"/>
        <w:autoSpaceDE/>
        <w:autoSpaceDN/>
        <w:bidi w:val="0"/>
        <w:adjustRightInd/>
        <w:snapToGrid/>
        <w:spacing w:after="0" w:line="520" w:lineRule="exact"/>
        <w:ind w:firstLine="640" w:firstLineChars="200"/>
        <w:jc w:val="left"/>
        <w:textAlignment w:val="auto"/>
        <w:outlineLvl w:val="2"/>
        <w:rPr>
          <w:rFonts w:hint="eastAsia" w:ascii="楷体" w:hAnsi="楷体" w:eastAsia="楷体" w:cs="楷体"/>
          <w:sz w:val="32"/>
          <w:szCs w:val="32"/>
        </w:rPr>
      </w:pPr>
      <w:r>
        <w:rPr>
          <w:rFonts w:hint="eastAsia" w:ascii="楷体" w:hAnsi="楷体" w:eastAsia="楷体" w:cs="楷体"/>
          <w:sz w:val="32"/>
          <w:szCs w:val="32"/>
        </w:rPr>
        <w:t>（二）专业（技能）课程</w:t>
      </w:r>
    </w:p>
    <w:p>
      <w:pPr>
        <w:keepNext w:val="0"/>
        <w:keepLines w:val="0"/>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专业（技能）课程包括专业基础课程、专业核心课程、专业拓展课程，并涵盖有关实践性教学环节。</w:t>
      </w:r>
    </w:p>
    <w:p>
      <w:pPr>
        <w:keepNext w:val="0"/>
        <w:keepLines w:val="0"/>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bookmarkStart w:id="10" w:name="_Toc90734975"/>
      <w:r>
        <w:rPr>
          <w:rFonts w:hint="eastAsia" w:ascii="仿宋_GB2312" w:hAnsi="仿宋_GB2312" w:eastAsia="仿宋_GB2312" w:cs="仿宋_GB2312"/>
          <w:sz w:val="32"/>
          <w:szCs w:val="32"/>
        </w:rPr>
        <w:t>1.专业基础课程</w:t>
      </w:r>
      <w:bookmarkEnd w:id="10"/>
    </w:p>
    <w:p>
      <w:pPr>
        <w:keepNext w:val="0"/>
        <w:keepLines w:val="0"/>
        <w:pageBreakBefore w:val="0"/>
        <w:widowControl/>
        <w:kinsoku/>
        <w:wordWrap/>
        <w:topLinePunct w:val="0"/>
        <w:autoSpaceDE/>
        <w:autoSpaceDN/>
        <w:bidi w:val="0"/>
        <w:snapToGrid/>
        <w:spacing w:after="0" w:line="520" w:lineRule="exact"/>
        <w:ind w:firstLine="640" w:firstLineChars="200"/>
        <w:jc w:val="left"/>
        <w:textAlignment w:val="auto"/>
        <w:rPr>
          <w:rFonts w:hint="eastAsia" w:ascii="仿宋" w:hAnsi="仿宋" w:eastAsia="仿宋" w:cs="仿宋"/>
          <w:sz w:val="32"/>
          <w:szCs w:val="32"/>
        </w:rPr>
      </w:pPr>
      <w:r>
        <w:rPr>
          <w:rFonts w:hint="eastAsia" w:ascii="仿宋_GB2312" w:hAnsi="仿宋_GB2312" w:eastAsia="仿宋_GB2312" w:cs="仿宋_GB2312"/>
          <w:sz w:val="32"/>
          <w:szCs w:val="32"/>
        </w:rPr>
        <w:t>专业基础课是为后续专业课程学习打基础的课程。包括：</w:t>
      </w:r>
      <w:r>
        <w:rPr>
          <w:rFonts w:hint="eastAsia" w:ascii="仿宋_GB2312" w:hAnsi="仿宋_GB2312" w:eastAsia="仿宋_GB2312" w:cs="仿宋_GB2312"/>
          <w:kern w:val="0"/>
          <w:sz w:val="32"/>
          <w:szCs w:val="32"/>
          <w:lang w:bidi="ar"/>
        </w:rPr>
        <w:t>现代家政导论、管理学基础、社会学概论、家政服务沟通与礼仪、家政职业道德与法律法规、人力资源管理、婴幼</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儿早期发展指导、</w:t>
      </w:r>
      <w:r>
        <w:rPr>
          <w:rFonts w:hint="eastAsia" w:ascii="仿宋_GB2312" w:hAnsi="仿宋_GB2312" w:eastAsia="仿宋_GB2312" w:cs="仿宋_GB2312"/>
          <w:kern w:val="0"/>
          <w:sz w:val="32"/>
          <w:szCs w:val="32"/>
          <w:lang w:bidi="ar"/>
        </w:rPr>
        <w:t>家政新媒体营销、家庭营养与膳食指导</w:t>
      </w:r>
      <w:r>
        <w:rPr>
          <w:rFonts w:hint="eastAsia" w:ascii="仿宋_GB2312" w:hAnsi="仿宋_GB2312" w:eastAsia="仿宋_GB2312" w:cs="仿宋_GB2312"/>
          <w:spacing w:val="-4"/>
          <w:sz w:val="32"/>
          <w:szCs w:val="32"/>
        </w:rPr>
        <w:t>课程。</w:t>
      </w:r>
    </w:p>
    <w:p>
      <w:pPr>
        <w:overflowPunct w:val="0"/>
        <w:adjustRightInd w:val="0"/>
        <w:spacing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表3</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93"/>
        <w:tblW w:w="104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
        <w:gridCol w:w="765"/>
        <w:gridCol w:w="4092"/>
        <w:gridCol w:w="2721"/>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765"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4092"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课程教学目标</w:t>
            </w:r>
          </w:p>
        </w:tc>
        <w:tc>
          <w:tcPr>
            <w:tcW w:w="2721"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课程教学内容</w:t>
            </w:r>
          </w:p>
        </w:tc>
        <w:tc>
          <w:tcPr>
            <w:tcW w:w="2364"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7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现代家政导论</w:t>
            </w:r>
          </w:p>
        </w:tc>
        <w:tc>
          <w:tcPr>
            <w:tcW w:w="4092"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掌握现代家政的基本概念、内涵与发展历程；了解现代家政服务与管理的主要内容、服务模式及行业规范。</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：能够对现代家政服务与管理行业有整体认知，具备初步的家政服务需求分析能力；能向他人介绍现代家政行业的基本情况。</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培养学生对现代家政行业的认同感和职业自豪感，树立专业自信；提升学生的服务意识和职业道德素养。</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：引导学生认识到现代家政服务是社会分工细化、人民生活水平提高的必然结果，是具有重要社会价值的职业</w:t>
            </w:r>
            <w:r>
              <w:rPr>
                <w:rFonts w:hint="eastAsia" w:ascii="仿宋_GB2312" w:hAnsi="仿宋_GB2312" w:eastAsia="仿宋_GB2312" w:cs="仿宋_GB2312"/>
                <w:spacing w:val="-6"/>
                <w:sz w:val="24"/>
                <w:szCs w:val="24"/>
              </w:rPr>
              <w:t>；培养学生的劳动精神，尊重劳动、热爱劳动，明白家政服务工作的意义与价值。</w:t>
            </w:r>
          </w:p>
        </w:tc>
        <w:tc>
          <w:tcPr>
            <w:tcW w:w="2721"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础理论模块，家政学概念、研究对象及学科发展历史。家庭结构与功能演变。家庭伦理与法律基础。家庭经济管理，收支规划、投资策略、记账方法。家庭生活管理，膳食营养搭配、服装搭配与收纳、家居安全与保健。家庭教育与心理，儿童发展指导、老年心理关怀、冲突调解技巧。社会服务与技术应用模块</w:t>
            </w:r>
            <w:r>
              <w:rPr>
                <w:rFonts w:hint="eastAsia" w:ascii="仿宋_GB2312" w:hAnsi="仿宋_GB2312" w:eastAsia="仿宋_GB2312" w:cs="仿宋_GB2312"/>
                <w:sz w:val="24"/>
                <w:szCs w:val="24"/>
                <w:lang w:val="en-US" w:eastAsia="zh-CN"/>
              </w:rPr>
              <w:t>家政</w:t>
            </w:r>
            <w:r>
              <w:rPr>
                <w:rFonts w:hint="eastAsia" w:ascii="仿宋_GB2312" w:hAnsi="仿宋_GB2312" w:eastAsia="仿宋_GB2312" w:cs="仿宋_GB2312"/>
                <w:sz w:val="24"/>
                <w:szCs w:val="24"/>
              </w:rPr>
              <w:t>服务行业规范与职业素养。智能家居技术、家庭事务数字化管理工具。社区服务与家政市场开发。</w:t>
            </w:r>
          </w:p>
        </w:tc>
        <w:tc>
          <w:tcPr>
            <w:tcW w:w="2364"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采用“理论+实践”结合模式，融入案例教学、情景模拟。利用多媒体资源辅助教学，增强直观性。实践要求完成校内实训及校外实习。参与家庭管理项目设计。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7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管理学基础</w:t>
            </w:r>
          </w:p>
        </w:tc>
        <w:tc>
          <w:tcPr>
            <w:tcW w:w="4092"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掌握管理学的基本原理、方法和工具；了解家政服务与管理中的组织管理、人员管理、服务流程管理等方面的知识。</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能够运用管理学知识分析家政服务组织中的管理问题；具备初步的家政服务项目策划、组织协调和人员管理能力。</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培养学生的管理意识和团队协作精神，提升学生的综合协调能力；使学生明白科学管理对提高家政服务质量和效率的重要性。</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引导学生认识到管理不仅是一种技能，更是一种责任，要以服务对象为中心，通过科学管理提升家政服务的社会效益</w:t>
            </w:r>
            <w:r>
              <w:rPr>
                <w:rFonts w:hint="eastAsia" w:ascii="仿宋_GB2312" w:hAnsi="仿宋_GB2312" w:eastAsia="仿宋_GB2312" w:cs="仿宋_GB2312"/>
                <w:spacing w:val="-6"/>
                <w:sz w:val="24"/>
                <w:szCs w:val="24"/>
              </w:rPr>
              <w:t>；培养学生的大局观和责任感，在管理工作中做到公平、公正、公开。</w:t>
            </w:r>
          </w:p>
        </w:tc>
        <w:tc>
          <w:tcPr>
            <w:tcW w:w="2721"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内容包括管理和管理学的概念，管理理论的演化，组织结构类型及其特点，计划工作概述，决策在管理中的战略，领导，领导者的概念，领导方式，领导行为理论，激励的过程，现代激励理论。</w:t>
            </w:r>
          </w:p>
        </w:tc>
        <w:tc>
          <w:tcPr>
            <w:tcW w:w="2364"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充分运用启发式的教学、案例教学、运用思维导图等方法，重视加强逻辑推理的方法，重点讲授和课堂讨论相结合，以培养学生的分析能力和运用能力；重视教学中的理论联系实际。发布任务让学生运用管理学中的理论知识解决现实生活中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9"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7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社会学概论</w:t>
            </w:r>
          </w:p>
        </w:tc>
        <w:tc>
          <w:tcPr>
            <w:tcW w:w="4092"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知识目标：</w:t>
            </w:r>
            <w:r>
              <w:rPr>
                <w:rFonts w:hint="eastAsia" w:ascii="仿宋_GB2312" w:hAnsi="仿宋_GB2312" w:eastAsia="仿宋_GB2312" w:cs="仿宋_GB2312"/>
                <w:sz w:val="24"/>
                <w:szCs w:val="24"/>
                <w:highlight w:val="none"/>
              </w:rPr>
              <w:t>掌握社会学的基本概念、理论和研究方法；了解社会结构、社会群体、社会变迁等方面的知识，以及这些对家政服务与管理的影响。</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能力目标：</w:t>
            </w:r>
            <w:r>
              <w:rPr>
                <w:rFonts w:hint="eastAsia" w:ascii="仿宋_GB2312" w:hAnsi="仿宋_GB2312" w:eastAsia="仿宋_GB2312" w:cs="仿宋_GB2312"/>
                <w:sz w:val="24"/>
                <w:szCs w:val="24"/>
                <w:highlight w:val="none"/>
              </w:rPr>
              <w:t>能够运用社会学知识分析家政服务与管理所处的社会环境、服务对象的社会特征等；具备从社会层面思考家政服务问题的能力。</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素质目标：</w:t>
            </w:r>
            <w:r>
              <w:rPr>
                <w:rFonts w:hint="eastAsia" w:ascii="仿宋_GB2312" w:hAnsi="仿宋_GB2312" w:eastAsia="仿宋_GB2312" w:cs="仿宋_GB2312"/>
                <w:sz w:val="24"/>
                <w:szCs w:val="24"/>
                <w:highlight w:val="none"/>
              </w:rPr>
              <w:t>培养学生的社会洞察力和人文关怀精神，使学生关注社会现象与社会问题；提升学生的社会适应能力和人际交往能力。</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课程思政育人目标：</w:t>
            </w:r>
            <w:r>
              <w:rPr>
                <w:rFonts w:hint="eastAsia" w:ascii="仿宋_GB2312" w:hAnsi="仿宋_GB2312" w:eastAsia="仿宋_GB2312" w:cs="仿宋_GB2312"/>
                <w:sz w:val="24"/>
                <w:szCs w:val="24"/>
                <w:highlight w:val="none"/>
              </w:rPr>
              <w:t>引导学生认识到家政服务与管理是社会系统的一部分，与社会的和谐发展密切相关；培养学生的社会责任感，通过优质的家政服务为社会和谐贡献力量，关注不同社会群体的需求。</w:t>
            </w:r>
          </w:p>
        </w:tc>
        <w:tc>
          <w:tcPr>
            <w:tcW w:w="2721"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社会学的基本理论、研究方法以及社会学史</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掌握社会化、社会网络、社会分层、人口城市化、人口问题等基本社会学知识。</w:t>
            </w:r>
          </w:p>
        </w:tc>
        <w:tc>
          <w:tcPr>
            <w:tcW w:w="2364"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创设情景，让学生模拟社会不同成员的角色，与学生讨论社会现象，在探索中实现教学目标；观看教学视频，以小组为单位分析案例，并分别上台汇报讨论结果，实现课堂互动。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7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家政服务沟通与礼仪</w:t>
            </w:r>
          </w:p>
        </w:tc>
        <w:tc>
          <w:tcPr>
            <w:tcW w:w="4092"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知识目标：</w:t>
            </w:r>
            <w:r>
              <w:rPr>
                <w:rFonts w:hint="eastAsia" w:ascii="仿宋_GB2312" w:hAnsi="仿宋_GB2312" w:eastAsia="仿宋_GB2312" w:cs="仿宋_GB2312"/>
                <w:sz w:val="24"/>
                <w:szCs w:val="24"/>
                <w:highlight w:val="none"/>
              </w:rPr>
              <w:t>掌握家政服务中的沟通技巧；了解家政服务各场景的礼仪规范，包括仪容仪表、言行举止、服务礼仪等。</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能力目标：</w:t>
            </w:r>
            <w:r>
              <w:rPr>
                <w:rFonts w:hint="eastAsia" w:ascii="仿宋_GB2312" w:hAnsi="仿宋_GB2312" w:eastAsia="仿宋_GB2312" w:cs="仿宋_GB2312"/>
                <w:sz w:val="24"/>
                <w:szCs w:val="24"/>
                <w:highlight w:val="none"/>
              </w:rPr>
              <w:t>能够与客户进行高效、顺畅的沟通，准确理解客户需求并反馈服务情况；具备良好的礼仪素养，在不同家政服务场景中展现专业</w:t>
            </w:r>
            <w:r>
              <w:rPr>
                <w:rFonts w:hint="eastAsia" w:ascii="仿宋_GB2312" w:hAnsi="仿宋_GB2312" w:eastAsia="仿宋_GB2312" w:cs="仿宋_GB2312"/>
                <w:spacing w:val="-6"/>
                <w:sz w:val="24"/>
                <w:szCs w:val="24"/>
                <w:highlight w:val="none"/>
              </w:rPr>
              <w:t>、得体的服务形象；能协调处理服务过程中的沟通矛盾与礼仪问题。</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素质目标：</w:t>
            </w:r>
            <w:r>
              <w:rPr>
                <w:rFonts w:hint="eastAsia" w:ascii="仿宋_GB2312" w:hAnsi="仿宋_GB2312" w:eastAsia="仿宋_GB2312" w:cs="仿宋_GB2312"/>
                <w:sz w:val="24"/>
                <w:szCs w:val="24"/>
                <w:highlight w:val="none"/>
              </w:rPr>
              <w:t>培养学生的职业素养和服务意识，树立 “以客户为中心” 的服务理念；提升学生的人际交往能力和团队协作能力，在服务中体现尊重与包容。</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课程思政育人目标：</w:t>
            </w:r>
            <w:r>
              <w:rPr>
                <w:rFonts w:hint="eastAsia" w:ascii="仿宋_GB2312" w:hAnsi="仿宋_GB2312" w:eastAsia="仿宋_GB2312" w:cs="仿宋_GB2312"/>
                <w:sz w:val="24"/>
                <w:szCs w:val="24"/>
                <w:highlight w:val="none"/>
              </w:rPr>
              <w:t>通过规范的沟通与礼仪，引导学生树立职业自豪感，认识到家政服务是一份需要专业素养和尊重的职业；培养学生的诚信意识和责任意识，在沟通中做到真诚、守信，以优质服务赢得客户信任。</w:t>
            </w:r>
          </w:p>
        </w:tc>
        <w:tc>
          <w:tcPr>
            <w:tcW w:w="2721"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职业道德与行为准则，包括遵纪守法、尊重隐私、诚信服务等。沟通技巧，语言表达规范、倾听与反馈技巧、跨文化沟通策略。礼仪规范，仪容仪表、行为举止、社交礼仪。实践模块场景模拟训练，如家庭矛盾调解、特殊群体沟通模拟。职业形象实训化妆技巧、职业装搭配、体态矫正等。案例分析通过真实服务案例解析沟通失误与礼仪失范问题。</w:t>
            </w:r>
          </w:p>
        </w:tc>
        <w:tc>
          <w:tcPr>
            <w:tcW w:w="2364"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采用“理论+实训+案例”三位一体模式，结合角色扮演、情景模拟、小组讨论等方法。引入多媒体教学资源增强直观性。学生需通过至少80%的实践课时参与，完成家庭场景服务模拟、职业形象设计等任务。定期组织行业专家讲座或企业实习，强化岗位适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7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家政职业道德与法律法规</w:t>
            </w:r>
          </w:p>
        </w:tc>
        <w:tc>
          <w:tcPr>
            <w:tcW w:w="4092"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知识目标：</w:t>
            </w:r>
            <w:r>
              <w:rPr>
                <w:rFonts w:hint="eastAsia" w:ascii="仿宋_GB2312" w:hAnsi="仿宋_GB2312" w:eastAsia="仿宋_GB2312" w:cs="仿宋_GB2312"/>
                <w:sz w:val="24"/>
                <w:szCs w:val="24"/>
                <w:highlight w:val="none"/>
              </w:rPr>
              <w:t>掌握家政服务行业的职业道德规范；了解与家政服务相关的法律法规，如《民法典》中关于服务合同、人身权益保护的内容，家政服务行业相关条例等。</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能力目标：</w:t>
            </w:r>
            <w:r>
              <w:rPr>
                <w:rFonts w:hint="eastAsia" w:ascii="仿宋_GB2312" w:hAnsi="仿宋_GB2312" w:eastAsia="仿宋_GB2312" w:cs="仿宋_GB2312"/>
                <w:sz w:val="24"/>
                <w:szCs w:val="24"/>
                <w:highlight w:val="none"/>
              </w:rPr>
              <w:t>能够在实际工作中遵守职业道德规范，规范自身服务行为；具备运用法律法规维护自身与客户合法权益的能力，能处理简单的家政服务法律纠纷。</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素质目标：</w:t>
            </w:r>
            <w:r>
              <w:rPr>
                <w:rFonts w:hint="eastAsia" w:ascii="仿宋_GB2312" w:hAnsi="仿宋_GB2312" w:eastAsia="仿宋_GB2312" w:cs="仿宋_GB2312"/>
                <w:sz w:val="24"/>
                <w:szCs w:val="24"/>
                <w:highlight w:val="none"/>
              </w:rPr>
              <w:t>培养学生的职业道德素养，树立正确的职业价值观；增强学生的法律意识和法治观念，做到知法、守法、用法。</w:t>
            </w:r>
          </w:p>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课程思政育人目标：</w:t>
            </w:r>
            <w:r>
              <w:rPr>
                <w:rFonts w:hint="eastAsia" w:ascii="仿宋_GB2312" w:hAnsi="仿宋_GB2312" w:eastAsia="仿宋_GB2312" w:cs="仿宋_GB2312"/>
                <w:sz w:val="24"/>
                <w:szCs w:val="24"/>
                <w:highlight w:val="none"/>
              </w:rPr>
              <w:t>通过职业道德教育，引导学生树立高尚的职业操守，认识到家政服务不仅是谋生手段，更是为家庭和社会做贡献的事业；以法律法规为准则，培养学生的规则意识和契约精神，维护家政服务市场的秩序与公平。</w:t>
            </w:r>
          </w:p>
        </w:tc>
        <w:tc>
          <w:tcPr>
            <w:tcW w:w="2721"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职业道德模块，家政服务行业的基本道德规范；职业行为准则。法律法规模块，人身权益保护未成年人教育权、妇女权益、用工安全责任；财产权益保护，合同纠纷处理、侵权责任划分；劳动保障，劳动合同签订、工伤赔偿、劳动权益维护；刑法与民法，家政服务中可能涉及的刑事犯罪及民事诉讼流程。实践教学通过案例分析提升法律应用能力；角色扮演、模拟法庭等互动形式强化职业道德情境应对。</w:t>
            </w:r>
          </w:p>
        </w:tc>
        <w:tc>
          <w:tcPr>
            <w:tcW w:w="2364"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通过职业道德情景模拟训练，使学生内化诚实守信、尊重隐私等职业操守；通过法律案例分析，培养学生准确识别和防范家政服务法律风险的能力；通过合同文书实操，使学生掌握规范的家政服务协议拟定技能；最终使学生能够依法合规开展家政服务工作，并具备运用法律手段维护各方合法权益的专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7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人力资源管理</w:t>
            </w:r>
          </w:p>
        </w:tc>
        <w:tc>
          <w:tcPr>
            <w:tcW w:w="4092"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掌握人力资源管理的基本理论；了解家政服务行业人力资源管理的特点与需求。</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够进行家政服务人员的招聘与选拔，制定招聘计划并开展招聘活动；具备设计家政员培训课程与方案的能力，组织实施培训并评估培训效果；能建立家政服务人员的绩效考核与薪酬体系，进行绩效评估与薪酬核算。</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培养学生的组织管理能力和全局观，从人力资源角度推动家政服务企业或团队的发展；提升学生的公平、公正意识，在人力资源管理中做到客观评价、合理激励。</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引导学生认识到人力资源是家政服务行业发展的核心要素，重视人才的培养与发展；培养学生的人本意识，在管理中尊重家政员的劳动与价值，营造和谐的劳资关系。</w:t>
            </w:r>
          </w:p>
        </w:tc>
        <w:tc>
          <w:tcPr>
            <w:tcW w:w="2721"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人力资源管理概述，工作分析，员工招聘与录用，员工培训，员工职业生涯规划设计，员工绩效考核，薪酬管理，员工激励劳动合同。</w:t>
            </w:r>
          </w:p>
        </w:tc>
        <w:tc>
          <w:tcPr>
            <w:tcW w:w="2364"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师通过案例分析和小组讨论的形式，让学生深入理解人力资源管理的基本理念和方法。学生们在小组讨论中分享自己的观点，互相学习，增强了团队合作能力。这种互动式的教学方式，让学生在轻松愉快的氛围中掌握了人力资源管理的核心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765" w:type="dxa"/>
            <w:vAlign w:val="center"/>
          </w:tcPr>
          <w:p>
            <w:pPr>
              <w:keepNext w:val="0"/>
              <w:keepLines w:val="0"/>
              <w:pageBreakBefore w:val="0"/>
              <w:widowControl w:val="0"/>
              <w:tabs>
                <w:tab w:val="left" w:pos="331"/>
              </w:tabs>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婴幼儿早期发展指导</w:t>
            </w:r>
          </w:p>
        </w:tc>
        <w:tc>
          <w:tcPr>
            <w:tcW w:w="4092"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知识目标：</w:t>
            </w:r>
            <w:r>
              <w:rPr>
                <w:rFonts w:hint="eastAsia" w:ascii="仿宋_GB2312" w:hAnsi="仿宋_GB2312" w:eastAsia="仿宋_GB2312" w:cs="仿宋_GB2312"/>
                <w:sz w:val="24"/>
                <w:szCs w:val="24"/>
                <w:highlight w:val="none"/>
              </w:rPr>
              <w:t>掌握婴幼儿早期发展的基本理论；了解婴幼儿早期教育的原则、方法与活动设计知识。</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能力目标：</w:t>
            </w:r>
            <w:r>
              <w:rPr>
                <w:rFonts w:hint="eastAsia" w:ascii="仿宋_GB2312" w:hAnsi="仿宋_GB2312" w:eastAsia="仿宋_GB2312" w:cs="仿宋_GB2312"/>
                <w:sz w:val="24"/>
                <w:szCs w:val="24"/>
                <w:highlight w:val="none"/>
              </w:rPr>
              <w:t>能根据婴幼儿的发展阶段和特点，设计适合的早期教育活动；具备与婴幼儿及其家长进行有效沟通的能力，能为家长提供婴幼儿早期发展的指导与建议。</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素质目标：</w:t>
            </w:r>
            <w:r>
              <w:rPr>
                <w:rFonts w:hint="eastAsia" w:ascii="仿宋_GB2312" w:hAnsi="仿宋_GB2312" w:eastAsia="仿宋_GB2312" w:cs="仿宋_GB2312"/>
                <w:sz w:val="24"/>
                <w:szCs w:val="24"/>
                <w:highlight w:val="none"/>
              </w:rPr>
              <w:t>培养学生对婴幼儿的关爱与尊重，遵循婴幼儿早期发展规律开展教育活动；提升学生的创造力和教育设计能力，在早期教育中激发婴幼儿的潜能。</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sz w:val="24"/>
                <w:szCs w:val="24"/>
                <w:highlight w:val="none"/>
              </w:rPr>
              <w:t>课程思政育人目标：</w:t>
            </w:r>
            <w:r>
              <w:rPr>
                <w:rFonts w:hint="eastAsia" w:ascii="仿宋_GB2312" w:hAnsi="仿宋_GB2312" w:eastAsia="仿宋_GB2312" w:cs="仿宋_GB2312"/>
                <w:sz w:val="24"/>
                <w:szCs w:val="24"/>
                <w:highlight w:val="none"/>
              </w:rPr>
              <w:t>让学生认识到婴幼儿早期发展对其一生的重要性，培养学生的教育责任意识；通过科学的早期教育指导，引导学生树立正确的教育观，为国家培养健康、聪明的下一代贡献力量。</w:t>
            </w:r>
          </w:p>
        </w:tc>
        <w:tc>
          <w:tcPr>
            <w:tcW w:w="2721"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理论模块，婴幼儿发展基础生理特点、心理敏感期。早期教育理论，关键期理论、五大领域与八大智能、回应性照护框架。政策与评估，《婴幼儿早期发展服务指南》解读、发展风险评估工具应用。实训模块，活动设计，分龄段游戏案例，如大动作训练、精细动作。技能实操，音乐教育钢琴基础指法、奥尔夫乐器应用、儿歌弹唱。语言训练，看图讲述、情境表演、提问艺术。实习模块，幼儿园或早教中心见习，参与早教课程组织与环境创设。</w:t>
            </w:r>
          </w:p>
        </w:tc>
        <w:tc>
          <w:tcPr>
            <w:tcW w:w="2364"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采用“工学结合”模式，课堂讲授占40%，情境模拟占30%，实习实践占30%。运用案例分析、多媒体资源辅助教学。教师</w:t>
            </w:r>
            <w:r>
              <w:rPr>
                <w:rFonts w:hint="eastAsia" w:ascii="仿宋_GB2312" w:hAnsi="仿宋_GB2312" w:eastAsia="仿宋_GB2312" w:cs="仿宋_GB2312"/>
                <w:sz w:val="24"/>
                <w:szCs w:val="24"/>
                <w:highlight w:val="none"/>
                <w:lang w:val="en-US" w:eastAsia="zh-CN"/>
              </w:rPr>
              <w:t>须</w:t>
            </w:r>
            <w:r>
              <w:rPr>
                <w:rFonts w:hint="eastAsia" w:ascii="仿宋_GB2312" w:hAnsi="仿宋_GB2312" w:eastAsia="仿宋_GB2312" w:cs="仿宋_GB2312"/>
                <w:sz w:val="24"/>
                <w:szCs w:val="24"/>
                <w:highlight w:val="none"/>
              </w:rPr>
              <w:t>具备育婴师资格及早教机构工作经验，能示范亲子互动技巧。配套资源，标准化评估工具包、亲子活动案例库、感统教具套装。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7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家政新媒体营销</w:t>
            </w:r>
          </w:p>
        </w:tc>
        <w:tc>
          <w:tcPr>
            <w:tcW w:w="4092"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掌握新媒体营销的基本理论与方法，包括新媒体平台的特点与运营规则；了解家政服务行业新媒体营销的策略与技巧，如内容创作、账号运营、粉丝管理、流量转化等。</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能运营家政服务类新媒体账号，进行内容创作与发布；具备新媒体营销策划能力，能制定家政服务新媒体营销方案；能通过新媒体平台进行客户引流与转化，提升家政服务的知名度与业务量。</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培养学生的创新意识和互联网思维，适应新媒体时代的发展需求；提升学生的内容创作能力和营销能力，为家政行业拓展业务渠道。</w:t>
            </w:r>
          </w:p>
        </w:tc>
        <w:tc>
          <w:tcPr>
            <w:tcW w:w="2721" w:type="dxa"/>
            <w:vAlign w:val="top"/>
          </w:tcPr>
          <w:p>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基础认知，家政行业新媒体矩阵布局策略，内容生产，家政服务对比视频脚本撰写，前后效果。类短视频制作，制作3分钟收纳服务改造全流程视频。渠道运营，小红书家政笔记排版设计，微信视频号直播话术设计</w:t>
            </w:r>
            <w:r>
              <w:rPr>
                <w:rFonts w:hint="eastAsia" w:ascii="仿宋_GB2312" w:hAnsi="仿宋_GB2312" w:eastAsia="仿宋_GB2312" w:cs="仿宋_GB2312"/>
                <w:sz w:val="24"/>
                <w:szCs w:val="24"/>
                <w:highlight w:val="none"/>
              </w:rPr>
              <w:tab/>
            </w:r>
            <w:r>
              <w:rPr>
                <w:rFonts w:hint="eastAsia" w:ascii="仿宋_GB2312" w:hAnsi="仿宋_GB2312" w:eastAsia="仿宋_GB2312" w:cs="仿宋_GB2312"/>
                <w:sz w:val="24"/>
                <w:szCs w:val="24"/>
                <w:highlight w:val="none"/>
              </w:rPr>
              <w:t>策划母婴护理主题直播活动。据优化，保洁订单转化漏斗分析</w:t>
            </w:r>
            <w:r>
              <w:rPr>
                <w:rFonts w:hint="eastAsia" w:ascii="仿宋_GB2312" w:hAnsi="仿宋_GB2312" w:eastAsia="仿宋_GB2312" w:cs="仿宋_GB2312"/>
                <w:spacing w:val="-6"/>
                <w:sz w:val="24"/>
                <w:szCs w:val="24"/>
                <w:highlight w:val="none"/>
              </w:rPr>
              <w:t>，客户满意度评价监测</w:t>
            </w:r>
            <w:r>
              <w:rPr>
                <w:rFonts w:hint="eastAsia" w:ascii="仿宋_GB2312" w:hAnsi="仿宋_GB2312" w:eastAsia="仿宋_GB2312" w:cs="仿宋_GB2312"/>
                <w:spacing w:val="-6"/>
                <w:sz w:val="24"/>
                <w:szCs w:val="24"/>
                <w:highlight w:val="none"/>
              </w:rPr>
              <w:tab/>
            </w:r>
            <w:r>
              <w:rPr>
                <w:rFonts w:hint="eastAsia" w:ascii="仿宋_GB2312" w:hAnsi="仿宋_GB2312" w:eastAsia="仿宋_GB2312" w:cs="仿宋_GB2312"/>
                <w:spacing w:val="-6"/>
                <w:sz w:val="24"/>
                <w:szCs w:val="24"/>
                <w:highlight w:val="none"/>
              </w:rPr>
              <w:t>使用千瓜数据优化保洁套餐推广。危机管理，服务纠纷的舆情应对，负面评价处理流程，模拟保姆服务差评公关方案。</w:t>
            </w:r>
          </w:p>
        </w:tc>
        <w:tc>
          <w:tcPr>
            <w:tcW w:w="2364"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采用</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真实企业工单</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模式，如为合作家政公司完成季度涨粉目标，使用家政服务场景模拟系统进行虚拟直播训练。新媒体营销导论、平台、文案写作、技能、 引流、带货、数据分析等知识和技能。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76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家庭营养与膳食指导</w:t>
            </w:r>
          </w:p>
        </w:tc>
        <w:tc>
          <w:tcPr>
            <w:tcW w:w="4092"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掌握营养学基本理论，包括人体所需营养素的种类、功能及食物来源；了解不同人群的营养需求与膳食特点；熟悉常见疾病的膳食调理原则。</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能根据不同家庭成员的年龄、健康状况等，制定科学合理的家庭膳食计划；具备膳食搭配与食谱设计能力，能制作营养均衡、美味可口的家庭餐食；能对家庭膳食进行营养分析与指导，纠正不良饮食习惯。</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培养学生对健康饮食的重视，树立科学营养的膳食观念；提升学生的烹饪技能和创新能力，在膳食制作中体现对家人健康的关爱。</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让学生认识到合理膳食是保障家庭健康的基础，培养学生的家庭健康责任意识；通过推广健康饮食，引导学生关注社会大众的饮食健康，树立大健康理念。</w:t>
            </w:r>
          </w:p>
        </w:tc>
        <w:tc>
          <w:tcPr>
            <w:tcW w:w="2721"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内容涵盖基础营养学理论体系包括六大营养素的功能与食物来源、人体各生命周期的营养需求特点、中国居民膳食指南的核心要点解读、家庭膳食调查与评估方法、特殊生理状态的营养管理策略、常见慢性病的膳食调理方案、食品标签识别与安全选购技巧、家庭应急营养储备原则以及营养餐设计与烹饪技巧等实用知识模块。</w:t>
            </w:r>
          </w:p>
        </w:tc>
        <w:tc>
          <w:tcPr>
            <w:tcW w:w="2364"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通过学习使学生巩固掌握营养学的基本知识和理论，了解不同年龄、性别、职业、体质、健康状况的人群对膳食营养的各自需求特点，掌握针对不同人群或个人进行科学配餐与食谱编制的知识以及宴会食谱设计。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9"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bookmarkStart w:id="11" w:name="_Toc90734977"/>
            <w:r>
              <w:rPr>
                <w:rFonts w:hint="eastAsia" w:ascii="仿宋_GB2312" w:hAnsi="仿宋_GB2312" w:eastAsia="仿宋_GB2312" w:cs="仿宋_GB2312"/>
                <w:color w:val="auto"/>
                <w:sz w:val="24"/>
                <w:szCs w:val="24"/>
                <w:highlight w:val="none"/>
                <w:lang w:val="en-US" w:eastAsia="zh-CN"/>
              </w:rPr>
              <w:t>10</w:t>
            </w:r>
          </w:p>
        </w:tc>
        <w:tc>
          <w:tcPr>
            <w:tcW w:w="765"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医疗急救</w:t>
            </w:r>
          </w:p>
        </w:tc>
        <w:tc>
          <w:tcPr>
            <w:tcW w:w="409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了解急救护理学基本概念、发展历程，掌握急救医学基本原则、工作流程及常见急救病例（如创伤、心搏骤停等）处理方法，明晰心肺复苏、止血、包扎等核心急救技能的操作原理与适用场景。</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能运用急救知识快速识别紧急情况，熟练规范操作心肺复苏、止血等技能；通过案例分析制定基础急救方案，具备独立应对常见紧急场景的实操与处置能力，满足应急救护基本需求。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通过理论 + 案例 + 实操教学，形成急救医学综合素养，强化急救意识与应急反应能力，提升理论转化为实践的应用水平，为医疗相关职业或日常应急救护筑牢基础。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树立 “生命至上” 的职业信仰与社会责任担当，培养沉着应变、严谨操作的急救态度，坚守医疗救护伦理与操作规范，以专业能力守护生命安全，传递医者仁心价值观。​</w:t>
            </w:r>
          </w:p>
        </w:tc>
        <w:tc>
          <w:tcPr>
            <w:tcW w:w="272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本课程介绍急救护理学的基本概念、原则和技能，帮助学生掌握急救护理的基本知识和技能，提高其应对紧急情况的能力。通过理论讲解、案例分析和实践操作等方式，培养学生在急救护理方面的综合素养。</w:t>
            </w:r>
          </w:p>
        </w:tc>
        <w:tc>
          <w:tcPr>
            <w:tcW w:w="236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通过对本门课程的学习，使学生了解急救护理学的基本概念和发展历程，掌握急救护理学的基本原则和流程，熟悉常见急救病例的处理方法，学习常见急救技能，如心肺复苏、止血等。同时，培养学生的急救意识和应对紧急情况的能力。</w:t>
            </w:r>
          </w:p>
        </w:tc>
      </w:tr>
    </w:tbl>
    <w:p>
      <w:pPr>
        <w:keepNext w:val="0"/>
        <w:keepLines w:val="0"/>
        <w:pageBreakBefore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2.专业核心课程</w:t>
      </w:r>
      <w:bookmarkEnd w:id="11"/>
    </w:p>
    <w:p>
      <w:pPr>
        <w:keepNext w:val="0"/>
        <w:keepLines w:val="0"/>
        <w:pageBreakBefore w:val="0"/>
        <w:widowControl/>
        <w:kinsoku/>
        <w:wordWrap/>
        <w:overflowPunct/>
        <w:topLinePunct w:val="0"/>
        <w:autoSpaceDE/>
        <w:autoSpaceDN/>
        <w:bidi w:val="0"/>
        <w:spacing w:after="0" w:line="520" w:lineRule="exact"/>
        <w:ind w:firstLine="632"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pacing w:val="-2"/>
          <w:sz w:val="32"/>
          <w:szCs w:val="32"/>
        </w:rPr>
        <w:t>专业核心课是面向家政服务员、育婴员和保育员、健康管理师、养老照护员、家政培训师等岗位（群），结合养老机构、幼儿园、医院等单位的管理岗位，</w:t>
      </w:r>
      <w:r>
        <w:rPr>
          <w:rFonts w:hint="eastAsia" w:ascii="仿宋_GB2312" w:hAnsi="仿宋_GB2312" w:eastAsia="仿宋_GB2312" w:cs="仿宋_GB2312"/>
          <w:sz w:val="32"/>
          <w:szCs w:val="32"/>
        </w:rPr>
        <w:t>建立</w:t>
      </w:r>
      <w:r>
        <w:rPr>
          <w:rFonts w:hint="eastAsia" w:ascii="仿宋_GB2312" w:hAnsi="仿宋_GB2312" w:eastAsia="仿宋_GB2312" w:cs="仿宋_GB2312"/>
          <w:spacing w:val="-2"/>
          <w:sz w:val="32"/>
          <w:szCs w:val="32"/>
        </w:rPr>
        <w:t>现代家政服务与管理（照护方向）</w:t>
      </w:r>
      <w:r>
        <w:rPr>
          <w:rFonts w:hint="eastAsia" w:ascii="仿宋_GB2312" w:hAnsi="仿宋_GB2312" w:eastAsia="仿宋_GB2312" w:cs="仿宋_GB2312"/>
          <w:sz w:val="32"/>
          <w:szCs w:val="32"/>
        </w:rPr>
        <w:t>专业核心课程，培养学生</w:t>
      </w:r>
      <w:r>
        <w:rPr>
          <w:rFonts w:hint="eastAsia" w:ascii="仿宋_GB2312" w:hAnsi="仿宋_GB2312" w:eastAsia="仿宋_GB2312" w:cs="仿宋_GB2312"/>
          <w:spacing w:val="-2"/>
          <w:sz w:val="32"/>
          <w:szCs w:val="32"/>
        </w:rPr>
        <w:t>家政服务与管理</w:t>
      </w:r>
      <w:r>
        <w:rPr>
          <w:rFonts w:hint="eastAsia" w:ascii="仿宋_GB2312" w:hAnsi="仿宋_GB2312" w:eastAsia="仿宋_GB2312" w:cs="仿宋_GB2312"/>
          <w:sz w:val="32"/>
          <w:szCs w:val="32"/>
        </w:rPr>
        <w:t>能力。包括</w:t>
      </w:r>
      <w:r>
        <w:rPr>
          <w:rFonts w:hint="eastAsia" w:ascii="仿宋_GB2312" w:hAnsi="仿宋_GB2312" w:eastAsia="仿宋_GB2312" w:cs="仿宋_GB2312"/>
          <w:kern w:val="0"/>
          <w:sz w:val="32"/>
          <w:szCs w:val="32"/>
          <w:lang w:bidi="ar"/>
        </w:rPr>
        <w:t>人体结构与功能、婴幼儿心理发展、家庭整理与收纳、家庭保健基础、家庭成员照护技术、家政培训实务</w:t>
      </w:r>
      <w:r>
        <w:rPr>
          <w:rFonts w:hint="eastAsia" w:ascii="仿宋_GB2312" w:hAnsi="仿宋_GB2312" w:eastAsia="仿宋_GB2312" w:cs="仿宋_GB2312"/>
          <w:spacing w:val="-4"/>
          <w:sz w:val="32"/>
          <w:szCs w:val="32"/>
        </w:rPr>
        <w:t>等课程。</w:t>
      </w:r>
    </w:p>
    <w:p>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93"/>
        <w:tblW w:w="10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6" w:type="dxa"/>
          <w:left w:w="96" w:type="dxa"/>
          <w:bottom w:w="56" w:type="dxa"/>
          <w:right w:w="96" w:type="dxa"/>
        </w:tblCellMar>
      </w:tblPr>
      <w:tblGrid>
        <w:gridCol w:w="792"/>
        <w:gridCol w:w="743"/>
        <w:gridCol w:w="4008"/>
        <w:gridCol w:w="2800"/>
        <w:gridCol w:w="2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序号</w:t>
            </w:r>
          </w:p>
        </w:tc>
        <w:tc>
          <w:tcPr>
            <w:tcW w:w="743"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课程名称</w:t>
            </w:r>
          </w:p>
        </w:tc>
        <w:tc>
          <w:tcPr>
            <w:tcW w:w="4008"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课程教学目标</w:t>
            </w:r>
          </w:p>
        </w:tc>
        <w:tc>
          <w:tcPr>
            <w:tcW w:w="2800"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课程教学内容</w:t>
            </w:r>
          </w:p>
        </w:tc>
        <w:tc>
          <w:tcPr>
            <w:tcW w:w="2563"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743" w:type="dxa"/>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人体结构与功能</w:t>
            </w:r>
          </w:p>
        </w:tc>
        <w:tc>
          <w:tcPr>
            <w:tcW w:w="4008"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掌握人体各系统的基本结构和功能；了解人体正常生理活动规律及常见生理现象的原理。</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能够运用人体结构与功能知识，为家政服务中的老年人护理、婴幼儿照料等工作提供科学依据；具备初步识别常见身体异常状况的能力。</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培养学生的科学素养和严谨态度，明白家政服务中涉及人体健康的工作需遵循科学规律；增强学生对生命的尊重与关爱意识，提升护理服务的责任心。</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引导学生认识到人体结构与功能的复杂性和神奇性，激发学生对生命科学的敬畏与探索精神；培养学生的人道主义精神，在为服务对象提供护理等服务时，充满爱心与耐心，尊重生命、呵护健康。</w:t>
            </w:r>
          </w:p>
        </w:tc>
        <w:tc>
          <w:tcPr>
            <w:tcW w:w="2800"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本课程涵盖了人体解剖学、组织胚胎学、分子生物学、生理学、生物化学、医学微生物学、医学免疫学、人体寄生虫学、机体病理学九门学科的基础内容。</w:t>
            </w:r>
          </w:p>
        </w:tc>
        <w:tc>
          <w:tcPr>
            <w:tcW w:w="2563"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通过案例分析，学生能够学习如何将医学知识与患者的情感需求结合，培养出更具同理心的医疗工作者。这样的教学方式，不仅加深了学生对医学知识的理解，也让他们意识到医学不仅仅是科学，更是一种关怀。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743" w:type="dxa"/>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婴幼儿心理发展</w:t>
            </w:r>
          </w:p>
        </w:tc>
        <w:tc>
          <w:tcPr>
            <w:tcW w:w="4008"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掌握婴幼儿心理发展的基本理论；了解婴幼儿常见心理问题的表现与成因，如分离焦虑、任性等。</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能够根据婴幼儿心理发展特点，设计适合的早期教育与游戏活动；具备识别婴幼儿异常心理表现并进行初步引导干预的能力；能与婴幼儿及其家长进行有效的沟通，反馈婴幼儿心理发展情况。</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培养学生对婴幼儿的爱心、耐心与责任心，尊重婴幼儿的心理发展规律；提升学生的观察能力和共情能力，更好地理解婴幼儿的内心世界。</w:t>
            </w:r>
          </w:p>
          <w:p>
            <w:pPr>
              <w:keepNext w:val="0"/>
              <w:keepLines w:val="0"/>
              <w:pageBreakBefore w:val="0"/>
              <w:widowControl w:val="0"/>
              <w:kinsoku/>
              <w:wordWrap/>
              <w:overflowPunct w:val="0"/>
              <w:topLinePunct w:val="0"/>
              <w:autoSpaceDE/>
              <w:autoSpaceDN/>
              <w:bidi w:val="0"/>
              <w:adjustRightInd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让学生认识到婴幼儿是家庭和社会的未来，关注婴幼儿心理发展是为国家培养健康下一代的重要环节，增强学生的使命感；通过关爱婴幼儿心理，引导学生树立尊重生命、呵护成长的价值观。</w:t>
            </w:r>
          </w:p>
        </w:tc>
        <w:tc>
          <w:tcPr>
            <w:tcW w:w="2800" w:type="dxa"/>
            <w:vAlign w:val="top"/>
          </w:tcPr>
          <w:p>
            <w:pPr>
              <w:keepNext w:val="0"/>
              <w:keepLines w:val="0"/>
              <w:pageBreakBefore w:val="0"/>
              <w:widowControl w:val="0"/>
              <w:kinsoku/>
              <w:wordWrap/>
              <w:overflowPunct w:val="0"/>
              <w:topLinePunct w:val="0"/>
              <w:autoSpaceDE/>
              <w:autoSpaceDN/>
              <w:bidi w:val="0"/>
              <w:adjustRightInd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础理论模块，婴幼儿心理发展的研究对象、影响因素及年龄特征12；相关理论学说。发展领域模块，认知发展感知觉、注意、记忆、思维的发展规律及启蒙方法；动作发展粗大动作与精细动作的训练策略及安全指导；言语发展前言语阶段特征、语音/语义/语法发展规律及促进策略；情绪与社会性，依恋类型、同伴关系、亲社会行为培养及情绪调控方法；个性发展，自我意识、气质类型及个性化教养策略。实践应用模块，心理健康评估工具的应用；心理干预方法的操作实例。</w:t>
            </w:r>
          </w:p>
        </w:tc>
        <w:tc>
          <w:tcPr>
            <w:tcW w:w="2563" w:type="dxa"/>
            <w:vAlign w:val="top"/>
          </w:tcPr>
          <w:p>
            <w:pPr>
              <w:keepNext w:val="0"/>
              <w:keepLines w:val="0"/>
              <w:pageBreakBefore w:val="0"/>
              <w:widowControl w:val="0"/>
              <w:kinsoku/>
              <w:wordWrap/>
              <w:overflowPunct w:val="0"/>
              <w:topLinePunct w:val="0"/>
              <w:autoSpaceDE/>
              <w:autoSpaceDN/>
              <w:bidi w:val="0"/>
              <w:adjustRightInd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用案例分析、情景模拟、小组讨论等互动形式，增强实践能力；结合婴幼儿成长视频或实际观察，分析行为特点与心理机制。重点婴幼儿各领域发展的关键期及规律，如依恋形成阶段、动作发展顺序；难点理论联系实际，如运用心理学原理设计个性化教育活动。考核要求，理论考核掌握发展规律及理论流派的核心观点；实践考核能够设计符合婴幼儿年龄特点的训练活动并实施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743"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家庭整理与收纳</w:t>
            </w:r>
          </w:p>
        </w:tc>
        <w:tc>
          <w:tcPr>
            <w:tcW w:w="4008"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掌握不同空间的整理收纳原则与方法；了解各类物品的收纳技巧及工具使用知识。</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能为不同户型、不同需求的家庭制定个性化整理收纳方案；具备高效、有序整理收纳家庭物品的实操能力，能合理利用空间和收纳工具。</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培养学生耐心、细致的工作态度，以及对家居环境美学的感知力；提升学生的规划能力和空间利用意识，在整理收纳中体现对生活品质的追求。</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引导学生认识到家庭整理与收纳不仅是美化环境，更是营造温馨、有序家庭氛围的重要方式，培养学生对家庭的热爱与责任感；通过整理收纳的有序性，培养学生的规则意识和条理性。</w:t>
            </w:r>
          </w:p>
        </w:tc>
        <w:tc>
          <w:tcPr>
            <w:tcW w:w="2800"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础理论与方法，分类与整理原则，按材质、季节、用途分类，学习折叠、堆叠等技巧。工具与空间规划，认识收纳工具，掌握小空间优化、多功能收纳策略。实践操作模块场景化收纳，涵盖玄关、客厅、厨房等空间，结合案例模拟实际收纳流程。环保实践旧物改造、循环利用方法，强化资源节约理念。综合能力提升上门服务模拟，学习客户需求分析、方案交付标准，培养职业化服务能力。创新设计结合美学与实用性，设计“五有”收纳方案。</w:t>
            </w:r>
          </w:p>
        </w:tc>
        <w:tc>
          <w:tcPr>
            <w:tcW w:w="2563"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用多元化教学，案例分析法、角色扮演、实验法。强调实践与互动，通过收纳比赛、成果展示提升参与度，结合社区服务项目深化应用能力。观察课堂参与度、收纳方案设计质量，定期进行知识测验。需完成家庭/社区收纳实践任务，提交对比照片及反思日记。对接家政服务职业标准，培养复合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743" w:type="dxa"/>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家庭保健基础</w:t>
            </w:r>
          </w:p>
        </w:tc>
        <w:tc>
          <w:tcPr>
            <w:tcW w:w="4008"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掌握人体各系统基础保健知识；了解不同年龄阶段人群的保健要点。</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能够为不同家庭成员制定个性化的家庭保健方案；具备家庭常见小病痛的初步处理能力；能指导家庭成员进行简单的保健运动与康复训练。</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培养学生对生命健康的敬畏与关爱之心，树立科学保健的意识；提升学生细致、耐心的服务品质，在家庭保健服务中体现人文关怀。</w:t>
            </w:r>
          </w:p>
          <w:p>
            <w:pPr>
              <w:keepNext w:val="0"/>
              <w:keepLines w:val="0"/>
              <w:pageBreakBefore w:val="0"/>
              <w:widowControl w:val="0"/>
              <w:kinsoku/>
              <w:wordWrap/>
              <w:overflowPunct w:val="0"/>
              <w:topLinePunct w:val="0"/>
              <w:autoSpaceDE/>
              <w:autoSpaceDN/>
              <w:bidi w:val="0"/>
              <w:adjustRightInd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引导学生认识到家庭保健是守护家人健康、促进家庭幸福的重要工作，培养学生的家庭责任感和社会责任感；从关爱家庭成员健康延伸到对社会大众健康的关注，树立大健康理念。</w:t>
            </w:r>
          </w:p>
        </w:tc>
        <w:tc>
          <w:tcPr>
            <w:tcW w:w="2800" w:type="dxa"/>
            <w:vAlign w:val="top"/>
          </w:tcPr>
          <w:p>
            <w:pPr>
              <w:keepNext w:val="0"/>
              <w:keepLines w:val="0"/>
              <w:pageBreakBefore w:val="0"/>
              <w:widowControl w:val="0"/>
              <w:kinsoku/>
              <w:wordWrap/>
              <w:overflowPunct w:val="0"/>
              <w:topLinePunct w:val="0"/>
              <w:autoSpaceDE/>
              <w:autoSpaceDN/>
              <w:bidi w:val="0"/>
              <w:adjustRightInd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现代医疗保健技术模块，智能设备应用，健康监测设备的使用与数据分析。医疗知识基础，常见慢性病的家庭管理。家庭安全与应急处理模块事故预防，用电、燃气、火灾等隐患的识别与排查。急救技能，心肺复苏、创伤处理、中毒应急措施。健康生活方式模块营养与膳食，科学配餐、特殊人群饮食管理。中医保健，推拿按摩、穴位保健等传统疗法的应用。家居环境优化模块污染源控制，装修污染、空气质量的检测与改善。空间规划，功能性家居布局。</w:t>
            </w:r>
          </w:p>
        </w:tc>
        <w:tc>
          <w:tcPr>
            <w:tcW w:w="2563"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理论与实践结合，通过案例分析强化实操能力。要求完成健康管理计划书、家居安全排查报告等实践作业。技术工具应用，掌握现代医疗设备操作及数据分析软件的使用。学习使用环保检测工具评估家居环境。</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743" w:type="dxa"/>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家庭成员照护技术</w:t>
            </w:r>
          </w:p>
        </w:tc>
        <w:tc>
          <w:tcPr>
            <w:tcW w:w="4008"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掌握婴幼儿、老年人、孕产妇等不同家庭成员的照护知识</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rPr>
              <w:t>了解照护过程中的安全防护知识与急救技能。</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能为婴幼儿进行日常护理、健康观察与常见问题处理；具备老年人日常照护能力，包括生活照料、健康监测、康复辅助等；能为孕产妇提供孕期、产后的护理与健康指导。</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培养学生的爱心、耐心与责任心，尊重照护对象的需求与感受；提升学生的观察能力和应急处理能力，在照护过程中体现人文关怀。</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引导学生认识到家庭成员照护是维系家庭亲情、促进家庭和谐的重要工作，培养学生的家庭伦理观念和亲情意识；通过照护不同家庭成员，培养学生的尊老爱幼、关爱他人的传统美德。</w:t>
            </w:r>
          </w:p>
        </w:tc>
        <w:tc>
          <w:tcPr>
            <w:tcW w:w="2800"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家庭保健护理的概念和重要性；常见家庭保健护理技能、卫生习惯，了解均衡饮食的重要性，学习选择健康食材和烹饪方法等、心理健康，了解心理健康问题，并学习应对压力和情绪管理的方法等。</w:t>
            </w:r>
          </w:p>
        </w:tc>
        <w:tc>
          <w:tcPr>
            <w:tcW w:w="2563"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生命体征的测量及护理， 家庭环境感染与防控。家庭成员的舒适与安全，家庭成员的休息与活动，常用抢救技术，常见慢性疾病家庭照护。通过讲授、演示、录像、练习、自学、讨论、角色扮演等使学生建立整体观念。培养科学的护理思维方法，理解掌握护理程序的步骤，培养评判性思维能力。掌握护理的基本理论、知识和技能，加强实践技能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val="0"/>
              <w:kinsoku/>
              <w:wordWrap/>
              <w:topLinePunct w:val="0"/>
              <w:autoSpaceDE/>
              <w:autoSpaceDN/>
              <w:bidi w:val="0"/>
              <w:snapToGrid w:val="0"/>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743" w:type="dxa"/>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家政培训实务</w:t>
            </w:r>
          </w:p>
        </w:tc>
        <w:tc>
          <w:tcPr>
            <w:tcW w:w="4008"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掌握家政培训的基本理论与方法；了解家政服务各领域的培训内容与要点。</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进行家政培训需求调研与分析，制定针对性的培训计划；具备家政培训课程设计与开发能力，能设计实用、有效的培训课程；能开展家政培训教学活动，运用多种教学方法提升培训效果；能对家政培训效果进行评估与反馈，持续改进培训工作。</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培养学生的组织管理能力和教学能力，提升专业素养；增强学生的服务意识和责任感，为家政行业培养优质人才。</w:t>
            </w:r>
          </w:p>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引导学生认识到家政培训是提升家政服务行业整体水平的关键，培养学生的行业发展责任意识；通过培训工作，传递专业、敬业的职业精神，推动家政行业的规范化、职业化发展。</w:t>
            </w:r>
          </w:p>
        </w:tc>
        <w:tc>
          <w:tcPr>
            <w:tcW w:w="2800"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内容全面涵盖现代家政服务行业标准与职业规范、家居清洁与消毒标准化操作流程、科学收纳与空间规划方法、不同年龄段家庭成员照护要点、家庭膳食营养搭配与烹饪技巧、家用电器安全使用与维护、服务礼仪与沟通技巧、突发事件应急处理、家政服务质量管理等实务操作内容，并结合真实案例进行技能强化训练。</w:t>
            </w:r>
          </w:p>
        </w:tc>
        <w:tc>
          <w:tcPr>
            <w:tcW w:w="2563" w:type="dxa"/>
            <w:vAlign w:val="top"/>
          </w:tcPr>
          <w:p>
            <w:pPr>
              <w:keepNext w:val="0"/>
              <w:keepLines w:val="0"/>
              <w:pageBreakBefore w:val="0"/>
              <w:widowControl w:val="0"/>
              <w:kinsoku/>
              <w:wordWrap/>
              <w:topLinePunct w:val="0"/>
              <w:autoSpaceDE/>
              <w:autoSpaceDN/>
              <w:bidi w:val="0"/>
              <w:snapToGrid w:val="0"/>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通过全部教学内容的学习，掌握家政服务与管理的基本理论，达到能够运用家政服务与管理的方法和艺术，去解决工作中实际问题的能力，并能够运用家政管理与服务的知识为有需要的人服务。风格培养，PPT 制作与展示，对学员思想、 感受、行为的设计，课堂互动技巧，语言训练等知识和技能。</w:t>
            </w:r>
          </w:p>
        </w:tc>
      </w:tr>
    </w:tbl>
    <w:p>
      <w:pPr>
        <w:keepNext w:val="0"/>
        <w:keepLines w:val="0"/>
        <w:pageBreakBefore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3.专业拓展课程</w:t>
      </w:r>
    </w:p>
    <w:p>
      <w:pPr>
        <w:keepNext w:val="0"/>
        <w:keepLines w:val="0"/>
        <w:pageBreakBefore w:val="0"/>
        <w:widowControl/>
        <w:kinsoku/>
        <w:wordWrap/>
        <w:overflowPunct/>
        <w:topLinePunct w:val="0"/>
        <w:autoSpaceDE/>
        <w:autoSpaceDN/>
        <w:bidi w:val="0"/>
        <w:spacing w:after="0"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专业拓展课程是按照岗位迁移，根据</w:t>
      </w:r>
      <w:r>
        <w:rPr>
          <w:rFonts w:hint="eastAsia" w:ascii="仿宋_GB2312" w:hAnsi="仿宋_GB2312" w:eastAsia="仿宋_GB2312" w:cs="仿宋_GB2312"/>
          <w:spacing w:val="-2"/>
          <w:sz w:val="32"/>
          <w:szCs w:val="32"/>
        </w:rPr>
        <w:t>家政行业</w:t>
      </w:r>
      <w:r>
        <w:rPr>
          <w:rFonts w:hint="eastAsia" w:ascii="仿宋_GB2312" w:hAnsi="仿宋_GB2312" w:eastAsia="仿宋_GB2312" w:cs="仿宋_GB2312"/>
          <w:sz w:val="32"/>
          <w:szCs w:val="32"/>
        </w:rPr>
        <w:t>发展的趋势，通过企业用人需求调研，依据企业对</w:t>
      </w:r>
      <w:r>
        <w:rPr>
          <w:rFonts w:hint="eastAsia" w:ascii="仿宋_GB2312" w:hAnsi="仿宋_GB2312" w:eastAsia="仿宋_GB2312" w:cs="仿宋_GB2312"/>
          <w:spacing w:val="-2"/>
          <w:sz w:val="32"/>
          <w:szCs w:val="32"/>
        </w:rPr>
        <w:t>具备专业技能和资质的家政人才</w:t>
      </w:r>
      <w:r>
        <w:rPr>
          <w:rFonts w:hint="eastAsia" w:ascii="仿宋_GB2312" w:hAnsi="仿宋_GB2312" w:eastAsia="仿宋_GB2312" w:cs="仿宋_GB2312"/>
          <w:sz w:val="32"/>
          <w:szCs w:val="32"/>
        </w:rPr>
        <w:t>日益增加的市场需求实际状况，建立了</w:t>
      </w:r>
      <w:r>
        <w:rPr>
          <w:rFonts w:hint="eastAsia" w:ascii="仿宋_GB2312" w:hAnsi="仿宋_GB2312" w:eastAsia="仿宋_GB2312" w:cs="仿宋_GB2312"/>
          <w:spacing w:val="-2"/>
          <w:sz w:val="32"/>
          <w:szCs w:val="32"/>
        </w:rPr>
        <w:t>现代家政服务与管理（照护方向）</w:t>
      </w:r>
      <w:r>
        <w:rPr>
          <w:rFonts w:hint="eastAsia" w:ascii="仿宋_GB2312" w:hAnsi="仿宋_GB2312" w:eastAsia="仿宋_GB2312" w:cs="仿宋_GB2312"/>
          <w:sz w:val="32"/>
          <w:szCs w:val="32"/>
        </w:rPr>
        <w:t>专业拓展课，并将辅修方向课程纳入其中。由</w:t>
      </w:r>
      <w:r>
        <w:rPr>
          <w:rFonts w:hint="eastAsia" w:ascii="仿宋_GB2312" w:hAnsi="仿宋_GB2312" w:eastAsia="仿宋_GB2312" w:cs="仿宋_GB2312"/>
          <w:kern w:val="0"/>
          <w:sz w:val="32"/>
          <w:szCs w:val="32"/>
          <w:lang w:bidi="ar"/>
        </w:rPr>
        <w:t>家宴策划与组织、家居空间规划、家庭环境与美化、插花与茶艺、产后恢复、亲子教育、婴幼儿玩教具与游戏、现代教育技术、家政资讯管理、家政电子商务实务、家政企业经营与管理、家庭服务营销、婴幼儿艺术启蒙</w:t>
      </w:r>
      <w:r>
        <w:rPr>
          <w:rFonts w:hint="eastAsia" w:ascii="仿宋_GB2312" w:hAnsi="仿宋_GB2312" w:eastAsia="仿宋_GB2312" w:cs="仿宋_GB2312"/>
          <w:sz w:val="32"/>
          <w:szCs w:val="32"/>
        </w:rPr>
        <w:t>等课程构成专业拓展课。</w:t>
      </w:r>
    </w:p>
    <w:p>
      <w:pPr>
        <w:overflowPunct w:val="0"/>
        <w:adjustRightInd w:val="0"/>
        <w:spacing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 xml:space="preserve">5 </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93"/>
        <w:tblW w:w="10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925"/>
        <w:gridCol w:w="3304"/>
        <w:gridCol w:w="3129"/>
        <w:gridCol w:w="2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925"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3304"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课程教学目标</w:t>
            </w:r>
          </w:p>
        </w:tc>
        <w:tc>
          <w:tcPr>
            <w:tcW w:w="3129"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课程教学内容</w:t>
            </w:r>
          </w:p>
        </w:tc>
        <w:tc>
          <w:tcPr>
            <w:tcW w:w="2739"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家宴策划与组织</w:t>
            </w:r>
          </w:p>
        </w:tc>
        <w:tc>
          <w:tcPr>
            <w:tcW w:w="3304"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掌握家宴策划的基本流程；了解不同类型家宴的特点与策划要点；熟悉家宴餐饮搭配、成本核算等知识。</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能根据客户需求和家庭情况，制定个性化的家宴策划方案；具备家宴场地布置、菜单设计与成本控制的能力；能组织协调家宴筹备与实施过程中的各项工作，确保家宴顺利进行。</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培养学生的策划能力和统筹协调能力，提升对生活品质的追求；增强学生的服务意识和责任感，在策划与组织家宴中体现对家人或客户的关爱。</w:t>
            </w:r>
          </w:p>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引导学生认识到家宴是家庭情感交流、传承家庭文化的重要载体，培养学生的家庭情感意识和文化传承意识；通过精心策划家宴，传递对家人的爱与尊重，营造和谐家庭氛围。</w:t>
            </w:r>
          </w:p>
        </w:tc>
        <w:tc>
          <w:tcPr>
            <w:tcW w:w="3129" w:type="dxa"/>
            <w:vAlign w:val="top"/>
          </w:tcPr>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课程内容涵盖家宴类型与主题定位策略、中西式宴会礼仪文化比较、菜单设计与营养搭配原则、酒水搭配知识与侍酒技巧、餐桌艺术与场景布置方法、宾客动线设计与座次安排、预算编制与成本控制技巧、食材采购与储存要点、厨房工作流程优化、服务人员管理与培训、应急预案制定等专业内容，并结合实际案例进行全流程模拟训练。</w:t>
            </w:r>
          </w:p>
        </w:tc>
        <w:tc>
          <w:tcPr>
            <w:tcW w:w="2739" w:type="dxa"/>
            <w:vAlign w:val="top"/>
          </w:tcPr>
          <w:p>
            <w:pPr>
              <w:keepNext w:val="0"/>
              <w:keepLines w:val="0"/>
              <w:pageBreakBefore w:val="0"/>
              <w:widowControl/>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理论教学通过课堂讲授、案例分析等方式，传授家宴策划与组织的理论知识。实践教学安排实训课程，让学生在实际操作中掌握家宴策划与组织的技能，如模拟家宴策划、实地布置等。小组协作学习以小组形式开展学习项目，培养学生的团队协作精神和沟通能力。现场教学组织学生到酒店、餐厅等场所进行现场教学，了解实际家宴的策划与组织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p>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p>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p>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p>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p>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家居空间规划</w:t>
            </w:r>
          </w:p>
        </w:tc>
        <w:tc>
          <w:tcPr>
            <w:tcW w:w="3304"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掌握家居空间规划的基本原理；了解不同户型的空间规划要点；熟悉家居空间规划与人体工程学、家居风格的关系。</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根据家庭人员结构、生活习惯等，进行家居空间功能分区与动线设计；具备家具布局与空间利用优化的能力，能为不同户型的家庭制定合理的空间规划方案；能结合家居风格进行空间规划，提升家居空间的美观与实用性。</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培养学生的空间感知能力和设计思维，提升对家居环境的审美水平；增强学生的实用主义意识，在空间规划中体现对生活便利性的追求。</w:t>
            </w:r>
          </w:p>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引导学生认识到家居空间规划是营造舒适、温馨家庭环境的基础，培养学生的家庭归属感和对美好生活的向往；通过合理规划空间，传递节约资源、合理利用空间的理念，树立环保意识。</w:t>
            </w:r>
          </w:p>
        </w:tc>
        <w:tc>
          <w:tcPr>
            <w:tcW w:w="3129" w:type="dxa"/>
            <w:vAlign w:val="top"/>
          </w:tcPr>
          <w:p>
            <w:pPr>
              <w:keepNext w:val="0"/>
              <w:keepLines w:val="0"/>
              <w:pageBreakBefore w:val="0"/>
              <w:widowControl/>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pacing w:val="-6"/>
                <w:sz w:val="24"/>
                <w:szCs w:val="24"/>
                <w:shd w:val="clear" w:color="auto" w:fill="FFFFFF"/>
              </w:rPr>
            </w:pPr>
            <w:r>
              <w:rPr>
                <w:rFonts w:hint="eastAsia" w:ascii="仿宋_GB2312" w:hAnsi="仿宋_GB2312" w:eastAsia="仿宋_GB2312" w:cs="仿宋_GB2312"/>
                <w:sz w:val="24"/>
                <w:szCs w:val="24"/>
                <w:shd w:val="clear" w:color="auto" w:fill="FFFFFF"/>
              </w:rPr>
              <w:t>家居空间设计理论，包括住宅室内设计的概念、住宅空间的历史演变、住宅室内设计的设计特点、现代住宅空间的主要功能空间、现代住宅空间室内设计的设计风格、室内设计的装饰手段、设计中的感官尺度、空间的界定方式、材料认知等内容，设计规范与标准，介绍室内设计制图规范、人体工程学在室内设计中的应用等知识，使学生能够按照国家标准正确而快速绘图。实践操作家居空间尺度调研，让学生了解家具尺度，学会用自身肢体感受尺度，掌握常用家具的尺寸；学习居住功能空间的尺度，学习居住空间各功能空间的关系和组合方式；了解家居空间的界面处理和细部处理，居住空间室内设计实</w:t>
            </w:r>
            <w:r>
              <w:rPr>
                <w:rFonts w:hint="eastAsia" w:ascii="仿宋_GB2312" w:hAnsi="仿宋_GB2312" w:eastAsia="仿宋_GB2312" w:cs="仿宋_GB2312"/>
                <w:spacing w:val="-6"/>
                <w:sz w:val="24"/>
                <w:szCs w:val="24"/>
                <w:shd w:val="clear" w:color="auto" w:fill="FFFFFF"/>
              </w:rPr>
              <w:t>践，学生运用所学的家居空间设计理论展开设计，进行平面布局规划、流线设计以及相应的设计成果表达，涵盖绘制施工图纸、效果图等。</w:t>
            </w:r>
          </w:p>
          <w:p>
            <w:pPr>
              <w:keepNext w:val="0"/>
              <w:keepLines w:val="0"/>
              <w:pageBreakBefore w:val="0"/>
              <w:widowControl/>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pacing w:val="-6"/>
                <w:sz w:val="24"/>
                <w:szCs w:val="24"/>
                <w:shd w:val="clear" w:color="auto" w:fill="FFFFFF"/>
              </w:rPr>
            </w:pPr>
          </w:p>
        </w:tc>
        <w:tc>
          <w:tcPr>
            <w:tcW w:w="2739" w:type="dxa"/>
            <w:vAlign w:val="top"/>
          </w:tcPr>
          <w:p>
            <w:pPr>
              <w:keepNext w:val="0"/>
              <w:keepLines w:val="0"/>
              <w:pageBreakBefore w:val="0"/>
              <w:widowControl/>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学生应具备一定的专业设计基础知识，掌握相关的专业设计软件，要求学生具备相应的设计制图基础和初步的对于设计和空间的理解。学生需根据环境需要确定自己的学习目标，并主动地通过搜集信息、分析信息、讨论、实践、质疑、创造等方法来实现学习目标，培养自主学习能力。</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家庭环境与美化</w:t>
            </w:r>
          </w:p>
        </w:tc>
        <w:tc>
          <w:tcPr>
            <w:tcW w:w="3304"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掌握家庭环境美化的基本原理；了解不同家居风格的环境美化特点与方法；熟悉家庭环境卫生与安全知识。</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根据家居风格和家庭需求，进行家庭环境色彩搭配与装饰布置；具备家庭绿植选择与布置、软装搭配的能力，提升家庭环境的美观度；能进行家庭环境卫生清洁与维护，选择环保安全的家居用品，营造健康的家庭环境。</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培养学生的审美能力和动手能力，提升对家庭环境的热爱；增强学生的环保意识和健康意识，在家庭环境美化中注重环保与健康。</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引导学生认识到美化家庭环境是创造美好生活的重要方式，培养学生的生活情趣和对幸福生活的追求；通过选择环保材料、营造健康环境，传递绿色生活、健康生活的理念，树立可持续发展意识。</w:t>
            </w:r>
          </w:p>
        </w:tc>
        <w:tc>
          <w:tcPr>
            <w:tcW w:w="3129" w:type="dxa"/>
            <w:vAlign w:val="top"/>
          </w:tcPr>
          <w:p>
            <w:pPr>
              <w:keepNext w:val="0"/>
              <w:keepLines w:val="0"/>
              <w:pageBreakBefore w:val="0"/>
              <w:widowControl/>
              <w:shd w:val="clear" w:color="auto" w:fill="FFFFFF"/>
              <w:kinsoku/>
              <w:wordWrap/>
              <w:topLinePunct w:val="0"/>
              <w:autoSpaceDE/>
              <w:autoSpaceDN/>
              <w:bidi w:val="0"/>
              <w:snapToGrid/>
              <w:spacing w:after="0" w:line="300" w:lineRule="exact"/>
              <w:ind w:left="0"/>
              <w:jc w:val="both"/>
              <w:textAlignment w:val="auto"/>
              <w:outlineLvl w:val="2"/>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shd w:val="clear" w:color="auto" w:fill="FFFFFF"/>
              </w:rPr>
              <w:t>家庭环境基础，介绍家庭环境的定义、范畴，包括室内空间布局、装饰风格、色彩搭配等方面。讲解家庭环境对居住者身心健康、生活质量的影响。家居布置方法</w:t>
            </w:r>
            <w:r>
              <w:rPr>
                <w:rFonts w:hint="eastAsia" w:ascii="仿宋_GB2312" w:hAnsi="仿宋_GB2312" w:eastAsia="仿宋_GB2312" w:cs="仿宋_GB2312"/>
                <w:sz w:val="24"/>
                <w:szCs w:val="24"/>
                <w:highlight w:val="none"/>
                <w:shd w:val="clear" w:color="auto" w:fill="FFFFFF"/>
                <w:lang w:eastAsia="zh-CN"/>
              </w:rPr>
              <w:t>，</w:t>
            </w:r>
            <w:r>
              <w:rPr>
                <w:rFonts w:hint="eastAsia" w:ascii="仿宋_GB2312" w:hAnsi="仿宋_GB2312" w:eastAsia="仿宋_GB2312" w:cs="仿宋_GB2312"/>
                <w:sz w:val="24"/>
                <w:szCs w:val="24"/>
                <w:highlight w:val="none"/>
                <w:shd w:val="clear" w:color="auto" w:fill="FFFFFF"/>
              </w:rPr>
              <w:t>引导学生合理规划家居空间，如不同功能区域的划分和布局。教授家居布置的基本技巧，如家具的选择与摆放、物品的收纳整理等。家居美化元素，介绍家居绿化知识，包括适合室内种植的植物种类、养护方法，以及如何用植物点缀家居。讲解家居装饰的艺术，如使用剪纸、布艺、泥塑、插花等工艺作品装点家居的方法和技巧。探讨家居色彩搭配原则，如何根据不同的房间功能和个人喜好选择合适的色彩方案。实践操作与案例分析，安排学生进行家居美化实践活动，如设计家居布置方案、实际动手布置自己的居室等。分析优秀的家居环境布置案例，总结经验，激发学生的创意和灵感。</w:t>
            </w:r>
          </w:p>
        </w:tc>
        <w:tc>
          <w:tcPr>
            <w:tcW w:w="2739" w:type="dxa"/>
            <w:vAlign w:val="top"/>
          </w:tcPr>
          <w:p>
            <w:pPr>
              <w:keepNext w:val="0"/>
              <w:keepLines w:val="0"/>
              <w:pageBreakBefore w:val="0"/>
              <w:widowControl/>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shd w:val="clear" w:color="auto" w:fill="FFFFFF"/>
              </w:rPr>
              <w:t>学生应积极参与课堂讨论和实践活动，主动思考，大胆表达自己的观点和想法。认真完成教师布置的作业和实践任务，如家居布置方案设计、实际动手美化家居等，不断提高自己的动手能力和实践能力。在小组合作中，学生要学会倾听他人的意见，尊重他人的想法，积极与小组成员沟通协作，共同完成学习任务。学生要将所学知识运用到实际生活中，养成良好的家居整理和美化习惯，提高家庭环境质量。</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插花与茶艺</w:t>
            </w:r>
          </w:p>
        </w:tc>
        <w:tc>
          <w:tcPr>
            <w:tcW w:w="3304"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掌握插花的基本理论；了解不同插花风格的特点与创作方法；熟悉茶艺的基本理论。</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能根据不同场景和需求，进行插花创作，掌握基本的插花技巧；具备茶艺表演与品茶能力，能熟练冲泡不同种类的茶叶，展示良好的品茶礼仪；能将插花与茶艺结合，营造优雅的家庭生活氛围。</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培养学生的艺术修养和审美情趣，提升对生活美学的感知；增强学生的耐心和专注力，在插花与茶艺中体会慢生活的乐趣。</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引导学生认识到插花与茶艺是中国传统文化的重要组成部分，培养学生的文化自信和对传统文化的热爱</w:t>
            </w:r>
            <w:r>
              <w:rPr>
                <w:rFonts w:hint="eastAsia" w:ascii="仿宋_GB2312" w:hAnsi="仿宋_GB2312" w:eastAsia="仿宋_GB2312" w:cs="仿宋_GB2312"/>
                <w:spacing w:val="-6"/>
                <w:sz w:val="24"/>
                <w:szCs w:val="24"/>
              </w:rPr>
              <w:t>；通过插花与茶艺活动，传递宁静、和谐、优雅的生活态度，提升学生的人文素养。</w:t>
            </w:r>
          </w:p>
        </w:tc>
        <w:tc>
          <w:tcPr>
            <w:tcW w:w="3129" w:type="dxa"/>
            <w:vAlign w:val="top"/>
          </w:tcPr>
          <w:p>
            <w:pPr>
              <w:keepNext w:val="0"/>
              <w:keepLines w:val="0"/>
              <w:pageBreakBefore w:val="0"/>
              <w:widowControl/>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课程内容全面涵盖花材分类与保鲜技术、东西方插花风格比较与技法训练、花器选择与色彩搭配原理、茶文化发展史与六大茶类特征、茶具鉴赏与使用方法、茶叶冲泡技艺与水温控制、茶席设计与茶事礼仪规范、茶会组织流程等专业知识模块，并结合节日主题和不同场景进行创意实践训练。</w:t>
            </w:r>
          </w:p>
        </w:tc>
        <w:tc>
          <w:tcPr>
            <w:tcW w:w="2739" w:type="dxa"/>
            <w:vAlign w:val="top"/>
          </w:tcPr>
          <w:p>
            <w:pPr>
              <w:keepNext w:val="0"/>
              <w:keepLines w:val="0"/>
              <w:pageBreakBefore w:val="0"/>
              <w:widowControl/>
              <w:shd w:val="clear" w:color="auto" w:fill="FFFFFF"/>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kern w:val="0"/>
                <w:sz w:val="24"/>
                <w:szCs w:val="24"/>
                <w:shd w:val="clear" w:color="auto" w:fill="FFFFFF"/>
              </w:rPr>
            </w:pPr>
            <w:r>
              <w:rPr>
                <w:rFonts w:hint="eastAsia" w:ascii="仿宋_GB2312" w:hAnsi="仿宋_GB2312" w:eastAsia="仿宋_GB2312" w:cs="仿宋_GB2312"/>
                <w:kern w:val="0"/>
                <w:sz w:val="24"/>
                <w:szCs w:val="24"/>
                <w:shd w:val="clear" w:color="auto" w:fill="FFFFFF"/>
                <w:lang w:bidi="ar"/>
              </w:rPr>
              <w:t>通过花材处理实操训练，使学生掌握鲜花保鲜和基础造型能力；通过插花作品创作，培养学生具备根据不同场合设计主题花艺的审美能力；通过茶艺流程演练，使学生达到规范演示绿茶、乌龙茶等代表性茶类冲泡技法的水准；最终使学生能够综合运用插花与茶艺知识，独立完成小型茶会活动的</w:t>
            </w:r>
            <w:r>
              <w:rPr>
                <w:rFonts w:hint="eastAsia" w:ascii="仿宋_GB2312" w:hAnsi="仿宋_GB2312" w:eastAsia="仿宋_GB2312" w:cs="仿宋_GB2312"/>
                <w:sz w:val="24"/>
                <w:szCs w:val="24"/>
                <w:shd w:val="clear" w:color="auto" w:fill="FFFFFF"/>
              </w:rPr>
              <w:t>整体环境布置与流程执行工作。实验技能方面，学生能够科学冲泡一杯茶，独立进行茶席设计及主题茶艺的编创，具备依托茶艺形式推广茶文化和茶产业发展的能力。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产后恢复</w:t>
            </w:r>
          </w:p>
        </w:tc>
        <w:tc>
          <w:tcPr>
            <w:tcW w:w="3304"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掌握产后女性身体变化的基本知识；了解产后恢复的基本理论与方法；熟悉产后常见问题的识别与处理知识。</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为产后女性制定个性化的产后恢复方案，包括身体康复计划、心理调适建议、营养调理食谱等；具备产后常见问题初步识别与处理的能力，能为产后女性提供基础的健康指导；能与产后女性及其家人进行有效沟通，给予心理支持与关怀。</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培养学生的爱心、耐心与责任心，关注产后女性的身心健康；提升学生的专业素养和服务意识，为产后女性提供科学、贴心的服务。</w:t>
            </w:r>
          </w:p>
          <w:p>
            <w:pPr>
              <w:keepNext w:val="0"/>
              <w:keepLines w:val="0"/>
              <w:pageBreakBefore w:val="0"/>
              <w:widowControl/>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引导学生认识到产后恢复是关爱女性、保障母婴健康的重要工作，培养学生的性别平等意识和对女性健康的关注；通过为产后女性提供服务，传递关爱与温暖，营造尊重女性、关爱家庭的社会氛围。</w:t>
            </w:r>
          </w:p>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p>
        </w:tc>
        <w:tc>
          <w:tcPr>
            <w:tcW w:w="3129" w:type="dxa"/>
            <w:vAlign w:val="top"/>
          </w:tcPr>
          <w:p>
            <w:pPr>
              <w:keepNext w:val="0"/>
              <w:keepLines w:val="0"/>
              <w:pageBreakBefore w:val="0"/>
              <w:widowControl/>
              <w:shd w:val="clear" w:color="auto" w:fill="FFFFFF"/>
              <w:kinsoku/>
              <w:wordWrap/>
              <w:topLinePunct w:val="0"/>
              <w:autoSpaceDE/>
              <w:autoSpaceDN/>
              <w:bidi w:val="0"/>
              <w:snapToGrid/>
              <w:spacing w:after="0" w:line="300" w:lineRule="exact"/>
              <w:ind w:left="0"/>
              <w:jc w:val="both"/>
              <w:textAlignment w:val="auto"/>
              <w:outlineLvl w:val="2"/>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产后身体变化与恢复原理，产后身体各系统变化特点，如骨骼、肌肉、内分泌等系统的生理变化。产后恢复的基本原理与阶段性特点。产后营养与饮食调理，产后营养需求与食物选择。产后饮食调理原则与方法。产后运动锻炼，产后运动锻炼的原则与注意事项。产后运动项目及方法。产后运动阶梯的概念、各个阶梯的运动目的和适用阶段。产后心理调适，产后心理变化及其影响。产后心理调适方法与技巧。产后恢复辅助工具与设备，常用产后恢复辅助工具介绍。产后恢复设备的使用方法与注意事项。产后修复方案设计，学习如何为产后母亲制定个性化修复方案，包括运动、饮食、心理调适等方面。产后修复技巧与实践，教授产后修复的基本技巧，如骨盆底肌肉锻炼、腹直肌分离修复等。产后恢复案例分析与实操，产后恢复成功案例分析。学生分组讨论，设计产后恢复方案。实操演练，体验产后恢复锻炼。</w:t>
            </w:r>
          </w:p>
        </w:tc>
        <w:tc>
          <w:tcPr>
            <w:tcW w:w="2739" w:type="dxa"/>
            <w:vAlign w:val="top"/>
          </w:tcPr>
          <w:p>
            <w:pPr>
              <w:keepNext w:val="0"/>
              <w:keepLines w:val="0"/>
              <w:pageBreakBefore w:val="0"/>
              <w:widowControl/>
              <w:shd w:val="clear" w:color="auto" w:fill="FFFFFF"/>
              <w:kinsoku/>
              <w:wordWrap/>
              <w:topLinePunct w:val="0"/>
              <w:autoSpaceDE/>
              <w:autoSpaceDN/>
              <w:bidi w:val="0"/>
              <w:snapToGrid/>
              <w:spacing w:after="0" w:line="300" w:lineRule="exact"/>
              <w:ind w:left="0"/>
              <w:jc w:val="both"/>
              <w:textAlignment w:val="auto"/>
              <w:outlineLvl w:val="2"/>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产后身体变化与恢复原理，产后身体各系统变化特点，如骨骼、肌肉、内分泌等系统的生理变化。产后恢复的基本原理与阶段性特点。产后营养与饮食调理，产后营养需求与食物选择。产后饮食调理原则与方法。产后运动锻炼，产后运动锻炼的原则与注意事项。常见产后运动项目及方法，产后运动阶梯中的各个动作及适用阶段。产后心理调适，产后心理变化及其影响。产后心理调适方法与技巧。产后恢复辅助工具与设备，常用产后恢复辅助工具介绍。产后恢复设备的使用方法与注意事项。产后恢复方案设计，学习如何为产后母亲制定个性化修复方案，包括运动、饮食、心理调适等方面。产后恢复技巧与实践，教授产后修复的基本技巧，如骨盆底肌肉锻炼、腹直肌分离修复等。产后恢复案例分析与实操，分析产后恢复的成功案例和问题案例。学生分组讨论，设计产后恢复方案。实操演练，体验产后恢复锻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亲子教育</w:t>
            </w:r>
          </w:p>
        </w:tc>
        <w:tc>
          <w:tcPr>
            <w:tcW w:w="3304"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掌握亲子教育的基本理论；了解不同年龄段儿童的特点与亲子教育要点；熟悉亲子活动设计、亲子关系建立与维护的知识。</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根据儿童的年龄和特点，设计适合的亲子活动，促进儿童的全面发展；具备良好的亲子沟通能力，能与儿童及其家长进行有效交流，指导家长进行科学的亲子教育；能识别亲子关系中存在的问题并提供改进建议，帮助建立和谐的亲子关系。</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培养学生对儿童的关爱与尊重，遵循儿童发展规律开展亲子教育；提升学生的教育能力和沟通能力，在亲子教育中传递科学的教育理念。</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亲子教育是家庭教育的核心，良好的亲子关系是儿童健康成长的基础，培养学生的家庭责任意识和教育责任意识；通过科学的亲子教育，传递爱与尊重、平等与沟通的家庭价值观，促进家庭和谐与社会和谐。</w:t>
            </w:r>
          </w:p>
        </w:tc>
        <w:tc>
          <w:tcPr>
            <w:tcW w:w="3129" w:type="dxa"/>
            <w:vAlign w:val="top"/>
          </w:tcPr>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亲子关系概述，介绍亲子关系的定义、特点，以及在不同成长阶段亲子关系的变化。</w:t>
            </w:r>
            <w:r>
              <w:rPr>
                <w:rFonts w:hint="eastAsia" w:ascii="仿宋_GB2312" w:hAnsi="仿宋_GB2312" w:eastAsia="仿宋_GB2312" w:cs="仿宋_GB2312"/>
                <w:sz w:val="24"/>
                <w:szCs w:val="24"/>
                <w:lang w:val="en-US" w:eastAsia="zh-CN"/>
              </w:rPr>
              <w:t>沟通</w:t>
            </w:r>
            <w:r>
              <w:rPr>
                <w:rFonts w:hint="eastAsia" w:ascii="仿宋_GB2312" w:hAnsi="仿宋_GB2312" w:eastAsia="仿宋_GB2312" w:cs="仿宋_GB2312"/>
                <w:sz w:val="24"/>
                <w:szCs w:val="24"/>
              </w:rPr>
              <w:t>技巧训练，教授倾听、表达、同理心等沟通技巧，提高学生与父母的有效沟通能力。家庭活动设计与实施，指导学生如何策划家庭活动，增进亲子间的情感交流。解决家庭冲突，分析家庭冲突的类型，提供解决冲突的方法和策略</w:t>
            </w:r>
          </w:p>
        </w:tc>
        <w:tc>
          <w:tcPr>
            <w:tcW w:w="2739"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结合课本内容，注重实用性，以案例分析和实践操作为主，引导学生积极参与，提高课程效果。将目标分解为具体的学习成果，便于教学设计和评估。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婴幼儿玩教具与游戏</w:t>
            </w:r>
          </w:p>
        </w:tc>
        <w:tc>
          <w:tcPr>
            <w:tcW w:w="3304"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掌握婴幼儿玩教具的分类、选择原则及教育价值；熟悉不同年龄段婴幼儿游戏的特点、类型及设计依据；了解玩教具制作的基本材料与方法。</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能根据婴幼儿发展阶段和需求，选择合适的玩教具；具备设计、制作简易婴幼儿玩教具的能力；能组织开展符合婴幼儿发展特点的游戏活动。</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培养对婴幼儿的爱心与耐心，提升对婴幼儿发展需求的敏感度；增强创新意识与动手能力，为婴幼儿提供优质的游戏体验。</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引导学生认识到玩教具与游戏对婴幼儿成长的重要性，树立科学育儿理念；通过亲手制作玩教具和设计游戏，培养工匠精神与责任意识，助力婴幼儿健康成长。</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p>
        </w:tc>
        <w:tc>
          <w:tcPr>
            <w:tcW w:w="3129" w:type="dxa"/>
            <w:vAlign w:val="top"/>
          </w:tcPr>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论基础模块游戏理论，经典游戏理论、社会文化历史学派理论、觉醒理论等。婴幼儿发展规律，游戏与生理/心理发展、不同年龄段游戏特点及指导要点。玩教具制作模块材料技术，纸艺、布艺、泥工、线编等制作技法。</w:t>
            </w:r>
          </w:p>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设计：科学类、生活类、体育类玩教具的设计原则与实例分析。游戏指导与实践模块区域游戏组织，角色扮演区、建构区、益智区的环境创设与材料投放策略。游戏观察与评价，记录婴幼儿游戏行为，分析发展水平并调整教学方案。综合应用模块。废旧材料改造，利用自然物或生活废弃物制作玩教具。游戏课程开发，结合幼儿园主题教学，设计融合多领域目标的游戏活动。</w:t>
            </w:r>
          </w:p>
        </w:tc>
        <w:tc>
          <w:tcPr>
            <w:tcW w:w="2739"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采用“理论+实践”模式，</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结合真实幼儿园案例，分析游戏指导中的典型问题。学生能力达标要求</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技能掌握，能独立完成5类以上玩教具制作，并通过作品展示评估创意与实用性。教学应用，设计并实施一节完整的游戏活动课，体现目标适配性、材料丰富性和师幼互动性。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现代教育技术</w:t>
            </w:r>
          </w:p>
        </w:tc>
        <w:tc>
          <w:tcPr>
            <w:tcW w:w="3304"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掌握常见现代教育技术工具的功能与操作方法；了解现代教育技术在家庭早教、家政培训等场景中的应用模式。</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能熟练运用现代教育技术工具制作家政服务或早教相关的教学课件、微课等；具备借助在线平台开展家政培训或亲子教育指导的能力。</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提升信息化素养，适应现代教育与家政服务行业的数字化发展趋势；培养创新应用能力，将现代教育技术灵活融入家政服务工作中。</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让学生认识到现代教育技术对提升家政服务效率与质量的重要性，激发对行业创新发展的热情；引导学生合理、规范使用现代教育技术，传播积极健康的教育与服务内容。</w:t>
            </w:r>
          </w:p>
        </w:tc>
        <w:tc>
          <w:tcPr>
            <w:tcW w:w="3129" w:type="dxa"/>
            <w:vAlign w:val="top"/>
          </w:tcPr>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育技术基础理论，包括教育技术的定义、发展脉络、视听感知规律、经验之塔理论、教育传播模式等。信息化教学环境与技术应用，教学媒体视觉/听觉媒体设备操作、多媒体教室与智慧教室的功能应用。资源开发，课件制作、微课开发与虚拟仿真工具使用。教学设计与实践模块，教学设计流程教学目标分析、教学内容重组、教学方法选择。教学评价信息化教学效果评估方法及工具。新兴技术教育应用，涵盖在线教育平台、混合式学习模式、人工智能辅助教学等前沿领域案例分析。</w:t>
            </w:r>
          </w:p>
        </w:tc>
        <w:tc>
          <w:tcPr>
            <w:tcW w:w="2739"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论学习与实践结合，需在掌握教育技术理论的基础上，通过实验课完成至少2个综合性实践项目，强调理论与实践融合。技术操作能力达标，学生需独立完成多媒体素材处理、教学课件制作，并具备信息化教学环境的操作能力。课程思政与职业素养，教学中融入版权意识、信息伦理教育，培养师范生利用技术促进教育公平的使命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家政资讯管理</w:t>
            </w:r>
          </w:p>
        </w:tc>
        <w:tc>
          <w:tcPr>
            <w:tcW w:w="3304"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了解家政行业政策法规、行业动态、市场信息等资讯的类型与来源；掌握家政资讯收集、整理、分析与管理的方法。</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能高效收集、筛选有价值的家政资讯；具备对家政资讯进行分类整理与分析研判的能力，为家政服务提供决策支持。</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培养信息素养与敏锐的行业洞察力，及时把握家政行业发展趋势；增强责任心，确保家政资讯的准确性与保密性。</w:t>
            </w:r>
          </w:p>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引导学生关注家政行业发展，增强对行业的认同感与归属感；通过对政策法规资讯的学习，培养依法从业、规范服务的意识。</w:t>
            </w:r>
          </w:p>
        </w:tc>
        <w:tc>
          <w:tcPr>
            <w:tcW w:w="3129" w:type="dxa"/>
            <w:vAlign w:val="top"/>
          </w:tcPr>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家政信息化基础，家政行业信息化发展趋势与政策法规。家政资讯管理系统架构与功能模块。数据管理与分析技术，家政服务数据的采集、清洗与存储方法。数据分析工具的应用案例：客户偏好分析、服务质量评估。家政资讯安全与伦理，客户隐私保护的法律要求与技术实现。信息伦理案例分析：虚假宣传、数据</w:t>
            </w:r>
            <w:r>
              <w:rPr>
                <w:rFonts w:hint="eastAsia" w:ascii="仿宋_GB2312" w:hAnsi="仿宋_GB2312" w:eastAsia="仿宋_GB2312" w:cs="仿宋_GB2312"/>
                <w:sz w:val="24"/>
                <w:szCs w:val="24"/>
                <w:highlight w:val="none"/>
              </w:rPr>
              <w:t>泄</w:t>
            </w:r>
            <w:r>
              <w:rPr>
                <w:rFonts w:hint="eastAsia" w:ascii="仿宋_GB2312" w:hAnsi="仿宋_GB2312" w:eastAsia="仿宋_GB2312" w:cs="仿宋_GB2312"/>
                <w:sz w:val="24"/>
                <w:szCs w:val="24"/>
                <w:highlight w:val="none"/>
                <w:lang w:val="en-US" w:eastAsia="zh-CN"/>
              </w:rPr>
              <w:t>漏</w:t>
            </w:r>
            <w:r>
              <w:rPr>
                <w:rFonts w:hint="eastAsia" w:ascii="仿宋_GB2312" w:hAnsi="仿宋_GB2312" w:eastAsia="仿宋_GB2312" w:cs="仿宋_GB2312"/>
                <w:sz w:val="24"/>
                <w:szCs w:val="24"/>
                <w:highlight w:val="none"/>
              </w:rPr>
              <w:t>风险防</w:t>
            </w:r>
            <w:r>
              <w:rPr>
                <w:rFonts w:hint="eastAsia" w:ascii="仿宋_GB2312" w:hAnsi="仿宋_GB2312" w:eastAsia="仿宋_GB2312" w:cs="仿宋_GB2312"/>
                <w:sz w:val="24"/>
                <w:szCs w:val="24"/>
              </w:rPr>
              <w:t>控。实践模块家政管理系统操作实训。团队项目设计一个小型家政企业的信息化解决方案。</w:t>
            </w:r>
          </w:p>
        </w:tc>
        <w:tc>
          <w:tcPr>
            <w:tcW w:w="2739"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信息管理系统实操，使学生掌握家政客户和服务人员数据的规范化管理能力；通过行业数据分析项目，培养学生从海量资讯中提取有价值信息的分析能力；通过信息安全演练，使学生具备保护客户隐私和数据安全的风险防范意识；最终使学生能够运用信息化手段优化家政服务流程，提升管理决策的科学性和精准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家政电子商务实务</w:t>
            </w:r>
          </w:p>
        </w:tc>
        <w:tc>
          <w:tcPr>
            <w:tcW w:w="3304"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掌握电子商务基本理论与运营模式；熟悉家政服务电子商务平台的搭建、运营与管理要点；了解家政电商客户开发、维护与服务流程。</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能协助搭建家政电商平台，进行产品（服务）上架、信息维护等操作；具备通过电商平台开展家政服务营销、客户沟通与订单处理的能力。</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培养互联网思维与商业意识，适应家政行业电商化发展；提升服务意识与沟通能力，为电商客户提供优质家政服务体验。</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引导学生认识到家政电商对拓展家政服务市场、促进就业的重要作用，激发创新创业热情；培养诚信经营意识，确保电商交易中的服务质量与信誉。</w:t>
            </w:r>
          </w:p>
        </w:tc>
        <w:tc>
          <w:tcPr>
            <w:tcW w:w="3129" w:type="dxa"/>
            <w:vAlign w:val="top"/>
          </w:tcPr>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内容涵盖家政电商模式分析、主流服务平台入驻与运营、在线服务产品设计与定价、客户在线咨询与订单处理、服务人员在线管理与调度、移动支付与电子合同应用、客户评价管理与数据分析、私域流量运营与社群营销、家政服务小程序开发基础等前沿内容，结合真实平台进行实操训练。</w:t>
            </w:r>
          </w:p>
        </w:tc>
        <w:tc>
          <w:tcPr>
            <w:tcW w:w="2739"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用“理论+实训+项目”三位一体模式，例如通过角色扮演模拟客户服务场景。引入企业真实数据进行案例教学。通过平台运营模拟，使学生掌握家政服务线上化的全流程操作能力；通过数据分析实践，培养学生基于数据优化服务产品的决策能力；通过数字营销项目，使学生具备运用新媒体拓展线上客户的实际操作技能；最终使学生能够独立完成家政服务从传统模式向数字化转型的基础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家政企业经营与管理</w:t>
            </w:r>
          </w:p>
        </w:tc>
        <w:tc>
          <w:tcPr>
            <w:tcW w:w="3304"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掌握企业管理基本理论；了解家政企业的组织架构、运营模式与管理特点；熟悉家政企业市场拓展、品牌建设的方法。</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能参与家政企业日常运营管理；具备为家政企业制定简单市场拓展与品牌建设方案的能力。</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培养企业管理思维与全局观，提升对家政企业运营的认知；增强责任意识与团队协作精神，适应企业管理岗位需求。</w:t>
            </w:r>
          </w:p>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引导学生认识到家政企业在促进行业发展、解决社会就业中的重要作用，树立服务社会的责任感；通过学习企业管理中的规范与创新，培养敬业精神与创新意识。</w:t>
            </w:r>
          </w:p>
        </w:tc>
        <w:tc>
          <w:tcPr>
            <w:tcW w:w="3129" w:type="dxa"/>
            <w:vAlign w:val="top"/>
          </w:tcPr>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论教学模块，家政企业概述行业现状、企业类型、政策法规。战略规划，市场分析、目标设定、竞争策略。组织管理，岗位设计、薪酬体系、绩效考核。品牌与营销，品牌建设、服务差异化、客户维护。实务操作模块，服务产品开发标准化服务流程、个性化定制方案。连锁经营实务，加盟模式、标准化复制、区域管理。质量控制与风险管理，服务标准制定、投诉处理、危机应对。案例分析模块，国内外家政企业成功/失败案例研讨，模拟企业运营决策。</w:t>
            </w:r>
          </w:p>
        </w:tc>
        <w:tc>
          <w:tcPr>
            <w:tcW w:w="2739"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理论结合实践，通过案例分析深化理论知识。情景模拟，设计企业注册、服务纠纷处理等场景进行角色演练。企业实习，安排学生参与家政企业的实际运营管理。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家庭服务营销</w:t>
            </w:r>
          </w:p>
        </w:tc>
        <w:tc>
          <w:tcPr>
            <w:tcW w:w="3304" w:type="dxa"/>
            <w:vAlign w:val="top"/>
          </w:tcPr>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掌握市场营销基本理论；了解家庭服务市场的特点、需求与竞争状况；熟悉家庭服务营销渠道与策略。</w:t>
            </w:r>
          </w:p>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能进行家庭服务市场调研与分析，明确目标客户群体；具备制定家庭服务营销方案、开展营销活动的能力。</w:t>
            </w:r>
          </w:p>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培养营销意识与市场敏感度，精准把握家庭服务市场需求；提升沟通与谈判能力，有效开展家庭服务营销。</w:t>
            </w:r>
          </w:p>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引导学生认识到优质家庭服务营销是为家庭提供更好生活解决方案的过程，树立以客户为中心的服务理念；培养诚信营销意识，确保营销信息的真实性与服务的可靠性。</w:t>
            </w:r>
          </w:p>
        </w:tc>
        <w:tc>
          <w:tcPr>
            <w:tcW w:w="3129" w:type="dxa"/>
            <w:vAlign w:val="top"/>
          </w:tcPr>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理论基础模块，家庭服务营销核心逻辑，价值感知→价值锁定→价值交付→价值提升。家庭客户行为分析：生命周期阶段需求差异。策略设计模块，服务产品设计，家庭服务包构建。服务定价策略，家庭预算敏感性分析，会员制、套餐定价等模式。数字化营销工具，社交媒体运营、家庭客户关系管理系统应用。实践技能模块，服务蓝图设计，可视化家庭服务流程，识别关键接触点。家庭活动策划：结合亲子关系课程设计理念，组织家庭互动场景。案例分析与角色扮演，模拟家庭服务冲突解决。</w:t>
            </w:r>
          </w:p>
        </w:tc>
        <w:tc>
          <w:tcPr>
            <w:tcW w:w="2739"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字化工具辅助，使用虚拟仿真软件模拟家庭服务场景。通过市场调研项目，使学生掌握家庭服务需求分析与目标客户定位能力；通过营销方案设计，培养学生制定完整服务营销策略的系统思维；通过数字化工具实操，使学生具备运用新媒体开展精准营销的实战技能；最终使学生能够独立完成从市场分析到营销执行的全流程家庭服务营销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3" w:type="dxa"/>
            <w:vAlign w:val="center"/>
          </w:tcPr>
          <w:p>
            <w:pPr>
              <w:keepNext w:val="0"/>
              <w:keepLines w:val="0"/>
              <w:pageBreakBefore w:val="0"/>
              <w:kinsoku/>
              <w:wordWrap/>
              <w:topLinePunct w:val="0"/>
              <w:autoSpaceDE/>
              <w:autoSpaceDN/>
              <w:bidi w:val="0"/>
              <w:snapToGrid/>
              <w:spacing w:after="0" w:line="300" w:lineRule="exact"/>
              <w:ind w:left="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925"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jc w:val="center"/>
              <w:textAlignment w:val="auto"/>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婴幼儿艺术启蒙</w:t>
            </w:r>
          </w:p>
        </w:tc>
        <w:tc>
          <w:tcPr>
            <w:tcW w:w="3304" w:type="dxa"/>
            <w:vAlign w:val="top"/>
          </w:tcPr>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掌握婴幼儿艺术启蒙的基本理论；了解不同艺术形式在婴幼儿艺术启蒙中的作用与方法。</w:t>
            </w:r>
          </w:p>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能设计适合婴幼儿的艺术启蒙活动，如绘画课、音乐游戏、手工制作等；具备引导婴幼儿感受艺术、激发创造力的能力。</w:t>
            </w:r>
          </w:p>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培养对婴幼儿艺术发展的关注与热爱，提升艺术素养；增强耐心与引导能力，为婴幼儿艺术启蒙提供良好支持。</w:t>
            </w:r>
          </w:p>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引导学生认识到艺术启蒙对婴幼儿全面发展的重要性，树立科学的艺术教育理念；通过艺术启蒙活动，培养婴幼儿的审美能力与创造力，传递对美好事物的追求。</w:t>
            </w:r>
          </w:p>
        </w:tc>
        <w:tc>
          <w:tcPr>
            <w:tcW w:w="3129" w:type="dxa"/>
            <w:vAlign w:val="top"/>
          </w:tcPr>
          <w:p>
            <w:pPr>
              <w:keepNext w:val="0"/>
              <w:keepLines w:val="0"/>
              <w:pageBreakBefore w:val="0"/>
              <w:kinsoku/>
              <w:wordWrap/>
              <w:overflowPunct w:val="0"/>
              <w:topLinePunct w:val="0"/>
              <w:autoSpaceDE/>
              <w:autoSpaceDN/>
              <w:bidi w:val="0"/>
              <w:adjustRightInd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艺术形式模块音乐启蒙，通过儿歌、简单乐器培养节奏感，结合肢体律动。绘画与手工：使用安全材料进行自由涂鸦、拼贴，鼓励个性化表达。舞蹈与律动，通过模仿游戏、音乐律动发展身体协调性。主题活动设计主题创作，结合季节、节日设计主题绘画或手工活动。亲子互动组织亲子艺术活动，增强家庭参与。环境与资源提供多样化材料，安全颜料、乐器、自然素材等，激发探索兴趣。创设艺术角，在教室或家庭中设置自由创作空间，展示婴幼儿作品。</w:t>
            </w:r>
          </w:p>
        </w:tc>
        <w:tc>
          <w:tcPr>
            <w:tcW w:w="2739" w:type="dxa"/>
            <w:vAlign w:val="top"/>
          </w:tcPr>
          <w:p>
            <w:pPr>
              <w:keepNext w:val="0"/>
              <w:keepLines w:val="0"/>
              <w:pageBreakBefore w:val="0"/>
              <w:kinsoku/>
              <w:wordWrap/>
              <w:topLinePunct w:val="0"/>
              <w:autoSpaceDE/>
              <w:autoSpaceDN/>
              <w:bidi w:val="0"/>
              <w:snapToGrid/>
              <w:spacing w:after="0" w:line="3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游戏化教学，将艺术活动融入游戏，避免机械训练，保持趣味性。过程重于结果：关注婴幼儿创作过程中的体验，而非作品完成度。差异化指导，根据婴幼儿发展水平调整活动难度，提供个性化支持。</w:t>
            </w:r>
          </w:p>
        </w:tc>
      </w:tr>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主要实践性课程：毕业设计、岗位实习</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93"/>
        <w:tblW w:w="10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800"/>
        <w:gridCol w:w="3466"/>
        <w:gridCol w:w="2332"/>
        <w:gridCol w:w="2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800"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3466"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课程教学目标</w:t>
            </w:r>
          </w:p>
        </w:tc>
        <w:tc>
          <w:tcPr>
            <w:tcW w:w="2332"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课程教学内容</w:t>
            </w:r>
          </w:p>
        </w:tc>
        <w:tc>
          <w:tcPr>
            <w:tcW w:w="2926"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8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毕业设计</w:t>
            </w:r>
          </w:p>
        </w:tc>
        <w:tc>
          <w:tcPr>
            <w:tcW w:w="3466"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系统整合现代家政服务与管理专业所学知识，深入理解家政行业相关理论、政策法规、服务技能等内容，能运用专业知识分析家政领域实际问题。</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具备独立开展家政相关课题研究、方案设计的能力，能撰写规范的毕业设计报告，有效进行成果展示与答辩。</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培养严谨的学术态度、创新精神和综合素养，提升对家政专业的认同感与职业自豪感。</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引导学生将专业知识与社会需求相结合，树立为家政行业发展贡献力量的使命感，培养精益求精的工匠精神与社会责任感。</w:t>
            </w:r>
          </w:p>
        </w:tc>
        <w:tc>
          <w:tcPr>
            <w:tcW w:w="2332"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选题和资料收集；分析和计划；开题报告；撰写初稿；修改定稿；答辩。</w:t>
            </w:r>
          </w:p>
        </w:tc>
        <w:tc>
          <w:tcPr>
            <w:tcW w:w="2926"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导师指导制、阶段性检查与反馈、毕业答辩模拟等教学方法，确保学生高质量完成毕业设计，提升综合应用能力和创新能力。要求学生面对真实的家政服务与管理工作环境，针对专业领域内某一有价值、有挑战的选题（问题），合理设计解决问题的技术路线，创造性地提出具体解决方案，并能卓有成效地展示毕业设计成果，从而全面提升学生综合运用所学基础理论和基本技能去解决本专业范围内的一般问题的能力。</w:t>
            </w:r>
            <w:r>
              <w:rPr>
                <w:rFonts w:hint="eastAsia" w:ascii="仿宋_GB2312" w:hAnsi="仿宋_GB2312" w:eastAsia="仿宋_GB2312" w:cs="仿宋_GB2312"/>
                <w:sz w:val="24"/>
                <w:szCs w:val="24"/>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8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3466"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知识目标：</w:t>
            </w:r>
            <w:r>
              <w:rPr>
                <w:rFonts w:hint="eastAsia" w:ascii="仿宋_GB2312" w:hAnsi="仿宋_GB2312" w:eastAsia="仿宋_GB2312" w:cs="仿宋_GB2312"/>
                <w:sz w:val="24"/>
                <w:szCs w:val="24"/>
              </w:rPr>
              <w:t>全面回顾并巩固现代家政服务与管理专业核心知识，强化对多领域知识的综合运用能力。</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能力目标：</w:t>
            </w:r>
            <w:r>
              <w:rPr>
                <w:rFonts w:hint="eastAsia" w:ascii="仿宋_GB2312" w:hAnsi="仿宋_GB2312" w:eastAsia="仿宋_GB2312" w:cs="仿宋_GB2312"/>
                <w:sz w:val="24"/>
                <w:szCs w:val="24"/>
              </w:rPr>
              <w:t>能综合运用家政服务技能、管理知识等，解决复杂的家政服务与管理问题，提升综合实践能力与应变能力。</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素质目标：</w:t>
            </w:r>
            <w:r>
              <w:rPr>
                <w:rFonts w:hint="eastAsia" w:ascii="仿宋_GB2312" w:hAnsi="仿宋_GB2312" w:eastAsia="仿宋_GB2312" w:cs="仿宋_GB2312"/>
                <w:sz w:val="24"/>
                <w:szCs w:val="24"/>
              </w:rPr>
              <w:t>培养团队合作、创新实践、应急处理等综合素质，增强职业竞争力。</w:t>
            </w:r>
          </w:p>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课程思政育人目标：</w:t>
            </w:r>
            <w:r>
              <w:rPr>
                <w:rFonts w:hint="eastAsia" w:ascii="仿宋_GB2312" w:hAnsi="仿宋_GB2312" w:eastAsia="仿宋_GB2312" w:cs="仿宋_GB2312"/>
                <w:sz w:val="24"/>
                <w:szCs w:val="24"/>
              </w:rPr>
              <w:t>在综合实训中，引导学生树立全局观念与系统思维，培养团结协作、勇于担当的精神，以及应对挑战、解决问题的信心与能力。</w:t>
            </w:r>
          </w:p>
        </w:tc>
        <w:tc>
          <w:tcPr>
            <w:tcW w:w="2332"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家政服务员岗位实习、育婴员和保育员岗位实习、健康管理师岗位实习、养老照护员岗位实习、家政培训师岗位实习。</w:t>
            </w:r>
          </w:p>
        </w:tc>
        <w:tc>
          <w:tcPr>
            <w:tcW w:w="2926" w:type="dxa"/>
            <w:vAlign w:val="top"/>
          </w:tcPr>
          <w:p>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通过校企合作模式、实习导师制、实习日志与报告撰写等教学方法，让学生在真实的工作环境中锻炼技能，积累实践经验。</w:t>
            </w:r>
          </w:p>
        </w:tc>
      </w:tr>
    </w:tbl>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（三）第二课堂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第二课堂素质教育课包括思想成长、实践实习、创新创业、志愿公益、文体活动、工作履历、专业技能特长等其他各类课程及活动。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 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444"/>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overflowPunct w:val="0"/>
              <w:adjustRightInd w:val="0"/>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模块</w:t>
            </w:r>
          </w:p>
        </w:tc>
        <w:tc>
          <w:tcPr>
            <w:tcW w:w="3573" w:type="dxa"/>
            <w:vAlign w:val="center"/>
          </w:tcPr>
          <w:p>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内容</w:t>
            </w:r>
          </w:p>
        </w:tc>
        <w:tc>
          <w:tcPr>
            <w:tcW w:w="880" w:type="dxa"/>
            <w:vAlign w:val="center"/>
          </w:tcPr>
          <w:p>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性质</w:t>
            </w:r>
          </w:p>
        </w:tc>
        <w:tc>
          <w:tcPr>
            <w:tcW w:w="1013" w:type="dxa"/>
            <w:vAlign w:val="center"/>
          </w:tcPr>
          <w:p>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组织者</w:t>
            </w:r>
          </w:p>
        </w:tc>
        <w:tc>
          <w:tcPr>
            <w:tcW w:w="1040" w:type="dxa"/>
            <w:vAlign w:val="center"/>
          </w:tcPr>
          <w:p>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认定者</w:t>
            </w:r>
          </w:p>
        </w:tc>
        <w:tc>
          <w:tcPr>
            <w:tcW w:w="1444" w:type="dxa"/>
            <w:vAlign w:val="center"/>
          </w:tcPr>
          <w:p>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计分标准</w:t>
            </w:r>
          </w:p>
        </w:tc>
        <w:tc>
          <w:tcPr>
            <w:tcW w:w="1028" w:type="dxa"/>
            <w:vAlign w:val="center"/>
          </w:tcPr>
          <w:p>
            <w:pPr>
              <w:spacing w:line="36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思想成长</w:t>
            </w:r>
          </w:p>
        </w:tc>
        <w:tc>
          <w:tcPr>
            <w:tcW w:w="3573" w:type="dxa"/>
            <w:vAlign w:val="center"/>
          </w:tcPr>
          <w:p>
            <w:pPr>
              <w:spacing w:after="0"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1.思想政治教育主题讲座、形势与政策报告会</w:t>
            </w:r>
          </w:p>
          <w:p>
            <w:pPr>
              <w:spacing w:after="0"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2.爱国主义教育活动</w:t>
            </w:r>
          </w:p>
          <w:p>
            <w:pPr>
              <w:spacing w:after="0"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3.党团组织生活</w:t>
            </w:r>
          </w:p>
          <w:p>
            <w:pPr>
              <w:spacing w:after="0"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4.党团培训 </w:t>
            </w:r>
          </w:p>
          <w:p>
            <w:pPr>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5.青年大学习</w:t>
            </w:r>
          </w:p>
        </w:tc>
        <w:tc>
          <w:tcPr>
            <w:tcW w:w="88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444"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028" w:type="dxa"/>
            <w:vMerge w:val="restart"/>
            <w:vAlign w:val="center"/>
          </w:tcPr>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color w:val="000000"/>
                <w:sz w:val="24"/>
              </w:rPr>
            </w:pP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第二课堂成绩由网络管理系 统（到梦 空间）实 时记录，学生在大一、 大二期间积分达60分及以上，可获4学分。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实践实习</w:t>
            </w:r>
          </w:p>
        </w:tc>
        <w:tc>
          <w:tcPr>
            <w:tcW w:w="3573" w:type="dxa"/>
            <w:vAlign w:val="center"/>
          </w:tcPr>
          <w:p>
            <w:pPr>
              <w:spacing w:after="0"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1.暑期“三下乡”社会实践活动 2.寒暑假“返家乡”实践活动 </w:t>
            </w:r>
          </w:p>
          <w:p>
            <w:pPr>
              <w:spacing w:after="0"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3.企业见习实践 </w:t>
            </w:r>
          </w:p>
          <w:p>
            <w:pPr>
              <w:spacing w:after="0"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4.上级、校院交予专项工作项目实践活动含兼挂职锻炼 </w:t>
            </w:r>
          </w:p>
          <w:p>
            <w:pPr>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 xml:space="preserve">5.新闻宣传报道被学校、学院采用或转发 </w:t>
            </w:r>
          </w:p>
          <w:p>
            <w:pPr>
              <w:spacing w:after="0"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6.晨读</w:t>
            </w:r>
          </w:p>
          <w:p>
            <w:pPr>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 xml:space="preserve">7.劳动精神、劳模精神、工匠精神专题教育 </w:t>
            </w:r>
          </w:p>
          <w:p>
            <w:pPr>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8.实践活动的相关荣誉</w:t>
            </w:r>
          </w:p>
        </w:tc>
        <w:tc>
          <w:tcPr>
            <w:tcW w:w="88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444"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028" w:type="dxa"/>
            <w:vMerge w:val="continue"/>
            <w:vAlign w:val="center"/>
          </w:tcPr>
          <w:p>
            <w:pPr>
              <w:overflowPunct w:val="0"/>
              <w:adjustRightInd w:val="0"/>
              <w:spacing w:after="0" w:line="240" w:lineRule="atLeast"/>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创新创业</w:t>
            </w:r>
          </w:p>
        </w:tc>
        <w:tc>
          <w:tcPr>
            <w:tcW w:w="3573" w:type="dxa"/>
            <w:vAlign w:val="center"/>
          </w:tcPr>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1.发表文章、出版专著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2.发明专利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3.创新创业项目竞赛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4.创新创业项目培训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5.创新创业课程、讲座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6.自主创业</w:t>
            </w:r>
          </w:p>
        </w:tc>
        <w:tc>
          <w:tcPr>
            <w:tcW w:w="88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444"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028" w:type="dxa"/>
            <w:vMerge w:val="continue"/>
            <w:vAlign w:val="center"/>
          </w:tcPr>
          <w:p>
            <w:pPr>
              <w:overflowPunct w:val="0"/>
              <w:adjustRightInd w:val="0"/>
              <w:spacing w:after="0" w:line="240" w:lineRule="atLeast"/>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overflowPunct w:val="0"/>
              <w:adjustRightInd w:val="0"/>
              <w:spacing w:after="0" w:line="240" w:lineRule="atLeast"/>
              <w:jc w:val="left"/>
              <w:rPr>
                <w:rFonts w:hint="eastAsia" w:ascii="仿宋_GB2312" w:hAnsi="仿宋_GB2312" w:eastAsia="仿宋_GB2312" w:cs="仿宋_GB2312"/>
                <w:sz w:val="24"/>
              </w:rPr>
            </w:pP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志愿公益</w:t>
            </w:r>
          </w:p>
        </w:tc>
        <w:tc>
          <w:tcPr>
            <w:tcW w:w="3573" w:type="dxa"/>
            <w:vAlign w:val="center"/>
          </w:tcPr>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1.校级、学院、社团、班级等学生组织开展的志愿服务活动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2.无偿献血活动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3.捐献造血干细胞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4.相关公益类宣传讲座、报告会等志愿服务表彰</w:t>
            </w:r>
          </w:p>
          <w:p>
            <w:pPr>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 xml:space="preserve">5.公益劳动 </w:t>
            </w:r>
          </w:p>
        </w:tc>
        <w:tc>
          <w:tcPr>
            <w:tcW w:w="88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444"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028" w:type="dxa"/>
            <w:vMerge w:val="continue"/>
            <w:vAlign w:val="center"/>
          </w:tcPr>
          <w:p>
            <w:pPr>
              <w:overflowPunct w:val="0"/>
              <w:adjustRightInd w:val="0"/>
              <w:spacing w:after="0" w:line="240" w:lineRule="atLeast"/>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overflowPunct w:val="0"/>
              <w:adjustRightInd w:val="0"/>
              <w:spacing w:line="240" w:lineRule="atLeas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 xml:space="preserve">文体活动 </w:t>
            </w:r>
          </w:p>
        </w:tc>
        <w:tc>
          <w:tcPr>
            <w:tcW w:w="3573" w:type="dxa"/>
            <w:vAlign w:val="center"/>
          </w:tcPr>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1.文艺竞赛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2.体育竞赛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3.文艺演出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4.体育活动 </w:t>
            </w:r>
          </w:p>
          <w:p>
            <w:pPr>
              <w:overflowPunct w:val="0"/>
              <w:adjustRightInd w:val="0"/>
              <w:spacing w:after="0"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5.文体讲座</w:t>
            </w:r>
          </w:p>
        </w:tc>
        <w:tc>
          <w:tcPr>
            <w:tcW w:w="88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444"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028" w:type="dxa"/>
            <w:vMerge w:val="continue"/>
            <w:vAlign w:val="center"/>
          </w:tcPr>
          <w:p>
            <w:pPr>
              <w:overflowPunct w:val="0"/>
              <w:adjustRightInd w:val="0"/>
              <w:spacing w:after="0" w:line="240" w:lineRule="atLeast"/>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overflowPunct w:val="0"/>
              <w:adjustRightInd w:val="0"/>
              <w:spacing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工作履历 </w:t>
            </w:r>
          </w:p>
        </w:tc>
        <w:tc>
          <w:tcPr>
            <w:tcW w:w="3573" w:type="dxa"/>
            <w:vAlign w:val="center"/>
          </w:tcPr>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1.团学干部任职</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2.团学先进个人</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3.勤工俭学</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4.社会任职 </w:t>
            </w:r>
          </w:p>
          <w:p>
            <w:pPr>
              <w:overflowPunct w:val="0"/>
              <w:adjustRightInd w:val="0"/>
              <w:spacing w:after="0"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5.退伍军人</w:t>
            </w:r>
          </w:p>
        </w:tc>
        <w:tc>
          <w:tcPr>
            <w:tcW w:w="88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444"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028" w:type="dxa"/>
            <w:vMerge w:val="continue"/>
            <w:vAlign w:val="center"/>
          </w:tcPr>
          <w:p>
            <w:pPr>
              <w:overflowPunct w:val="0"/>
              <w:adjustRightInd w:val="0"/>
              <w:spacing w:after="0" w:line="240" w:lineRule="atLeast"/>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技能特长 </w:t>
            </w:r>
          </w:p>
        </w:tc>
        <w:tc>
          <w:tcPr>
            <w:tcW w:w="3573" w:type="dxa"/>
            <w:vAlign w:val="center"/>
          </w:tcPr>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1.职业资格证书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2.职业技能证书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3.机动车驾驶证</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4.从业人员上岗资格证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5.技能比赛获奖</w:t>
            </w:r>
          </w:p>
        </w:tc>
        <w:tc>
          <w:tcPr>
            <w:tcW w:w="88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444"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028" w:type="dxa"/>
            <w:vMerge w:val="continue"/>
            <w:vAlign w:val="center"/>
          </w:tcPr>
          <w:p>
            <w:pPr>
              <w:overflowPunct w:val="0"/>
              <w:adjustRightInd w:val="0"/>
              <w:spacing w:after="0" w:line="240" w:lineRule="atLeast"/>
              <w:jc w:val="cente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265" w:type="dxa"/>
            <w:vAlign w:val="center"/>
          </w:tcPr>
          <w:p>
            <w:pPr>
              <w:overflowPunct w:val="0"/>
              <w:adjustRightInd w:val="0"/>
              <w:spacing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其他</w:t>
            </w:r>
          </w:p>
        </w:tc>
        <w:tc>
          <w:tcPr>
            <w:tcW w:w="3573" w:type="dxa"/>
            <w:vAlign w:val="center"/>
          </w:tcPr>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1.其他证书（社会职业类证书） </w:t>
            </w:r>
          </w:p>
          <w:p>
            <w:pPr>
              <w:overflowPunct w:val="0"/>
              <w:adjustRightInd w:val="0"/>
              <w:spacing w:after="0" w:line="2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2.校内各单位其他类型活动 </w:t>
            </w:r>
          </w:p>
          <w:p>
            <w:pPr>
              <w:overflowPunct w:val="0"/>
              <w:adjustRightInd w:val="0"/>
              <w:spacing w:after="0" w:line="240" w:lineRule="atLeas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3.升旗仪式工作人员</w:t>
            </w:r>
          </w:p>
        </w:tc>
        <w:tc>
          <w:tcPr>
            <w:tcW w:w="88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444" w:type="dxa"/>
            <w:vAlign w:val="center"/>
          </w:tcPr>
          <w:p>
            <w:pPr>
              <w:overflowPunct w:val="0"/>
              <w:adjustRightInd w:val="0"/>
              <w:spacing w:after="0" w:line="240" w:lineRule="atLeast"/>
              <w:jc w:val="center"/>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028" w:type="dxa"/>
            <w:vMerge w:val="continue"/>
            <w:vAlign w:val="center"/>
          </w:tcPr>
          <w:p>
            <w:pPr>
              <w:overflowPunct w:val="0"/>
              <w:adjustRightInd w:val="0"/>
              <w:spacing w:after="0" w:line="240" w:lineRule="atLeast"/>
              <w:jc w:val="center"/>
              <w:rPr>
                <w:rFonts w:hint="eastAsia" w:ascii="仿宋_GB2312" w:hAnsi="仿宋_GB2312" w:eastAsia="仿宋_GB2312" w:cs="仿宋_GB2312"/>
                <w:sz w:val="24"/>
              </w:rPr>
            </w:pPr>
          </w:p>
        </w:tc>
      </w:tr>
    </w:tbl>
    <w:p>
      <w:pPr>
        <w:overflowPunct w:val="0"/>
        <w:adjustRightInd w:val="0"/>
        <w:spacing w:after="0" w:line="520" w:lineRule="exact"/>
        <w:outlineLvl w:val="0"/>
        <w:rPr>
          <w:rFonts w:hint="eastAsia" w:ascii="黑体" w:hAnsi="黑体" w:eastAsia="黑体"/>
          <w:sz w:val="32"/>
          <w:szCs w:val="32"/>
        </w:rPr>
      </w:pPr>
      <w:r>
        <w:rPr>
          <w:rFonts w:hint="eastAsia" w:ascii="黑体" w:hAnsi="黑体" w:eastAsia="黑体"/>
          <w:sz w:val="32"/>
          <w:szCs w:val="32"/>
        </w:rPr>
        <w:t>八</w:t>
      </w:r>
      <w:r>
        <w:rPr>
          <w:rFonts w:ascii="黑体" w:hAnsi="黑体" w:eastAsia="黑体"/>
          <w:sz w:val="32"/>
          <w:szCs w:val="32"/>
        </w:rPr>
        <w:t>、教学进程总体安排</w:t>
      </w:r>
    </w:p>
    <w:p>
      <w:pPr>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 xml:space="preserve">（一）教学环节分配表 </w:t>
      </w:r>
    </w:p>
    <w:p>
      <w:pPr>
        <w:spacing w:after="0" w:line="52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教学周数分配表每学期总周数合计应为20周，各学期教学周数应与教学计划进程表一致，军训、入学教育、考试环节、实习开展、毕业设计、社会实践及毕业教育等，学期合计周数为20周。</w:t>
      </w:r>
    </w:p>
    <w:p>
      <w:pPr>
        <w:spacing w:after="0" w:line="52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 教育活动时间分配表（单位：周）</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3"/>
        <w:gridCol w:w="1174"/>
        <w:gridCol w:w="1058"/>
        <w:gridCol w:w="1116"/>
        <w:gridCol w:w="1116"/>
        <w:gridCol w:w="1113"/>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2593" w:type="dxa"/>
            <w:vMerge w:val="restart"/>
            <w:vAlign w:val="top"/>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spacing w:after="0" w:line="240" w:lineRule="auto"/>
              <w:rPr>
                <w:rFonts w:hint="eastAsia" w:ascii="仿宋_GB2312" w:hAnsi="仿宋_GB2312" w:eastAsia="仿宋_GB2312" w:cs="仿宋_GB2312"/>
                <w:color w:val="auto"/>
                <w:sz w:val="24"/>
                <w:szCs w:val="24"/>
              </w:rPr>
            </w:pPr>
          </w:p>
          <w:p>
            <w:pPr>
              <w:spacing w:after="0" w:line="240" w:lineRule="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spacing w:after="0" w:line="24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spacing w:after="0" w:line="240" w:lineRule="auto"/>
              <w:rPr>
                <w:rFonts w:hint="eastAsia" w:ascii="仿宋_GB2312" w:hAnsi="仿宋_GB2312" w:eastAsia="仿宋_GB2312" w:cs="仿宋_GB2312"/>
                <w:color w:val="auto"/>
                <w:sz w:val="24"/>
                <w:szCs w:val="24"/>
                <w:lang w:val="en-US" w:eastAsia="zh-CN"/>
              </w:rPr>
            </w:pP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spacing w:after="0" w:line="240" w:lineRule="auto"/>
              <w:rPr>
                <w:rFonts w:hint="eastAsia" w:ascii="仿宋_GB2312" w:hAnsi="仿宋_GB2312" w:eastAsia="仿宋_GB2312" w:cs="仿宋_GB2312"/>
                <w:sz w:val="24"/>
              </w:rPr>
            </w:pPr>
            <w:r>
              <w:rPr>
                <w:rFonts w:hint="eastAsia" w:ascii="仿宋_GB2312" w:hAnsi="仿宋_GB2312" w:eastAsia="仿宋_GB2312" w:cs="仿宋_GB2312"/>
                <w:color w:val="auto"/>
                <w:sz w:val="24"/>
                <w:szCs w:val="24"/>
                <w:lang w:val="en-US" w:eastAsia="zh-CN"/>
              </w:rPr>
              <w:t>学年</w:t>
            </w:r>
          </w:p>
        </w:tc>
        <w:tc>
          <w:tcPr>
            <w:tcW w:w="2232" w:type="dxa"/>
            <w:gridSpan w:val="2"/>
            <w:vAlign w:val="center"/>
          </w:tcPr>
          <w:p>
            <w:pPr>
              <w:spacing w:after="0" w:line="240" w:lineRule="auto"/>
              <w:jc w:val="center"/>
              <w:rPr>
                <w:rFonts w:hint="eastAsia" w:ascii="仿宋_GB2312" w:hAnsi="仿宋_GB2312" w:eastAsia="仿宋_GB2312" w:cs="仿宋_GB2312"/>
                <w:sz w:val="24"/>
              </w:rPr>
            </w:pPr>
            <w:r>
              <w:rPr>
                <w:rFonts w:hint="eastAsia" w:ascii="仿宋_GB2312" w:hAnsi="仿宋_GB2312" w:eastAsia="仿宋_GB2312" w:cs="仿宋_GB2312"/>
                <w:color w:val="auto"/>
                <w:sz w:val="24"/>
                <w:szCs w:val="24"/>
                <w:lang w:val="en-US" w:eastAsia="zh-CN"/>
              </w:rPr>
              <w:t>一</w:t>
            </w:r>
          </w:p>
        </w:tc>
        <w:tc>
          <w:tcPr>
            <w:tcW w:w="2232" w:type="dxa"/>
            <w:gridSpan w:val="2"/>
            <w:vAlign w:val="center"/>
          </w:tcPr>
          <w:p>
            <w:pPr>
              <w:spacing w:after="0" w:line="240" w:lineRule="auto"/>
              <w:jc w:val="center"/>
              <w:rPr>
                <w:rFonts w:hint="eastAsia" w:ascii="仿宋_GB2312" w:hAnsi="仿宋_GB2312" w:eastAsia="仿宋_GB2312" w:cs="仿宋_GB2312"/>
                <w:sz w:val="24"/>
              </w:rPr>
            </w:pPr>
            <w:r>
              <w:rPr>
                <w:rFonts w:hint="eastAsia" w:ascii="仿宋_GB2312" w:hAnsi="仿宋_GB2312" w:eastAsia="仿宋_GB2312" w:cs="仿宋_GB2312"/>
                <w:color w:val="auto"/>
                <w:sz w:val="24"/>
                <w:szCs w:val="24"/>
                <w:lang w:val="en-US" w:eastAsia="zh-CN"/>
              </w:rPr>
              <w:t>二</w:t>
            </w:r>
          </w:p>
        </w:tc>
        <w:tc>
          <w:tcPr>
            <w:tcW w:w="2231" w:type="dxa"/>
            <w:gridSpan w:val="2"/>
            <w:vAlign w:val="center"/>
          </w:tcPr>
          <w:p>
            <w:pPr>
              <w:spacing w:after="0" w:line="240" w:lineRule="auto"/>
              <w:jc w:val="center"/>
              <w:rPr>
                <w:rFonts w:hint="eastAsia" w:ascii="仿宋_GB2312" w:hAnsi="仿宋_GB2312" w:eastAsia="仿宋_GB2312" w:cs="仿宋_GB2312"/>
                <w:sz w:val="24"/>
              </w:rPr>
            </w:pPr>
            <w:r>
              <w:rPr>
                <w:rFonts w:hint="eastAsia" w:ascii="仿宋_GB2312" w:hAnsi="仿宋_GB2312" w:eastAsia="仿宋_GB2312" w:cs="仿宋_GB2312"/>
                <w:color w:val="auto"/>
                <w:sz w:val="24"/>
                <w:szCs w:val="24"/>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2593" w:type="dxa"/>
            <w:vMerge w:val="continue"/>
            <w:vAlign w:val="top"/>
          </w:tcPr>
          <w:p>
            <w:pPr>
              <w:spacing w:after="0" w:line="240" w:lineRule="auto"/>
              <w:rPr>
                <w:rFonts w:hint="eastAsia" w:ascii="仿宋_GB2312" w:hAnsi="仿宋_GB2312" w:eastAsia="仿宋_GB2312" w:cs="仿宋_GB2312"/>
                <w:sz w:val="24"/>
              </w:rPr>
            </w:pPr>
          </w:p>
        </w:tc>
        <w:tc>
          <w:tcPr>
            <w:tcW w:w="1174" w:type="dxa"/>
            <w:vAlign w:val="center"/>
          </w:tcPr>
          <w:p>
            <w:pPr>
              <w:spacing w:after="0" w:line="240" w:lineRule="auto"/>
              <w:jc w:val="center"/>
              <w:rPr>
                <w:rFonts w:eastAsia="仿宋_GB2312"/>
                <w:sz w:val="24"/>
              </w:rPr>
            </w:pPr>
            <w:r>
              <w:rPr>
                <w:rFonts w:hint="eastAsia" w:ascii="仿宋_GB2312" w:hAnsi="仿宋_GB2312" w:eastAsia="仿宋_GB2312" w:cs="仿宋_GB2312"/>
                <w:color w:val="auto"/>
                <w:sz w:val="24"/>
                <w:szCs w:val="24"/>
                <w:lang w:val="en-US" w:eastAsia="zh-CN"/>
              </w:rPr>
              <w:t>1</w:t>
            </w:r>
          </w:p>
        </w:tc>
        <w:tc>
          <w:tcPr>
            <w:tcW w:w="1058" w:type="dxa"/>
            <w:vAlign w:val="center"/>
          </w:tcPr>
          <w:p>
            <w:pPr>
              <w:spacing w:after="0" w:line="240" w:lineRule="auto"/>
              <w:jc w:val="center"/>
              <w:rPr>
                <w:rFonts w:eastAsia="仿宋_GB2312"/>
                <w:sz w:val="24"/>
              </w:rPr>
            </w:pPr>
            <w:r>
              <w:rPr>
                <w:rFonts w:hint="eastAsia" w:ascii="仿宋_GB2312" w:hAnsi="仿宋_GB2312" w:eastAsia="仿宋_GB2312" w:cs="仿宋_GB2312"/>
                <w:color w:val="auto"/>
                <w:sz w:val="24"/>
                <w:szCs w:val="24"/>
                <w:lang w:val="en-US" w:eastAsia="zh-CN"/>
              </w:rPr>
              <w:t>2</w:t>
            </w:r>
          </w:p>
        </w:tc>
        <w:tc>
          <w:tcPr>
            <w:tcW w:w="1116" w:type="dxa"/>
            <w:vAlign w:val="center"/>
          </w:tcPr>
          <w:p>
            <w:pPr>
              <w:spacing w:after="0" w:line="240" w:lineRule="auto"/>
              <w:jc w:val="center"/>
              <w:rPr>
                <w:rFonts w:eastAsia="仿宋_GB2312"/>
                <w:sz w:val="24"/>
              </w:rPr>
            </w:pPr>
            <w:r>
              <w:rPr>
                <w:rFonts w:hint="eastAsia" w:ascii="仿宋_GB2312" w:hAnsi="仿宋_GB2312" w:eastAsia="仿宋_GB2312" w:cs="仿宋_GB2312"/>
                <w:color w:val="auto"/>
                <w:sz w:val="24"/>
                <w:szCs w:val="24"/>
                <w:lang w:val="en-US" w:eastAsia="zh-CN"/>
              </w:rPr>
              <w:t>3</w:t>
            </w:r>
          </w:p>
        </w:tc>
        <w:tc>
          <w:tcPr>
            <w:tcW w:w="1116" w:type="dxa"/>
            <w:vAlign w:val="center"/>
          </w:tcPr>
          <w:p>
            <w:pPr>
              <w:spacing w:after="0" w:line="240" w:lineRule="auto"/>
              <w:jc w:val="center"/>
              <w:rPr>
                <w:rFonts w:eastAsia="仿宋_GB2312"/>
                <w:sz w:val="24"/>
              </w:rPr>
            </w:pPr>
            <w:r>
              <w:rPr>
                <w:rFonts w:hint="eastAsia" w:ascii="仿宋_GB2312" w:hAnsi="仿宋_GB2312" w:eastAsia="仿宋_GB2312" w:cs="仿宋_GB2312"/>
                <w:color w:val="auto"/>
                <w:sz w:val="24"/>
                <w:szCs w:val="24"/>
                <w:lang w:val="en-US" w:eastAsia="zh-CN"/>
              </w:rPr>
              <w:t>4</w:t>
            </w:r>
          </w:p>
        </w:tc>
        <w:tc>
          <w:tcPr>
            <w:tcW w:w="1113" w:type="dxa"/>
            <w:vAlign w:val="center"/>
          </w:tcPr>
          <w:p>
            <w:pPr>
              <w:spacing w:after="0" w:line="240" w:lineRule="auto"/>
              <w:jc w:val="center"/>
              <w:rPr>
                <w:rFonts w:eastAsia="仿宋_GB2312"/>
                <w:sz w:val="24"/>
              </w:rPr>
            </w:pPr>
            <w:r>
              <w:rPr>
                <w:rFonts w:hint="eastAsia" w:ascii="仿宋_GB2312" w:hAnsi="仿宋_GB2312" w:eastAsia="仿宋_GB2312" w:cs="仿宋_GB2312"/>
                <w:color w:val="auto"/>
                <w:sz w:val="24"/>
                <w:szCs w:val="24"/>
                <w:lang w:val="en-US" w:eastAsia="zh-CN"/>
              </w:rPr>
              <w:t>5</w:t>
            </w:r>
          </w:p>
        </w:tc>
        <w:tc>
          <w:tcPr>
            <w:tcW w:w="1118" w:type="dxa"/>
            <w:vAlign w:val="center"/>
          </w:tcPr>
          <w:p>
            <w:pPr>
              <w:spacing w:after="0" w:line="240" w:lineRule="auto"/>
              <w:jc w:val="center"/>
              <w:rPr>
                <w:rFonts w:eastAsia="仿宋_GB2312"/>
                <w:sz w:val="24"/>
              </w:rPr>
            </w:pPr>
            <w:r>
              <w:rPr>
                <w:rFonts w:hint="eastAsia" w:ascii="仿宋_GB2312" w:hAnsi="仿宋_GB2312" w:eastAsia="仿宋_GB2312" w:cs="仿宋_GB2312"/>
                <w:color w:val="auto"/>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593" w:type="dxa"/>
            <w:vAlign w:val="center"/>
          </w:tcPr>
          <w:p>
            <w:pPr>
              <w:spacing w:after="0" w:line="24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课堂教学</w:t>
            </w:r>
          </w:p>
        </w:tc>
        <w:tc>
          <w:tcPr>
            <w:tcW w:w="1174"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1-18</w:t>
            </w:r>
          </w:p>
        </w:tc>
        <w:tc>
          <w:tcPr>
            <w:tcW w:w="1058"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1-18</w:t>
            </w:r>
          </w:p>
        </w:tc>
        <w:tc>
          <w:tcPr>
            <w:tcW w:w="1116"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1-18</w:t>
            </w:r>
          </w:p>
        </w:tc>
        <w:tc>
          <w:tcPr>
            <w:tcW w:w="1116"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1-18</w:t>
            </w:r>
          </w:p>
        </w:tc>
        <w:tc>
          <w:tcPr>
            <w:tcW w:w="1113"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1-18</w:t>
            </w:r>
          </w:p>
        </w:tc>
        <w:tc>
          <w:tcPr>
            <w:tcW w:w="1118"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593" w:type="dxa"/>
            <w:vAlign w:val="center"/>
          </w:tcPr>
          <w:p>
            <w:pPr>
              <w:spacing w:after="0" w:line="24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考试</w:t>
            </w:r>
          </w:p>
        </w:tc>
        <w:tc>
          <w:tcPr>
            <w:tcW w:w="1174"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19-20</w:t>
            </w:r>
          </w:p>
        </w:tc>
        <w:tc>
          <w:tcPr>
            <w:tcW w:w="1058"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19-20</w:t>
            </w:r>
          </w:p>
        </w:tc>
        <w:tc>
          <w:tcPr>
            <w:tcW w:w="1116"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19-20</w:t>
            </w:r>
          </w:p>
        </w:tc>
        <w:tc>
          <w:tcPr>
            <w:tcW w:w="1116"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19-20</w:t>
            </w:r>
          </w:p>
        </w:tc>
        <w:tc>
          <w:tcPr>
            <w:tcW w:w="1113"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19-20</w:t>
            </w:r>
          </w:p>
        </w:tc>
        <w:tc>
          <w:tcPr>
            <w:tcW w:w="1118"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593" w:type="dxa"/>
            <w:vAlign w:val="center"/>
          </w:tcPr>
          <w:p>
            <w:pPr>
              <w:spacing w:after="0" w:line="24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军训</w:t>
            </w:r>
          </w:p>
        </w:tc>
        <w:tc>
          <w:tcPr>
            <w:tcW w:w="1174"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1-2</w:t>
            </w:r>
          </w:p>
        </w:tc>
        <w:tc>
          <w:tcPr>
            <w:tcW w:w="1058" w:type="dxa"/>
            <w:vAlign w:val="center"/>
          </w:tcPr>
          <w:p>
            <w:pPr>
              <w:spacing w:after="0" w:line="240" w:lineRule="auto"/>
              <w:jc w:val="center"/>
              <w:rPr>
                <w:rFonts w:eastAsia="仿宋_GB2312"/>
                <w:sz w:val="24"/>
              </w:rPr>
            </w:pPr>
          </w:p>
        </w:tc>
        <w:tc>
          <w:tcPr>
            <w:tcW w:w="1116" w:type="dxa"/>
            <w:vAlign w:val="center"/>
          </w:tcPr>
          <w:p>
            <w:pPr>
              <w:spacing w:after="0" w:line="240" w:lineRule="auto"/>
              <w:jc w:val="center"/>
              <w:rPr>
                <w:rFonts w:eastAsia="仿宋_GB2312"/>
                <w:sz w:val="24"/>
              </w:rPr>
            </w:pPr>
          </w:p>
        </w:tc>
        <w:tc>
          <w:tcPr>
            <w:tcW w:w="1116" w:type="dxa"/>
            <w:vAlign w:val="center"/>
          </w:tcPr>
          <w:p>
            <w:pPr>
              <w:spacing w:after="0" w:line="240" w:lineRule="auto"/>
              <w:jc w:val="center"/>
              <w:rPr>
                <w:rFonts w:eastAsia="仿宋_GB2312"/>
                <w:sz w:val="24"/>
              </w:rPr>
            </w:pPr>
          </w:p>
        </w:tc>
        <w:tc>
          <w:tcPr>
            <w:tcW w:w="1113" w:type="dxa"/>
            <w:vAlign w:val="center"/>
          </w:tcPr>
          <w:p>
            <w:pPr>
              <w:spacing w:after="0" w:line="240" w:lineRule="auto"/>
              <w:jc w:val="center"/>
              <w:rPr>
                <w:rFonts w:eastAsia="仿宋_GB2312"/>
                <w:sz w:val="24"/>
              </w:rPr>
            </w:pPr>
          </w:p>
        </w:tc>
        <w:tc>
          <w:tcPr>
            <w:tcW w:w="1118" w:type="dxa"/>
            <w:vAlign w:val="center"/>
          </w:tcPr>
          <w:p>
            <w:pPr>
              <w:spacing w:after="0" w:line="24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593" w:type="dxa"/>
            <w:vAlign w:val="center"/>
          </w:tcPr>
          <w:p>
            <w:pPr>
              <w:spacing w:after="0" w:line="24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b w:val="0"/>
                <w:bCs w:val="0"/>
                <w:color w:val="000000"/>
                <w:sz w:val="24"/>
                <w:szCs w:val="24"/>
              </w:rPr>
              <w:t>入学教育</w:t>
            </w:r>
          </w:p>
        </w:tc>
        <w:tc>
          <w:tcPr>
            <w:tcW w:w="1174"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3-8</w:t>
            </w:r>
          </w:p>
        </w:tc>
        <w:tc>
          <w:tcPr>
            <w:tcW w:w="1058" w:type="dxa"/>
            <w:vAlign w:val="center"/>
          </w:tcPr>
          <w:p>
            <w:pPr>
              <w:spacing w:after="0" w:line="240" w:lineRule="auto"/>
              <w:jc w:val="center"/>
              <w:rPr>
                <w:rFonts w:eastAsia="仿宋_GB2312"/>
                <w:sz w:val="24"/>
              </w:rPr>
            </w:pPr>
          </w:p>
        </w:tc>
        <w:tc>
          <w:tcPr>
            <w:tcW w:w="1116" w:type="dxa"/>
            <w:vAlign w:val="center"/>
          </w:tcPr>
          <w:p>
            <w:pPr>
              <w:spacing w:after="0" w:line="240" w:lineRule="auto"/>
              <w:jc w:val="center"/>
              <w:rPr>
                <w:rFonts w:eastAsia="仿宋_GB2312"/>
                <w:sz w:val="24"/>
              </w:rPr>
            </w:pPr>
          </w:p>
        </w:tc>
        <w:tc>
          <w:tcPr>
            <w:tcW w:w="1116" w:type="dxa"/>
            <w:vAlign w:val="center"/>
          </w:tcPr>
          <w:p>
            <w:pPr>
              <w:spacing w:after="0" w:line="240" w:lineRule="auto"/>
              <w:jc w:val="center"/>
              <w:rPr>
                <w:rFonts w:eastAsia="仿宋_GB2312"/>
                <w:sz w:val="24"/>
              </w:rPr>
            </w:pPr>
          </w:p>
        </w:tc>
        <w:tc>
          <w:tcPr>
            <w:tcW w:w="1113" w:type="dxa"/>
            <w:vAlign w:val="center"/>
          </w:tcPr>
          <w:p>
            <w:pPr>
              <w:spacing w:after="0" w:line="240" w:lineRule="auto"/>
              <w:jc w:val="center"/>
              <w:rPr>
                <w:rFonts w:eastAsia="仿宋_GB2312"/>
                <w:sz w:val="24"/>
              </w:rPr>
            </w:pPr>
          </w:p>
        </w:tc>
        <w:tc>
          <w:tcPr>
            <w:tcW w:w="1118" w:type="dxa"/>
            <w:vAlign w:val="center"/>
          </w:tcPr>
          <w:p>
            <w:pPr>
              <w:spacing w:after="0" w:line="24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593" w:type="dxa"/>
            <w:vAlign w:val="center"/>
          </w:tcPr>
          <w:p>
            <w:pPr>
              <w:spacing w:after="0" w:line="24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b w:val="0"/>
                <w:bCs w:val="0"/>
                <w:color w:val="000000"/>
                <w:sz w:val="24"/>
                <w:szCs w:val="24"/>
              </w:rPr>
              <w:t>毕业设计</w:t>
            </w:r>
          </w:p>
        </w:tc>
        <w:tc>
          <w:tcPr>
            <w:tcW w:w="1174" w:type="dxa"/>
            <w:vAlign w:val="center"/>
          </w:tcPr>
          <w:p>
            <w:pPr>
              <w:spacing w:after="0" w:line="240" w:lineRule="auto"/>
              <w:jc w:val="center"/>
              <w:rPr>
                <w:rFonts w:eastAsia="仿宋_GB2312"/>
                <w:sz w:val="24"/>
              </w:rPr>
            </w:pPr>
          </w:p>
        </w:tc>
        <w:tc>
          <w:tcPr>
            <w:tcW w:w="1058" w:type="dxa"/>
            <w:vAlign w:val="center"/>
          </w:tcPr>
          <w:p>
            <w:pPr>
              <w:spacing w:after="0" w:line="240" w:lineRule="auto"/>
              <w:jc w:val="center"/>
              <w:rPr>
                <w:rFonts w:eastAsia="仿宋_GB2312"/>
                <w:sz w:val="24"/>
              </w:rPr>
            </w:pPr>
          </w:p>
        </w:tc>
        <w:tc>
          <w:tcPr>
            <w:tcW w:w="1116" w:type="dxa"/>
            <w:vAlign w:val="center"/>
          </w:tcPr>
          <w:p>
            <w:pPr>
              <w:spacing w:after="0" w:line="240" w:lineRule="auto"/>
              <w:jc w:val="center"/>
              <w:rPr>
                <w:rFonts w:eastAsia="仿宋_GB2312"/>
                <w:sz w:val="24"/>
              </w:rPr>
            </w:pPr>
          </w:p>
        </w:tc>
        <w:tc>
          <w:tcPr>
            <w:tcW w:w="1116" w:type="dxa"/>
            <w:vAlign w:val="center"/>
          </w:tcPr>
          <w:p>
            <w:pPr>
              <w:spacing w:after="0" w:line="240" w:lineRule="auto"/>
              <w:jc w:val="center"/>
              <w:rPr>
                <w:rFonts w:eastAsia="仿宋_GB2312"/>
                <w:sz w:val="24"/>
              </w:rPr>
            </w:pPr>
          </w:p>
        </w:tc>
        <w:tc>
          <w:tcPr>
            <w:tcW w:w="1113" w:type="dxa"/>
            <w:vAlign w:val="center"/>
          </w:tcPr>
          <w:p>
            <w:pPr>
              <w:spacing w:after="0" w:line="240" w:lineRule="auto"/>
              <w:jc w:val="center"/>
              <w:rPr>
                <w:rFonts w:eastAsia="仿宋_GB2312"/>
                <w:sz w:val="24"/>
              </w:rPr>
            </w:pPr>
            <w:r>
              <w:rPr>
                <w:rFonts w:hint="eastAsia" w:ascii="仿宋_GB2312" w:hAnsi="仿宋_GB2312" w:eastAsia="仿宋_GB2312" w:cs="仿宋_GB2312"/>
                <w:color w:val="auto"/>
                <w:sz w:val="24"/>
                <w:szCs w:val="24"/>
                <w:lang w:val="en-US" w:eastAsia="zh-CN"/>
              </w:rPr>
              <w:t>1-18</w:t>
            </w:r>
          </w:p>
        </w:tc>
        <w:tc>
          <w:tcPr>
            <w:tcW w:w="1118" w:type="dxa"/>
            <w:vAlign w:val="center"/>
          </w:tcPr>
          <w:p>
            <w:pPr>
              <w:spacing w:after="0" w:line="24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593" w:type="dxa"/>
            <w:vAlign w:val="center"/>
          </w:tcPr>
          <w:p>
            <w:pPr>
              <w:spacing w:after="0" w:line="24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岗位实习</w:t>
            </w:r>
          </w:p>
        </w:tc>
        <w:tc>
          <w:tcPr>
            <w:tcW w:w="1174" w:type="dxa"/>
            <w:vAlign w:val="center"/>
          </w:tcPr>
          <w:p>
            <w:pPr>
              <w:spacing w:after="0" w:line="240" w:lineRule="auto"/>
              <w:jc w:val="center"/>
              <w:rPr>
                <w:rFonts w:eastAsia="仿宋_GB2312"/>
                <w:sz w:val="24"/>
              </w:rPr>
            </w:pPr>
          </w:p>
        </w:tc>
        <w:tc>
          <w:tcPr>
            <w:tcW w:w="1058" w:type="dxa"/>
            <w:vAlign w:val="center"/>
          </w:tcPr>
          <w:p>
            <w:pPr>
              <w:spacing w:after="0" w:line="240" w:lineRule="auto"/>
              <w:jc w:val="center"/>
              <w:rPr>
                <w:rFonts w:eastAsia="仿宋_GB2312"/>
                <w:sz w:val="24"/>
              </w:rPr>
            </w:pPr>
          </w:p>
        </w:tc>
        <w:tc>
          <w:tcPr>
            <w:tcW w:w="1116" w:type="dxa"/>
            <w:vAlign w:val="center"/>
          </w:tcPr>
          <w:p>
            <w:pPr>
              <w:spacing w:after="0" w:line="240" w:lineRule="auto"/>
              <w:jc w:val="center"/>
              <w:rPr>
                <w:rFonts w:eastAsia="仿宋_GB2312"/>
                <w:sz w:val="24"/>
              </w:rPr>
            </w:pPr>
          </w:p>
        </w:tc>
        <w:tc>
          <w:tcPr>
            <w:tcW w:w="1116" w:type="dxa"/>
            <w:vAlign w:val="center"/>
          </w:tcPr>
          <w:p>
            <w:pPr>
              <w:spacing w:after="0" w:line="240" w:lineRule="auto"/>
              <w:jc w:val="center"/>
              <w:rPr>
                <w:rFonts w:eastAsia="仿宋_GB2312"/>
                <w:sz w:val="24"/>
              </w:rPr>
            </w:pPr>
          </w:p>
        </w:tc>
        <w:tc>
          <w:tcPr>
            <w:tcW w:w="1113" w:type="dxa"/>
            <w:vAlign w:val="center"/>
          </w:tcPr>
          <w:p>
            <w:pPr>
              <w:spacing w:after="0" w:line="240" w:lineRule="auto"/>
              <w:jc w:val="center"/>
              <w:rPr>
                <w:rFonts w:eastAsia="仿宋_GB2312"/>
                <w:sz w:val="24"/>
              </w:rPr>
            </w:pPr>
            <w:r>
              <w:rPr>
                <w:rFonts w:hint="eastAsia" w:ascii="仿宋_GB2312" w:hAnsi="仿宋_GB2312" w:eastAsia="仿宋_GB2312" w:cs="仿宋_GB2312"/>
                <w:color w:val="auto"/>
                <w:sz w:val="24"/>
                <w:szCs w:val="24"/>
                <w:lang w:val="en-US" w:eastAsia="zh-CN"/>
              </w:rPr>
              <w:t>1-20</w:t>
            </w:r>
          </w:p>
        </w:tc>
        <w:tc>
          <w:tcPr>
            <w:tcW w:w="1118" w:type="dxa"/>
            <w:vAlign w:val="center"/>
          </w:tcPr>
          <w:p>
            <w:pPr>
              <w:spacing w:after="0" w:line="240" w:lineRule="auto"/>
              <w:jc w:val="center"/>
              <w:rPr>
                <w:rFonts w:eastAsia="仿宋_GB2312"/>
                <w:sz w:val="24"/>
              </w:rPr>
            </w:pPr>
            <w:r>
              <w:rPr>
                <w:rFonts w:hint="eastAsia" w:ascii="仿宋_GB2312" w:hAnsi="仿宋_GB2312" w:eastAsia="仿宋_GB2312" w:cs="仿宋_GB2312"/>
                <w:color w:val="auto"/>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593" w:type="dxa"/>
            <w:vAlign w:val="center"/>
          </w:tcPr>
          <w:p>
            <w:pPr>
              <w:spacing w:after="0" w:line="240" w:lineRule="auto"/>
              <w:jc w:val="center"/>
              <w:rPr>
                <w:rFonts w:hint="eastAsia" w:ascii="仿宋_GB2312" w:hAnsi="仿宋_GB2312" w:eastAsia="仿宋_GB2312" w:cs="仿宋_GB2312"/>
                <w:color w:val="000000"/>
                <w:sz w:val="24"/>
                <w:highlight w:val="gree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1174" w:type="dxa"/>
            <w:vAlign w:val="center"/>
          </w:tcPr>
          <w:p>
            <w:pPr>
              <w:spacing w:after="0" w:line="240" w:lineRule="auto"/>
              <w:jc w:val="center"/>
              <w:rPr>
                <w:rFonts w:eastAsia="仿宋_GB2312"/>
                <w:sz w:val="24"/>
                <w:highlight w:val="green"/>
              </w:rPr>
            </w:pPr>
            <w:r>
              <w:rPr>
                <w:rFonts w:hint="eastAsia" w:ascii="仿宋_GB2312" w:hAnsi="仿宋_GB2312" w:eastAsia="仿宋_GB2312" w:cs="仿宋_GB2312"/>
                <w:color w:val="auto"/>
                <w:sz w:val="24"/>
                <w:szCs w:val="24"/>
                <w:lang w:val="en-US" w:eastAsia="zh-CN"/>
              </w:rPr>
              <w:t>1-20</w:t>
            </w:r>
          </w:p>
        </w:tc>
        <w:tc>
          <w:tcPr>
            <w:tcW w:w="1058" w:type="dxa"/>
            <w:vAlign w:val="center"/>
          </w:tcPr>
          <w:p>
            <w:pPr>
              <w:spacing w:after="0" w:line="240" w:lineRule="auto"/>
              <w:jc w:val="center"/>
              <w:rPr>
                <w:rFonts w:eastAsia="仿宋_GB2312"/>
                <w:sz w:val="24"/>
                <w:highlight w:val="green"/>
              </w:rPr>
            </w:pPr>
            <w:r>
              <w:rPr>
                <w:rFonts w:hint="eastAsia" w:ascii="仿宋_GB2312" w:hAnsi="仿宋_GB2312" w:eastAsia="仿宋_GB2312" w:cs="仿宋_GB2312"/>
                <w:color w:val="auto"/>
                <w:sz w:val="24"/>
                <w:szCs w:val="24"/>
                <w:lang w:val="en-US" w:eastAsia="zh-CN"/>
              </w:rPr>
              <w:t>1-20</w:t>
            </w:r>
          </w:p>
        </w:tc>
        <w:tc>
          <w:tcPr>
            <w:tcW w:w="1116" w:type="dxa"/>
            <w:vAlign w:val="center"/>
          </w:tcPr>
          <w:p>
            <w:pPr>
              <w:spacing w:after="0" w:line="240" w:lineRule="auto"/>
              <w:jc w:val="center"/>
              <w:rPr>
                <w:rFonts w:eastAsia="仿宋_GB2312"/>
                <w:sz w:val="24"/>
                <w:highlight w:val="green"/>
              </w:rPr>
            </w:pPr>
            <w:r>
              <w:rPr>
                <w:rFonts w:hint="eastAsia" w:ascii="仿宋_GB2312" w:hAnsi="仿宋_GB2312" w:eastAsia="仿宋_GB2312" w:cs="仿宋_GB2312"/>
                <w:color w:val="auto"/>
                <w:sz w:val="24"/>
                <w:szCs w:val="24"/>
                <w:lang w:val="en-US" w:eastAsia="zh-CN"/>
              </w:rPr>
              <w:t>1-20</w:t>
            </w:r>
          </w:p>
        </w:tc>
        <w:tc>
          <w:tcPr>
            <w:tcW w:w="1116" w:type="dxa"/>
            <w:vAlign w:val="center"/>
          </w:tcPr>
          <w:p>
            <w:pPr>
              <w:spacing w:after="0" w:line="240" w:lineRule="auto"/>
              <w:jc w:val="center"/>
              <w:rPr>
                <w:rFonts w:eastAsia="仿宋_GB2312"/>
                <w:sz w:val="24"/>
                <w:highlight w:val="green"/>
              </w:rPr>
            </w:pPr>
            <w:r>
              <w:rPr>
                <w:rFonts w:hint="eastAsia" w:ascii="仿宋_GB2312" w:hAnsi="仿宋_GB2312" w:eastAsia="仿宋_GB2312" w:cs="仿宋_GB2312"/>
                <w:color w:val="auto"/>
                <w:sz w:val="24"/>
                <w:szCs w:val="24"/>
                <w:lang w:val="en-US" w:eastAsia="zh-CN"/>
              </w:rPr>
              <w:t>1-20</w:t>
            </w:r>
          </w:p>
        </w:tc>
        <w:tc>
          <w:tcPr>
            <w:tcW w:w="1113" w:type="dxa"/>
            <w:vAlign w:val="center"/>
          </w:tcPr>
          <w:p>
            <w:pPr>
              <w:spacing w:after="0" w:line="240" w:lineRule="auto"/>
              <w:jc w:val="center"/>
              <w:rPr>
                <w:rFonts w:eastAsia="仿宋_GB2312"/>
                <w:sz w:val="24"/>
                <w:highlight w:val="green"/>
              </w:rPr>
            </w:pPr>
            <w:r>
              <w:rPr>
                <w:rFonts w:hint="eastAsia" w:ascii="仿宋_GB2312" w:hAnsi="仿宋_GB2312" w:eastAsia="仿宋_GB2312" w:cs="仿宋_GB2312"/>
                <w:color w:val="auto"/>
                <w:sz w:val="24"/>
                <w:szCs w:val="24"/>
                <w:lang w:val="en-US" w:eastAsia="zh-CN"/>
              </w:rPr>
              <w:t>1-20</w:t>
            </w:r>
          </w:p>
        </w:tc>
        <w:tc>
          <w:tcPr>
            <w:tcW w:w="1118" w:type="dxa"/>
            <w:vAlign w:val="center"/>
          </w:tcPr>
          <w:p>
            <w:pPr>
              <w:spacing w:after="0" w:line="240" w:lineRule="auto"/>
              <w:jc w:val="center"/>
              <w:rPr>
                <w:rFonts w:eastAsia="仿宋_GB2312"/>
                <w:sz w:val="24"/>
                <w:highlight w:val="green"/>
              </w:rPr>
            </w:pPr>
            <w:r>
              <w:rPr>
                <w:rFonts w:hint="eastAsia" w:ascii="仿宋_GB2312" w:hAnsi="仿宋_GB2312" w:eastAsia="仿宋_GB2312" w:cs="仿宋_GB2312"/>
                <w:color w:val="auto"/>
                <w:sz w:val="24"/>
                <w:szCs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593" w:type="dxa"/>
            <w:vAlign w:val="center"/>
          </w:tcPr>
          <w:p>
            <w:pPr>
              <w:spacing w:after="0" w:line="24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b w:val="0"/>
                <w:bCs w:val="0"/>
                <w:color w:val="000000"/>
                <w:sz w:val="24"/>
                <w:szCs w:val="24"/>
                <w:lang w:val="en-US" w:eastAsia="zh-CN"/>
              </w:rPr>
              <w:t>毕业教育</w:t>
            </w:r>
          </w:p>
        </w:tc>
        <w:tc>
          <w:tcPr>
            <w:tcW w:w="1174" w:type="dxa"/>
            <w:vAlign w:val="center"/>
          </w:tcPr>
          <w:p>
            <w:pPr>
              <w:spacing w:after="0" w:line="240" w:lineRule="auto"/>
              <w:jc w:val="center"/>
              <w:rPr>
                <w:rFonts w:eastAsia="仿宋_GB2312"/>
                <w:sz w:val="24"/>
              </w:rPr>
            </w:pPr>
          </w:p>
        </w:tc>
        <w:tc>
          <w:tcPr>
            <w:tcW w:w="1058" w:type="dxa"/>
            <w:vAlign w:val="center"/>
          </w:tcPr>
          <w:p>
            <w:pPr>
              <w:spacing w:after="0" w:line="240" w:lineRule="auto"/>
              <w:jc w:val="center"/>
              <w:rPr>
                <w:rFonts w:eastAsia="仿宋_GB2312"/>
                <w:sz w:val="24"/>
              </w:rPr>
            </w:pPr>
          </w:p>
        </w:tc>
        <w:tc>
          <w:tcPr>
            <w:tcW w:w="1116" w:type="dxa"/>
            <w:vAlign w:val="center"/>
          </w:tcPr>
          <w:p>
            <w:pPr>
              <w:spacing w:after="0" w:line="240" w:lineRule="auto"/>
              <w:jc w:val="center"/>
              <w:rPr>
                <w:rFonts w:eastAsia="仿宋_GB2312"/>
                <w:sz w:val="24"/>
              </w:rPr>
            </w:pPr>
          </w:p>
        </w:tc>
        <w:tc>
          <w:tcPr>
            <w:tcW w:w="1116" w:type="dxa"/>
            <w:vAlign w:val="center"/>
          </w:tcPr>
          <w:p>
            <w:pPr>
              <w:spacing w:after="0" w:line="240" w:lineRule="auto"/>
              <w:jc w:val="center"/>
              <w:rPr>
                <w:rFonts w:eastAsia="仿宋_GB2312"/>
                <w:sz w:val="24"/>
              </w:rPr>
            </w:pPr>
          </w:p>
        </w:tc>
        <w:tc>
          <w:tcPr>
            <w:tcW w:w="1113" w:type="dxa"/>
            <w:vAlign w:val="center"/>
          </w:tcPr>
          <w:p>
            <w:pPr>
              <w:spacing w:after="0" w:line="240" w:lineRule="auto"/>
              <w:jc w:val="center"/>
              <w:rPr>
                <w:rFonts w:eastAsia="仿宋_GB2312"/>
                <w:sz w:val="24"/>
              </w:rPr>
            </w:pPr>
          </w:p>
        </w:tc>
        <w:tc>
          <w:tcPr>
            <w:tcW w:w="1118" w:type="dxa"/>
            <w:vAlign w:val="center"/>
          </w:tcPr>
          <w:p>
            <w:pPr>
              <w:spacing w:after="0" w:line="240" w:lineRule="auto"/>
              <w:jc w:val="center"/>
              <w:rPr>
                <w:rFonts w:eastAsia="仿宋_GB2312"/>
                <w:sz w:val="24"/>
              </w:rPr>
            </w:pPr>
            <w:r>
              <w:rPr>
                <w:rFonts w:hint="eastAsia" w:ascii="仿宋_GB2312" w:hAnsi="仿宋_GB2312" w:eastAsia="仿宋_GB2312" w:cs="仿宋_GB2312"/>
                <w:color w:val="auto"/>
                <w:sz w:val="24"/>
                <w:szCs w:val="24"/>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593" w:type="dxa"/>
            <w:vAlign w:val="center"/>
          </w:tcPr>
          <w:p>
            <w:pPr>
              <w:spacing w:after="0" w:line="240" w:lineRule="auto"/>
              <w:jc w:val="center"/>
              <w:rPr>
                <w:rFonts w:hint="eastAsia" w:ascii="仿宋_GB2312" w:hAnsi="仿宋_GB2312" w:eastAsia="仿宋_GB2312" w:cs="仿宋_GB2312"/>
                <w:sz w:val="24"/>
              </w:rPr>
            </w:pPr>
            <w:r>
              <w:rPr>
                <w:rFonts w:hint="eastAsia" w:ascii="仿宋_GB2312" w:hAnsi="仿宋_GB2312" w:eastAsia="仿宋_GB2312" w:cs="仿宋_GB2312"/>
                <w:b w:val="0"/>
                <w:bCs w:val="0"/>
                <w:color w:val="000000"/>
                <w:sz w:val="24"/>
                <w:szCs w:val="24"/>
              </w:rPr>
              <w:t>学期教学总周数</w:t>
            </w:r>
          </w:p>
        </w:tc>
        <w:tc>
          <w:tcPr>
            <w:tcW w:w="1174"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20周</w:t>
            </w:r>
          </w:p>
        </w:tc>
        <w:tc>
          <w:tcPr>
            <w:tcW w:w="1058"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20周</w:t>
            </w:r>
          </w:p>
        </w:tc>
        <w:tc>
          <w:tcPr>
            <w:tcW w:w="1116"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20周</w:t>
            </w:r>
          </w:p>
        </w:tc>
        <w:tc>
          <w:tcPr>
            <w:tcW w:w="1116"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20周</w:t>
            </w:r>
          </w:p>
        </w:tc>
        <w:tc>
          <w:tcPr>
            <w:tcW w:w="1113"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20周</w:t>
            </w:r>
          </w:p>
        </w:tc>
        <w:tc>
          <w:tcPr>
            <w:tcW w:w="1118" w:type="dxa"/>
            <w:vAlign w:val="center"/>
          </w:tcPr>
          <w:p>
            <w:pPr>
              <w:spacing w:after="0" w:line="240" w:lineRule="auto"/>
              <w:jc w:val="center"/>
              <w:rPr>
                <w:rFonts w:eastAsia="仿宋_GB2312"/>
                <w:sz w:val="24"/>
              </w:rPr>
            </w:pPr>
            <w:r>
              <w:rPr>
                <w:rFonts w:hint="eastAsia" w:ascii="仿宋_GB2312" w:hAnsi="仿宋_GB2312" w:eastAsia="仿宋_GB2312" w:cs="仿宋_GB2312"/>
                <w:sz w:val="24"/>
                <w:szCs w:val="24"/>
                <w:lang w:val="en-US" w:eastAsia="zh-CN"/>
              </w:rPr>
              <w:t>20周</w:t>
            </w:r>
          </w:p>
        </w:tc>
      </w:tr>
    </w:tbl>
    <w:p>
      <w:pPr>
        <w:spacing w:after="0" w:line="520" w:lineRule="exact"/>
        <w:ind w:firstLine="640" w:firstLineChars="200"/>
        <w:rPr>
          <w:rFonts w:hint="eastAsia"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pPr>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本专业教学总学时为</w:t>
      </w:r>
      <w:r>
        <w:rPr>
          <w:rFonts w:hint="eastAsia" w:ascii="仿宋_GB2312" w:hAnsi="仿宋_GB2312" w:eastAsia="仿宋_GB2312" w:cs="仿宋_GB2312"/>
          <w:spacing w:val="-2"/>
          <w:sz w:val="32"/>
          <w:szCs w:val="32"/>
          <w:lang w:val="en-US" w:eastAsia="zh-CN"/>
        </w:rPr>
        <w:t>2702</w:t>
      </w:r>
      <w:r>
        <w:rPr>
          <w:rFonts w:hint="eastAsia" w:ascii="仿宋_GB2312" w:hAnsi="仿宋_GB2312" w:eastAsia="仿宋_GB2312" w:cs="仿宋_GB2312"/>
          <w:bCs/>
          <w:sz w:val="32"/>
          <w:szCs w:val="32"/>
        </w:rPr>
        <w:t>学时。其中理论教学</w:t>
      </w:r>
      <w:r>
        <w:rPr>
          <w:rFonts w:hint="eastAsia" w:ascii="仿宋_GB2312" w:hAnsi="仿宋_GB2312" w:eastAsia="仿宋_GB2312" w:cs="仿宋_GB2312"/>
          <w:bCs/>
          <w:sz w:val="32"/>
          <w:szCs w:val="32"/>
          <w:lang w:val="en-US" w:eastAsia="zh-CN"/>
        </w:rPr>
        <w:t>1246</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rPr>
        <w:t>46</w:t>
      </w:r>
      <w:r>
        <w:rPr>
          <w:rFonts w:hint="eastAsia" w:ascii="仿宋_GB2312" w:hAnsi="仿宋_GB2312" w:eastAsia="仿宋_GB2312" w:cs="仿宋_GB2312"/>
          <w:spacing w:val="-2"/>
          <w:sz w:val="32"/>
          <w:szCs w:val="32"/>
          <w:lang w:val="en-US" w:eastAsia="zh-CN"/>
        </w:rPr>
        <w:t>.11</w:t>
      </w:r>
      <w:r>
        <w:rPr>
          <w:rFonts w:hint="eastAsia" w:ascii="仿宋_GB2312" w:hAnsi="仿宋_GB2312" w:eastAsia="仿宋_GB2312" w:cs="仿宋_GB2312"/>
          <w:bCs/>
          <w:sz w:val="32"/>
          <w:szCs w:val="32"/>
        </w:rPr>
        <w:t>%；实践教学</w:t>
      </w:r>
      <w:r>
        <w:rPr>
          <w:rFonts w:hint="eastAsia" w:ascii="仿宋_GB2312" w:hAnsi="仿宋_GB2312" w:eastAsia="仿宋_GB2312" w:cs="仿宋_GB2312"/>
          <w:spacing w:val="-2"/>
          <w:sz w:val="32"/>
          <w:szCs w:val="32"/>
        </w:rPr>
        <w:t>14</w:t>
      </w:r>
      <w:r>
        <w:rPr>
          <w:rFonts w:hint="eastAsia" w:ascii="仿宋_GB2312" w:hAnsi="仿宋_GB2312" w:eastAsia="仿宋_GB2312" w:cs="仿宋_GB2312"/>
          <w:spacing w:val="-2"/>
          <w:sz w:val="32"/>
          <w:szCs w:val="32"/>
          <w:lang w:val="en-US" w:eastAsia="zh-CN"/>
        </w:rPr>
        <w:t>56</w:t>
      </w:r>
      <w:r>
        <w:rPr>
          <w:rFonts w:hint="eastAsia" w:ascii="仿宋_GB2312" w:hAnsi="仿宋_GB2312" w:eastAsia="仿宋_GB2312" w:cs="仿宋_GB2312"/>
          <w:bCs/>
          <w:sz w:val="32"/>
          <w:szCs w:val="32"/>
        </w:rPr>
        <w:t>学时，占</w:t>
      </w:r>
      <w:r>
        <w:rPr>
          <w:rFonts w:hint="eastAsia" w:ascii="仿宋_GB2312" w:hAnsi="仿宋_GB2312" w:eastAsia="仿宋_GB2312" w:cs="仿宋_GB2312"/>
          <w:bCs/>
          <w:sz w:val="32"/>
          <w:szCs w:val="32"/>
          <w:lang w:val="en-US" w:eastAsia="zh-CN"/>
        </w:rPr>
        <w:t>53.89</w:t>
      </w:r>
      <w:r>
        <w:rPr>
          <w:rFonts w:hint="eastAsia" w:ascii="仿宋_GB2312" w:hAnsi="仿宋_GB2312" w:eastAsia="仿宋_GB2312" w:cs="仿宋_GB2312"/>
          <w:spacing w:val="-2"/>
          <w:sz w:val="32"/>
          <w:szCs w:val="32"/>
        </w:rPr>
        <w:t xml:space="preserve"> </w:t>
      </w:r>
      <w:r>
        <w:rPr>
          <w:rFonts w:hint="eastAsia" w:ascii="仿宋_GB2312" w:hAnsi="仿宋_GB2312" w:eastAsia="仿宋_GB2312" w:cs="仿宋_GB2312"/>
          <w:bCs/>
          <w:sz w:val="32"/>
          <w:szCs w:val="32"/>
        </w:rPr>
        <w:t>%，其中岗位</w:t>
      </w:r>
      <w:r>
        <w:rPr>
          <w:rFonts w:hint="eastAsia" w:ascii="仿宋_GB2312" w:hAnsi="仿宋_GB2312" w:eastAsia="仿宋_GB2312" w:cs="仿宋_GB2312"/>
          <w:spacing w:val="-2"/>
          <w:sz w:val="32"/>
          <w:szCs w:val="32"/>
        </w:rPr>
        <w:t>实习时间累计一般为6个月。</w:t>
      </w:r>
      <w:r>
        <w:rPr>
          <w:rFonts w:hint="eastAsia" w:ascii="仿宋_GB2312" w:hAnsi="仿宋_GB2312" w:eastAsia="仿宋_GB2312" w:cs="仿宋_GB2312"/>
          <w:bCs/>
          <w:sz w:val="32"/>
          <w:szCs w:val="32"/>
        </w:rPr>
        <w:t>公共基础课</w:t>
      </w:r>
      <w:r>
        <w:rPr>
          <w:rFonts w:hint="eastAsia" w:ascii="仿宋_GB2312" w:hAnsi="仿宋_GB2312" w:eastAsia="仿宋_GB2312" w:cs="仿宋_GB2312"/>
          <w:spacing w:val="-2"/>
          <w:sz w:val="32"/>
          <w:szCs w:val="32"/>
        </w:rPr>
        <w:t>858</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lang w:val="en-US" w:eastAsia="zh-CN"/>
        </w:rPr>
        <w:t>31.75</w:t>
      </w:r>
      <w:r>
        <w:rPr>
          <w:rFonts w:hint="eastAsia" w:ascii="仿宋_GB2312" w:hAnsi="仿宋_GB2312" w:eastAsia="仿宋_GB2312" w:cs="仿宋_GB2312"/>
          <w:bCs/>
          <w:sz w:val="32"/>
          <w:szCs w:val="32"/>
        </w:rPr>
        <w:t xml:space="preserve"> %；选修课</w:t>
      </w:r>
      <w:r>
        <w:rPr>
          <w:rFonts w:hint="eastAsia" w:ascii="仿宋_GB2312" w:hAnsi="仿宋_GB2312" w:eastAsia="仿宋_GB2312" w:cs="仿宋_GB2312"/>
          <w:spacing w:val="-2"/>
          <w:sz w:val="32"/>
          <w:szCs w:val="32"/>
          <w:lang w:val="en-US" w:eastAsia="zh-CN"/>
        </w:rPr>
        <w:t>308</w:t>
      </w:r>
      <w:r>
        <w:rPr>
          <w:rFonts w:hint="eastAsia" w:ascii="仿宋_GB2312" w:hAnsi="仿宋_GB2312" w:eastAsia="仿宋_GB2312" w:cs="仿宋_GB2312"/>
          <w:bCs/>
          <w:sz w:val="32"/>
          <w:szCs w:val="32"/>
        </w:rPr>
        <w:t>学时，占</w:t>
      </w:r>
      <w:r>
        <w:rPr>
          <w:rFonts w:hint="eastAsia" w:ascii="仿宋_GB2312" w:hAnsi="仿宋_GB2312" w:eastAsia="仿宋_GB2312" w:cs="仿宋_GB2312"/>
          <w:spacing w:val="-2"/>
          <w:sz w:val="32"/>
          <w:szCs w:val="32"/>
          <w:lang w:val="en-US" w:eastAsia="zh-CN"/>
        </w:rPr>
        <w:t>11.40</w:t>
      </w:r>
      <w:r>
        <w:rPr>
          <w:rFonts w:hint="eastAsia" w:ascii="仿宋_GB2312" w:hAnsi="仿宋_GB2312" w:eastAsia="仿宋_GB2312" w:cs="仿宋_GB2312"/>
          <w:bCs/>
          <w:sz w:val="32"/>
          <w:szCs w:val="32"/>
        </w:rPr>
        <w:t xml:space="preserve">%。           </w:t>
      </w:r>
    </w:p>
    <w:p>
      <w:pPr>
        <w:spacing w:after="0" w:line="520" w:lineRule="exact"/>
        <w:jc w:val="center"/>
        <w:rPr>
          <w:rFonts w:ascii="仿宋_GB2312" w:hAnsi="仿宋_GB2312" w:eastAsia="仿宋_GB2312" w:cs="仿宋_GB2312"/>
          <w:spacing w:val="-2"/>
          <w:sz w:val="32"/>
          <w:szCs w:val="32"/>
        </w:rPr>
      </w:pPr>
      <w:r>
        <w:rPr>
          <w:rFonts w:hint="eastAsia" w:ascii="仿宋_GB2312" w:hAnsi="仿宋_GB2312" w:eastAsia="仿宋_GB2312" w:cs="仿宋_GB2312"/>
          <w:sz w:val="32"/>
          <w:szCs w:val="32"/>
        </w:rPr>
        <w:t>表9</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pacing w:val="-2"/>
          <w:sz w:val="32"/>
          <w:szCs w:val="32"/>
        </w:rPr>
        <w:t>课程学时、学分分配表</w:t>
      </w:r>
    </w:p>
    <w:tbl>
      <w:tblPr>
        <w:tblStyle w:val="7"/>
        <w:tblW w:w="5109" w:type="pct"/>
        <w:tblInd w:w="-203" w:type="dxa"/>
        <w:tblLayout w:type="fixed"/>
        <w:tblCellMar>
          <w:top w:w="0" w:type="dxa"/>
          <w:left w:w="108" w:type="dxa"/>
          <w:bottom w:w="0" w:type="dxa"/>
          <w:right w:w="108" w:type="dxa"/>
        </w:tblCellMar>
      </w:tblPr>
      <w:tblGrid>
        <w:gridCol w:w="772"/>
        <w:gridCol w:w="1693"/>
        <w:gridCol w:w="792"/>
        <w:gridCol w:w="708"/>
        <w:gridCol w:w="1200"/>
        <w:gridCol w:w="771"/>
        <w:gridCol w:w="836"/>
        <w:gridCol w:w="1050"/>
        <w:gridCol w:w="727"/>
        <w:gridCol w:w="942"/>
      </w:tblGrid>
      <w:tr>
        <w:tblPrEx>
          <w:tblCellMar>
            <w:top w:w="0" w:type="dxa"/>
            <w:left w:w="108" w:type="dxa"/>
            <w:bottom w:w="0" w:type="dxa"/>
            <w:right w:w="108" w:type="dxa"/>
          </w:tblCellMar>
        </w:tblPrEx>
        <w:trPr>
          <w:trHeight w:val="260" w:hRule="atLeast"/>
        </w:trPr>
        <w:tc>
          <w:tcPr>
            <w:tcW w:w="1298" w:type="pct"/>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课程类别</w:t>
            </w:r>
          </w:p>
        </w:tc>
        <w:tc>
          <w:tcPr>
            <w:tcW w:w="417" w:type="pct"/>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372" w:type="pct"/>
            <w:vMerge w:val="restart"/>
            <w:tcBorders>
              <w:top w:val="single" w:color="auto" w:sz="4" w:space="0"/>
              <w:left w:val="single" w:color="auto" w:sz="4" w:space="0"/>
              <w:bottom w:val="single" w:color="auto" w:sz="4" w:space="0"/>
              <w:right w:val="single" w:color="auto" w:sz="4" w:space="0"/>
            </w:tcBorders>
            <w:noWrap/>
            <w:vAlign w:val="center"/>
          </w:tcPr>
          <w:p>
            <w:pPr>
              <w:widowControl/>
              <w:spacing w:after="0"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学分</w:t>
            </w:r>
          </w:p>
        </w:tc>
        <w:tc>
          <w:tcPr>
            <w:tcW w:w="632" w:type="pct"/>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占专业总学分比例</w:t>
            </w:r>
          </w:p>
        </w:tc>
        <w:tc>
          <w:tcPr>
            <w:tcW w:w="2279" w:type="pct"/>
            <w:gridSpan w:val="5"/>
            <w:tcBorders>
              <w:top w:val="single" w:color="auto" w:sz="4" w:space="0"/>
              <w:left w:val="nil"/>
              <w:bottom w:val="single" w:color="auto" w:sz="4" w:space="0"/>
              <w:right w:val="single" w:color="auto" w:sz="4" w:space="0"/>
            </w:tcBorders>
            <w:noWrap/>
            <w:vAlign w:val="center"/>
          </w:tcPr>
          <w:p>
            <w:pPr>
              <w:widowControl/>
              <w:spacing w:after="0"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学时</w:t>
            </w:r>
          </w:p>
        </w:tc>
      </w:tr>
      <w:tr>
        <w:tblPrEx>
          <w:tblCellMar>
            <w:top w:w="0" w:type="dxa"/>
            <w:left w:w="108" w:type="dxa"/>
            <w:bottom w:w="0" w:type="dxa"/>
            <w:right w:w="108" w:type="dxa"/>
          </w:tblCellMar>
        </w:tblPrEx>
        <w:trPr>
          <w:trHeight w:val="260" w:hRule="atLeast"/>
        </w:trPr>
        <w:tc>
          <w:tcPr>
            <w:tcW w:w="12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kern w:val="0"/>
                <w:sz w:val="24"/>
                <w:szCs w:val="24"/>
              </w:rPr>
            </w:pPr>
          </w:p>
        </w:tc>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kern w:val="0"/>
                <w:sz w:val="24"/>
                <w:szCs w:val="24"/>
              </w:rPr>
            </w:pPr>
          </w:p>
        </w:tc>
        <w:tc>
          <w:tcPr>
            <w:tcW w:w="372" w:type="pct"/>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kern w:val="0"/>
                <w:sz w:val="24"/>
                <w:szCs w:val="24"/>
              </w:rPr>
            </w:pPr>
          </w:p>
        </w:tc>
        <w:tc>
          <w:tcPr>
            <w:tcW w:w="632" w:type="pct"/>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kern w:val="0"/>
                <w:sz w:val="24"/>
                <w:szCs w:val="24"/>
              </w:rPr>
            </w:pPr>
          </w:p>
        </w:tc>
        <w:tc>
          <w:tcPr>
            <w:tcW w:w="406" w:type="pct"/>
            <w:vMerge w:val="restart"/>
            <w:tcBorders>
              <w:top w:val="nil"/>
              <w:left w:val="single" w:color="auto" w:sz="4" w:space="0"/>
              <w:bottom w:val="single" w:color="auto" w:sz="4" w:space="0"/>
              <w:right w:val="single" w:color="auto" w:sz="4" w:space="0"/>
            </w:tcBorders>
            <w:noWrap/>
            <w:vAlign w:val="center"/>
          </w:tcPr>
          <w:p>
            <w:pPr>
              <w:widowControl/>
              <w:spacing w:after="0"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合计</w:t>
            </w:r>
          </w:p>
        </w:tc>
        <w:tc>
          <w:tcPr>
            <w:tcW w:w="993" w:type="pct"/>
            <w:gridSpan w:val="2"/>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理论教学</w:t>
            </w:r>
          </w:p>
        </w:tc>
        <w:tc>
          <w:tcPr>
            <w:tcW w:w="879" w:type="pct"/>
            <w:gridSpan w:val="2"/>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实践教学</w:t>
            </w:r>
          </w:p>
        </w:tc>
      </w:tr>
      <w:tr>
        <w:tblPrEx>
          <w:tblCellMar>
            <w:top w:w="0" w:type="dxa"/>
            <w:left w:w="108" w:type="dxa"/>
            <w:bottom w:w="0" w:type="dxa"/>
            <w:right w:w="108" w:type="dxa"/>
          </w:tblCellMar>
        </w:tblPrEx>
        <w:trPr>
          <w:trHeight w:val="780" w:hRule="atLeast"/>
        </w:trPr>
        <w:tc>
          <w:tcPr>
            <w:tcW w:w="129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kern w:val="0"/>
                <w:sz w:val="24"/>
                <w:szCs w:val="24"/>
              </w:rPr>
            </w:pPr>
          </w:p>
        </w:tc>
        <w:tc>
          <w:tcPr>
            <w:tcW w:w="417" w:type="pct"/>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kern w:val="0"/>
                <w:sz w:val="24"/>
                <w:szCs w:val="24"/>
              </w:rPr>
            </w:pPr>
          </w:p>
        </w:tc>
        <w:tc>
          <w:tcPr>
            <w:tcW w:w="372" w:type="pct"/>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kern w:val="0"/>
                <w:sz w:val="24"/>
                <w:szCs w:val="24"/>
              </w:rPr>
            </w:pPr>
          </w:p>
        </w:tc>
        <w:tc>
          <w:tcPr>
            <w:tcW w:w="632" w:type="pct"/>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kern w:val="0"/>
                <w:sz w:val="24"/>
                <w:szCs w:val="24"/>
              </w:rPr>
            </w:pPr>
          </w:p>
        </w:tc>
        <w:tc>
          <w:tcPr>
            <w:tcW w:w="406" w:type="pct"/>
            <w:vMerge w:val="continue"/>
            <w:tcBorders>
              <w:top w:val="nil"/>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kern w:val="0"/>
                <w:sz w:val="24"/>
                <w:szCs w:val="24"/>
              </w:rPr>
            </w:pPr>
          </w:p>
        </w:tc>
        <w:tc>
          <w:tcPr>
            <w:tcW w:w="440" w:type="pct"/>
            <w:tcBorders>
              <w:top w:val="nil"/>
              <w:left w:val="nil"/>
              <w:bottom w:val="single" w:color="auto" w:sz="4" w:space="0"/>
              <w:right w:val="single" w:color="auto" w:sz="4" w:space="0"/>
            </w:tcBorders>
            <w:noWrap/>
            <w:vAlign w:val="center"/>
          </w:tcPr>
          <w:p>
            <w:pPr>
              <w:widowControl/>
              <w:spacing w:after="0"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学时</w:t>
            </w:r>
          </w:p>
        </w:tc>
        <w:tc>
          <w:tcPr>
            <w:tcW w:w="553" w:type="pct"/>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spacing w:val="-11"/>
                <w:kern w:val="0"/>
                <w:sz w:val="24"/>
                <w:szCs w:val="24"/>
              </w:rPr>
              <w:t>占专业总学时比例（%）</w:t>
            </w:r>
          </w:p>
        </w:tc>
        <w:tc>
          <w:tcPr>
            <w:tcW w:w="382" w:type="pct"/>
            <w:tcBorders>
              <w:top w:val="nil"/>
              <w:left w:val="nil"/>
              <w:bottom w:val="single" w:color="auto" w:sz="4" w:space="0"/>
              <w:right w:val="single" w:color="auto" w:sz="4" w:space="0"/>
            </w:tcBorders>
            <w:noWrap/>
            <w:vAlign w:val="center"/>
          </w:tcPr>
          <w:p>
            <w:pPr>
              <w:widowControl/>
              <w:spacing w:after="0"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学时</w:t>
            </w:r>
          </w:p>
        </w:tc>
        <w:tc>
          <w:tcPr>
            <w:tcW w:w="496" w:type="pct"/>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spacing w:val="-17"/>
                <w:kern w:val="0"/>
                <w:sz w:val="24"/>
                <w:szCs w:val="24"/>
              </w:rPr>
              <w:t>占专业总学时比例（%）</w:t>
            </w:r>
          </w:p>
        </w:tc>
      </w:tr>
      <w:tr>
        <w:tblPrEx>
          <w:tblCellMar>
            <w:top w:w="0" w:type="dxa"/>
            <w:left w:w="108" w:type="dxa"/>
            <w:bottom w:w="0" w:type="dxa"/>
            <w:right w:w="108" w:type="dxa"/>
          </w:tblCellMar>
        </w:tblPrEx>
        <w:trPr>
          <w:trHeight w:val="260" w:hRule="atLeast"/>
        </w:trPr>
        <w:tc>
          <w:tcPr>
            <w:tcW w:w="1298" w:type="pct"/>
            <w:gridSpan w:val="2"/>
            <w:vMerge w:val="restart"/>
            <w:tcBorders>
              <w:top w:val="single" w:color="auto" w:sz="4" w:space="0"/>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1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必修</w:t>
            </w:r>
          </w:p>
        </w:tc>
        <w:tc>
          <w:tcPr>
            <w:tcW w:w="37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38</w:t>
            </w:r>
          </w:p>
        </w:tc>
        <w:tc>
          <w:tcPr>
            <w:tcW w:w="63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26.57%</w:t>
            </w:r>
          </w:p>
        </w:tc>
        <w:tc>
          <w:tcPr>
            <w:tcW w:w="40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730 </w:t>
            </w:r>
          </w:p>
        </w:tc>
        <w:tc>
          <w:tcPr>
            <w:tcW w:w="440"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390 </w:t>
            </w:r>
          </w:p>
        </w:tc>
        <w:tc>
          <w:tcPr>
            <w:tcW w:w="553" w:type="pct"/>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14.43%</w:t>
            </w:r>
          </w:p>
        </w:tc>
        <w:tc>
          <w:tcPr>
            <w:tcW w:w="38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340</w:t>
            </w:r>
          </w:p>
        </w:tc>
        <w:tc>
          <w:tcPr>
            <w:tcW w:w="49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12.58%</w:t>
            </w:r>
          </w:p>
        </w:tc>
      </w:tr>
      <w:tr>
        <w:tblPrEx>
          <w:tblCellMar>
            <w:top w:w="0" w:type="dxa"/>
            <w:left w:w="108" w:type="dxa"/>
            <w:bottom w:w="0" w:type="dxa"/>
            <w:right w:w="108" w:type="dxa"/>
          </w:tblCellMar>
        </w:tblPrEx>
        <w:trPr>
          <w:trHeight w:val="260" w:hRule="atLeast"/>
        </w:trPr>
        <w:tc>
          <w:tcPr>
            <w:tcW w:w="1298" w:type="pct"/>
            <w:gridSpan w:val="2"/>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kern w:val="0"/>
                <w:sz w:val="24"/>
                <w:szCs w:val="24"/>
              </w:rPr>
            </w:pPr>
          </w:p>
        </w:tc>
        <w:tc>
          <w:tcPr>
            <w:tcW w:w="41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选修</w:t>
            </w:r>
          </w:p>
        </w:tc>
        <w:tc>
          <w:tcPr>
            <w:tcW w:w="37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8</w:t>
            </w:r>
          </w:p>
        </w:tc>
        <w:tc>
          <w:tcPr>
            <w:tcW w:w="63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5.59%</w:t>
            </w:r>
          </w:p>
        </w:tc>
        <w:tc>
          <w:tcPr>
            <w:tcW w:w="40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128 </w:t>
            </w:r>
          </w:p>
        </w:tc>
        <w:tc>
          <w:tcPr>
            <w:tcW w:w="440"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80 </w:t>
            </w:r>
          </w:p>
        </w:tc>
        <w:tc>
          <w:tcPr>
            <w:tcW w:w="553" w:type="pct"/>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2.96%</w:t>
            </w:r>
          </w:p>
        </w:tc>
        <w:tc>
          <w:tcPr>
            <w:tcW w:w="38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48</w:t>
            </w:r>
          </w:p>
        </w:tc>
        <w:tc>
          <w:tcPr>
            <w:tcW w:w="49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1.78%</w:t>
            </w:r>
          </w:p>
        </w:tc>
      </w:tr>
      <w:tr>
        <w:tblPrEx>
          <w:tblCellMar>
            <w:top w:w="0" w:type="dxa"/>
            <w:left w:w="108" w:type="dxa"/>
            <w:bottom w:w="0" w:type="dxa"/>
            <w:right w:w="108" w:type="dxa"/>
          </w:tblCellMar>
        </w:tblPrEx>
        <w:trPr>
          <w:trHeight w:val="260" w:hRule="atLeast"/>
        </w:trPr>
        <w:tc>
          <w:tcPr>
            <w:tcW w:w="1298" w:type="pct"/>
            <w:gridSpan w:val="2"/>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kern w:val="0"/>
                <w:sz w:val="24"/>
                <w:szCs w:val="24"/>
              </w:rPr>
            </w:pPr>
          </w:p>
        </w:tc>
        <w:tc>
          <w:tcPr>
            <w:tcW w:w="41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小计</w:t>
            </w:r>
          </w:p>
        </w:tc>
        <w:tc>
          <w:tcPr>
            <w:tcW w:w="37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46</w:t>
            </w:r>
          </w:p>
        </w:tc>
        <w:tc>
          <w:tcPr>
            <w:tcW w:w="63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32.17%</w:t>
            </w:r>
          </w:p>
        </w:tc>
        <w:tc>
          <w:tcPr>
            <w:tcW w:w="40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858 </w:t>
            </w:r>
          </w:p>
        </w:tc>
        <w:tc>
          <w:tcPr>
            <w:tcW w:w="440"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470 </w:t>
            </w:r>
          </w:p>
        </w:tc>
        <w:tc>
          <w:tcPr>
            <w:tcW w:w="553"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17.39%</w:t>
            </w:r>
          </w:p>
        </w:tc>
        <w:tc>
          <w:tcPr>
            <w:tcW w:w="38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388</w:t>
            </w:r>
          </w:p>
        </w:tc>
        <w:tc>
          <w:tcPr>
            <w:tcW w:w="49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14.36%</w:t>
            </w:r>
          </w:p>
        </w:tc>
      </w:tr>
      <w:tr>
        <w:tblPrEx>
          <w:tblCellMar>
            <w:top w:w="0" w:type="dxa"/>
            <w:left w:w="108" w:type="dxa"/>
            <w:bottom w:w="0" w:type="dxa"/>
            <w:right w:w="108" w:type="dxa"/>
          </w:tblCellMar>
        </w:tblPrEx>
        <w:trPr>
          <w:trHeight w:val="260" w:hRule="atLeast"/>
        </w:trPr>
        <w:tc>
          <w:tcPr>
            <w:tcW w:w="406" w:type="pct"/>
            <w:vMerge w:val="restart"/>
            <w:tcBorders>
              <w:top w:val="nil"/>
              <w:left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专业课</w:t>
            </w:r>
          </w:p>
        </w:tc>
        <w:tc>
          <w:tcPr>
            <w:tcW w:w="891" w:type="pct"/>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1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必修</w:t>
            </w:r>
          </w:p>
        </w:tc>
        <w:tc>
          <w:tcPr>
            <w:tcW w:w="37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40</w:t>
            </w:r>
          </w:p>
        </w:tc>
        <w:tc>
          <w:tcPr>
            <w:tcW w:w="63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27.97%</w:t>
            </w:r>
          </w:p>
        </w:tc>
        <w:tc>
          <w:tcPr>
            <w:tcW w:w="40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720 </w:t>
            </w:r>
          </w:p>
        </w:tc>
        <w:tc>
          <w:tcPr>
            <w:tcW w:w="440"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474 </w:t>
            </w:r>
          </w:p>
        </w:tc>
        <w:tc>
          <w:tcPr>
            <w:tcW w:w="553" w:type="pct"/>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17.54%</w:t>
            </w:r>
          </w:p>
        </w:tc>
        <w:tc>
          <w:tcPr>
            <w:tcW w:w="38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246</w:t>
            </w:r>
          </w:p>
        </w:tc>
        <w:tc>
          <w:tcPr>
            <w:tcW w:w="496" w:type="pct"/>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9.10%</w:t>
            </w:r>
          </w:p>
        </w:tc>
      </w:tr>
      <w:tr>
        <w:tblPrEx>
          <w:tblCellMar>
            <w:top w:w="0" w:type="dxa"/>
            <w:left w:w="108" w:type="dxa"/>
            <w:bottom w:w="0" w:type="dxa"/>
            <w:right w:w="108" w:type="dxa"/>
          </w:tblCellMar>
        </w:tblPrEx>
        <w:trPr>
          <w:trHeight w:val="260" w:hRule="atLeast"/>
        </w:trPr>
        <w:tc>
          <w:tcPr>
            <w:tcW w:w="406" w:type="pct"/>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kern w:val="0"/>
                <w:sz w:val="24"/>
                <w:szCs w:val="24"/>
              </w:rPr>
            </w:pPr>
          </w:p>
        </w:tc>
        <w:tc>
          <w:tcPr>
            <w:tcW w:w="891" w:type="pct"/>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1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必修</w:t>
            </w:r>
          </w:p>
        </w:tc>
        <w:tc>
          <w:tcPr>
            <w:tcW w:w="37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24</w:t>
            </w:r>
          </w:p>
        </w:tc>
        <w:tc>
          <w:tcPr>
            <w:tcW w:w="63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16.78%</w:t>
            </w:r>
          </w:p>
        </w:tc>
        <w:tc>
          <w:tcPr>
            <w:tcW w:w="40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432 </w:t>
            </w:r>
          </w:p>
        </w:tc>
        <w:tc>
          <w:tcPr>
            <w:tcW w:w="440"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192 </w:t>
            </w:r>
          </w:p>
        </w:tc>
        <w:tc>
          <w:tcPr>
            <w:tcW w:w="553" w:type="pct"/>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7.11%</w:t>
            </w:r>
          </w:p>
        </w:tc>
        <w:tc>
          <w:tcPr>
            <w:tcW w:w="38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240</w:t>
            </w:r>
          </w:p>
        </w:tc>
        <w:tc>
          <w:tcPr>
            <w:tcW w:w="49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8.88%</w:t>
            </w:r>
          </w:p>
        </w:tc>
      </w:tr>
      <w:tr>
        <w:tblPrEx>
          <w:tblCellMar>
            <w:top w:w="0" w:type="dxa"/>
            <w:left w:w="108" w:type="dxa"/>
            <w:bottom w:w="0" w:type="dxa"/>
            <w:right w:w="108" w:type="dxa"/>
          </w:tblCellMar>
        </w:tblPrEx>
        <w:trPr>
          <w:trHeight w:val="260" w:hRule="atLeast"/>
        </w:trPr>
        <w:tc>
          <w:tcPr>
            <w:tcW w:w="406" w:type="pct"/>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kern w:val="0"/>
                <w:sz w:val="24"/>
                <w:szCs w:val="24"/>
              </w:rPr>
            </w:pPr>
          </w:p>
        </w:tc>
        <w:tc>
          <w:tcPr>
            <w:tcW w:w="891" w:type="pct"/>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1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选修</w:t>
            </w:r>
          </w:p>
        </w:tc>
        <w:tc>
          <w:tcPr>
            <w:tcW w:w="37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10</w:t>
            </w:r>
          </w:p>
        </w:tc>
        <w:tc>
          <w:tcPr>
            <w:tcW w:w="63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6.99%</w:t>
            </w:r>
          </w:p>
        </w:tc>
        <w:tc>
          <w:tcPr>
            <w:tcW w:w="40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180 </w:t>
            </w:r>
          </w:p>
        </w:tc>
        <w:tc>
          <w:tcPr>
            <w:tcW w:w="440"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90 </w:t>
            </w:r>
          </w:p>
        </w:tc>
        <w:tc>
          <w:tcPr>
            <w:tcW w:w="553" w:type="pct"/>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3.33%</w:t>
            </w:r>
          </w:p>
        </w:tc>
        <w:tc>
          <w:tcPr>
            <w:tcW w:w="38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90</w:t>
            </w:r>
          </w:p>
        </w:tc>
        <w:tc>
          <w:tcPr>
            <w:tcW w:w="49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3.33%</w:t>
            </w:r>
          </w:p>
        </w:tc>
      </w:tr>
      <w:tr>
        <w:tblPrEx>
          <w:tblCellMar>
            <w:top w:w="0" w:type="dxa"/>
            <w:left w:w="108" w:type="dxa"/>
            <w:bottom w:w="0" w:type="dxa"/>
            <w:right w:w="108" w:type="dxa"/>
          </w:tblCellMar>
        </w:tblPrEx>
        <w:trPr>
          <w:trHeight w:val="300" w:hRule="atLeast"/>
        </w:trPr>
        <w:tc>
          <w:tcPr>
            <w:tcW w:w="406"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color w:val="000000"/>
                <w:kern w:val="0"/>
                <w:sz w:val="24"/>
                <w:szCs w:val="24"/>
              </w:rPr>
            </w:pPr>
          </w:p>
        </w:tc>
        <w:tc>
          <w:tcPr>
            <w:tcW w:w="89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pPr>
            <w:r>
              <w:rPr>
                <w:rFonts w:hint="eastAsia" w:ascii="仿宋_GB2312" w:hAnsi="仿宋_GB2312" w:eastAsia="仿宋_GB2312" w:cs="仿宋_GB2312"/>
                <w:i w:val="0"/>
                <w:iCs w:val="0"/>
                <w:color w:val="000000"/>
                <w:sz w:val="20"/>
                <w:szCs w:val="20"/>
                <w:u w:val="none"/>
              </w:rPr>
              <w:t>实践</w:t>
            </w:r>
            <w:r>
              <w:rPr>
                <w:rFonts w:hint="eastAsia" w:ascii="仿宋_GB2312" w:hAnsi="仿宋_GB2312" w:eastAsia="仿宋_GB2312" w:cs="仿宋_GB2312"/>
                <w:i w:val="0"/>
                <w:iCs w:val="0"/>
                <w:color w:val="000000"/>
                <w:sz w:val="20"/>
                <w:szCs w:val="20"/>
                <w:u w:val="none"/>
                <w:lang w:val="en-US" w:eastAsia="zh-CN"/>
              </w:rPr>
              <w:t>性</w:t>
            </w:r>
            <w:r>
              <w:rPr>
                <w:rFonts w:hint="eastAsia" w:ascii="仿宋_GB2312" w:hAnsi="仿宋_GB2312" w:eastAsia="仿宋_GB2312" w:cs="仿宋_GB2312"/>
                <w:i w:val="0"/>
                <w:iCs w:val="0"/>
                <w:color w:val="000000"/>
                <w:sz w:val="20"/>
                <w:szCs w:val="20"/>
                <w:u w:val="none"/>
              </w:rPr>
              <w:t>教学环节</w:t>
            </w:r>
          </w:p>
        </w:tc>
        <w:tc>
          <w:tcPr>
            <w:tcW w:w="41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必修</w:t>
            </w:r>
          </w:p>
        </w:tc>
        <w:tc>
          <w:tcPr>
            <w:tcW w:w="37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23</w:t>
            </w:r>
          </w:p>
        </w:tc>
        <w:tc>
          <w:tcPr>
            <w:tcW w:w="63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16.08%</w:t>
            </w:r>
          </w:p>
        </w:tc>
        <w:tc>
          <w:tcPr>
            <w:tcW w:w="40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512 </w:t>
            </w:r>
          </w:p>
        </w:tc>
        <w:tc>
          <w:tcPr>
            <w:tcW w:w="440"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20 </w:t>
            </w:r>
          </w:p>
        </w:tc>
        <w:tc>
          <w:tcPr>
            <w:tcW w:w="553" w:type="pct"/>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0.74%</w:t>
            </w:r>
          </w:p>
        </w:tc>
        <w:tc>
          <w:tcPr>
            <w:tcW w:w="38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492</w:t>
            </w:r>
          </w:p>
        </w:tc>
        <w:tc>
          <w:tcPr>
            <w:tcW w:w="49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18.21%</w:t>
            </w:r>
          </w:p>
        </w:tc>
      </w:tr>
      <w:tr>
        <w:tblPrEx>
          <w:tblCellMar>
            <w:top w:w="0" w:type="dxa"/>
            <w:left w:w="108" w:type="dxa"/>
            <w:bottom w:w="0" w:type="dxa"/>
            <w:right w:w="108" w:type="dxa"/>
          </w:tblCellMar>
        </w:tblPrEx>
        <w:trPr>
          <w:trHeight w:val="260" w:hRule="atLeast"/>
        </w:trPr>
        <w:tc>
          <w:tcPr>
            <w:tcW w:w="1298" w:type="pct"/>
            <w:gridSpan w:val="2"/>
            <w:tcBorders>
              <w:top w:val="nil"/>
              <w:left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p>
        </w:tc>
        <w:tc>
          <w:tcPr>
            <w:tcW w:w="417" w:type="pct"/>
            <w:tcBorders>
              <w:top w:val="nil"/>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pPr>
            <w:r>
              <w:rPr>
                <w:rFonts w:hint="eastAsia" w:ascii="仿宋_GB2312" w:hAnsi="仿宋_GB2312" w:eastAsia="仿宋_GB2312" w:cs="仿宋_GB2312"/>
                <w:i w:val="0"/>
                <w:color w:val="000000"/>
                <w:kern w:val="0"/>
                <w:sz w:val="20"/>
                <w:szCs w:val="20"/>
                <w:u w:val="none"/>
                <w:lang w:val="en-US" w:eastAsia="zh-CN" w:bidi="ar"/>
              </w:rPr>
              <w:t>小计</w:t>
            </w:r>
          </w:p>
        </w:tc>
        <w:tc>
          <w:tcPr>
            <w:tcW w:w="37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97</w:t>
            </w:r>
          </w:p>
        </w:tc>
        <w:tc>
          <w:tcPr>
            <w:tcW w:w="63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67.83%</w:t>
            </w:r>
          </w:p>
        </w:tc>
        <w:tc>
          <w:tcPr>
            <w:tcW w:w="40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1844 </w:t>
            </w:r>
          </w:p>
        </w:tc>
        <w:tc>
          <w:tcPr>
            <w:tcW w:w="440"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776 </w:t>
            </w:r>
          </w:p>
        </w:tc>
        <w:tc>
          <w:tcPr>
            <w:tcW w:w="553" w:type="pct"/>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28.72%</w:t>
            </w:r>
          </w:p>
        </w:tc>
        <w:tc>
          <w:tcPr>
            <w:tcW w:w="38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1068 </w:t>
            </w:r>
          </w:p>
        </w:tc>
        <w:tc>
          <w:tcPr>
            <w:tcW w:w="49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39.53%</w:t>
            </w:r>
          </w:p>
        </w:tc>
      </w:tr>
      <w:tr>
        <w:tblPrEx>
          <w:tblCellMar>
            <w:top w:w="0" w:type="dxa"/>
            <w:left w:w="108" w:type="dxa"/>
            <w:bottom w:w="0" w:type="dxa"/>
            <w:right w:w="108" w:type="dxa"/>
          </w:tblCellMar>
        </w:tblPrEx>
        <w:trPr>
          <w:trHeight w:val="280" w:hRule="atLeast"/>
        </w:trPr>
        <w:tc>
          <w:tcPr>
            <w:tcW w:w="1715" w:type="pct"/>
            <w:gridSpan w:val="3"/>
            <w:tcBorders>
              <w:top w:val="single" w:color="auto" w:sz="4" w:space="0"/>
              <w:left w:val="single" w:color="auto"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0"/>
                <w:szCs w:val="20"/>
                <w:u w:val="none"/>
                <w:lang w:val="en-US" w:eastAsia="zh-CN" w:bidi="ar"/>
              </w:rPr>
              <w:t>合计</w:t>
            </w:r>
          </w:p>
        </w:tc>
        <w:tc>
          <w:tcPr>
            <w:tcW w:w="37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143</w:t>
            </w:r>
          </w:p>
        </w:tc>
        <w:tc>
          <w:tcPr>
            <w:tcW w:w="63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100.00%</w:t>
            </w:r>
          </w:p>
        </w:tc>
        <w:tc>
          <w:tcPr>
            <w:tcW w:w="406"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2702 </w:t>
            </w:r>
          </w:p>
        </w:tc>
        <w:tc>
          <w:tcPr>
            <w:tcW w:w="440"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1246 </w:t>
            </w:r>
          </w:p>
        </w:tc>
        <w:tc>
          <w:tcPr>
            <w:tcW w:w="553" w:type="pct"/>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46.11%</w:t>
            </w:r>
          </w:p>
        </w:tc>
        <w:tc>
          <w:tcPr>
            <w:tcW w:w="382" w:type="pct"/>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1456</w:t>
            </w:r>
          </w:p>
        </w:tc>
        <w:tc>
          <w:tcPr>
            <w:tcW w:w="496" w:type="pct"/>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53.89%</w:t>
            </w:r>
          </w:p>
        </w:tc>
      </w:tr>
    </w:tbl>
    <w:p>
      <w:pPr>
        <w:spacing w:after="0"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（三）教学计划进程</w:t>
      </w:r>
    </w:p>
    <w:p>
      <w:pPr>
        <w:pStyle w:val="6"/>
        <w:shd w:val="clear" w:color="auto" w:fill="FFFFFF"/>
        <w:spacing w:before="0" w:beforeAutospacing="0" w:afterAutospacing="0" w:line="520" w:lineRule="exact"/>
        <w:jc w:val="center"/>
        <w:rPr>
          <w:rFonts w:hint="eastAsia" w:ascii="仿宋_GB2312" w:hAnsi="仿宋_GB2312" w:eastAsia="仿宋_GB2312" w:cs="仿宋_GB2312"/>
          <w:sz w:val="32"/>
          <w:szCs w:val="32"/>
          <w:shd w:val="clear" w:color="auto" w:fill="FFFFFF"/>
          <w:lang w:bidi="ar"/>
        </w:rPr>
      </w:pPr>
      <w:r>
        <w:rPr>
          <w:rFonts w:hint="eastAsia" w:ascii="仿宋_GB2312" w:hAnsi="仿宋_GB2312" w:eastAsia="仿宋_GB2312" w:cs="仿宋_GB2312"/>
          <w:sz w:val="32"/>
          <w:szCs w:val="32"/>
        </w:rPr>
        <w:t>表10</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shd w:val="clear" w:color="auto" w:fill="FFFFFF"/>
          <w:lang w:bidi="ar"/>
        </w:rPr>
        <w:t>教学计划进程安排表</w:t>
      </w:r>
    </w:p>
    <w:tbl>
      <w:tblPr>
        <w:tblStyle w:val="7"/>
        <w:tblW w:w="9082" w:type="dxa"/>
        <w:jc w:val="center"/>
        <w:tblLayout w:type="autofit"/>
        <w:tblCellMar>
          <w:top w:w="0" w:type="dxa"/>
          <w:left w:w="0" w:type="dxa"/>
          <w:bottom w:w="0" w:type="dxa"/>
          <w:right w:w="0" w:type="dxa"/>
        </w:tblCellMar>
      </w:tblPr>
      <w:tblGrid>
        <w:gridCol w:w="210"/>
        <w:gridCol w:w="210"/>
        <w:gridCol w:w="410"/>
        <w:gridCol w:w="410"/>
        <w:gridCol w:w="1120"/>
        <w:gridCol w:w="1126"/>
        <w:gridCol w:w="610"/>
        <w:gridCol w:w="610"/>
        <w:gridCol w:w="644"/>
        <w:gridCol w:w="644"/>
        <w:gridCol w:w="406"/>
        <w:gridCol w:w="408"/>
        <w:gridCol w:w="406"/>
        <w:gridCol w:w="407"/>
        <w:gridCol w:w="521"/>
        <w:gridCol w:w="519"/>
        <w:gridCol w:w="410"/>
        <w:gridCol w:w="11"/>
      </w:tblGrid>
      <w:tr>
        <w:tblPrEx>
          <w:tblCellMar>
            <w:top w:w="0" w:type="dxa"/>
            <w:left w:w="0" w:type="dxa"/>
            <w:bottom w:w="0" w:type="dxa"/>
            <w:right w:w="0" w:type="dxa"/>
          </w:tblCellMar>
        </w:tblPrEx>
        <w:trPr>
          <w:gridAfter w:val="1"/>
          <w:wAfter w:w="11" w:type="dxa"/>
          <w:trHeight w:val="312" w:hRule="atLeast"/>
          <w:jc w:val="center"/>
        </w:trPr>
        <w:tc>
          <w:tcPr>
            <w:tcW w:w="0" w:type="auto"/>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课程类型</w:t>
            </w:r>
          </w:p>
        </w:tc>
        <w:tc>
          <w:tcPr>
            <w:tcW w:w="410" w:type="dxa"/>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序号</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课程代码</w:t>
            </w:r>
          </w:p>
        </w:tc>
        <w:tc>
          <w:tcPr>
            <w:tcW w:w="1126" w:type="dxa"/>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课程名称</w:t>
            </w:r>
          </w:p>
        </w:tc>
        <w:tc>
          <w:tcPr>
            <w:tcW w:w="610" w:type="dxa"/>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学分</w:t>
            </w:r>
          </w:p>
        </w:tc>
        <w:tc>
          <w:tcPr>
            <w:tcW w:w="1898"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教学学时数</w:t>
            </w:r>
          </w:p>
        </w:tc>
        <w:tc>
          <w:tcPr>
            <w:tcW w:w="0" w:type="auto"/>
            <w:gridSpan w:val="6"/>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开课学期和周学时</w:t>
            </w:r>
          </w:p>
        </w:tc>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考核类型</w:t>
            </w:r>
          </w:p>
        </w:tc>
      </w:tr>
      <w:tr>
        <w:tblPrEx>
          <w:tblCellMar>
            <w:top w:w="0" w:type="dxa"/>
            <w:left w:w="0" w:type="dxa"/>
            <w:bottom w:w="0" w:type="dxa"/>
            <w:right w:w="0" w:type="dxa"/>
          </w:tblCellMar>
        </w:tblPrEx>
        <w:trPr>
          <w:trHeight w:val="260" w:hRule="atLeast"/>
          <w:jc w:val="center"/>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1126"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610"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189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gridSpan w:val="6"/>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nil"/>
              <w:right w:val="nil"/>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1126"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610"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合计</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理论学时</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实践学时</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一</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二</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三</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四</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五</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六</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公共基础课</w:t>
            </w:r>
          </w:p>
        </w:tc>
        <w:tc>
          <w:tcPr>
            <w:tcW w:w="0" w:type="auto"/>
            <w:vMerge w:val="restart"/>
            <w:tcBorders>
              <w:top w:val="nil"/>
              <w:left w:val="single" w:color="auto" w:sz="4" w:space="0"/>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必修</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1B410101101</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思想道德与法治</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48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1A410101102</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形势与政策</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0</w:t>
            </w:r>
          </w:p>
        </w:tc>
        <w:tc>
          <w:tcPr>
            <w:tcW w:w="0" w:type="auto"/>
            <w:gridSpan w:val="6"/>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1到4学期开课，每学期8学时。</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1A410101103</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国家安全教育</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0</w:t>
            </w:r>
          </w:p>
        </w:tc>
        <w:tc>
          <w:tcPr>
            <w:tcW w:w="0" w:type="auto"/>
            <w:tcBorders>
              <w:top w:val="nil"/>
              <w:left w:val="nil"/>
              <w:bottom w:val="single" w:color="auto" w:sz="4" w:space="0"/>
              <w:right w:val="single" w:color="auto" w:sz="4" w:space="0"/>
            </w:tcBorders>
            <w:noWrap/>
            <w:vAlign w:val="center"/>
          </w:tcPr>
          <w:p>
            <w:pPr>
              <w:widowControl/>
              <w:spacing w:after="0" w:line="240" w:lineRule="auto"/>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1A410101104</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军事理论</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0</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1C410101105</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军训</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112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0</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112</w:t>
            </w:r>
          </w:p>
        </w:tc>
        <w:tc>
          <w:tcPr>
            <w:tcW w:w="0" w:type="auto"/>
            <w:gridSpan w:val="6"/>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第1学期，实际训练时间不少于14天</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6</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1B410101106</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计算机基础</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64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1B410101108</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大学英语</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8</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128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104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8</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1C410101109</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大学体育</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6</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108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0</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108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52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9</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1B410101110</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大学生职业发展与就业指导</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10</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1B410101111</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大学生心理健康教育</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11</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1C410101112</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劳动教育</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0</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0" w:type="auto"/>
            <w:tcBorders>
              <w:top w:val="nil"/>
              <w:left w:val="nil"/>
              <w:bottom w:val="single" w:color="auto" w:sz="4" w:space="0"/>
              <w:right w:val="single" w:color="auto" w:sz="4" w:space="0"/>
            </w:tcBorders>
            <w:noWrap/>
            <w:vAlign w:val="center"/>
          </w:tcPr>
          <w:p>
            <w:pPr>
              <w:widowControl/>
              <w:spacing w:after="0" w:line="240" w:lineRule="auto"/>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52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12</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1B410101113</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毛泽东思想和中国特色社会主义理论体系概论</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13</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1B410101114</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创新创业教育</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52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14</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1B410101115</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习近平新时代中国特色社会主义思想概论</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52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restart"/>
            <w:tcBorders>
              <w:top w:val="nil"/>
              <w:left w:val="single" w:color="auto" w:sz="4" w:space="0"/>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选修</w:t>
            </w: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1B410101201</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中国民俗剪纸技法</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24</w:t>
            </w:r>
          </w:p>
        </w:tc>
        <w:tc>
          <w:tcPr>
            <w:tcW w:w="0" w:type="auto"/>
            <w:gridSpan w:val="6"/>
            <w:vMerge w:val="restart"/>
            <w:tcBorders>
              <w:top w:val="single" w:color="000000" w:sz="4" w:space="0"/>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公共选修课最低学分要求为8学分，其中要求2个学分为思政选修课学分。</w:t>
            </w: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1B410101202</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影视与鉴赏</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24</w:t>
            </w:r>
          </w:p>
        </w:tc>
        <w:tc>
          <w:tcPr>
            <w:tcW w:w="0" w:type="auto"/>
            <w:gridSpan w:val="6"/>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1B410101203</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中华优秀传统文化</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0</w:t>
            </w:r>
          </w:p>
        </w:tc>
        <w:tc>
          <w:tcPr>
            <w:tcW w:w="0" w:type="auto"/>
            <w:gridSpan w:val="6"/>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1B410101204</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中国共产党简史</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0</w:t>
            </w:r>
          </w:p>
        </w:tc>
        <w:tc>
          <w:tcPr>
            <w:tcW w:w="0" w:type="auto"/>
            <w:gridSpan w:val="6"/>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1B410101205</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改革开放简史</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0</w:t>
            </w:r>
          </w:p>
        </w:tc>
        <w:tc>
          <w:tcPr>
            <w:tcW w:w="0" w:type="auto"/>
            <w:gridSpan w:val="6"/>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6</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1B410101206</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中华人民共和国简史</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0</w:t>
            </w:r>
          </w:p>
        </w:tc>
        <w:tc>
          <w:tcPr>
            <w:tcW w:w="0" w:type="auto"/>
            <w:gridSpan w:val="6"/>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1B410101207</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社会主义发展简史</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0</w:t>
            </w:r>
          </w:p>
        </w:tc>
        <w:tc>
          <w:tcPr>
            <w:tcW w:w="0" w:type="auto"/>
            <w:gridSpan w:val="6"/>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8</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1B410101208</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中华民族共同体概论</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0</w:t>
            </w:r>
          </w:p>
        </w:tc>
        <w:tc>
          <w:tcPr>
            <w:tcW w:w="0" w:type="auto"/>
            <w:gridSpan w:val="6"/>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9</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1B410101209</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高等数学</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0</w:t>
            </w:r>
          </w:p>
        </w:tc>
        <w:tc>
          <w:tcPr>
            <w:tcW w:w="0" w:type="auto"/>
            <w:gridSpan w:val="6"/>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10</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1B410101210</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语文</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0</w:t>
            </w:r>
          </w:p>
        </w:tc>
        <w:tc>
          <w:tcPr>
            <w:tcW w:w="0" w:type="auto"/>
            <w:gridSpan w:val="6"/>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11</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1B410101219</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物理</w:t>
            </w:r>
          </w:p>
        </w:tc>
        <w:tc>
          <w:tcPr>
            <w:tcW w:w="610" w:type="dxa"/>
            <w:tcBorders>
              <w:top w:val="nil"/>
              <w:left w:val="nil"/>
              <w:bottom w:val="single" w:color="auto" w:sz="4" w:space="0"/>
              <w:right w:val="single" w:color="auto" w:sz="4" w:space="0"/>
            </w:tcBorders>
            <w:shd w:val="clear" w:color="auto" w:fill="auto"/>
            <w:vAlign w:val="center"/>
          </w:tcPr>
          <w:p>
            <w:pPr>
              <w:widowControl/>
              <w:spacing w:after="0" w:line="240" w:lineRule="auto"/>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rPr>
              <w:t>2</w:t>
            </w:r>
          </w:p>
        </w:tc>
        <w:tc>
          <w:tcPr>
            <w:tcW w:w="610" w:type="dxa"/>
            <w:tcBorders>
              <w:top w:val="nil"/>
              <w:left w:val="nil"/>
              <w:bottom w:val="single" w:color="auto" w:sz="4" w:space="0"/>
              <w:right w:val="single" w:color="auto" w:sz="4" w:space="0"/>
            </w:tcBorders>
            <w:shd w:val="clear" w:color="auto" w:fill="auto"/>
            <w:vAlign w:val="center"/>
          </w:tcPr>
          <w:p>
            <w:pPr>
              <w:widowControl/>
              <w:spacing w:after="0" w:line="240" w:lineRule="auto"/>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shd w:val="clear" w:color="auto" w:fill="auto"/>
            <w:vAlign w:val="center"/>
          </w:tcPr>
          <w:p>
            <w:pPr>
              <w:widowControl/>
              <w:spacing w:after="0" w:line="240" w:lineRule="auto"/>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shd w:val="clear" w:color="auto" w:fill="auto"/>
            <w:vAlign w:val="center"/>
          </w:tcPr>
          <w:p>
            <w:pPr>
              <w:widowControl/>
              <w:spacing w:after="0" w:line="240" w:lineRule="auto"/>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rPr>
              <w:t>0</w:t>
            </w:r>
          </w:p>
        </w:tc>
        <w:tc>
          <w:tcPr>
            <w:tcW w:w="0" w:type="auto"/>
            <w:gridSpan w:val="6"/>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12</w:t>
            </w:r>
          </w:p>
        </w:tc>
        <w:tc>
          <w:tcPr>
            <w:tcW w:w="112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1B410101220</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化学</w:t>
            </w:r>
          </w:p>
        </w:tc>
        <w:tc>
          <w:tcPr>
            <w:tcW w:w="610" w:type="dxa"/>
            <w:tcBorders>
              <w:top w:val="nil"/>
              <w:left w:val="nil"/>
              <w:bottom w:val="single" w:color="auto" w:sz="4" w:space="0"/>
              <w:right w:val="single" w:color="auto" w:sz="4" w:space="0"/>
            </w:tcBorders>
            <w:shd w:val="clear" w:color="auto" w:fill="auto"/>
            <w:vAlign w:val="center"/>
          </w:tcPr>
          <w:p>
            <w:pPr>
              <w:widowControl/>
              <w:spacing w:after="0" w:line="240" w:lineRule="auto"/>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rPr>
              <w:t>2</w:t>
            </w:r>
          </w:p>
        </w:tc>
        <w:tc>
          <w:tcPr>
            <w:tcW w:w="610" w:type="dxa"/>
            <w:tcBorders>
              <w:top w:val="nil"/>
              <w:left w:val="nil"/>
              <w:bottom w:val="single" w:color="auto" w:sz="4" w:space="0"/>
              <w:right w:val="single" w:color="auto" w:sz="4" w:space="0"/>
            </w:tcBorders>
            <w:shd w:val="clear" w:color="auto" w:fill="auto"/>
            <w:vAlign w:val="center"/>
          </w:tcPr>
          <w:p>
            <w:pPr>
              <w:widowControl/>
              <w:spacing w:after="0" w:line="240" w:lineRule="auto"/>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shd w:val="clear" w:color="auto" w:fill="auto"/>
            <w:vAlign w:val="center"/>
          </w:tcPr>
          <w:p>
            <w:pPr>
              <w:widowControl/>
              <w:spacing w:after="0" w:line="240" w:lineRule="auto"/>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rPr>
              <w:t>32</w:t>
            </w:r>
          </w:p>
        </w:tc>
        <w:tc>
          <w:tcPr>
            <w:tcW w:w="0" w:type="auto"/>
            <w:tcBorders>
              <w:top w:val="nil"/>
              <w:left w:val="nil"/>
              <w:bottom w:val="single" w:color="auto" w:sz="4" w:space="0"/>
              <w:right w:val="single" w:color="auto" w:sz="4" w:space="0"/>
            </w:tcBorders>
            <w:shd w:val="clear" w:color="auto" w:fill="auto"/>
            <w:vAlign w:val="center"/>
          </w:tcPr>
          <w:p>
            <w:pPr>
              <w:widowControl/>
              <w:spacing w:after="0" w:line="240" w:lineRule="auto"/>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rPr>
              <w:t>0</w:t>
            </w:r>
          </w:p>
        </w:tc>
        <w:tc>
          <w:tcPr>
            <w:tcW w:w="0" w:type="auto"/>
            <w:gridSpan w:val="6"/>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13</w:t>
            </w:r>
          </w:p>
        </w:tc>
        <w:tc>
          <w:tcPr>
            <w:tcW w:w="1120" w:type="dxa"/>
            <w:tcBorders>
              <w:top w:val="nil"/>
              <w:left w:val="single" w:color="auto" w:sz="8" w:space="0"/>
              <w:bottom w:val="single" w:color="auto" w:sz="8" w:space="0"/>
              <w:right w:val="single" w:color="auto" w:sz="8"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1B410101101</w:t>
            </w:r>
          </w:p>
        </w:tc>
        <w:tc>
          <w:tcPr>
            <w:tcW w:w="1126" w:type="dxa"/>
            <w:tcBorders>
              <w:top w:val="single" w:color="000000" w:sz="4" w:space="0"/>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职业人文基础</w:t>
            </w:r>
          </w:p>
        </w:tc>
        <w:tc>
          <w:tcPr>
            <w:tcW w:w="610" w:type="dxa"/>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32</w:t>
            </w:r>
          </w:p>
        </w:tc>
        <w:tc>
          <w:tcPr>
            <w:tcW w:w="0" w:type="auto"/>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32</w:t>
            </w:r>
          </w:p>
        </w:tc>
        <w:tc>
          <w:tcPr>
            <w:tcW w:w="0" w:type="auto"/>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w:t>
            </w:r>
          </w:p>
        </w:tc>
        <w:tc>
          <w:tcPr>
            <w:tcW w:w="0" w:type="auto"/>
            <w:gridSpan w:val="6"/>
            <w:vMerge w:val="continue"/>
            <w:tcBorders>
              <w:top w:val="single" w:color="000000" w:sz="4" w:space="0"/>
              <w:left w:val="nil"/>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3066" w:type="dxa"/>
            <w:gridSpan w:val="4"/>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公共必修课程学分、学时小计</w:t>
            </w:r>
          </w:p>
        </w:tc>
        <w:tc>
          <w:tcPr>
            <w:tcW w:w="610" w:type="dxa"/>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38</w:t>
            </w:r>
          </w:p>
        </w:tc>
        <w:tc>
          <w:tcPr>
            <w:tcW w:w="610" w:type="dxa"/>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730</w:t>
            </w:r>
          </w:p>
        </w:tc>
        <w:tc>
          <w:tcPr>
            <w:tcW w:w="644" w:type="dxa"/>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390</w:t>
            </w:r>
          </w:p>
        </w:tc>
        <w:tc>
          <w:tcPr>
            <w:tcW w:w="644" w:type="dxa"/>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340</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3066" w:type="dxa"/>
            <w:gridSpan w:val="4"/>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公共必修课程学分、学时占比</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26.57%</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27.02%</w:t>
            </w:r>
          </w:p>
        </w:tc>
        <w:tc>
          <w:tcPr>
            <w:tcW w:w="644"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14.43%</w:t>
            </w:r>
          </w:p>
        </w:tc>
        <w:tc>
          <w:tcPr>
            <w:tcW w:w="644"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12.58%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3066" w:type="dxa"/>
            <w:gridSpan w:val="4"/>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公共选修课程学分、学时小计</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8</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128</w:t>
            </w:r>
          </w:p>
        </w:tc>
        <w:tc>
          <w:tcPr>
            <w:tcW w:w="644"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80</w:t>
            </w:r>
          </w:p>
        </w:tc>
        <w:tc>
          <w:tcPr>
            <w:tcW w:w="644"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48</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3066" w:type="dxa"/>
            <w:gridSpan w:val="4"/>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公共选修课程学分、学时占比</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5.59%</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4.74%</w:t>
            </w:r>
          </w:p>
        </w:tc>
        <w:tc>
          <w:tcPr>
            <w:tcW w:w="644"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2.96%</w:t>
            </w:r>
          </w:p>
        </w:tc>
        <w:tc>
          <w:tcPr>
            <w:tcW w:w="644"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1.78%</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restart"/>
            <w:tcBorders>
              <w:top w:val="nil"/>
              <w:left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专业课</w:t>
            </w:r>
          </w:p>
        </w:tc>
        <w:tc>
          <w:tcPr>
            <w:tcW w:w="210" w:type="dxa"/>
            <w:vMerge w:val="restart"/>
            <w:tcBorders>
              <w:top w:val="single" w:color="000000" w:sz="4" w:space="0"/>
              <w:left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专业基础课</w:t>
            </w:r>
          </w:p>
        </w:tc>
        <w:tc>
          <w:tcPr>
            <w:tcW w:w="410" w:type="dxa"/>
            <w:vMerge w:val="restart"/>
            <w:tcBorders>
              <w:top w:val="single" w:color="000000" w:sz="4" w:space="0"/>
              <w:left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必修</w:t>
            </w:r>
          </w:p>
        </w:tc>
        <w:tc>
          <w:tcPr>
            <w:tcW w:w="4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1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line="240" w:lineRule="auto"/>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5A590301303</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现代家政导论</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2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120" w:type="dxa"/>
            <w:tcBorders>
              <w:top w:val="nil"/>
              <w:left w:val="single" w:color="000000" w:sz="4" w:space="0"/>
              <w:bottom w:val="single" w:color="000000" w:sz="4" w:space="0"/>
              <w:right w:val="single" w:color="000000" w:sz="4" w:space="0"/>
            </w:tcBorders>
            <w:shd w:val="clear" w:color="auto" w:fill="auto"/>
            <w:noWrap/>
            <w:vAlign w:val="center"/>
          </w:tcPr>
          <w:p>
            <w:pPr>
              <w:widowControl/>
              <w:spacing w:after="0" w:line="240" w:lineRule="auto"/>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5A530701303</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管理学基础</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2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120" w:type="dxa"/>
            <w:tcBorders>
              <w:top w:val="nil"/>
              <w:left w:val="single" w:color="000000" w:sz="4" w:space="0"/>
              <w:bottom w:val="single" w:color="000000" w:sz="4" w:space="0"/>
              <w:right w:val="single" w:color="000000" w:sz="4" w:space="0"/>
            </w:tcBorders>
            <w:shd w:val="clear" w:color="auto" w:fill="auto"/>
            <w:noWrap/>
            <w:vAlign w:val="center"/>
          </w:tcPr>
          <w:p>
            <w:pPr>
              <w:widowControl/>
              <w:spacing w:after="0" w:line="240" w:lineRule="auto"/>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5B590301302</w:t>
            </w:r>
          </w:p>
        </w:tc>
        <w:tc>
          <w:tcPr>
            <w:tcW w:w="1126" w:type="dxa"/>
            <w:tcBorders>
              <w:top w:val="nil"/>
              <w:left w:val="nil"/>
              <w:bottom w:val="nil"/>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社会学概论</w:t>
            </w:r>
          </w:p>
        </w:tc>
        <w:tc>
          <w:tcPr>
            <w:tcW w:w="610" w:type="dxa"/>
            <w:tcBorders>
              <w:top w:val="nil"/>
              <w:left w:val="nil"/>
              <w:bottom w:val="nil"/>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nil"/>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2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1120" w:type="dxa"/>
            <w:tcBorders>
              <w:top w:val="nil"/>
              <w:left w:val="single" w:color="000000" w:sz="4" w:space="0"/>
              <w:bottom w:val="single" w:color="000000" w:sz="4" w:space="0"/>
              <w:right w:val="single" w:color="000000" w:sz="4" w:space="0"/>
            </w:tcBorders>
            <w:shd w:val="clear" w:color="auto" w:fill="auto"/>
            <w:noWrap/>
            <w:vAlign w:val="center"/>
          </w:tcPr>
          <w:p>
            <w:pPr>
              <w:widowControl/>
              <w:spacing w:after="0" w:line="240" w:lineRule="auto"/>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5B590301304</w:t>
            </w:r>
          </w:p>
        </w:tc>
        <w:tc>
          <w:tcPr>
            <w:tcW w:w="1126" w:type="dxa"/>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家政服务沟通与礼仪</w:t>
            </w:r>
          </w:p>
        </w:tc>
        <w:tc>
          <w:tcPr>
            <w:tcW w:w="610" w:type="dxa"/>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single" w:color="000000" w:sz="4" w:space="0"/>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000000" w:sz="4" w:space="0"/>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000000" w:sz="4" w:space="0"/>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000000" w:sz="4" w:space="0"/>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000000" w:sz="4" w:space="0"/>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52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2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1120" w:type="dxa"/>
            <w:tcBorders>
              <w:top w:val="nil"/>
              <w:left w:val="single" w:color="000000" w:sz="4" w:space="0"/>
              <w:bottom w:val="single" w:color="000000" w:sz="4" w:space="0"/>
              <w:right w:val="single" w:color="000000" w:sz="4" w:space="0"/>
            </w:tcBorders>
            <w:shd w:val="clear" w:color="auto" w:fill="auto"/>
            <w:noWrap/>
            <w:vAlign w:val="center"/>
          </w:tcPr>
          <w:p>
            <w:pPr>
              <w:widowControl/>
              <w:spacing w:after="0" w:line="240" w:lineRule="auto"/>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5B590301308</w:t>
            </w:r>
          </w:p>
        </w:tc>
        <w:tc>
          <w:tcPr>
            <w:tcW w:w="1126" w:type="dxa"/>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家政职业道德与法律法规</w:t>
            </w:r>
          </w:p>
        </w:tc>
        <w:tc>
          <w:tcPr>
            <w:tcW w:w="610" w:type="dxa"/>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60</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12</w:t>
            </w:r>
          </w:p>
        </w:tc>
        <w:tc>
          <w:tcPr>
            <w:tcW w:w="0" w:type="auto"/>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2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6</w:t>
            </w:r>
          </w:p>
        </w:tc>
        <w:tc>
          <w:tcPr>
            <w:tcW w:w="1120" w:type="dxa"/>
            <w:tcBorders>
              <w:top w:val="nil"/>
              <w:left w:val="single" w:color="000000" w:sz="4" w:space="0"/>
              <w:bottom w:val="single" w:color="000000" w:sz="4" w:space="0"/>
              <w:right w:val="single" w:color="000000" w:sz="4" w:space="0"/>
            </w:tcBorders>
            <w:shd w:val="clear" w:color="auto" w:fill="auto"/>
            <w:noWrap/>
            <w:vAlign w:val="center"/>
          </w:tcPr>
          <w:p>
            <w:pPr>
              <w:widowControl/>
              <w:spacing w:after="0" w:line="240" w:lineRule="auto"/>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5B590302305</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人力资源管理</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2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w:t>
            </w:r>
          </w:p>
        </w:tc>
        <w:tc>
          <w:tcPr>
            <w:tcW w:w="1120" w:type="dxa"/>
            <w:tcBorders>
              <w:top w:val="nil"/>
              <w:left w:val="single" w:color="000000" w:sz="4" w:space="0"/>
              <w:bottom w:val="single" w:color="000000" w:sz="4" w:space="0"/>
              <w:right w:val="single" w:color="000000" w:sz="4" w:space="0"/>
            </w:tcBorders>
            <w:shd w:val="clear" w:color="auto" w:fill="auto"/>
            <w:noWrap/>
            <w:vAlign w:val="center"/>
          </w:tcPr>
          <w:p>
            <w:pPr>
              <w:widowControl/>
              <w:spacing w:after="0" w:line="240" w:lineRule="auto"/>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5B590301301</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婴幼儿早期发展指导</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2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8</w:t>
            </w:r>
          </w:p>
        </w:tc>
        <w:tc>
          <w:tcPr>
            <w:tcW w:w="1120" w:type="dxa"/>
            <w:tcBorders>
              <w:top w:val="nil"/>
              <w:left w:val="single" w:color="000000" w:sz="4" w:space="0"/>
              <w:bottom w:val="single" w:color="000000" w:sz="4" w:space="0"/>
              <w:right w:val="single" w:color="000000" w:sz="4" w:space="0"/>
            </w:tcBorders>
            <w:shd w:val="clear" w:color="auto" w:fill="auto"/>
            <w:noWrap/>
            <w:vAlign w:val="center"/>
          </w:tcPr>
          <w:p>
            <w:pPr>
              <w:widowControl/>
              <w:spacing w:after="0" w:line="240" w:lineRule="auto"/>
              <w:jc w:val="center"/>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5B590301311</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家政新媒体营销</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2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vMerge w:val="continue"/>
            <w:tcBorders>
              <w:left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9</w:t>
            </w:r>
          </w:p>
        </w:tc>
        <w:tc>
          <w:tcPr>
            <w:tcW w:w="1120" w:type="dxa"/>
            <w:tcBorders>
              <w:top w:val="nil"/>
              <w:left w:val="single" w:color="000000" w:sz="4" w:space="0"/>
              <w:bottom w:val="single" w:color="000000" w:sz="4" w:space="0"/>
              <w:right w:val="single" w:color="000000" w:sz="4" w:space="0"/>
            </w:tcBorders>
            <w:shd w:val="clear" w:color="auto" w:fill="auto"/>
            <w:noWrap/>
            <w:vAlign w:val="center"/>
          </w:tcPr>
          <w:p>
            <w:pPr>
              <w:widowControl/>
              <w:spacing w:after="0" w:line="240" w:lineRule="auto"/>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5B590301305</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家庭营养与膳食指导</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24</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48</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210" w:type="dxa"/>
            <w:vMerge w:val="continue"/>
            <w:tcBorders>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vMerge w:val="continue"/>
            <w:tcBorders>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nil"/>
            </w:tcBorders>
            <w:vAlign w:val="center"/>
          </w:tcPr>
          <w:p>
            <w:pPr>
              <w:widowControl/>
              <w:spacing w:after="0" w:line="240" w:lineRule="auto"/>
              <w:jc w:val="center"/>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10</w:t>
            </w:r>
          </w:p>
        </w:tc>
        <w:tc>
          <w:tcPr>
            <w:tcW w:w="1120" w:type="dxa"/>
            <w:tcBorders>
              <w:top w:val="nil"/>
              <w:left w:val="single" w:color="000000" w:sz="4" w:space="0"/>
              <w:bottom w:val="single" w:color="000000" w:sz="4" w:space="0"/>
              <w:right w:val="single" w:color="000000" w:sz="4" w:space="0"/>
            </w:tcBorders>
            <w:shd w:val="clear" w:color="auto" w:fill="auto"/>
            <w:noWrap/>
            <w:vAlign w:val="center"/>
          </w:tcPr>
          <w:p>
            <w:pPr>
              <w:widowControl/>
              <w:spacing w:after="0" w:line="240" w:lineRule="auto"/>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5B590301310</w:t>
            </w:r>
          </w:p>
        </w:tc>
        <w:tc>
          <w:tcPr>
            <w:tcW w:w="1126" w:type="dxa"/>
            <w:tcBorders>
              <w:top w:val="nil"/>
              <w:left w:val="nil"/>
              <w:bottom w:val="single" w:color="auto" w:sz="4" w:space="0"/>
              <w:right w:val="single" w:color="auto" w:sz="4" w:space="0"/>
            </w:tcBorders>
            <w:shd w:val="clear" w:color="auto" w:fill="auto"/>
            <w:vAlign w:val="center"/>
          </w:tcPr>
          <w:p>
            <w:pPr>
              <w:widowControl/>
              <w:spacing w:after="0" w:line="240" w:lineRule="auto"/>
              <w:jc w:val="center"/>
              <w:rPr>
                <w:rFonts w:hint="eastAsia" w:ascii="宋体" w:hAnsi="宋体" w:eastAsia="宋体" w:cs="宋体"/>
                <w:i w:val="0"/>
                <w:iCs w:val="0"/>
                <w:color w:val="000000"/>
                <w:kern w:val="0"/>
                <w:sz w:val="16"/>
                <w:szCs w:val="16"/>
                <w:u w:val="none"/>
                <w:lang w:val="en-US" w:eastAsia="zh-CN" w:bidi="ar"/>
              </w:rPr>
            </w:pPr>
            <w:r>
              <w:rPr>
                <w:rFonts w:hint="eastAsia" w:ascii="仿宋_GB2312" w:hAnsi="仿宋_GB2312" w:eastAsia="仿宋_GB2312" w:cs="仿宋_GB2312"/>
                <w:color w:val="000000"/>
                <w:kern w:val="0"/>
                <w:sz w:val="20"/>
                <w:szCs w:val="20"/>
                <w:lang w:val="en-US" w:eastAsia="zh-CN"/>
              </w:rPr>
              <w:t>医疗急救</w:t>
            </w:r>
          </w:p>
        </w:tc>
        <w:tc>
          <w:tcPr>
            <w:tcW w:w="6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0"/>
                <w:szCs w:val="20"/>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0"/>
                <w:szCs w:val="20"/>
                <w:lang w:val="en-US" w:eastAsia="zh-CN" w:bidi="ar-SA"/>
              </w:rPr>
            </w:pPr>
            <w:r>
              <w:rPr>
                <w:rFonts w:hint="eastAsia" w:ascii="宋体" w:hAnsi="宋体" w:eastAsia="宋体" w:cs="宋体"/>
                <w:i w:val="0"/>
                <w:iCs w:val="0"/>
                <w:color w:val="000000"/>
                <w:kern w:val="0"/>
                <w:sz w:val="18"/>
                <w:szCs w:val="18"/>
                <w:u w:val="none"/>
                <w:lang w:val="en-US" w:eastAsia="zh-CN" w:bidi="ar"/>
              </w:rPr>
              <w:t>72</w:t>
            </w:r>
          </w:p>
        </w:tc>
        <w:tc>
          <w:tcPr>
            <w:tcW w:w="6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0"/>
                <w:szCs w:val="20"/>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64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0"/>
                <w:szCs w:val="20"/>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406" w:type="dxa"/>
            <w:tcBorders>
              <w:top w:val="nil"/>
              <w:left w:val="nil"/>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color w:val="000000"/>
                <w:kern w:val="0"/>
                <w:sz w:val="20"/>
                <w:szCs w:val="20"/>
                <w:lang w:val="en-US" w:eastAsia="zh-CN" w:bidi="ar-SA"/>
              </w:rPr>
            </w:pPr>
          </w:p>
        </w:tc>
        <w:tc>
          <w:tcPr>
            <w:tcW w:w="408" w:type="dxa"/>
            <w:tcBorders>
              <w:top w:val="nil"/>
              <w:left w:val="nil"/>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color w:val="000000"/>
                <w:kern w:val="0"/>
                <w:sz w:val="20"/>
                <w:szCs w:val="20"/>
                <w:lang w:val="en-US" w:eastAsia="zh-CN" w:bidi="ar-SA"/>
              </w:rPr>
            </w:pPr>
          </w:p>
        </w:tc>
        <w:tc>
          <w:tcPr>
            <w:tcW w:w="406" w:type="dxa"/>
            <w:tcBorders>
              <w:top w:val="nil"/>
              <w:left w:val="nil"/>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color w:val="000000"/>
                <w:kern w:val="0"/>
                <w:sz w:val="20"/>
                <w:szCs w:val="20"/>
                <w:lang w:val="en-US" w:eastAsia="zh-CN" w:bidi="ar-SA"/>
              </w:rPr>
            </w:pPr>
          </w:p>
        </w:tc>
        <w:tc>
          <w:tcPr>
            <w:tcW w:w="40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0"/>
                <w:szCs w:val="20"/>
                <w:lang w:val="en-US" w:eastAsia="zh-CN" w:bidi="ar-SA"/>
              </w:rPr>
            </w:pPr>
            <w:r>
              <w:rPr>
                <w:rFonts w:hint="eastAsia" w:ascii="宋体" w:hAnsi="宋体" w:eastAsia="宋体" w:cs="宋体"/>
                <w:i w:val="0"/>
                <w:iCs w:val="0"/>
                <w:color w:val="000000"/>
                <w:kern w:val="0"/>
                <w:sz w:val="16"/>
                <w:szCs w:val="16"/>
                <w:u w:val="none"/>
                <w:lang w:val="en-US" w:eastAsia="zh-CN" w:bidi="ar"/>
              </w:rPr>
              <w:t>4</w:t>
            </w:r>
          </w:p>
        </w:tc>
        <w:tc>
          <w:tcPr>
            <w:tcW w:w="521" w:type="dxa"/>
            <w:tcBorders>
              <w:top w:val="nil"/>
              <w:left w:val="nil"/>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color w:val="000000"/>
                <w:kern w:val="0"/>
                <w:sz w:val="20"/>
                <w:szCs w:val="20"/>
                <w:lang w:val="en-US" w:eastAsia="zh-CN" w:bidi="ar-SA"/>
              </w:rPr>
            </w:pPr>
          </w:p>
        </w:tc>
        <w:tc>
          <w:tcPr>
            <w:tcW w:w="519" w:type="dxa"/>
            <w:tcBorders>
              <w:top w:val="nil"/>
              <w:left w:val="nil"/>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color w:val="000000"/>
                <w:kern w:val="0"/>
                <w:sz w:val="20"/>
                <w:szCs w:val="20"/>
                <w:lang w:val="en-US" w:eastAsia="zh-CN" w:bidi="ar-SA"/>
              </w:rPr>
            </w:pPr>
          </w:p>
        </w:tc>
        <w:tc>
          <w:tcPr>
            <w:tcW w:w="4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0"/>
                <w:szCs w:val="20"/>
                <w:lang w:val="en-US" w:eastAsia="zh-CN" w:bidi="ar-SA"/>
              </w:rPr>
            </w:pPr>
            <w:r>
              <w:rPr>
                <w:rFonts w:hint="eastAsia" w:ascii="仿宋" w:hAnsi="仿宋" w:eastAsia="仿宋" w:cs="仿宋"/>
                <w:i w:val="0"/>
                <w:iCs w:val="0"/>
                <w:color w:val="000000"/>
                <w:kern w:val="0"/>
                <w:sz w:val="20"/>
                <w:szCs w:val="20"/>
                <w:u w:val="none"/>
                <w:lang w:val="en-US" w:eastAsia="zh-CN" w:bidi="ar"/>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restart"/>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专业核心课</w:t>
            </w:r>
          </w:p>
        </w:tc>
        <w:tc>
          <w:tcPr>
            <w:tcW w:w="0" w:type="auto"/>
            <w:vMerge w:val="restart"/>
            <w:tcBorders>
              <w:top w:val="nil"/>
              <w:left w:val="single" w:color="000000" w:sz="4" w:space="0"/>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必修</w:t>
            </w: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120" w:type="dxa"/>
            <w:tcBorders>
              <w:top w:val="nil"/>
              <w:left w:val="single" w:color="000000" w:sz="4" w:space="0"/>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5B590301407</w:t>
            </w:r>
          </w:p>
        </w:tc>
        <w:tc>
          <w:tcPr>
            <w:tcW w:w="1126"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人体结构与功能</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60</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12</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120" w:type="dxa"/>
            <w:tcBorders>
              <w:top w:val="nil"/>
              <w:left w:val="single" w:color="000000" w:sz="4" w:space="0"/>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5B590301408</w:t>
            </w:r>
          </w:p>
        </w:tc>
        <w:tc>
          <w:tcPr>
            <w:tcW w:w="1126"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婴幼儿心理发展</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48</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120" w:type="dxa"/>
            <w:tcBorders>
              <w:top w:val="nil"/>
              <w:left w:val="single" w:color="000000" w:sz="4" w:space="0"/>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5B590301401</w:t>
            </w:r>
          </w:p>
        </w:tc>
        <w:tc>
          <w:tcPr>
            <w:tcW w:w="1126"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家庭整理与收纳</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nil"/>
              <w:bottom w:val="nil"/>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nil"/>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24</w:t>
            </w:r>
          </w:p>
        </w:tc>
        <w:tc>
          <w:tcPr>
            <w:tcW w:w="0" w:type="auto"/>
            <w:tcBorders>
              <w:top w:val="nil"/>
              <w:left w:val="nil"/>
              <w:bottom w:val="nil"/>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48</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1120" w:type="dxa"/>
            <w:tcBorders>
              <w:top w:val="nil"/>
              <w:left w:val="single" w:color="000000" w:sz="4" w:space="0"/>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5B590301409</w:t>
            </w:r>
          </w:p>
        </w:tc>
        <w:tc>
          <w:tcPr>
            <w:tcW w:w="1126"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家庭保健基础</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single" w:color="000000" w:sz="4" w:space="0"/>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12</w:t>
            </w:r>
          </w:p>
        </w:tc>
        <w:tc>
          <w:tcPr>
            <w:tcW w:w="0" w:type="auto"/>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60</w:t>
            </w:r>
          </w:p>
        </w:tc>
        <w:tc>
          <w:tcPr>
            <w:tcW w:w="0" w:type="auto"/>
            <w:tcBorders>
              <w:top w:val="single" w:color="000000" w:sz="4" w:space="0"/>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000000" w:sz="4" w:space="0"/>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000000" w:sz="4" w:space="0"/>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考试</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1120" w:type="dxa"/>
            <w:tcBorders>
              <w:top w:val="nil"/>
              <w:left w:val="single" w:color="000000" w:sz="4" w:space="0"/>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5B590301405</w:t>
            </w:r>
          </w:p>
        </w:tc>
        <w:tc>
          <w:tcPr>
            <w:tcW w:w="1126"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家庭成员照护技术</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24</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000000" w:sz="4" w:space="0"/>
              <w:bottom w:val="single" w:color="000000" w:sz="4" w:space="0"/>
              <w:right w:val="single" w:color="000000"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6</w:t>
            </w:r>
          </w:p>
        </w:tc>
        <w:tc>
          <w:tcPr>
            <w:tcW w:w="1120" w:type="dxa"/>
            <w:tcBorders>
              <w:top w:val="nil"/>
              <w:left w:val="single" w:color="000000" w:sz="4" w:space="0"/>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5B590301406</w:t>
            </w:r>
          </w:p>
        </w:tc>
        <w:tc>
          <w:tcPr>
            <w:tcW w:w="1126" w:type="dxa"/>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家政培训实务</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72</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24</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专业拓展课</w:t>
            </w:r>
          </w:p>
        </w:tc>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选修</w:t>
            </w: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120" w:type="dxa"/>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5B590301501</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家宴策划与组织</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专业拓展课最低学分要求为</w:t>
            </w:r>
            <w:r>
              <w:rPr>
                <w:rFonts w:hint="eastAsia" w:ascii="仿宋_GB2312" w:hAnsi="仿宋_GB2312" w:eastAsia="仿宋_GB2312" w:cs="仿宋_GB2312"/>
                <w:color w:val="000000"/>
                <w:kern w:val="0"/>
                <w:sz w:val="20"/>
                <w:szCs w:val="20"/>
                <w:lang w:val="en-US" w:eastAsia="zh-CN"/>
              </w:rPr>
              <w:t>10</w:t>
            </w:r>
            <w:r>
              <w:rPr>
                <w:rFonts w:hint="eastAsia" w:ascii="仿宋_GB2312" w:hAnsi="仿宋_GB2312" w:eastAsia="仿宋_GB2312" w:cs="仿宋_GB2312"/>
                <w:color w:val="000000"/>
                <w:kern w:val="0"/>
                <w:sz w:val="20"/>
                <w:szCs w:val="20"/>
              </w:rPr>
              <w:t>学分</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5B590301502</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家居空间规划</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gridSpan w:val="2"/>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5B590301503</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家庭环境与美化</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gridSpan w:val="2"/>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5B590301504</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插花与茶艺</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gridSpan w:val="2"/>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5B590301505</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产后恢复</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gridSpan w:val="2"/>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6</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5B590301506</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亲子教育</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p>
        </w:tc>
        <w:tc>
          <w:tcPr>
            <w:tcW w:w="0" w:type="auto"/>
            <w:gridSpan w:val="2"/>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7</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5B590301507</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婴幼儿玩教具与游戏</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p>
        </w:tc>
        <w:tc>
          <w:tcPr>
            <w:tcW w:w="0" w:type="auto"/>
            <w:gridSpan w:val="2"/>
            <w:vMerge w:val="continue"/>
            <w:tcBorders>
              <w:top w:val="nil"/>
              <w:left w:val="single" w:color="auto" w:sz="4" w:space="0"/>
              <w:bottom w:val="nil"/>
              <w:right w:val="nil"/>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8</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5B590301508</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现代教育技术</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9</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5B590301509</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家政资讯管理</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000000"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gridSpan w:val="2"/>
            <w:vMerge w:val="continue"/>
            <w:tcBorders>
              <w:top w:val="nil"/>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10</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5B590301510</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家政电子商务实务</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auto" w:sz="4" w:space="0"/>
              <w:right w:val="nil"/>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single" w:color="auto" w:sz="4" w:space="0"/>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gridSpan w:val="2"/>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11</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5B590301511</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家政企业经营与管理</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auto" w:sz="4" w:space="0"/>
              <w:right w:val="nil"/>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single" w:color="auto" w:sz="4" w:space="0"/>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gridSpan w:val="2"/>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12</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5B590301512</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家庭服务营销</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auto" w:sz="4" w:space="0"/>
              <w:right w:val="nil"/>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single" w:color="auto" w:sz="4" w:space="0"/>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gridSpan w:val="2"/>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13</w:t>
            </w:r>
          </w:p>
        </w:tc>
        <w:tc>
          <w:tcPr>
            <w:tcW w:w="112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7B520802523</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婴幼儿艺术启蒙</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36</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20</w:t>
            </w:r>
          </w:p>
        </w:tc>
        <w:tc>
          <w:tcPr>
            <w:tcW w:w="0" w:type="auto"/>
            <w:tcBorders>
              <w:top w:val="nil"/>
              <w:left w:val="nil"/>
              <w:bottom w:val="single" w:color="auto" w:sz="4" w:space="0"/>
              <w:right w:val="nil"/>
            </w:tcBorders>
            <w:noWrap/>
            <w:vAlign w:val="center"/>
          </w:tcPr>
          <w:p>
            <w:pPr>
              <w:widowControl/>
              <w:spacing w:after="0" w:line="240" w:lineRule="auto"/>
              <w:jc w:val="center"/>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16</w:t>
            </w:r>
          </w:p>
        </w:tc>
        <w:tc>
          <w:tcPr>
            <w:tcW w:w="0" w:type="auto"/>
            <w:tcBorders>
              <w:top w:val="nil"/>
              <w:left w:val="single" w:color="auto" w:sz="4" w:space="0"/>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gridSpan w:val="2"/>
            <w:vMerge w:val="continue"/>
            <w:tcBorders>
              <w:top w:val="nil"/>
              <w:left w:val="nil"/>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841" w:hRule="atLeast"/>
          <w:jc w:val="center"/>
        </w:trPr>
        <w:tc>
          <w:tcPr>
            <w:tcW w:w="210" w:type="dxa"/>
            <w:vMerge w:val="continue"/>
            <w:tcBorders>
              <w:left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p>
        </w:tc>
        <w:tc>
          <w:tcPr>
            <w:tcW w:w="210" w:type="dxa"/>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实践</w:t>
            </w:r>
            <w:r>
              <w:rPr>
                <w:rFonts w:hint="eastAsia" w:ascii="仿宋_GB2312" w:hAnsi="仿宋_GB2312" w:eastAsia="仿宋_GB2312" w:cs="仿宋_GB2312"/>
                <w:color w:val="000000"/>
                <w:kern w:val="0"/>
                <w:sz w:val="20"/>
                <w:szCs w:val="20"/>
                <w:lang w:val="en-US" w:eastAsia="zh-CN"/>
              </w:rPr>
              <w:t>性</w:t>
            </w:r>
            <w:r>
              <w:rPr>
                <w:rFonts w:hint="eastAsia" w:ascii="仿宋_GB2312" w:hAnsi="仿宋_GB2312" w:eastAsia="仿宋_GB2312" w:cs="仿宋_GB2312"/>
                <w:color w:val="000000"/>
                <w:kern w:val="0"/>
                <w:sz w:val="20"/>
                <w:szCs w:val="20"/>
              </w:rPr>
              <w:t>教学环节</w:t>
            </w:r>
          </w:p>
        </w:tc>
        <w:tc>
          <w:tcPr>
            <w:tcW w:w="0" w:type="auto"/>
            <w:vMerge w:val="restart"/>
            <w:tcBorders>
              <w:top w:val="nil"/>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必修</w:t>
            </w:r>
          </w:p>
        </w:tc>
        <w:tc>
          <w:tcPr>
            <w:tcW w:w="41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12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1B410101601</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毕业设计</w:t>
            </w:r>
          </w:p>
        </w:tc>
        <w:tc>
          <w:tcPr>
            <w:tcW w:w="610" w:type="dxa"/>
            <w:tcBorders>
              <w:top w:val="nil"/>
              <w:left w:val="nil"/>
              <w:bottom w:val="single" w:color="auto" w:sz="4" w:space="0"/>
              <w:right w:val="nil"/>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610" w:type="dxa"/>
            <w:tcBorders>
              <w:top w:val="single" w:color="000000" w:sz="4" w:space="0"/>
              <w:left w:val="single" w:color="000000" w:sz="4" w:space="0"/>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80</w:t>
            </w:r>
          </w:p>
        </w:tc>
        <w:tc>
          <w:tcPr>
            <w:tcW w:w="0" w:type="auto"/>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20</w:t>
            </w:r>
          </w:p>
        </w:tc>
        <w:tc>
          <w:tcPr>
            <w:tcW w:w="0" w:type="auto"/>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60</w:t>
            </w:r>
          </w:p>
        </w:tc>
        <w:tc>
          <w:tcPr>
            <w:tcW w:w="0" w:type="auto"/>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000000" w:sz="4" w:space="0"/>
              <w:left w:val="nil"/>
              <w:bottom w:val="single" w:color="000000"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000000" w:sz="4" w:space="0"/>
              <w:left w:val="nil"/>
              <w:bottom w:val="single" w:color="000000" w:sz="4" w:space="0"/>
              <w:right w:val="single" w:color="000000"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20</w:t>
            </w:r>
          </w:p>
        </w:tc>
        <w:tc>
          <w:tcPr>
            <w:tcW w:w="0" w:type="auto"/>
            <w:tcBorders>
              <w:top w:val="nil"/>
              <w:left w:val="nil"/>
              <w:bottom w:val="single" w:color="auto" w:sz="4" w:space="0"/>
              <w:right w:val="single" w:color="auto" w:sz="4" w:space="0"/>
            </w:tcBorders>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210" w:type="dxa"/>
            <w:vMerge w:val="continue"/>
            <w:tcBorders>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210"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after="0" w:line="240" w:lineRule="auto"/>
              <w:jc w:val="left"/>
              <w:rPr>
                <w:rFonts w:hint="eastAsia" w:ascii="仿宋_GB2312" w:hAnsi="仿宋_GB2312" w:eastAsia="仿宋_GB2312" w:cs="仿宋_GB2312"/>
                <w:color w:val="000000"/>
                <w:kern w:val="0"/>
                <w:sz w:val="20"/>
                <w:szCs w:val="20"/>
              </w:rPr>
            </w:pPr>
          </w:p>
        </w:tc>
        <w:tc>
          <w:tcPr>
            <w:tcW w:w="41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12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1C410101602</w:t>
            </w:r>
          </w:p>
        </w:tc>
        <w:tc>
          <w:tcPr>
            <w:tcW w:w="1126"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岗位实习</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610" w:type="dxa"/>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432</w:t>
            </w:r>
          </w:p>
        </w:tc>
        <w:tc>
          <w:tcPr>
            <w:tcW w:w="0" w:type="auto"/>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w:t>
            </w:r>
          </w:p>
        </w:tc>
        <w:tc>
          <w:tcPr>
            <w:tcW w:w="0" w:type="auto"/>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432</w:t>
            </w:r>
          </w:p>
        </w:tc>
        <w:tc>
          <w:tcPr>
            <w:tcW w:w="0" w:type="auto"/>
            <w:tcBorders>
              <w:top w:val="single" w:color="auto" w:sz="4" w:space="0"/>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nil"/>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highlight w:val="none"/>
              </w:rPr>
              <w:t>考查</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3486" w:type="dxa"/>
            <w:gridSpan w:val="6"/>
            <w:tcBorders>
              <w:top w:val="single" w:color="auto" w:sz="4" w:space="0"/>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专业必修课程学分、学时小计</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87</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1664</w:t>
            </w:r>
          </w:p>
        </w:tc>
        <w:tc>
          <w:tcPr>
            <w:tcW w:w="644"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686</w:t>
            </w:r>
          </w:p>
        </w:tc>
        <w:tc>
          <w:tcPr>
            <w:tcW w:w="644"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978</w:t>
            </w:r>
          </w:p>
        </w:tc>
        <w:tc>
          <w:tcPr>
            <w:tcW w:w="0" w:type="auto"/>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single" w:color="auto" w:sz="4" w:space="0"/>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3486" w:type="dxa"/>
            <w:gridSpan w:val="6"/>
            <w:tcBorders>
              <w:top w:val="single" w:color="auto" w:sz="4" w:space="0"/>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专业必修课程学分、学时占比</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60.84%</w:t>
            </w:r>
          </w:p>
        </w:tc>
        <w:tc>
          <w:tcPr>
            <w:tcW w:w="610"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61.58%</w:t>
            </w:r>
          </w:p>
        </w:tc>
        <w:tc>
          <w:tcPr>
            <w:tcW w:w="644"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25.39%</w:t>
            </w:r>
          </w:p>
        </w:tc>
        <w:tc>
          <w:tcPr>
            <w:tcW w:w="644" w:type="dxa"/>
            <w:tcBorders>
              <w:top w:val="nil"/>
              <w:left w:val="nil"/>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36.20%</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3486" w:type="dxa"/>
            <w:gridSpan w:val="6"/>
            <w:tcBorders>
              <w:top w:val="single" w:color="auto" w:sz="4" w:space="0"/>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专业拓展课程学分、学时小计</w:t>
            </w:r>
          </w:p>
        </w:tc>
        <w:tc>
          <w:tcPr>
            <w:tcW w:w="61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10</w:t>
            </w:r>
          </w:p>
        </w:tc>
        <w:tc>
          <w:tcPr>
            <w:tcW w:w="61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180</w:t>
            </w:r>
          </w:p>
        </w:tc>
        <w:tc>
          <w:tcPr>
            <w:tcW w:w="644"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72</w:t>
            </w:r>
          </w:p>
        </w:tc>
        <w:tc>
          <w:tcPr>
            <w:tcW w:w="644"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72</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3486" w:type="dxa"/>
            <w:gridSpan w:val="6"/>
            <w:tcBorders>
              <w:top w:val="single" w:color="auto" w:sz="4" w:space="0"/>
              <w:left w:val="single" w:color="auto" w:sz="4" w:space="0"/>
              <w:bottom w:val="single" w:color="auto" w:sz="4" w:space="0"/>
              <w:right w:val="single" w:color="000000"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专业拓展课程学分、学时占比</w:t>
            </w:r>
          </w:p>
        </w:tc>
        <w:tc>
          <w:tcPr>
            <w:tcW w:w="61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6.99%</w:t>
            </w:r>
          </w:p>
        </w:tc>
        <w:tc>
          <w:tcPr>
            <w:tcW w:w="61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6.66%</w:t>
            </w:r>
          </w:p>
        </w:tc>
        <w:tc>
          <w:tcPr>
            <w:tcW w:w="644"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2.66%</w:t>
            </w:r>
          </w:p>
        </w:tc>
        <w:tc>
          <w:tcPr>
            <w:tcW w:w="644"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2.66%</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r>
        <w:tblPrEx>
          <w:tblCellMar>
            <w:top w:w="0" w:type="dxa"/>
            <w:left w:w="0" w:type="dxa"/>
            <w:bottom w:w="0" w:type="dxa"/>
            <w:right w:w="0" w:type="dxa"/>
          </w:tblCellMar>
        </w:tblPrEx>
        <w:trPr>
          <w:trHeight w:val="260" w:hRule="atLeast"/>
          <w:jc w:val="center"/>
        </w:trPr>
        <w:tc>
          <w:tcPr>
            <w:tcW w:w="3486" w:type="dxa"/>
            <w:gridSpan w:val="6"/>
            <w:tcBorders>
              <w:top w:val="single" w:color="auto" w:sz="4" w:space="0"/>
              <w:left w:val="single" w:color="auto" w:sz="4" w:space="0"/>
              <w:bottom w:val="single" w:color="auto" w:sz="4" w:space="0"/>
              <w:right w:val="single" w:color="auto" w:sz="4" w:space="0"/>
            </w:tcBorders>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总学分、学时合计</w:t>
            </w:r>
          </w:p>
        </w:tc>
        <w:tc>
          <w:tcPr>
            <w:tcW w:w="61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143</w:t>
            </w:r>
          </w:p>
        </w:tc>
        <w:tc>
          <w:tcPr>
            <w:tcW w:w="610"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2702</w:t>
            </w:r>
          </w:p>
        </w:tc>
        <w:tc>
          <w:tcPr>
            <w:tcW w:w="644"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1228</w:t>
            </w:r>
          </w:p>
        </w:tc>
        <w:tc>
          <w:tcPr>
            <w:tcW w:w="644" w:type="dxa"/>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1438</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tcBorders>
              <w:top w:val="nil"/>
              <w:left w:val="nil"/>
              <w:bottom w:val="single" w:color="auto" w:sz="4" w:space="0"/>
              <w:right w:val="single" w:color="auto" w:sz="4" w:space="0"/>
            </w:tcBorders>
            <w:noWrap/>
            <w:vAlign w:val="center"/>
          </w:tcPr>
          <w:p>
            <w:pPr>
              <w:widowControl/>
              <w:spacing w:after="0" w:line="240"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0" w:type="auto"/>
            <w:vAlign w:val="center"/>
          </w:tcPr>
          <w:p>
            <w:pPr>
              <w:widowControl/>
              <w:spacing w:after="0" w:line="240" w:lineRule="auto"/>
              <w:jc w:val="left"/>
              <w:rPr>
                <w:rFonts w:hint="eastAsia" w:ascii="仿宋_GB2312" w:hAnsi="仿宋_GB2312" w:eastAsia="仿宋_GB2312" w:cs="仿宋_GB2312"/>
                <w:kern w:val="0"/>
                <w:sz w:val="20"/>
                <w:szCs w:val="20"/>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九、师资队伍</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按照“四有好老师”“四个相统一”“四个引路人”的要求建设专业教师队伍，将师德师风作为教师队伍建设的第一标准。</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队伍结构</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专任教师队伍的数量、学历和职称要符合国家有关规定，形成合理的梯队结构。学生数与专任教师数比例不高于 25∶1，专任教师中具有高级专业技术职务人数不低于20%。“双师型”教师占专业课教师数比例应不低于60%。能够整合校内外优质人才资源，选聘企业高级技术人员担任行业导师，组建校企合作、专兼结合的教师团队，建立定期开展专业</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学科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教研机制。</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代家政服务与管理（照护方向）专业教师团队教师4人，获取职称人数为3人。其中副高及以上职称1人，中级职称1人，初级职称1人。具有研究生学位教师1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（二）专业带头人</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sz w:val="32"/>
          <w:szCs w:val="32"/>
        </w:rPr>
      </w:pPr>
      <w:r>
        <w:rPr>
          <w:rFonts w:hint="eastAsia" w:ascii="仿宋_GB2312" w:hAnsi="仿宋_GB2312" w:eastAsia="仿宋_GB2312" w:cs="仿宋_GB2312"/>
          <w:sz w:val="32"/>
          <w:szCs w:val="32"/>
        </w:rPr>
        <w:t>专业带头人原则上应具有副高及以上职称，能够较好地把握国内外家政行业、专业发展动态，广泛联系行业企业，深入了解人才需求实际，具备较强的教学设计、专业研究及教科研组织能力，在本区域或本领域具有一定影响力。本专业带头人为吴旭晓，副高职称，全面负责专业规划与建设、人才培养方案与课程标准的制定修订、教材与教学标准开发、专业认证体系建设以及教学改革与实践技能培养方案设计等工作。作为专业发展的引领者，带头人应积极践行“四有好老师”标准，做到有理想信念、有道德情操、有扎实学识、有仁爱之心，同时切实履行“四个引路人”职责，在教育教学中引导学生锤炼品格、学习知识、培养创新思维、厚植奉献祖国的情怀，通过师德示范和专业引领推动团队整体发展。</w:t>
      </w:r>
    </w:p>
    <w:p>
      <w:pPr>
        <w:pStyle w:val="15"/>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 xml:space="preserve">专任教师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专任教师</w:t>
      </w:r>
      <w:r>
        <w:rPr>
          <w:rFonts w:hint="eastAsia" w:ascii="仿宋_GB2312" w:hAnsi="仿宋_GB2312" w:eastAsia="仿宋_GB2312" w:cs="仿宋_GB2312"/>
          <w:sz w:val="32"/>
          <w:szCs w:val="32"/>
          <w:highlight w:val="none"/>
          <w:lang w:val="en-US" w:eastAsia="zh-CN"/>
        </w:rPr>
        <w:t>须</w:t>
      </w:r>
      <w:r>
        <w:rPr>
          <w:rFonts w:hint="eastAsia" w:ascii="仿宋_GB2312" w:hAnsi="仿宋_GB2312" w:eastAsia="仿宋_GB2312" w:cs="仿宋_GB2312"/>
          <w:sz w:val="32"/>
          <w:szCs w:val="32"/>
          <w:highlight w:val="none"/>
        </w:rPr>
        <w:t>具备高校教师资格，坚守“四有好老师”标准，具有现代家政服务与</w:t>
      </w:r>
      <w:r>
        <w:rPr>
          <w:rFonts w:hint="eastAsia" w:ascii="仿宋_GB2312" w:hAnsi="仿宋_GB2312" w:eastAsia="仿宋_GB2312" w:cs="仿宋_GB2312"/>
          <w:sz w:val="32"/>
          <w:szCs w:val="32"/>
        </w:rPr>
        <w:t>管理相关专业本科及以上学历，掌握扎实的专业理论与实践技能，能够熟练运用信息化教学手段开展课程改革与科学研究，并满足每5年累计不少于6个月的企业实践要求。在教学过程中，专任教师应立足“四个引路人”定位，将知识传授与价值引领相结合，注重培养学生健全人格、创新能力和家国情怀，通过产教融合与实践教学提升学生的职业素养和社会责任感，为家政服务行业培养德才兼备的高素质技术技能人才。</w:t>
      </w:r>
    </w:p>
    <w:p>
      <w:pPr>
        <w:pStyle w:val="15"/>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兼职教师</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楷体" w:hAnsi="楷体" w:eastAsia="楷体" w:cs="楷体"/>
          <w:sz w:val="32"/>
          <w:szCs w:val="32"/>
        </w:rPr>
      </w:pPr>
      <w:r>
        <w:rPr>
          <w:rFonts w:hint="eastAsia" w:ascii="黑体" w:hAnsi="黑体" w:eastAsia="黑体" w:cs="黑体"/>
          <w:sz w:val="32"/>
          <w:szCs w:val="32"/>
        </w:rPr>
        <w:t>十、教学条件</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（一）教学设施</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rPr>
        <w:t>配有黑板、多媒体计算机、投影设备、音响设备，安装应急照明装置并保持良好状态，符合紧急疏散要求，标志明显，逃生通道畅通无阻。</w:t>
      </w:r>
    </w:p>
    <w:p>
      <w:pPr>
        <w:numPr>
          <w:ilvl w:val="0"/>
          <w:numId w:val="3"/>
        </w:numPr>
        <w:overflowPunct w:val="0"/>
        <w:adjustRightInd w:val="0"/>
        <w:spacing w:after="0"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校内实训资源</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0" w:type="auto"/>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1148"/>
        <w:gridCol w:w="2122"/>
        <w:gridCol w:w="1950"/>
        <w:gridCol w:w="2807"/>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0" w:hRule="atLeast"/>
        </w:trPr>
        <w:tc>
          <w:tcPr>
            <w:tcW w:w="80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14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212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w:t>
            </w:r>
          </w:p>
        </w:tc>
        <w:tc>
          <w:tcPr>
            <w:tcW w:w="195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实训项目</w:t>
            </w:r>
          </w:p>
        </w:tc>
        <w:tc>
          <w:tcPr>
            <w:tcW w:w="2807" w:type="dxa"/>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及配置数量</w:t>
            </w:r>
          </w:p>
        </w:tc>
        <w:tc>
          <w:tcPr>
            <w:tcW w:w="933" w:type="dxa"/>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04"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lang w:val="en-US" w:eastAsia="zh-CN"/>
              </w:rPr>
              <w:t>1</w:t>
            </w:r>
          </w:p>
        </w:tc>
        <w:tc>
          <w:tcPr>
            <w:tcW w:w="1148"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lang w:val="en-US" w:eastAsia="zh-CN"/>
              </w:rPr>
              <w:t>家务服务实训室</w:t>
            </w:r>
          </w:p>
        </w:tc>
        <w:tc>
          <w:tcPr>
            <w:tcW w:w="2122"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lang w:val="en-US" w:eastAsia="zh-CN"/>
              </w:rPr>
              <w:t>家庭整理与收纳、家庭营养与膳食指导、家政培训实务、家宴策划与组织、家居空间规划、家庭环境与美化、插花与茶艺。</w:t>
            </w:r>
          </w:p>
        </w:tc>
        <w:tc>
          <w:tcPr>
            <w:tcW w:w="1950"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lang w:val="en-US" w:eastAsia="zh-CN"/>
              </w:rPr>
              <w:t>收纳整理、常用家居用品养护、家庭营养与膳食、茶道艺术、家庭插花装饰等实训教学。</w:t>
            </w:r>
          </w:p>
        </w:tc>
        <w:tc>
          <w:tcPr>
            <w:tcW w:w="2807" w:type="dxa"/>
            <w:shd w:val="clear" w:color="auto" w:fill="auto"/>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lang w:val="en-US" w:eastAsia="zh-CN"/>
              </w:rPr>
              <w:t>家居常用设备设施、常用家电设备、常用清洁和收纳整理工具、家庭休闲常用茶桌及茶具、插花操作台和展示台20套。</w:t>
            </w:r>
          </w:p>
        </w:tc>
        <w:tc>
          <w:tcPr>
            <w:tcW w:w="933" w:type="dxa"/>
            <w:shd w:val="clear" w:color="auto" w:fill="auto"/>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0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1148"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家庭成员照护实训室</w:t>
            </w:r>
          </w:p>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p>
        </w:tc>
        <w:tc>
          <w:tcPr>
            <w:tcW w:w="2122"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家庭成员照护技术、产后恢复。</w:t>
            </w:r>
          </w:p>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lang w:val="en-US" w:eastAsia="zh-CN"/>
              </w:rPr>
            </w:pPr>
          </w:p>
        </w:tc>
        <w:tc>
          <w:tcPr>
            <w:tcW w:w="195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left"/>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孕产妇照护、婴幼儿照护、老年照护等实训教学。</w:t>
            </w:r>
          </w:p>
        </w:tc>
        <w:tc>
          <w:tcPr>
            <w:tcW w:w="2807"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产后康复全能仪器、盆底肌治疗仪和训练仪、发汗排毒能量舱、高级全功能护理训练模拟人、高级着装式孕妇模型、婴儿智能 SPA 水疗池、鼻饲管及气管护理模型、口腔护理教学模型、轮椅20套。</w:t>
            </w:r>
          </w:p>
        </w:tc>
        <w:tc>
          <w:tcPr>
            <w:tcW w:w="93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0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1148"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家庭教育实训室</w:t>
            </w:r>
          </w:p>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lang w:val="en-US" w:eastAsia="zh-CN"/>
              </w:rPr>
            </w:pPr>
          </w:p>
        </w:tc>
        <w:tc>
          <w:tcPr>
            <w:tcW w:w="2122"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婴幼儿早期发展指导、亲子教育、婴幼儿玩教具与游戏、现代教育技术、婴幼儿艺术启蒙。</w:t>
            </w:r>
          </w:p>
        </w:tc>
        <w:tc>
          <w:tcPr>
            <w:tcW w:w="1950"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婴幼儿早期发展活动设计、亲子活动、玩教具与游戏等实训教学。</w:t>
            </w:r>
          </w:p>
        </w:tc>
        <w:tc>
          <w:tcPr>
            <w:tcW w:w="2807" w:type="dxa"/>
            <w:vAlign w:val="top"/>
          </w:tcPr>
          <w:p>
            <w:pPr>
              <w:keepNext w:val="0"/>
              <w:keepLines w:val="0"/>
              <w:pageBreakBefore w:val="0"/>
              <w:widowControl w:val="0"/>
              <w:kinsoku/>
              <w:wordWrap/>
              <w:overflowPunct w:val="0"/>
              <w:topLinePunct w:val="0"/>
              <w:autoSpaceDE/>
              <w:autoSpaceDN/>
              <w:bidi w:val="0"/>
              <w:adjustRightInd w:val="0"/>
              <w:snapToGrid/>
              <w:spacing w:after="0" w:line="240" w:lineRule="auto"/>
              <w:jc w:val="both"/>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钢琴、婴幼儿玩教具、手工操作台、幼儿感统训练工具20套。</w:t>
            </w:r>
          </w:p>
        </w:tc>
        <w:tc>
          <w:tcPr>
            <w:tcW w:w="933"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val="0"/>
                <w:bCs w:val="0"/>
                <w:color w:val="auto"/>
                <w:sz w:val="24"/>
                <w:szCs w:val="24"/>
                <w:highlight w:val="none"/>
                <w:vertAlign w:val="baseline"/>
                <w:lang w:val="en-US" w:eastAsia="zh-CN"/>
              </w:rPr>
              <w:t>3</w:t>
            </w:r>
            <w:r>
              <w:rPr>
                <w:rFonts w:hint="eastAsia" w:ascii="仿宋_GB2312" w:hAnsi="仿宋_GB2312" w:eastAsia="仿宋_GB2312" w:cs="仿宋_GB2312"/>
                <w:color w:val="auto"/>
                <w:sz w:val="24"/>
                <w:lang w:val="en-US" w:eastAsia="zh-CN"/>
              </w:rPr>
              <w:t>0</w:t>
            </w:r>
          </w:p>
        </w:tc>
      </w:tr>
    </w:tbl>
    <w:p>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（1）校外实训基地基本要求</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具有稳定的校外实训基地2个以上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能够开展家务服务实训室、家庭成员照护实训室、家庭教育实训室等实训活动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实训设施齐备，实训岗位、实训指导教师确定，实训管理及实施规章制度齐全。</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（2）学生实习基地基本要求</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具有稳定的校外实习基地2个以上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能提供母婴护理、养老护理、庭院养护等相关实习岗位，能涵盖当前相关产业的主流技术，可接纳一定规模的学生实习</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能够配备相应数量的指导教师对学生实习进行指导和管理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有保证实习生日常工作、学习、</w:t>
      </w:r>
      <w:r>
        <w:rPr>
          <w:rFonts w:hint="eastAsia" w:ascii="仿宋_GB2312" w:hAnsi="仿宋_GB2312" w:eastAsia="仿宋_GB2312" w:cs="仿宋_GB2312"/>
          <w:sz w:val="32"/>
          <w:szCs w:val="32"/>
        </w:rPr>
        <w:t>生活的规章制度，有安全、保险保障。</w:t>
      </w:r>
    </w:p>
    <w:p>
      <w:pPr>
        <w:overflowPunct w:val="0"/>
        <w:adjustRightInd w:val="0"/>
        <w:spacing w:after="0"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 校外实习基地一览表</w:t>
      </w:r>
    </w:p>
    <w:tbl>
      <w:tblPr>
        <w:tblStyle w:val="8"/>
        <w:tblW w:w="10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356"/>
        <w:gridCol w:w="1320"/>
        <w:gridCol w:w="1200"/>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校外实习基地名称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合作企业名称</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用途</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合作深</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度要求</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w:t>
            </w:r>
            <w:r>
              <w:rPr>
                <w:rFonts w:hint="eastAsia" w:ascii="仿宋_GB2312" w:hAnsi="仿宋_GB2312" w:eastAsia="仿宋_GB2312" w:cs="仿宋_GB2312"/>
                <w:spacing w:val="-2"/>
                <w:sz w:val="24"/>
                <w:szCs w:val="24"/>
              </w:rPr>
              <w:t>现代家政服务与管理（照护方向）</w:t>
            </w:r>
            <w:r>
              <w:rPr>
                <w:rFonts w:hint="eastAsia" w:ascii="仿宋_GB2312" w:hAnsi="仿宋_GB2312" w:eastAsia="仿宋_GB2312" w:cs="仿宋_GB2312"/>
                <w:sz w:val="24"/>
                <w:szCs w:val="24"/>
              </w:rPr>
              <w:t>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平果市中医医院</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w:t>
            </w:r>
            <w:r>
              <w:rPr>
                <w:rFonts w:hint="eastAsia" w:ascii="仿宋_GB2312" w:hAnsi="仿宋_GB2312" w:eastAsia="仿宋_GB2312" w:cs="仿宋_GB2312"/>
                <w:spacing w:val="-2"/>
                <w:sz w:val="24"/>
                <w:szCs w:val="24"/>
              </w:rPr>
              <w:t>现代家政服务与管理（照护方向）</w:t>
            </w:r>
            <w:r>
              <w:rPr>
                <w:rFonts w:hint="eastAsia" w:ascii="仿宋_GB2312" w:hAnsi="仿宋_GB2312" w:eastAsia="仿宋_GB2312" w:cs="仿宋_GB2312"/>
                <w:sz w:val="24"/>
                <w:szCs w:val="24"/>
              </w:rPr>
              <w:t>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广西平果市亿安康养老服务中心</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w:t>
            </w:r>
            <w:r>
              <w:rPr>
                <w:rFonts w:hint="eastAsia" w:ascii="仿宋_GB2312" w:hAnsi="仿宋_GB2312" w:eastAsia="仿宋_GB2312" w:cs="仿宋_GB2312"/>
                <w:spacing w:val="-2"/>
                <w:sz w:val="24"/>
                <w:szCs w:val="24"/>
              </w:rPr>
              <w:t>现代家政服务与管理（照护方向）</w:t>
            </w:r>
            <w:r>
              <w:rPr>
                <w:rFonts w:hint="eastAsia" w:ascii="仿宋_GB2312" w:hAnsi="仿宋_GB2312" w:eastAsia="仿宋_GB2312" w:cs="仿宋_GB2312"/>
                <w:sz w:val="24"/>
                <w:szCs w:val="24"/>
              </w:rPr>
              <w:t>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平果市人民医院</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854"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w:t>
            </w:r>
            <w:r>
              <w:rPr>
                <w:rFonts w:hint="eastAsia" w:ascii="仿宋_GB2312" w:hAnsi="仿宋_GB2312" w:eastAsia="仿宋_GB2312" w:cs="仿宋_GB2312"/>
                <w:spacing w:val="-2"/>
                <w:sz w:val="24"/>
                <w:szCs w:val="24"/>
              </w:rPr>
              <w:t>现代家政服务与管理（照护方向）</w:t>
            </w:r>
            <w:r>
              <w:rPr>
                <w:rFonts w:hint="eastAsia" w:ascii="仿宋_GB2312" w:hAnsi="仿宋_GB2312" w:eastAsia="仿宋_GB2312" w:cs="仿宋_GB2312"/>
                <w:sz w:val="24"/>
                <w:szCs w:val="24"/>
              </w:rPr>
              <w:t>专业校外实习基地</w:t>
            </w:r>
          </w:p>
        </w:tc>
        <w:tc>
          <w:tcPr>
            <w:tcW w:w="2356"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平果市新安镇卫生院</w:t>
            </w:r>
          </w:p>
        </w:tc>
        <w:tc>
          <w:tcPr>
            <w:tcW w:w="132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0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670" w:type="dxa"/>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（二）教学资源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图书文献配备能满足人才培养、专业建设、教科研等工作的需要，方便师生查询、借阅。专业类文献主要包括：家政相关行业政策法规、行业标准、技术规范以及家政电商、互联网+家政等行业新业态相关专业类图书和实务案例类图书。专业图书资料（含电子图书）不低于500册，5 种以上家政服务与管理类专业学术期刊，并能保持每年更新。</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（四）学习评价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课程总成绩=期末卷面考试成绩（50%）+平时成绩（50%）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（2）B类课程成绩构成（理论+实践）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课程总成绩=理论部分期末</w:t>
      </w:r>
      <w:r>
        <w:rPr>
          <w:rFonts w:hint="eastAsia" w:ascii="仿宋_GB2312" w:hAnsi="仿宋_GB2312" w:eastAsia="仿宋_GB2312" w:cs="仿宋_GB2312"/>
          <w:sz w:val="32"/>
          <w:szCs w:val="32"/>
          <w:highlight w:val="none"/>
        </w:rPr>
        <w:t>卷面考试成</w:t>
      </w:r>
      <w:r>
        <w:rPr>
          <w:rFonts w:hint="eastAsia" w:ascii="仿宋_GB2312" w:hAnsi="仿宋_GB2312" w:eastAsia="仿宋_GB2312" w:cs="仿宋_GB2312"/>
          <w:sz w:val="32"/>
          <w:szCs w:val="32"/>
          <w:highlight w:val="none"/>
          <w:lang w:val="en-US" w:eastAsia="zh-CN"/>
        </w:rPr>
        <w:t>绩</w:t>
      </w:r>
      <w:r>
        <w:rPr>
          <w:rFonts w:hint="eastAsia" w:ascii="仿宋_GB2312" w:hAnsi="仿宋_GB2312" w:eastAsia="仿宋_GB2312" w:cs="仿宋_GB2312"/>
          <w:sz w:val="32"/>
          <w:szCs w:val="32"/>
          <w:highlight w:val="none"/>
        </w:rPr>
        <w:t>（40%）+技能成绩（30%）+平时成绩（30%）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（3）C类课程成绩构成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纯实践）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课程总成绩=技能成绩（50%）+平时成绩（50%）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十一、质量保障</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黑体" w:eastAsia="仿宋_GB2312" w:cs="黑体"/>
          <w:sz w:val="32"/>
          <w:szCs w:val="32"/>
        </w:rPr>
      </w:pPr>
      <w:r>
        <w:rPr>
          <w:rFonts w:hint="eastAsia" w:ascii="仿宋_GB2312" w:hAnsi="黑体" w:eastAsia="仿宋_GB2312" w:cs="黑体"/>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黑体" w:eastAsia="仿宋_GB2312" w:cs="黑体"/>
          <w:sz w:val="32"/>
          <w:szCs w:val="32"/>
        </w:rPr>
      </w:pPr>
      <w:r>
        <w:rPr>
          <w:rFonts w:hint="eastAsia" w:ascii="仿宋_GB2312" w:hAnsi="黑体" w:eastAsia="仿宋_GB2312" w:cs="黑体"/>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黑体" w:eastAsia="仿宋_GB2312" w:cs="黑体"/>
          <w:sz w:val="32"/>
          <w:szCs w:val="32"/>
        </w:rPr>
      </w:pPr>
      <w:r>
        <w:rPr>
          <w:rFonts w:hint="eastAsia" w:ascii="仿宋_GB2312" w:hAnsi="黑体" w:eastAsia="仿宋_GB2312" w:cs="黑体"/>
          <w:sz w:val="32"/>
          <w:szCs w:val="32"/>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sz w:val="32"/>
          <w:szCs w:val="32"/>
        </w:rPr>
      </w:pPr>
      <w:r>
        <w:rPr>
          <w:rFonts w:hint="eastAsia" w:ascii="仿宋_GB2312" w:hAnsi="黑体" w:eastAsia="仿宋_GB2312" w:cs="黑体"/>
          <w:sz w:val="32"/>
          <w:szCs w:val="32"/>
        </w:rPr>
        <w:t>4.充分利用评价分析结果有效改进专业教学，持续提高 人才培养质量。</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sz w:val="32"/>
          <w:szCs w:val="32"/>
        </w:rPr>
      </w:pPr>
      <w:r>
        <w:rPr>
          <w:rFonts w:hint="eastAsia" w:ascii="黑体" w:hAnsi="黑体" w:eastAsia="黑体" w:cs="黑体"/>
          <w:sz w:val="32"/>
          <w:szCs w:val="32"/>
        </w:rPr>
        <w:t>十二、毕业要求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sz w:val="32"/>
          <w:szCs w:val="32"/>
        </w:rPr>
      </w:pP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w:t>
      </w:r>
      <w:r>
        <w:rPr>
          <w:rFonts w:hint="eastAsia" w:ascii="楷体" w:hAnsi="楷体" w:eastAsia="楷体" w:cs="楷体"/>
          <w:sz w:val="32"/>
          <w:szCs w:val="32"/>
        </w:rPr>
        <w:t>学分要求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本专业要求学生根据人才培养方案确定的目标和培养规格，完成规定的实习实训，全部课程考核合格且修满至少</w:t>
      </w:r>
      <w:r>
        <w:rPr>
          <w:rFonts w:hint="eastAsia" w:ascii="仿宋_GB2312" w:hAnsi="仿宋_GB2312" w:eastAsia="仿宋_GB2312" w:cs="仿宋_GB2312"/>
          <w:sz w:val="32"/>
          <w:szCs w:val="32"/>
          <w:lang w:val="en-US" w:eastAsia="zh-CN"/>
        </w:rPr>
        <w:t>143</w:t>
      </w:r>
      <w:r>
        <w:rPr>
          <w:rFonts w:hint="eastAsia" w:ascii="仿宋_GB2312" w:hAnsi="仿宋_GB2312" w:eastAsia="仿宋_GB2312" w:cs="仿宋_GB2312"/>
          <w:sz w:val="32"/>
          <w:szCs w:val="32"/>
        </w:rPr>
        <w:t xml:space="preserve">学分。其中，必修课 </w:t>
      </w:r>
      <w:r>
        <w:rPr>
          <w:rFonts w:hint="eastAsia" w:ascii="仿宋_GB2312" w:hAnsi="仿宋_GB2312" w:eastAsia="仿宋_GB2312" w:cs="仿宋_GB2312"/>
          <w:sz w:val="32"/>
          <w:szCs w:val="32"/>
          <w:lang w:val="en-US" w:eastAsia="zh-CN"/>
        </w:rPr>
        <w:t>125</w:t>
      </w:r>
      <w:r>
        <w:rPr>
          <w:rFonts w:hint="eastAsia" w:ascii="仿宋_GB2312" w:hAnsi="仿宋_GB2312" w:eastAsia="仿宋_GB2312" w:cs="仿宋_GB2312"/>
          <w:sz w:val="32"/>
          <w:szCs w:val="32"/>
        </w:rPr>
        <w:t xml:space="preserve">学分，选修课 </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学分。公共必修课38学分，公共选修课8学分。专业必修课</w:t>
      </w:r>
      <w:r>
        <w:rPr>
          <w:rFonts w:hint="eastAsia" w:ascii="仿宋_GB2312" w:hAnsi="仿宋_GB2312" w:eastAsia="仿宋_GB2312" w:cs="仿宋_GB2312"/>
          <w:sz w:val="32"/>
          <w:szCs w:val="32"/>
          <w:lang w:val="en-US" w:eastAsia="zh-CN"/>
        </w:rPr>
        <w:t>87</w:t>
      </w:r>
      <w:r>
        <w:rPr>
          <w:rFonts w:hint="eastAsia" w:ascii="仿宋_GB2312" w:hAnsi="仿宋_GB2312" w:eastAsia="仿宋_GB2312" w:cs="仿宋_GB2312"/>
          <w:sz w:val="32"/>
          <w:szCs w:val="32"/>
        </w:rPr>
        <w:t>学分，专业选修课</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学分。</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楷体" w:hAnsi="楷体" w:eastAsia="楷体" w:cs="楷体"/>
          <w:sz w:val="32"/>
          <w:szCs w:val="32"/>
        </w:rPr>
        <w:t>（二）综合素质要求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color w:val="auto"/>
        </w:rPr>
      </w:pPr>
      <w:r>
        <w:rPr>
          <w:rFonts w:hint="eastAsia" w:ascii="仿宋_GB2312" w:hAnsi="仿宋_GB2312" w:eastAsia="仿宋_GB2312" w:cs="仿宋_GB2312"/>
          <w:color w:val="auto"/>
          <w:kern w:val="2"/>
          <w:sz w:val="32"/>
          <w:szCs w:val="32"/>
          <w:lang w:val="en-US" w:eastAsia="zh-CN" w:bidi="ar-SA"/>
        </w:rPr>
        <w:t>经鉴定思想品德符合要求，熟练掌握母婴护理、老年照护、家庭保洁等核心技能，积极参与家政实践。具备沟通协调、应急处理能力，能应对突发状况，会用数字化家政工具，满足现代家庭需求，积极参加社会实践活动，具备职业综合素质和行动能力。</w:t>
      </w:r>
    </w:p>
    <w:p>
      <w:pPr>
        <w:keepNext w:val="0"/>
        <w:keepLines w:val="0"/>
        <w:pageBreakBefore w:val="0"/>
        <w:widowControl w:val="0"/>
        <w:kinsoku/>
        <w:wordWrap/>
        <w:topLinePunct w:val="0"/>
        <w:autoSpaceDE/>
        <w:autoSpaceDN/>
        <w:bidi w:val="0"/>
        <w:snapToGrid/>
        <w:spacing w:line="520" w:lineRule="exact"/>
        <w:ind w:firstLine="420" w:firstLineChars="200"/>
        <w:textAlignment w:val="auto"/>
      </w:pPr>
    </w:p>
    <w:p/>
    <w:sectPr>
      <w:footerReference r:id="rId9"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40002C-96F0-469B-BEE3-09423A2B37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5F25C82F-412F-4C72-8589-CE5918F8D547}"/>
  </w:font>
  <w:font w:name="华文新魏">
    <w:panose1 w:val="02010800040101010101"/>
    <w:charset w:val="86"/>
    <w:family w:val="auto"/>
    <w:pitch w:val="default"/>
    <w:sig w:usb0="00000000" w:usb1="00000000" w:usb2="00000000" w:usb3="00000000" w:csb0="00000000" w:csb1="00000000"/>
    <w:embedRegular r:id="rId3" w:fontKey="{A9B39B71-9A5F-41F8-81DF-4C9FC80F6CE5}"/>
  </w:font>
  <w:font w:name="方正小标宋简体">
    <w:panose1 w:val="03000509000000000000"/>
    <w:charset w:val="86"/>
    <w:family w:val="script"/>
    <w:pitch w:val="default"/>
    <w:sig w:usb0="00000001" w:usb1="080E0000" w:usb2="00000000" w:usb3="00000000" w:csb0="00040000" w:csb1="00000000"/>
    <w:embedRegular r:id="rId4" w:fontKey="{0D3276AA-3747-447F-AFE0-39FC1A400B30}"/>
  </w:font>
  <w:font w:name="仿宋_GB2312">
    <w:panose1 w:val="02010609030101010101"/>
    <w:charset w:val="86"/>
    <w:family w:val="modern"/>
    <w:pitch w:val="default"/>
    <w:sig w:usb0="00000001" w:usb1="080E0000" w:usb2="00000000" w:usb3="00000000" w:csb0="00040000" w:csb1="00000000"/>
    <w:embedRegular r:id="rId5" w:fontKey="{FEEF807D-4B29-4F3B-9A0D-6605CE258A9F}"/>
  </w:font>
  <w:font w:name="楷体">
    <w:panose1 w:val="02010609060101010101"/>
    <w:charset w:val="86"/>
    <w:family w:val="modern"/>
    <w:pitch w:val="default"/>
    <w:sig w:usb0="800002BF" w:usb1="38CF7CFA" w:usb2="00000016" w:usb3="00000000" w:csb0="00040001" w:csb1="00000000"/>
    <w:embedRegular r:id="rId6" w:fontKey="{91D8B55F-1842-44FA-9B4C-8ACDF85EE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C31B3C"/>
    <w:multiLevelType w:val="singleLevel"/>
    <w:tmpl w:val="B7C31B3C"/>
    <w:lvl w:ilvl="0" w:tentative="0">
      <w:start w:val="2"/>
      <w:numFmt w:val="decimal"/>
      <w:lvlText w:val="%1."/>
      <w:lvlJc w:val="left"/>
      <w:pPr>
        <w:tabs>
          <w:tab w:val="left" w:pos="312"/>
        </w:tabs>
      </w:pPr>
    </w:lvl>
  </w:abstractNum>
  <w:abstractNum w:abstractNumId="1">
    <w:nsid w:val="EB2D466B"/>
    <w:multiLevelType w:val="singleLevel"/>
    <w:tmpl w:val="EB2D466B"/>
    <w:lvl w:ilvl="0" w:tentative="0">
      <w:start w:val="1"/>
      <w:numFmt w:val="chineseCounting"/>
      <w:suff w:val="nothing"/>
      <w:lvlText w:val="（%1）"/>
      <w:lvlJc w:val="left"/>
      <w:rPr>
        <w:rFonts w:hint="eastAsia"/>
      </w:rPr>
    </w:lvl>
  </w:abstractNum>
  <w:abstractNum w:abstractNumId="2">
    <w:nsid w:val="755B6F84"/>
    <w:multiLevelType w:val="multilevel"/>
    <w:tmpl w:val="755B6F84"/>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0443B"/>
    <w:rsid w:val="000123AA"/>
    <w:rsid w:val="00057393"/>
    <w:rsid w:val="000666D4"/>
    <w:rsid w:val="00074FC0"/>
    <w:rsid w:val="00090E00"/>
    <w:rsid w:val="0009131F"/>
    <w:rsid w:val="000A7541"/>
    <w:rsid w:val="000D64E3"/>
    <w:rsid w:val="00105BEE"/>
    <w:rsid w:val="001062D3"/>
    <w:rsid w:val="00115F7D"/>
    <w:rsid w:val="00143C11"/>
    <w:rsid w:val="0015300C"/>
    <w:rsid w:val="00157258"/>
    <w:rsid w:val="001673E5"/>
    <w:rsid w:val="001A6610"/>
    <w:rsid w:val="001A7D53"/>
    <w:rsid w:val="001A7FBE"/>
    <w:rsid w:val="001B0564"/>
    <w:rsid w:val="001F476E"/>
    <w:rsid w:val="00202EBE"/>
    <w:rsid w:val="00222AA1"/>
    <w:rsid w:val="00250124"/>
    <w:rsid w:val="002545AA"/>
    <w:rsid w:val="00266E35"/>
    <w:rsid w:val="00275948"/>
    <w:rsid w:val="00280C03"/>
    <w:rsid w:val="00283E45"/>
    <w:rsid w:val="00286292"/>
    <w:rsid w:val="002B6F45"/>
    <w:rsid w:val="002D15C0"/>
    <w:rsid w:val="00340120"/>
    <w:rsid w:val="003531B3"/>
    <w:rsid w:val="0039562F"/>
    <w:rsid w:val="003B74F3"/>
    <w:rsid w:val="003C2A2A"/>
    <w:rsid w:val="003D3CE4"/>
    <w:rsid w:val="003D566D"/>
    <w:rsid w:val="004001B9"/>
    <w:rsid w:val="00423BC9"/>
    <w:rsid w:val="004401E5"/>
    <w:rsid w:val="00451C33"/>
    <w:rsid w:val="0045506C"/>
    <w:rsid w:val="0048595E"/>
    <w:rsid w:val="004C1BDE"/>
    <w:rsid w:val="004D5E9D"/>
    <w:rsid w:val="005006C9"/>
    <w:rsid w:val="005037B6"/>
    <w:rsid w:val="00517CA9"/>
    <w:rsid w:val="00522FB2"/>
    <w:rsid w:val="00534BB7"/>
    <w:rsid w:val="00547EB0"/>
    <w:rsid w:val="005531DA"/>
    <w:rsid w:val="005645D8"/>
    <w:rsid w:val="0058082C"/>
    <w:rsid w:val="00581F11"/>
    <w:rsid w:val="005A2BBB"/>
    <w:rsid w:val="005C5932"/>
    <w:rsid w:val="005E1986"/>
    <w:rsid w:val="005F6F94"/>
    <w:rsid w:val="00626DF3"/>
    <w:rsid w:val="00635432"/>
    <w:rsid w:val="00637022"/>
    <w:rsid w:val="00670068"/>
    <w:rsid w:val="006758E2"/>
    <w:rsid w:val="00677FBD"/>
    <w:rsid w:val="0068564F"/>
    <w:rsid w:val="00696CBA"/>
    <w:rsid w:val="006A1AE0"/>
    <w:rsid w:val="006D2445"/>
    <w:rsid w:val="006E1E4D"/>
    <w:rsid w:val="006F2E89"/>
    <w:rsid w:val="0071110E"/>
    <w:rsid w:val="00741F9C"/>
    <w:rsid w:val="00770EDF"/>
    <w:rsid w:val="007A437D"/>
    <w:rsid w:val="007D1636"/>
    <w:rsid w:val="007E58B3"/>
    <w:rsid w:val="00802B62"/>
    <w:rsid w:val="008223A7"/>
    <w:rsid w:val="00822F6B"/>
    <w:rsid w:val="00830B54"/>
    <w:rsid w:val="008873AB"/>
    <w:rsid w:val="008A58D7"/>
    <w:rsid w:val="008F2442"/>
    <w:rsid w:val="009027CA"/>
    <w:rsid w:val="0091671F"/>
    <w:rsid w:val="009558EE"/>
    <w:rsid w:val="00957AF4"/>
    <w:rsid w:val="00972646"/>
    <w:rsid w:val="009753BB"/>
    <w:rsid w:val="00991DFB"/>
    <w:rsid w:val="00995BB6"/>
    <w:rsid w:val="009F0DE4"/>
    <w:rsid w:val="00A03ECF"/>
    <w:rsid w:val="00A12741"/>
    <w:rsid w:val="00A13283"/>
    <w:rsid w:val="00A165B0"/>
    <w:rsid w:val="00A225C8"/>
    <w:rsid w:val="00A23811"/>
    <w:rsid w:val="00A26656"/>
    <w:rsid w:val="00A54517"/>
    <w:rsid w:val="00A83DE8"/>
    <w:rsid w:val="00A905D5"/>
    <w:rsid w:val="00AB5DCC"/>
    <w:rsid w:val="00AB71CC"/>
    <w:rsid w:val="00AD6AEA"/>
    <w:rsid w:val="00AE69CC"/>
    <w:rsid w:val="00AF21A8"/>
    <w:rsid w:val="00AF3A87"/>
    <w:rsid w:val="00B125AD"/>
    <w:rsid w:val="00B13396"/>
    <w:rsid w:val="00B14C0C"/>
    <w:rsid w:val="00B213C4"/>
    <w:rsid w:val="00B26B02"/>
    <w:rsid w:val="00B46AB6"/>
    <w:rsid w:val="00B91791"/>
    <w:rsid w:val="00BA03A6"/>
    <w:rsid w:val="00BD25AE"/>
    <w:rsid w:val="00BE0CFE"/>
    <w:rsid w:val="00C120AE"/>
    <w:rsid w:val="00C26302"/>
    <w:rsid w:val="00C3446C"/>
    <w:rsid w:val="00C4271B"/>
    <w:rsid w:val="00C528D5"/>
    <w:rsid w:val="00C55229"/>
    <w:rsid w:val="00C85E4B"/>
    <w:rsid w:val="00C9237F"/>
    <w:rsid w:val="00CC2C53"/>
    <w:rsid w:val="00CE06C8"/>
    <w:rsid w:val="00D03D56"/>
    <w:rsid w:val="00D40803"/>
    <w:rsid w:val="00D439BF"/>
    <w:rsid w:val="00D529F4"/>
    <w:rsid w:val="00DA2A4D"/>
    <w:rsid w:val="00DB5D53"/>
    <w:rsid w:val="00DD5302"/>
    <w:rsid w:val="00E21294"/>
    <w:rsid w:val="00E2700A"/>
    <w:rsid w:val="00E27993"/>
    <w:rsid w:val="00E4373E"/>
    <w:rsid w:val="00E47B18"/>
    <w:rsid w:val="00E652D0"/>
    <w:rsid w:val="00E71B95"/>
    <w:rsid w:val="00E848C7"/>
    <w:rsid w:val="00EB0CE6"/>
    <w:rsid w:val="00EB1198"/>
    <w:rsid w:val="00ED3BD8"/>
    <w:rsid w:val="00EE239E"/>
    <w:rsid w:val="00F31A10"/>
    <w:rsid w:val="00F366F6"/>
    <w:rsid w:val="00F52A8D"/>
    <w:rsid w:val="00F53761"/>
    <w:rsid w:val="00F63617"/>
    <w:rsid w:val="00F82685"/>
    <w:rsid w:val="00FA150D"/>
    <w:rsid w:val="00FA77F6"/>
    <w:rsid w:val="00FB052B"/>
    <w:rsid w:val="00FC0C57"/>
    <w:rsid w:val="0123211D"/>
    <w:rsid w:val="01514167"/>
    <w:rsid w:val="01786F4B"/>
    <w:rsid w:val="01AA3877"/>
    <w:rsid w:val="02661E94"/>
    <w:rsid w:val="02CB4859"/>
    <w:rsid w:val="02CD5374"/>
    <w:rsid w:val="03304250"/>
    <w:rsid w:val="03A07894"/>
    <w:rsid w:val="048C3708"/>
    <w:rsid w:val="04BC3FEE"/>
    <w:rsid w:val="051223C4"/>
    <w:rsid w:val="05F93754"/>
    <w:rsid w:val="062E0F1B"/>
    <w:rsid w:val="06471FDD"/>
    <w:rsid w:val="06C90C44"/>
    <w:rsid w:val="070954E4"/>
    <w:rsid w:val="07322345"/>
    <w:rsid w:val="082F2519"/>
    <w:rsid w:val="084C7436"/>
    <w:rsid w:val="08DA7138"/>
    <w:rsid w:val="08F70DAF"/>
    <w:rsid w:val="09075A53"/>
    <w:rsid w:val="094D790A"/>
    <w:rsid w:val="095347F5"/>
    <w:rsid w:val="09CB082F"/>
    <w:rsid w:val="09D45935"/>
    <w:rsid w:val="0A1E4E03"/>
    <w:rsid w:val="0A634F0B"/>
    <w:rsid w:val="0AC91212"/>
    <w:rsid w:val="0AFF69E2"/>
    <w:rsid w:val="0B64718D"/>
    <w:rsid w:val="0B9E269F"/>
    <w:rsid w:val="0BB93035"/>
    <w:rsid w:val="0C0A3BA0"/>
    <w:rsid w:val="0CE642FD"/>
    <w:rsid w:val="0D3000CB"/>
    <w:rsid w:val="0DE924A0"/>
    <w:rsid w:val="0E2350DD"/>
    <w:rsid w:val="0E5E6115"/>
    <w:rsid w:val="0ED4462A"/>
    <w:rsid w:val="0F386966"/>
    <w:rsid w:val="0FA47B58"/>
    <w:rsid w:val="0FA67D74"/>
    <w:rsid w:val="0FD20B69"/>
    <w:rsid w:val="0FE4089C"/>
    <w:rsid w:val="10093E5F"/>
    <w:rsid w:val="10152804"/>
    <w:rsid w:val="10234F21"/>
    <w:rsid w:val="10914580"/>
    <w:rsid w:val="10EE36A0"/>
    <w:rsid w:val="116752E1"/>
    <w:rsid w:val="11750C0A"/>
    <w:rsid w:val="12485112"/>
    <w:rsid w:val="127F665A"/>
    <w:rsid w:val="12DC3AAD"/>
    <w:rsid w:val="12F708E7"/>
    <w:rsid w:val="13203999"/>
    <w:rsid w:val="135C5E82"/>
    <w:rsid w:val="139B5716"/>
    <w:rsid w:val="13C77F07"/>
    <w:rsid w:val="13F454F6"/>
    <w:rsid w:val="13FE3C29"/>
    <w:rsid w:val="144233E3"/>
    <w:rsid w:val="14A800EA"/>
    <w:rsid w:val="15001CD4"/>
    <w:rsid w:val="150317C5"/>
    <w:rsid w:val="15202377"/>
    <w:rsid w:val="15542020"/>
    <w:rsid w:val="165F0C7D"/>
    <w:rsid w:val="1699418F"/>
    <w:rsid w:val="16995FBA"/>
    <w:rsid w:val="16A42B33"/>
    <w:rsid w:val="16DC051F"/>
    <w:rsid w:val="170B4961"/>
    <w:rsid w:val="1740285C"/>
    <w:rsid w:val="1749510D"/>
    <w:rsid w:val="1796247C"/>
    <w:rsid w:val="18CB084B"/>
    <w:rsid w:val="19481E9C"/>
    <w:rsid w:val="19AF3CC9"/>
    <w:rsid w:val="1A1B6BE8"/>
    <w:rsid w:val="1A262FB5"/>
    <w:rsid w:val="1AE45BF4"/>
    <w:rsid w:val="1BAE7956"/>
    <w:rsid w:val="1BCC19A4"/>
    <w:rsid w:val="1BF93A5C"/>
    <w:rsid w:val="1C27223D"/>
    <w:rsid w:val="1C6F14EE"/>
    <w:rsid w:val="1CB25FAA"/>
    <w:rsid w:val="1D0377EB"/>
    <w:rsid w:val="1D24677C"/>
    <w:rsid w:val="1DD51824"/>
    <w:rsid w:val="1E4B3DFE"/>
    <w:rsid w:val="1E91399D"/>
    <w:rsid w:val="1EA77665"/>
    <w:rsid w:val="1ECC6B87"/>
    <w:rsid w:val="1F3A7811"/>
    <w:rsid w:val="1F5350F7"/>
    <w:rsid w:val="1FB17C46"/>
    <w:rsid w:val="1FB21E1D"/>
    <w:rsid w:val="1FBC2C9C"/>
    <w:rsid w:val="207417C9"/>
    <w:rsid w:val="20AA343C"/>
    <w:rsid w:val="20AD7038"/>
    <w:rsid w:val="20BE4D41"/>
    <w:rsid w:val="20E56222"/>
    <w:rsid w:val="210E0F0E"/>
    <w:rsid w:val="2170143C"/>
    <w:rsid w:val="21EB3D26"/>
    <w:rsid w:val="22123047"/>
    <w:rsid w:val="223461B5"/>
    <w:rsid w:val="22967FAA"/>
    <w:rsid w:val="22A00653"/>
    <w:rsid w:val="2338088B"/>
    <w:rsid w:val="236773C3"/>
    <w:rsid w:val="237D0994"/>
    <w:rsid w:val="23954DD6"/>
    <w:rsid w:val="23D42CAA"/>
    <w:rsid w:val="249D12EE"/>
    <w:rsid w:val="24E76143"/>
    <w:rsid w:val="24F353B2"/>
    <w:rsid w:val="257D209C"/>
    <w:rsid w:val="25B72C88"/>
    <w:rsid w:val="267A11BB"/>
    <w:rsid w:val="27075144"/>
    <w:rsid w:val="27441EF5"/>
    <w:rsid w:val="27AE3812"/>
    <w:rsid w:val="27F5401D"/>
    <w:rsid w:val="28557849"/>
    <w:rsid w:val="285A12A4"/>
    <w:rsid w:val="289A5B44"/>
    <w:rsid w:val="28BD30CD"/>
    <w:rsid w:val="28FC5D8C"/>
    <w:rsid w:val="296E1A2F"/>
    <w:rsid w:val="29B449E4"/>
    <w:rsid w:val="29C72B81"/>
    <w:rsid w:val="29F55728"/>
    <w:rsid w:val="2B0F281A"/>
    <w:rsid w:val="2B8D373E"/>
    <w:rsid w:val="2BF11F1F"/>
    <w:rsid w:val="2C802418"/>
    <w:rsid w:val="2CB341C7"/>
    <w:rsid w:val="2CC66F08"/>
    <w:rsid w:val="2CEB2E12"/>
    <w:rsid w:val="2D5704A8"/>
    <w:rsid w:val="2D8165B1"/>
    <w:rsid w:val="2D964B2C"/>
    <w:rsid w:val="2DAC4350"/>
    <w:rsid w:val="2DE47F8D"/>
    <w:rsid w:val="2E525BFD"/>
    <w:rsid w:val="2F083808"/>
    <w:rsid w:val="2F34284F"/>
    <w:rsid w:val="2F436F36"/>
    <w:rsid w:val="2F7A2E0A"/>
    <w:rsid w:val="2F8D1F5F"/>
    <w:rsid w:val="2FA96B3D"/>
    <w:rsid w:val="2FD933F6"/>
    <w:rsid w:val="30A6152A"/>
    <w:rsid w:val="30A77050"/>
    <w:rsid w:val="30DC27D6"/>
    <w:rsid w:val="30F80F50"/>
    <w:rsid w:val="3115220C"/>
    <w:rsid w:val="31342FDA"/>
    <w:rsid w:val="31600ED9"/>
    <w:rsid w:val="318A49A8"/>
    <w:rsid w:val="31A83FF1"/>
    <w:rsid w:val="31AA329C"/>
    <w:rsid w:val="31D2634F"/>
    <w:rsid w:val="321D581C"/>
    <w:rsid w:val="32F32A21"/>
    <w:rsid w:val="32F92E4C"/>
    <w:rsid w:val="32FA3DAF"/>
    <w:rsid w:val="33260700"/>
    <w:rsid w:val="33266952"/>
    <w:rsid w:val="33AE06F6"/>
    <w:rsid w:val="33B93C14"/>
    <w:rsid w:val="348B3F97"/>
    <w:rsid w:val="34B65AB4"/>
    <w:rsid w:val="34C46423"/>
    <w:rsid w:val="34EA50C0"/>
    <w:rsid w:val="357449D1"/>
    <w:rsid w:val="35E93C67"/>
    <w:rsid w:val="364315C9"/>
    <w:rsid w:val="36657792"/>
    <w:rsid w:val="370E7E29"/>
    <w:rsid w:val="376B0DD8"/>
    <w:rsid w:val="3770165B"/>
    <w:rsid w:val="37960DB8"/>
    <w:rsid w:val="37AD2573"/>
    <w:rsid w:val="381153F4"/>
    <w:rsid w:val="38481119"/>
    <w:rsid w:val="38877EE4"/>
    <w:rsid w:val="38C22C79"/>
    <w:rsid w:val="39372651"/>
    <w:rsid w:val="39A700C1"/>
    <w:rsid w:val="3A451367"/>
    <w:rsid w:val="3A60099C"/>
    <w:rsid w:val="3A7A7584"/>
    <w:rsid w:val="3AEA4709"/>
    <w:rsid w:val="3B4007CD"/>
    <w:rsid w:val="3C17152E"/>
    <w:rsid w:val="3D0047E4"/>
    <w:rsid w:val="3D766728"/>
    <w:rsid w:val="3D9F7A2D"/>
    <w:rsid w:val="3E013EED"/>
    <w:rsid w:val="3E4D7489"/>
    <w:rsid w:val="3E725142"/>
    <w:rsid w:val="3EB92D70"/>
    <w:rsid w:val="3F6A4DBB"/>
    <w:rsid w:val="3F785DC7"/>
    <w:rsid w:val="3FF86C17"/>
    <w:rsid w:val="3FFC1167"/>
    <w:rsid w:val="40077B0C"/>
    <w:rsid w:val="404B5C4A"/>
    <w:rsid w:val="40664832"/>
    <w:rsid w:val="4084115C"/>
    <w:rsid w:val="4099592E"/>
    <w:rsid w:val="40B53BBC"/>
    <w:rsid w:val="40B557B9"/>
    <w:rsid w:val="40C8470D"/>
    <w:rsid w:val="413D6362"/>
    <w:rsid w:val="41540B2E"/>
    <w:rsid w:val="415648A7"/>
    <w:rsid w:val="41727207"/>
    <w:rsid w:val="41A42FA1"/>
    <w:rsid w:val="41BB6E00"/>
    <w:rsid w:val="41CF62FB"/>
    <w:rsid w:val="41DE5079"/>
    <w:rsid w:val="422A57D8"/>
    <w:rsid w:val="42817701"/>
    <w:rsid w:val="428611BC"/>
    <w:rsid w:val="42B86E9B"/>
    <w:rsid w:val="43105F3B"/>
    <w:rsid w:val="436463B1"/>
    <w:rsid w:val="43713C1A"/>
    <w:rsid w:val="43792ACE"/>
    <w:rsid w:val="43A538C3"/>
    <w:rsid w:val="43C755E8"/>
    <w:rsid w:val="44380293"/>
    <w:rsid w:val="447D65EE"/>
    <w:rsid w:val="44A43B7B"/>
    <w:rsid w:val="44B71B00"/>
    <w:rsid w:val="44B862E9"/>
    <w:rsid w:val="455530C7"/>
    <w:rsid w:val="45FC45DE"/>
    <w:rsid w:val="4602706C"/>
    <w:rsid w:val="46733805"/>
    <w:rsid w:val="46B856BC"/>
    <w:rsid w:val="46EE10DD"/>
    <w:rsid w:val="46F661E4"/>
    <w:rsid w:val="47103740"/>
    <w:rsid w:val="471C3E9C"/>
    <w:rsid w:val="4803505C"/>
    <w:rsid w:val="480A0199"/>
    <w:rsid w:val="48A57EC2"/>
    <w:rsid w:val="48AE4FC8"/>
    <w:rsid w:val="48BA396D"/>
    <w:rsid w:val="48BD16AF"/>
    <w:rsid w:val="48DF1625"/>
    <w:rsid w:val="48E56510"/>
    <w:rsid w:val="49395702"/>
    <w:rsid w:val="49843F7B"/>
    <w:rsid w:val="49A63EF1"/>
    <w:rsid w:val="4A3C6604"/>
    <w:rsid w:val="4AA20B5D"/>
    <w:rsid w:val="4AD8632C"/>
    <w:rsid w:val="4AEC05D8"/>
    <w:rsid w:val="4AF15640"/>
    <w:rsid w:val="4AFA62A3"/>
    <w:rsid w:val="4B396BB8"/>
    <w:rsid w:val="4B726781"/>
    <w:rsid w:val="4C0272E2"/>
    <w:rsid w:val="4C0C0983"/>
    <w:rsid w:val="4C1149B8"/>
    <w:rsid w:val="4C675BBA"/>
    <w:rsid w:val="4CAA54A6"/>
    <w:rsid w:val="4D135D42"/>
    <w:rsid w:val="4D1473C4"/>
    <w:rsid w:val="4D415ADB"/>
    <w:rsid w:val="4DE53F11"/>
    <w:rsid w:val="4E185A6E"/>
    <w:rsid w:val="4E514358"/>
    <w:rsid w:val="4E5C7274"/>
    <w:rsid w:val="4F585C8E"/>
    <w:rsid w:val="4F6B3C13"/>
    <w:rsid w:val="4F7B3A14"/>
    <w:rsid w:val="4F7D56F4"/>
    <w:rsid w:val="509C4C8B"/>
    <w:rsid w:val="5135219E"/>
    <w:rsid w:val="51C30881"/>
    <w:rsid w:val="51C37C82"/>
    <w:rsid w:val="51D535C6"/>
    <w:rsid w:val="51FE1E87"/>
    <w:rsid w:val="522105B9"/>
    <w:rsid w:val="5259656B"/>
    <w:rsid w:val="535B634F"/>
    <w:rsid w:val="53807561"/>
    <w:rsid w:val="53C71634"/>
    <w:rsid w:val="542919A7"/>
    <w:rsid w:val="55D87B28"/>
    <w:rsid w:val="5609674B"/>
    <w:rsid w:val="56397652"/>
    <w:rsid w:val="565C2507"/>
    <w:rsid w:val="566118CC"/>
    <w:rsid w:val="56A23A63"/>
    <w:rsid w:val="56F95FA8"/>
    <w:rsid w:val="572D5C52"/>
    <w:rsid w:val="58337298"/>
    <w:rsid w:val="5865379B"/>
    <w:rsid w:val="58680DC2"/>
    <w:rsid w:val="588673C8"/>
    <w:rsid w:val="58E02A3F"/>
    <w:rsid w:val="5900361E"/>
    <w:rsid w:val="592F7A5F"/>
    <w:rsid w:val="59345076"/>
    <w:rsid w:val="59575208"/>
    <w:rsid w:val="595C12A3"/>
    <w:rsid w:val="5996188C"/>
    <w:rsid w:val="59C77C98"/>
    <w:rsid w:val="59DE1485"/>
    <w:rsid w:val="5A872C0B"/>
    <w:rsid w:val="5A9F0C15"/>
    <w:rsid w:val="5AD36B10"/>
    <w:rsid w:val="5AE64A95"/>
    <w:rsid w:val="5B137EF8"/>
    <w:rsid w:val="5B1F1DFE"/>
    <w:rsid w:val="5B322D65"/>
    <w:rsid w:val="5BBC75A4"/>
    <w:rsid w:val="5BC6399C"/>
    <w:rsid w:val="5BCC4E68"/>
    <w:rsid w:val="5C0E6052"/>
    <w:rsid w:val="5C38700F"/>
    <w:rsid w:val="5C4E644E"/>
    <w:rsid w:val="5C606182"/>
    <w:rsid w:val="5C8C341B"/>
    <w:rsid w:val="5C9B365E"/>
    <w:rsid w:val="5CD1707F"/>
    <w:rsid w:val="5D01298C"/>
    <w:rsid w:val="5D206DB4"/>
    <w:rsid w:val="5D292A17"/>
    <w:rsid w:val="5E043D85"/>
    <w:rsid w:val="5E510503"/>
    <w:rsid w:val="5E7540E3"/>
    <w:rsid w:val="5E7C3FD7"/>
    <w:rsid w:val="5E8B1BDC"/>
    <w:rsid w:val="5E93321A"/>
    <w:rsid w:val="5E9B7945"/>
    <w:rsid w:val="5EBD5B0D"/>
    <w:rsid w:val="5F07293D"/>
    <w:rsid w:val="5F1B4F3C"/>
    <w:rsid w:val="5F2B6F1B"/>
    <w:rsid w:val="5F335DCF"/>
    <w:rsid w:val="5F475456"/>
    <w:rsid w:val="5F4C0C3F"/>
    <w:rsid w:val="5FB14CC3"/>
    <w:rsid w:val="5FC058B5"/>
    <w:rsid w:val="5FE1582B"/>
    <w:rsid w:val="5FF23595"/>
    <w:rsid w:val="5FF437B1"/>
    <w:rsid w:val="601C4AB5"/>
    <w:rsid w:val="608D150F"/>
    <w:rsid w:val="611D2893"/>
    <w:rsid w:val="613D1187"/>
    <w:rsid w:val="614442C4"/>
    <w:rsid w:val="61750921"/>
    <w:rsid w:val="617A5F38"/>
    <w:rsid w:val="61926DDD"/>
    <w:rsid w:val="61D11382"/>
    <w:rsid w:val="62386256"/>
    <w:rsid w:val="62D11B87"/>
    <w:rsid w:val="62E80EC0"/>
    <w:rsid w:val="631D301E"/>
    <w:rsid w:val="631F49AF"/>
    <w:rsid w:val="632717A7"/>
    <w:rsid w:val="6384309D"/>
    <w:rsid w:val="638D0589"/>
    <w:rsid w:val="63CE39A4"/>
    <w:rsid w:val="63D27965"/>
    <w:rsid w:val="64025D70"/>
    <w:rsid w:val="643017E4"/>
    <w:rsid w:val="644840CB"/>
    <w:rsid w:val="64966BE4"/>
    <w:rsid w:val="65165F77"/>
    <w:rsid w:val="65FE0EE5"/>
    <w:rsid w:val="663F14FE"/>
    <w:rsid w:val="66707909"/>
    <w:rsid w:val="66B141AA"/>
    <w:rsid w:val="67470A9D"/>
    <w:rsid w:val="6773145F"/>
    <w:rsid w:val="67B90B06"/>
    <w:rsid w:val="67FA56DC"/>
    <w:rsid w:val="681A3FD0"/>
    <w:rsid w:val="6888718C"/>
    <w:rsid w:val="68B25FB7"/>
    <w:rsid w:val="68C03618"/>
    <w:rsid w:val="69164798"/>
    <w:rsid w:val="69D837FB"/>
    <w:rsid w:val="6A246A40"/>
    <w:rsid w:val="6A9C6F1F"/>
    <w:rsid w:val="6ABA1153"/>
    <w:rsid w:val="6AF44665"/>
    <w:rsid w:val="6BDB75D3"/>
    <w:rsid w:val="6BF80185"/>
    <w:rsid w:val="6C2B055A"/>
    <w:rsid w:val="6C423AF6"/>
    <w:rsid w:val="6C8A72E3"/>
    <w:rsid w:val="6C923EBF"/>
    <w:rsid w:val="6D1D49F8"/>
    <w:rsid w:val="6D7C4E6F"/>
    <w:rsid w:val="6D8F2D6B"/>
    <w:rsid w:val="6E0C43BB"/>
    <w:rsid w:val="6EF07839"/>
    <w:rsid w:val="6F2F65B3"/>
    <w:rsid w:val="6FC4358D"/>
    <w:rsid w:val="6FF128C8"/>
    <w:rsid w:val="6FF60E7F"/>
    <w:rsid w:val="713C6D66"/>
    <w:rsid w:val="71DD2CB4"/>
    <w:rsid w:val="72011973"/>
    <w:rsid w:val="72563E57"/>
    <w:rsid w:val="72DA6836"/>
    <w:rsid w:val="72F21DD2"/>
    <w:rsid w:val="72FF629D"/>
    <w:rsid w:val="730022F6"/>
    <w:rsid w:val="732301DD"/>
    <w:rsid w:val="732950C8"/>
    <w:rsid w:val="735E76C4"/>
    <w:rsid w:val="73C60B68"/>
    <w:rsid w:val="73FD2CDB"/>
    <w:rsid w:val="74024296"/>
    <w:rsid w:val="74185868"/>
    <w:rsid w:val="742510D0"/>
    <w:rsid w:val="74257F85"/>
    <w:rsid w:val="744F0B5E"/>
    <w:rsid w:val="749A44CF"/>
    <w:rsid w:val="74F55BA9"/>
    <w:rsid w:val="74F6722B"/>
    <w:rsid w:val="750739FC"/>
    <w:rsid w:val="751A53DD"/>
    <w:rsid w:val="75504B8E"/>
    <w:rsid w:val="759447C3"/>
    <w:rsid w:val="75E93668"/>
    <w:rsid w:val="76191423"/>
    <w:rsid w:val="76326989"/>
    <w:rsid w:val="763333C7"/>
    <w:rsid w:val="76562678"/>
    <w:rsid w:val="7718792D"/>
    <w:rsid w:val="77D965A0"/>
    <w:rsid w:val="77FC484A"/>
    <w:rsid w:val="782C5979"/>
    <w:rsid w:val="7847671C"/>
    <w:rsid w:val="789254BD"/>
    <w:rsid w:val="79002D6F"/>
    <w:rsid w:val="791660EE"/>
    <w:rsid w:val="79751DE3"/>
    <w:rsid w:val="7A1E674C"/>
    <w:rsid w:val="7B403D24"/>
    <w:rsid w:val="7B821819"/>
    <w:rsid w:val="7BAC4AE8"/>
    <w:rsid w:val="7C9C690A"/>
    <w:rsid w:val="7D1172F8"/>
    <w:rsid w:val="7D7B6E68"/>
    <w:rsid w:val="7DAC0DCF"/>
    <w:rsid w:val="7E372159"/>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FollowedHyperlink"/>
    <w:basedOn w:val="9"/>
    <w:unhideWhenUsed/>
    <w:qFormat/>
    <w:uiPriority w:val="99"/>
    <w:rPr>
      <w:color w:val="7E1FAD"/>
      <w:u w:val="single"/>
    </w:rPr>
  </w:style>
  <w:style w:type="character" w:styleId="12">
    <w:name w:val="Hyperlink"/>
    <w:basedOn w:val="9"/>
    <w:unhideWhenUsed/>
    <w:qFormat/>
    <w:uiPriority w:val="99"/>
    <w:rPr>
      <w:color w:val="0026E5"/>
      <w:u w:val="single"/>
    </w:rPr>
  </w:style>
  <w:style w:type="paragraph" w:customStyle="1" w:styleId="13">
    <w:name w:val="Table Text"/>
    <w:basedOn w:val="1"/>
    <w:semiHidden/>
    <w:qFormat/>
    <w:uiPriority w:val="0"/>
    <w:rPr>
      <w:rFonts w:ascii="宋体" w:hAnsi="宋体" w:cs="宋体"/>
      <w:sz w:val="18"/>
      <w:szCs w:val="18"/>
      <w:lang w:eastAsia="en-US"/>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styleId="15">
    <w:name w:val="List Paragraph"/>
    <w:basedOn w:val="1"/>
    <w:unhideWhenUsed/>
    <w:qFormat/>
    <w:uiPriority w:val="99"/>
    <w:pPr>
      <w:ind w:firstLine="420" w:firstLineChars="200"/>
    </w:pPr>
  </w:style>
  <w:style w:type="paragraph" w:customStyle="1" w:styleId="16">
    <w:name w:val="msonormal"/>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17">
    <w:name w:val="xl65"/>
    <w:basedOn w:val="1"/>
    <w:qFormat/>
    <w:uiPriority w:val="0"/>
    <w:pPr>
      <w:widowControl/>
      <w:spacing w:before="100" w:beforeAutospacing="1" w:after="100" w:afterAutospacing="1" w:line="240" w:lineRule="auto"/>
      <w:jc w:val="left"/>
    </w:pPr>
    <w:rPr>
      <w:rFonts w:ascii="仿宋" w:hAnsi="仿宋" w:eastAsia="仿宋" w:cs="宋体"/>
      <w:kern w:val="0"/>
      <w:sz w:val="20"/>
      <w:szCs w:val="20"/>
    </w:rPr>
  </w:style>
  <w:style w:type="paragraph" w:customStyle="1" w:styleId="1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color w:val="FF0000"/>
      <w:kern w:val="0"/>
      <w:sz w:val="20"/>
      <w:szCs w:val="20"/>
    </w:rPr>
  </w:style>
  <w:style w:type="paragraph" w:customStyle="1" w:styleId="2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2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2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仿宋" w:hAnsi="仿宋" w:eastAsia="仿宋" w:cs="宋体"/>
      <w:kern w:val="0"/>
      <w:sz w:val="20"/>
      <w:szCs w:val="20"/>
    </w:rPr>
  </w:style>
  <w:style w:type="paragraph" w:customStyle="1" w:styleId="2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24">
    <w:name w:val="xl7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jc w:val="left"/>
    </w:pPr>
    <w:rPr>
      <w:rFonts w:ascii="仿宋" w:hAnsi="仿宋" w:eastAsia="仿宋" w:cs="宋体"/>
      <w:kern w:val="0"/>
      <w:sz w:val="20"/>
      <w:szCs w:val="20"/>
    </w:rPr>
  </w:style>
  <w:style w:type="paragraph" w:customStyle="1" w:styleId="25">
    <w:name w:val="xl73"/>
    <w:basedOn w:val="1"/>
    <w:qFormat/>
    <w:uiPriority w:val="0"/>
    <w:pPr>
      <w:widowControl/>
      <w:pBdr>
        <w:top w:val="single" w:color="auto" w:sz="4" w:space="0"/>
        <w:left w:val="single" w:color="auto" w:sz="4" w:space="0"/>
        <w:bottom w:val="single" w:color="auto" w:sz="4" w:space="0"/>
        <w:right w:val="single" w:color="000000"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2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27">
    <w:name w:val="xl75"/>
    <w:basedOn w:val="1"/>
    <w:qFormat/>
    <w:uiPriority w:val="0"/>
    <w:pPr>
      <w:widowControl/>
      <w:spacing w:before="100" w:beforeAutospacing="1" w:after="100" w:afterAutospacing="1" w:line="240" w:lineRule="auto"/>
      <w:jc w:val="center"/>
    </w:pPr>
    <w:rPr>
      <w:rFonts w:ascii="仿宋" w:hAnsi="仿宋" w:eastAsia="仿宋" w:cs="宋体"/>
      <w:kern w:val="0"/>
      <w:sz w:val="20"/>
      <w:szCs w:val="20"/>
    </w:rPr>
  </w:style>
  <w:style w:type="paragraph" w:customStyle="1" w:styleId="2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29">
    <w:name w:val="xl7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30">
    <w:name w:val="xl78"/>
    <w:basedOn w:val="1"/>
    <w:qFormat/>
    <w:uiPriority w:val="0"/>
    <w:pPr>
      <w:widowControl/>
      <w:pBdr>
        <w:top w:val="single" w:color="000000" w:sz="4" w:space="0"/>
        <w:bottom w:val="single" w:color="000000" w:sz="4" w:space="0"/>
        <w:right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31">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32">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33">
    <w:name w:val="xl81"/>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34">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35">
    <w:name w:val="xl8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36">
    <w:name w:val="xl84"/>
    <w:basedOn w:val="1"/>
    <w:qFormat/>
    <w:uiPriority w:val="0"/>
    <w:pPr>
      <w:widowControl/>
      <w:pBdr>
        <w:left w:val="single" w:color="auto" w:sz="4" w:space="0"/>
        <w:bottom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37">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仿宋" w:hAnsi="仿宋" w:eastAsia="仿宋" w:cs="宋体"/>
      <w:kern w:val="0"/>
      <w:sz w:val="20"/>
      <w:szCs w:val="20"/>
    </w:rPr>
  </w:style>
  <w:style w:type="paragraph" w:customStyle="1" w:styleId="38">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仿宋" w:hAnsi="仿宋" w:eastAsia="仿宋" w:cs="宋体"/>
      <w:color w:val="000000"/>
      <w:kern w:val="0"/>
      <w:sz w:val="20"/>
      <w:szCs w:val="20"/>
    </w:rPr>
  </w:style>
  <w:style w:type="paragraph" w:customStyle="1" w:styleId="39">
    <w:name w:val="xl87"/>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40">
    <w:name w:val="xl8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41">
    <w:name w:val="xl89"/>
    <w:basedOn w:val="1"/>
    <w:qFormat/>
    <w:uiPriority w:val="0"/>
    <w:pPr>
      <w:widowControl/>
      <w:pBdr>
        <w:top w:val="single" w:color="auto" w:sz="4" w:space="0"/>
        <w:right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42">
    <w:name w:val="xl90"/>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43">
    <w:name w:val="xl91"/>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44">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pPr>
    <w:rPr>
      <w:rFonts w:ascii="仿宋" w:hAnsi="仿宋" w:eastAsia="仿宋" w:cs="宋体"/>
      <w:color w:val="000000"/>
      <w:kern w:val="0"/>
      <w:sz w:val="20"/>
      <w:szCs w:val="20"/>
    </w:rPr>
  </w:style>
  <w:style w:type="paragraph" w:customStyle="1" w:styleId="45">
    <w:name w:val="xl93"/>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46">
    <w:name w:val="xl94"/>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47">
    <w:name w:val="xl95"/>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48">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49">
    <w:name w:val="xl9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50">
    <w:name w:val="xl98"/>
    <w:basedOn w:val="1"/>
    <w:qFormat/>
    <w:uiPriority w:val="0"/>
    <w:pPr>
      <w:widowControl/>
      <w:pBdr>
        <w:left w:val="single" w:color="auto" w:sz="8" w:space="0"/>
        <w:bottom w:val="single" w:color="auto" w:sz="8" w:space="0"/>
        <w:right w:val="single" w:color="auto" w:sz="8" w:space="0"/>
      </w:pBdr>
      <w:spacing w:before="100" w:beforeAutospacing="1" w:after="100" w:afterAutospacing="1" w:line="240" w:lineRule="auto"/>
      <w:jc w:val="center"/>
    </w:pPr>
    <w:rPr>
      <w:rFonts w:ascii="宋体" w:hAnsi="宋体" w:cs="宋体"/>
      <w:color w:val="000000"/>
      <w:kern w:val="0"/>
      <w:sz w:val="16"/>
      <w:szCs w:val="16"/>
    </w:rPr>
  </w:style>
  <w:style w:type="paragraph" w:customStyle="1" w:styleId="51">
    <w:name w:val="xl99"/>
    <w:basedOn w:val="1"/>
    <w:qFormat/>
    <w:uiPriority w:val="0"/>
    <w:pPr>
      <w:widowControl/>
      <w:pBdr>
        <w:top w:val="single" w:color="auto" w:sz="4" w:space="0"/>
        <w:bottom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52">
    <w:name w:val="xl10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jc w:val="left"/>
    </w:pPr>
    <w:rPr>
      <w:rFonts w:ascii="仿宋" w:hAnsi="仿宋" w:eastAsia="仿宋" w:cs="宋体"/>
      <w:color w:val="000000"/>
      <w:kern w:val="0"/>
      <w:sz w:val="20"/>
      <w:szCs w:val="20"/>
    </w:rPr>
  </w:style>
  <w:style w:type="paragraph" w:customStyle="1" w:styleId="53">
    <w:name w:val="xl101"/>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textAlignment w:val="top"/>
    </w:pPr>
    <w:rPr>
      <w:rFonts w:ascii="仿宋" w:hAnsi="仿宋" w:eastAsia="仿宋" w:cs="宋体"/>
      <w:color w:val="000000"/>
      <w:kern w:val="0"/>
      <w:sz w:val="20"/>
      <w:szCs w:val="20"/>
    </w:rPr>
  </w:style>
  <w:style w:type="paragraph" w:customStyle="1" w:styleId="54">
    <w:name w:val="xl10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jc w:val="center"/>
      <w:textAlignment w:val="top"/>
    </w:pPr>
    <w:rPr>
      <w:rFonts w:ascii="仿宋" w:hAnsi="仿宋" w:eastAsia="仿宋" w:cs="宋体"/>
      <w:color w:val="000000"/>
      <w:kern w:val="0"/>
      <w:sz w:val="20"/>
      <w:szCs w:val="20"/>
    </w:rPr>
  </w:style>
  <w:style w:type="paragraph" w:customStyle="1" w:styleId="55">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top"/>
    </w:pPr>
    <w:rPr>
      <w:rFonts w:ascii="仿宋" w:hAnsi="仿宋" w:eastAsia="仿宋" w:cs="宋体"/>
      <w:color w:val="000000"/>
      <w:kern w:val="0"/>
      <w:sz w:val="20"/>
      <w:szCs w:val="20"/>
    </w:rPr>
  </w:style>
  <w:style w:type="paragraph" w:customStyle="1" w:styleId="56">
    <w:name w:val="xl104"/>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top"/>
    </w:pPr>
    <w:rPr>
      <w:rFonts w:ascii="仿宋" w:hAnsi="仿宋" w:eastAsia="仿宋" w:cs="宋体"/>
      <w:color w:val="000000"/>
      <w:kern w:val="0"/>
      <w:sz w:val="20"/>
      <w:szCs w:val="20"/>
    </w:rPr>
  </w:style>
  <w:style w:type="paragraph" w:customStyle="1" w:styleId="57">
    <w:name w:val="xl105"/>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58">
    <w:name w:val="xl106"/>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59">
    <w:name w:val="xl107"/>
    <w:basedOn w:val="1"/>
    <w:qFormat/>
    <w:uiPriority w:val="0"/>
    <w:pPr>
      <w:widowControl/>
      <w:pBdr>
        <w:left w:val="single" w:color="auto" w:sz="4" w:space="0"/>
        <w:bottom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60">
    <w:name w:val="xl108"/>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61">
    <w:name w:val="xl109"/>
    <w:basedOn w:val="1"/>
    <w:qFormat/>
    <w:uiPriority w:val="0"/>
    <w:pPr>
      <w:widowControl/>
      <w:pBdr>
        <w:bottom w:val="single" w:color="auto" w:sz="4" w:space="0"/>
        <w:right w:val="single" w:color="auto" w:sz="4" w:space="0"/>
      </w:pBdr>
      <w:spacing w:before="100" w:beforeAutospacing="1" w:after="100" w:afterAutospacing="1" w:line="240" w:lineRule="auto"/>
    </w:pPr>
    <w:rPr>
      <w:rFonts w:ascii="仿宋" w:hAnsi="仿宋" w:eastAsia="仿宋" w:cs="宋体"/>
      <w:color w:val="000000"/>
      <w:kern w:val="0"/>
      <w:sz w:val="20"/>
      <w:szCs w:val="20"/>
    </w:rPr>
  </w:style>
  <w:style w:type="paragraph" w:customStyle="1" w:styleId="62">
    <w:name w:val="xl110"/>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pPr>
    <w:rPr>
      <w:rFonts w:ascii="仿宋" w:hAnsi="仿宋" w:eastAsia="仿宋" w:cs="宋体"/>
      <w:color w:val="000000"/>
      <w:kern w:val="0"/>
      <w:sz w:val="20"/>
      <w:szCs w:val="20"/>
    </w:rPr>
  </w:style>
  <w:style w:type="paragraph" w:customStyle="1" w:styleId="63">
    <w:name w:val="xl111"/>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64">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65">
    <w:name w:val="xl113"/>
    <w:basedOn w:val="1"/>
    <w:qFormat/>
    <w:uiPriority w:val="0"/>
    <w:pPr>
      <w:widowControl/>
      <w:pBdr>
        <w:top w:val="single" w:color="000000" w:sz="4" w:space="0"/>
        <w:left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66">
    <w:name w:val="xl114"/>
    <w:basedOn w:val="1"/>
    <w:qFormat/>
    <w:uiPriority w:val="0"/>
    <w:pPr>
      <w:widowControl/>
      <w:pBdr>
        <w:top w:val="single" w:color="000000" w:sz="4" w:space="0"/>
        <w:right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67">
    <w:name w:val="xl115"/>
    <w:basedOn w:val="1"/>
    <w:qFormat/>
    <w:uiPriority w:val="0"/>
    <w:pPr>
      <w:widowControl/>
      <w:pBdr>
        <w:left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68">
    <w:name w:val="xl116"/>
    <w:basedOn w:val="1"/>
    <w:qFormat/>
    <w:uiPriority w:val="0"/>
    <w:pPr>
      <w:widowControl/>
      <w:pBdr>
        <w:right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69">
    <w:name w:val="xl117"/>
    <w:basedOn w:val="1"/>
    <w:qFormat/>
    <w:uiPriority w:val="0"/>
    <w:pPr>
      <w:widowControl/>
      <w:pBdr>
        <w:top w:val="single" w:color="auto" w:sz="4" w:space="0"/>
        <w:left w:val="single" w:color="auto"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70">
    <w:name w:val="xl118"/>
    <w:basedOn w:val="1"/>
    <w:qFormat/>
    <w:uiPriority w:val="0"/>
    <w:pPr>
      <w:widowControl/>
      <w:pBdr>
        <w:left w:val="single" w:color="000000" w:sz="4" w:space="0"/>
        <w:right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71">
    <w:name w:val="xl119"/>
    <w:basedOn w:val="1"/>
    <w:qFormat/>
    <w:uiPriority w:val="0"/>
    <w:pPr>
      <w:widowControl/>
      <w:pBdr>
        <w:left w:val="single" w:color="000000" w:sz="4" w:space="0"/>
        <w:bottom w:val="single" w:color="000000" w:sz="4" w:space="0"/>
        <w:right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72">
    <w:name w:val="xl120"/>
    <w:basedOn w:val="1"/>
    <w:qFormat/>
    <w:uiPriority w:val="0"/>
    <w:pPr>
      <w:widowControl/>
      <w:pBdr>
        <w:left w:val="single" w:color="000000" w:sz="4" w:space="0"/>
        <w:bottom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73">
    <w:name w:val="xl121"/>
    <w:basedOn w:val="1"/>
    <w:qFormat/>
    <w:uiPriority w:val="0"/>
    <w:pPr>
      <w:widowControl/>
      <w:pBdr>
        <w:bottom w:val="single" w:color="000000" w:sz="4" w:space="0"/>
        <w:right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74">
    <w:name w:val="xl122"/>
    <w:basedOn w:val="1"/>
    <w:qFormat/>
    <w:uiPriority w:val="0"/>
    <w:pPr>
      <w:widowControl/>
      <w:pBdr>
        <w:top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75">
    <w:name w:val="xl123"/>
    <w:basedOn w:val="1"/>
    <w:qFormat/>
    <w:uiPriority w:val="0"/>
    <w:pPr>
      <w:widowControl/>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76">
    <w:name w:val="xl124"/>
    <w:basedOn w:val="1"/>
    <w:qFormat/>
    <w:uiPriority w:val="0"/>
    <w:pPr>
      <w:widowControl/>
      <w:pBdr>
        <w:bottom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77">
    <w:name w:val="xl125"/>
    <w:basedOn w:val="1"/>
    <w:qFormat/>
    <w:uiPriority w:val="0"/>
    <w:pPr>
      <w:widowControl/>
      <w:pBdr>
        <w:top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78">
    <w:name w:val="xl126"/>
    <w:basedOn w:val="1"/>
    <w:qFormat/>
    <w:uiPriority w:val="0"/>
    <w:pPr>
      <w:widowControl/>
      <w:pBdr>
        <w:lef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79">
    <w:name w:val="xl127"/>
    <w:basedOn w:val="1"/>
    <w:qFormat/>
    <w:uiPriority w:val="0"/>
    <w:pPr>
      <w:widowControl/>
      <w:pBdr>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80">
    <w:name w:val="xl128"/>
    <w:basedOn w:val="1"/>
    <w:qFormat/>
    <w:uiPriority w:val="0"/>
    <w:pPr>
      <w:widowControl/>
      <w:pBdr>
        <w:left w:val="single" w:color="auto" w:sz="4" w:space="0"/>
        <w:bottom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81">
    <w:name w:val="xl129"/>
    <w:basedOn w:val="1"/>
    <w:qFormat/>
    <w:uiPriority w:val="0"/>
    <w:pPr>
      <w:widowControl/>
      <w:pBdr>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82">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仿宋" w:hAnsi="仿宋" w:eastAsia="仿宋" w:cs="宋体"/>
      <w:kern w:val="0"/>
      <w:sz w:val="20"/>
      <w:szCs w:val="20"/>
    </w:rPr>
  </w:style>
  <w:style w:type="paragraph" w:customStyle="1" w:styleId="83">
    <w:name w:val="xl131"/>
    <w:basedOn w:val="1"/>
    <w:qFormat/>
    <w:uiPriority w:val="0"/>
    <w:pPr>
      <w:widowControl/>
      <w:pBdr>
        <w:left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84">
    <w:name w:val="xl132"/>
    <w:basedOn w:val="1"/>
    <w:qFormat/>
    <w:uiPriority w:val="0"/>
    <w:pPr>
      <w:widowControl/>
      <w:pBdr>
        <w:top w:val="single" w:color="000000" w:sz="4" w:space="0"/>
        <w:left w:val="single" w:color="000000" w:sz="4" w:space="0"/>
        <w:right w:val="single" w:color="000000"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85">
    <w:name w:val="xl133"/>
    <w:basedOn w:val="1"/>
    <w:qFormat/>
    <w:uiPriority w:val="0"/>
    <w:pPr>
      <w:widowControl/>
      <w:pBdr>
        <w:left w:val="single" w:color="000000" w:sz="4" w:space="0"/>
        <w:right w:val="single" w:color="000000"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86">
    <w:name w:val="xl134"/>
    <w:basedOn w:val="1"/>
    <w:qFormat/>
    <w:uiPriority w:val="0"/>
    <w:pPr>
      <w:widowControl/>
      <w:pBdr>
        <w:left w:val="single" w:color="000000" w:sz="4" w:space="0"/>
        <w:bottom w:val="single" w:color="000000" w:sz="4" w:space="0"/>
        <w:right w:val="single" w:color="000000"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87">
    <w:name w:val="xl135"/>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left"/>
    </w:pPr>
    <w:rPr>
      <w:rFonts w:ascii="仿宋" w:hAnsi="仿宋" w:eastAsia="仿宋" w:cs="宋体"/>
      <w:kern w:val="0"/>
      <w:sz w:val="20"/>
      <w:szCs w:val="20"/>
    </w:rPr>
  </w:style>
  <w:style w:type="paragraph" w:customStyle="1" w:styleId="88">
    <w:name w:val="xl136"/>
    <w:basedOn w:val="1"/>
    <w:qFormat/>
    <w:uiPriority w:val="0"/>
    <w:pPr>
      <w:widowControl/>
      <w:pBdr>
        <w:top w:val="single" w:color="000000" w:sz="4" w:space="0"/>
        <w:left w:val="single" w:color="000000" w:sz="4" w:space="0"/>
        <w:right w:val="single" w:color="000000"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89">
    <w:name w:val="xl137"/>
    <w:basedOn w:val="1"/>
    <w:qFormat/>
    <w:uiPriority w:val="0"/>
    <w:pPr>
      <w:widowControl/>
      <w:pBdr>
        <w:left w:val="single" w:color="000000" w:sz="4" w:space="0"/>
        <w:right w:val="single" w:color="000000"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90">
    <w:name w:val="xl138"/>
    <w:basedOn w:val="1"/>
    <w:qFormat/>
    <w:uiPriority w:val="0"/>
    <w:pPr>
      <w:widowControl/>
      <w:pBdr>
        <w:left w:val="single" w:color="000000" w:sz="4" w:space="0"/>
        <w:bottom w:val="single" w:color="000000" w:sz="4" w:space="0"/>
        <w:right w:val="single" w:color="000000"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91">
    <w:name w:val="xl139"/>
    <w:basedOn w:val="1"/>
    <w:qFormat/>
    <w:uiPriority w:val="0"/>
    <w:pPr>
      <w:widowControl/>
      <w:pBdr>
        <w:left w:val="single" w:color="000000" w:sz="4" w:space="0"/>
        <w:right w:val="single" w:color="000000" w:sz="4" w:space="0"/>
      </w:pBdr>
      <w:spacing w:before="100" w:beforeAutospacing="1" w:after="100" w:afterAutospacing="1" w:line="240" w:lineRule="auto"/>
      <w:jc w:val="center"/>
    </w:pPr>
    <w:rPr>
      <w:rFonts w:ascii="仿宋" w:hAnsi="仿宋" w:eastAsia="仿宋" w:cs="宋体"/>
      <w:color w:val="000000"/>
      <w:kern w:val="0"/>
      <w:sz w:val="20"/>
      <w:szCs w:val="20"/>
    </w:rPr>
  </w:style>
  <w:style w:type="paragraph" w:customStyle="1" w:styleId="92">
    <w:name w:val="xl140"/>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pPr>
    <w:rPr>
      <w:rFonts w:ascii="仿宋" w:hAnsi="仿宋" w:eastAsia="仿宋" w:cs="宋体"/>
      <w:kern w:val="0"/>
      <w:sz w:val="20"/>
      <w:szCs w:val="20"/>
    </w:rPr>
  </w:style>
  <w:style w:type="table" w:customStyle="1" w:styleId="93">
    <w:name w:val="网格型1"/>
    <w:basedOn w:val="7"/>
    <w:qFormat/>
    <w:uiPriority w:val="0"/>
    <w:pPr>
      <w:widowControl w:val="0"/>
      <w:spacing w:after="160" w:line="278"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18666</Words>
  <Characters>18749</Characters>
  <Lines>2813</Lines>
  <Paragraphs>1529</Paragraphs>
  <TotalTime>11</TotalTime>
  <ScaleCrop>false</ScaleCrop>
  <LinksUpToDate>false</LinksUpToDate>
  <CharactersWithSpaces>18774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2025-08-19T02:13:00Z</dcterms:created>
  <dc:creator>Administrator.WIN-GUF7F9D61L7</dc:creator>
  <cp:lastModifiedBy>ll</cp:lastModifiedBy>
  <cp:lastPrinted>2024-09-18T02:55:00Z</cp:lastPrinted>
  <dcterms:modified xsi:type="dcterms:W3CDTF">2025-09-26T09:32:13Z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0DAC74E1EFE5487690866511387BAA3D_13</vt:lpwstr>
  </property>
  <property fmtid="{D5CDD505-2E9C-101B-9397-08002B2CF9AE}" pid="4" name="KSOTemplateDocerSaveRecord">
    <vt:lpwstr>eyJoZGlkIjoiZTlkMGRkODA2ODczM2MyMjE5MDExMmZhMGNiOWRiOTgiLCJ1c2VySWQiOiIyNTQyMjExNzQifQ==</vt:lpwstr>
  </property>
</Properties>
</file>